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4747B" w14:textId="32808DDF" w:rsidR="0021366F" w:rsidRPr="0021366F" w:rsidRDefault="00633530" w:rsidP="0021366F">
      <w:pPr>
        <w:spacing w:before="1920" w:after="0" w:line="288" w:lineRule="auto"/>
        <w:contextualSpacing/>
        <w:rPr>
          <w:rFonts w:ascii="PP Mori SemiBold" w:eastAsiaTheme="majorEastAsia" w:hAnsi="PP Mori SemiBold" w:cstheme="majorBidi"/>
          <w:spacing w:val="-10"/>
          <w:kern w:val="28"/>
          <w:sz w:val="52"/>
          <w:szCs w:val="56"/>
        </w:rPr>
      </w:pPr>
      <w:r>
        <w:rPr>
          <w:rFonts w:ascii="PP Mori SemiBold" w:eastAsiaTheme="majorEastAsia" w:hAnsi="PP Mori SemiBold" w:cstheme="majorBidi"/>
          <w:spacing w:val="-10"/>
          <w:kern w:val="28"/>
          <w:sz w:val="52"/>
          <w:szCs w:val="56"/>
        </w:rPr>
        <w:br/>
      </w:r>
      <w:r w:rsidR="00BE34D8" w:rsidRPr="001F144D">
        <w:rPr>
          <w:rFonts w:ascii="PP Mori SemiBold" w:eastAsiaTheme="majorEastAsia" w:hAnsi="PP Mori SemiBold" w:cstheme="majorBidi"/>
          <w:spacing w:val="-10"/>
          <w:kern w:val="28"/>
          <w:sz w:val="52"/>
          <w:szCs w:val="56"/>
        </w:rPr>
        <w:t xml:space="preserve">Transmission-Distribution Coordination (TDC) </w:t>
      </w:r>
    </w:p>
    <w:p w14:paraId="04C56CAD" w14:textId="77777777" w:rsidR="0021366F" w:rsidRPr="0021366F" w:rsidRDefault="0021366F" w:rsidP="0021366F">
      <w:pPr>
        <w:spacing w:before="1920" w:after="0" w:line="288" w:lineRule="auto"/>
        <w:contextualSpacing/>
        <w:rPr>
          <w:rFonts w:ascii="PP Mori SemiBold" w:eastAsiaTheme="majorEastAsia" w:hAnsi="PP Mori SemiBold" w:cstheme="majorBidi"/>
          <w:spacing w:val="-10"/>
          <w:kern w:val="28"/>
          <w:sz w:val="48"/>
          <w:szCs w:val="52"/>
        </w:rPr>
      </w:pPr>
    </w:p>
    <w:p w14:paraId="24E6E218" w14:textId="59F01B24" w:rsidR="0021366F" w:rsidRPr="0021366F" w:rsidRDefault="0021366F" w:rsidP="0021366F">
      <w:pPr>
        <w:spacing w:before="1920" w:after="0" w:line="288" w:lineRule="auto"/>
        <w:contextualSpacing/>
        <w:rPr>
          <w:rFonts w:ascii="PP Mori SemiBold" w:eastAsiaTheme="majorEastAsia" w:hAnsi="PP Mori SemiBold" w:cstheme="majorBidi"/>
          <w:spacing w:val="-10"/>
          <w:kern w:val="28"/>
          <w:sz w:val="40"/>
          <w:szCs w:val="44"/>
        </w:rPr>
      </w:pPr>
      <w:r w:rsidRPr="0021366F">
        <w:rPr>
          <w:rFonts w:ascii="PP Mori SemiBold" w:eastAsiaTheme="majorEastAsia" w:hAnsi="PP Mori SemiBold" w:cstheme="majorBidi"/>
          <w:spacing w:val="-10"/>
          <w:kern w:val="28"/>
          <w:sz w:val="40"/>
          <w:szCs w:val="44"/>
        </w:rPr>
        <w:t xml:space="preserve">Report </w:t>
      </w:r>
      <w:r w:rsidR="00BE34D8">
        <w:rPr>
          <w:rFonts w:ascii="PP Mori SemiBold" w:eastAsiaTheme="majorEastAsia" w:hAnsi="PP Mori SemiBold" w:cstheme="majorBidi"/>
          <w:spacing w:val="-10"/>
          <w:kern w:val="28"/>
          <w:sz w:val="40"/>
          <w:szCs w:val="44"/>
        </w:rPr>
        <w:t>5</w:t>
      </w:r>
      <w:r w:rsidR="00B15565">
        <w:rPr>
          <w:rFonts w:ascii="PP Mori SemiBold" w:eastAsiaTheme="majorEastAsia" w:hAnsi="PP Mori SemiBold" w:cstheme="majorBidi"/>
          <w:spacing w:val="-10"/>
          <w:kern w:val="28"/>
          <w:sz w:val="40"/>
          <w:szCs w:val="44"/>
        </w:rPr>
        <w:t xml:space="preserve"> of 5</w:t>
      </w:r>
      <w:r w:rsidRPr="0021366F">
        <w:rPr>
          <w:rFonts w:ascii="PP Mori SemiBold" w:eastAsiaTheme="majorEastAsia" w:hAnsi="PP Mori SemiBold" w:cstheme="majorBidi"/>
          <w:spacing w:val="-10"/>
          <w:kern w:val="28"/>
          <w:sz w:val="40"/>
          <w:szCs w:val="44"/>
        </w:rPr>
        <w:t xml:space="preserve">: Power Systems Architecture </w:t>
      </w:r>
    </w:p>
    <w:p w14:paraId="487C83DE" w14:textId="5EBCF741" w:rsidR="00D22333" w:rsidRDefault="006E5854" w:rsidP="0021366F">
      <w:pPr>
        <w:spacing w:before="1920" w:after="0" w:line="288" w:lineRule="auto"/>
        <w:contextualSpacing/>
        <w:rPr>
          <w:rFonts w:eastAsiaTheme="majorEastAsia" w:cstheme="majorBidi"/>
          <w:spacing w:val="-10"/>
          <w:kern w:val="28"/>
          <w:sz w:val="40"/>
          <w:szCs w:val="44"/>
        </w:rPr>
      </w:pPr>
      <w:r>
        <w:rPr>
          <w:rFonts w:eastAsiaTheme="majorEastAsia" w:cstheme="majorBidi"/>
          <w:spacing w:val="-10"/>
          <w:kern w:val="28"/>
          <w:sz w:val="40"/>
          <w:szCs w:val="44"/>
        </w:rPr>
        <w:t>AR</w:t>
      </w:r>
      <w:r w:rsidR="0021366F" w:rsidRPr="0021366F">
        <w:rPr>
          <w:rFonts w:eastAsiaTheme="majorEastAsia" w:cstheme="majorBidi"/>
          <w:spacing w:val="-10"/>
          <w:kern w:val="28"/>
          <w:sz w:val="40"/>
          <w:szCs w:val="44"/>
        </w:rPr>
        <w:t>-PST Stage 4, Topic 7</w:t>
      </w:r>
    </w:p>
    <w:p w14:paraId="0D81A3F0" w14:textId="77777777" w:rsidR="00F51F65" w:rsidRDefault="00F51F65" w:rsidP="0021366F">
      <w:pPr>
        <w:spacing w:before="1920" w:after="0" w:line="288" w:lineRule="auto"/>
        <w:contextualSpacing/>
        <w:rPr>
          <w:rFonts w:eastAsiaTheme="majorEastAsia" w:cstheme="majorBidi"/>
          <w:spacing w:val="-10"/>
          <w:kern w:val="28"/>
          <w:sz w:val="40"/>
          <w:szCs w:val="44"/>
        </w:rPr>
      </w:pPr>
    </w:p>
    <w:p w14:paraId="5C6B274C" w14:textId="77C1EF74" w:rsidR="00FD79B9" w:rsidRPr="00E725A1" w:rsidRDefault="00F51F65">
      <w:pPr>
        <w:spacing w:before="0" w:after="160" w:line="259" w:lineRule="auto"/>
        <w:rPr>
          <w:rFonts w:eastAsiaTheme="majorEastAsia" w:cstheme="majorBidi"/>
          <w:b/>
          <w:bCs/>
          <w:color w:val="C00000"/>
          <w:spacing w:val="-10"/>
          <w:kern w:val="28"/>
          <w:sz w:val="40"/>
          <w:szCs w:val="44"/>
        </w:rPr>
      </w:pPr>
      <w:r w:rsidRPr="00E725A1">
        <w:rPr>
          <w:rFonts w:eastAsiaTheme="majorEastAsia" w:cstheme="majorBidi"/>
          <w:b/>
          <w:bCs/>
          <w:color w:val="C00000"/>
          <w:spacing w:val="-10"/>
          <w:kern w:val="28"/>
          <w:sz w:val="40"/>
          <w:szCs w:val="44"/>
        </w:rPr>
        <w:t>AUGUST 2025</w:t>
      </w:r>
    </w:p>
    <w:p w14:paraId="3FCF86F3" w14:textId="77777777" w:rsidR="00FD79B9" w:rsidRDefault="00FD79B9">
      <w:pPr>
        <w:spacing w:before="0" w:after="160" w:line="259" w:lineRule="auto"/>
        <w:rPr>
          <w:rFonts w:eastAsiaTheme="majorEastAsia" w:cstheme="majorBidi"/>
          <w:spacing w:val="-10"/>
          <w:kern w:val="28"/>
          <w:sz w:val="40"/>
          <w:szCs w:val="44"/>
        </w:rPr>
      </w:pPr>
    </w:p>
    <w:p w14:paraId="164EF62D" w14:textId="77777777" w:rsidR="00FD79B9" w:rsidRDefault="00FD79B9">
      <w:pPr>
        <w:spacing w:before="0" w:after="160" w:line="259" w:lineRule="auto"/>
        <w:rPr>
          <w:rFonts w:eastAsiaTheme="majorEastAsia" w:cstheme="majorBidi"/>
          <w:spacing w:val="-10"/>
          <w:kern w:val="28"/>
          <w:sz w:val="40"/>
          <w:szCs w:val="44"/>
        </w:rPr>
      </w:pPr>
    </w:p>
    <w:p w14:paraId="2F8E0D15" w14:textId="77777777" w:rsidR="00FD79B9" w:rsidRDefault="00FD79B9">
      <w:pPr>
        <w:spacing w:before="0" w:after="160" w:line="259" w:lineRule="auto"/>
        <w:rPr>
          <w:rFonts w:eastAsiaTheme="majorEastAsia" w:cstheme="majorBidi"/>
          <w:spacing w:val="-10"/>
          <w:kern w:val="28"/>
          <w:sz w:val="40"/>
          <w:szCs w:val="44"/>
        </w:rPr>
      </w:pPr>
    </w:p>
    <w:p w14:paraId="3620C557" w14:textId="77777777" w:rsidR="00FD79B9" w:rsidRDefault="00FD79B9">
      <w:pPr>
        <w:spacing w:before="0" w:after="160" w:line="259" w:lineRule="auto"/>
        <w:rPr>
          <w:rFonts w:eastAsiaTheme="majorEastAsia" w:cstheme="majorBidi"/>
          <w:spacing w:val="-10"/>
          <w:kern w:val="28"/>
          <w:sz w:val="40"/>
          <w:szCs w:val="44"/>
        </w:rPr>
      </w:pPr>
    </w:p>
    <w:p w14:paraId="72492378" w14:textId="77777777" w:rsidR="00FD79B9" w:rsidRDefault="00FD79B9">
      <w:pPr>
        <w:spacing w:before="0" w:after="160" w:line="259" w:lineRule="auto"/>
        <w:rPr>
          <w:rFonts w:eastAsiaTheme="majorEastAsia" w:cstheme="majorBidi"/>
          <w:spacing w:val="-10"/>
          <w:kern w:val="28"/>
          <w:sz w:val="40"/>
          <w:szCs w:val="44"/>
        </w:rPr>
      </w:pPr>
    </w:p>
    <w:p w14:paraId="641D82DC" w14:textId="34C3E57F" w:rsidR="00FD79B9" w:rsidRPr="0022456E" w:rsidRDefault="0022456E" w:rsidP="0022456E">
      <w:pPr>
        <w:spacing w:before="1920" w:after="0" w:line="288" w:lineRule="auto"/>
        <w:contextualSpacing/>
        <w:rPr>
          <w:rFonts w:eastAsiaTheme="majorEastAsia" w:cstheme="majorBidi"/>
          <w:i/>
          <w:color w:val="067296" w:themeColor="text2"/>
          <w:spacing w:val="-10"/>
          <w:kern w:val="28"/>
          <w:sz w:val="36"/>
          <w:szCs w:val="40"/>
        </w:rPr>
      </w:pPr>
      <w:r w:rsidRPr="00CC2F84">
        <w:rPr>
          <w:rFonts w:eastAsiaTheme="majorEastAsia" w:cstheme="majorBidi"/>
          <w:i/>
          <w:iCs/>
          <w:color w:val="067296" w:themeColor="text2"/>
          <w:spacing w:val="-10"/>
          <w:kern w:val="28"/>
          <w:sz w:val="36"/>
          <w:szCs w:val="40"/>
        </w:rPr>
        <w:t>Informing the future of Australia’s power systems</w:t>
      </w:r>
    </w:p>
    <w:p w14:paraId="52192D27" w14:textId="77777777" w:rsidR="0022456E" w:rsidRPr="00F225AB" w:rsidRDefault="0022456E" w:rsidP="00F225AB">
      <w:pPr>
        <w:spacing w:line="252" w:lineRule="auto"/>
        <w:rPr>
          <w:szCs w:val="18"/>
        </w:rPr>
      </w:pPr>
      <w:r w:rsidRPr="00F225AB">
        <w:rPr>
          <w:szCs w:val="18"/>
        </w:rPr>
        <w:lastRenderedPageBreak/>
        <w:t>© Commonwealth Scientific and Industrial Research Organisation 2025. To the extent permitted by law, all rights are reserved and no part of this publication covered by copyright may be reproduced or copied in any form or by any means except with the written permission of CSIRO.</w:t>
      </w:r>
    </w:p>
    <w:p w14:paraId="2AE61D84" w14:textId="77777777" w:rsidR="0022456E" w:rsidRPr="00F225AB" w:rsidRDefault="0022456E" w:rsidP="00663601">
      <w:pPr>
        <w:spacing w:before="180" w:after="180" w:line="252" w:lineRule="auto"/>
        <w:rPr>
          <w:i/>
          <w:color w:val="013C4C" w:themeColor="accent1"/>
          <w:sz w:val="20"/>
          <w:szCs w:val="18"/>
        </w:rPr>
      </w:pPr>
      <w:r w:rsidRPr="00F225AB">
        <w:rPr>
          <w:i/>
          <w:color w:val="013C4C" w:themeColor="accent1"/>
          <w:sz w:val="20"/>
          <w:szCs w:val="18"/>
        </w:rPr>
        <w:t>Important disclaimer</w:t>
      </w:r>
    </w:p>
    <w:p w14:paraId="59071D74" w14:textId="77777777" w:rsidR="0022456E" w:rsidRPr="00F225AB" w:rsidRDefault="0022456E" w:rsidP="00663601">
      <w:pPr>
        <w:spacing w:before="180" w:after="180" w:line="252" w:lineRule="auto"/>
        <w:rPr>
          <w:szCs w:val="18"/>
        </w:rPr>
      </w:pPr>
      <w:r w:rsidRPr="00F225AB">
        <w:rPr>
          <w:szCs w:val="18"/>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101D671" w14:textId="77777777" w:rsidR="0022456E" w:rsidRPr="00F225AB" w:rsidRDefault="0022456E" w:rsidP="00663601">
      <w:pPr>
        <w:spacing w:before="180" w:after="180" w:line="252" w:lineRule="auto"/>
        <w:rPr>
          <w:szCs w:val="18"/>
        </w:rPr>
      </w:pPr>
      <w:r w:rsidRPr="00F225AB">
        <w:rPr>
          <w:szCs w:val="18"/>
        </w:rPr>
        <w:t>CSIRO is committed to providing web accessible content wherever possible. If you are having difficulties with accessing this document</w:t>
      </w:r>
      <w:r w:rsidR="00F225AB" w:rsidRPr="00F225AB">
        <w:rPr>
          <w:szCs w:val="18"/>
        </w:rPr>
        <w:t>,</w:t>
      </w:r>
      <w:r w:rsidRPr="00F225AB">
        <w:rPr>
          <w:szCs w:val="18"/>
        </w:rPr>
        <w:t xml:space="preserve"> please contact csiro.au/contact.</w:t>
      </w:r>
    </w:p>
    <w:p w14:paraId="3E8C64B9" w14:textId="77777777" w:rsidR="0022456E" w:rsidRPr="00F225AB" w:rsidRDefault="0022456E" w:rsidP="00F225AB">
      <w:pPr>
        <w:spacing w:before="0" w:after="160" w:line="259" w:lineRule="auto"/>
        <w:rPr>
          <w:b/>
          <w:szCs w:val="18"/>
        </w:rPr>
      </w:pPr>
      <w:r w:rsidRPr="00F225AB">
        <w:rPr>
          <w:b/>
          <w:szCs w:val="18"/>
        </w:rPr>
        <w:t>Prepared for:</w:t>
      </w:r>
    </w:p>
    <w:p w14:paraId="2B00E57A" w14:textId="77777777" w:rsidR="0022456E" w:rsidRPr="003F1856" w:rsidRDefault="00F225AB" w:rsidP="00F225AB">
      <w:pPr>
        <w:spacing w:before="0" w:after="0" w:line="259" w:lineRule="auto"/>
        <w:rPr>
          <w:i/>
          <w:color w:val="0290B7" w:themeColor="text1" w:themeTint="BF"/>
          <w:sz w:val="8"/>
          <w:szCs w:val="8"/>
        </w:rPr>
      </w:pPr>
      <w:r w:rsidRPr="00F225AB">
        <w:rPr>
          <w:noProof/>
          <w:szCs w:val="18"/>
        </w:rPr>
        <w:drawing>
          <wp:inline distT="0" distB="0" distL="0" distR="0" wp14:anchorId="0DF107C6" wp14:editId="2772EE62">
            <wp:extent cx="790575" cy="790575"/>
            <wp:effectExtent l="0" t="0" r="9525" b="9525"/>
            <wp:docPr id="1130745649" name="Picture 15"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5649" name="Picture 15" descr="A blue circle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197" cy="796197"/>
                    </a:xfrm>
                    <a:prstGeom prst="rect">
                      <a:avLst/>
                    </a:prstGeom>
                    <a:noFill/>
                    <a:ln>
                      <a:noFill/>
                    </a:ln>
                  </pic:spPr>
                </pic:pic>
              </a:graphicData>
            </a:graphic>
          </wp:inline>
        </w:drawing>
      </w:r>
      <w:r w:rsidR="0022456E" w:rsidRPr="00F225AB">
        <w:rPr>
          <w:i/>
          <w:color w:val="0290B7" w:themeColor="text1" w:themeTint="BF"/>
          <w:szCs w:val="18"/>
        </w:rPr>
        <w:br/>
      </w:r>
    </w:p>
    <w:p w14:paraId="5C703736" w14:textId="77777777" w:rsidR="0022456E" w:rsidRPr="00F225AB" w:rsidRDefault="0022456E" w:rsidP="00F225AB">
      <w:pPr>
        <w:spacing w:before="0" w:after="60" w:line="259" w:lineRule="auto"/>
        <w:rPr>
          <w:rFonts w:ascii="PP Mori SemiBold" w:hAnsi="PP Mori SemiBold"/>
          <w:szCs w:val="18"/>
        </w:rPr>
      </w:pPr>
      <w:r w:rsidRPr="00F225AB">
        <w:rPr>
          <w:rFonts w:ascii="PP Mori SemiBold" w:hAnsi="PP Mori SemiBold"/>
          <w:szCs w:val="18"/>
        </w:rPr>
        <w:t>What is CSIRO?</w:t>
      </w:r>
    </w:p>
    <w:p w14:paraId="5802EDCE" w14:textId="77777777" w:rsidR="0022456E" w:rsidRPr="00F225AB" w:rsidRDefault="0022456E" w:rsidP="00F225AB">
      <w:pPr>
        <w:spacing w:before="0" w:after="160" w:line="259" w:lineRule="auto"/>
        <w:rPr>
          <w:szCs w:val="18"/>
        </w:rPr>
      </w:pPr>
      <w:r w:rsidRPr="00F225AB">
        <w:rPr>
          <w:szCs w:val="18"/>
        </w:rPr>
        <w:t>The Commonwealth Scientific and Industrial Research Organisation is Australia's national science agency, conducting applied research across key sectors to drive national impact.</w:t>
      </w:r>
    </w:p>
    <w:p w14:paraId="0369D3DA" w14:textId="77777777" w:rsidR="0022456E" w:rsidRPr="00F225AB" w:rsidRDefault="0022456E" w:rsidP="00F225AB">
      <w:pPr>
        <w:spacing w:before="0" w:after="60" w:line="259" w:lineRule="auto"/>
        <w:rPr>
          <w:rFonts w:ascii="PP Mori SemiBold" w:hAnsi="PP Mori SemiBold"/>
          <w:szCs w:val="18"/>
        </w:rPr>
      </w:pPr>
      <w:r w:rsidRPr="00F225AB">
        <w:rPr>
          <w:rFonts w:ascii="PP Mori SemiBold" w:hAnsi="PP Mori SemiBold"/>
          <w:szCs w:val="18"/>
        </w:rPr>
        <w:t xml:space="preserve">Citation: </w:t>
      </w:r>
    </w:p>
    <w:p w14:paraId="085AF65B" w14:textId="58ED327F" w:rsidR="00BE377E" w:rsidRDefault="00BE377E" w:rsidP="003F1856">
      <w:pPr>
        <w:spacing w:before="120"/>
        <w:ind w:right="-144"/>
        <w:rPr>
          <w:rStyle w:val="SubtleEmphasis"/>
          <w:i w:val="0"/>
          <w:iCs w:val="0"/>
          <w:color w:val="auto"/>
          <w:szCs w:val="18"/>
        </w:rPr>
      </w:pPr>
      <w:r w:rsidRPr="00BE377E">
        <w:rPr>
          <w:rStyle w:val="SubtleEmphasis"/>
          <w:i w:val="0"/>
          <w:iCs w:val="0"/>
          <w:color w:val="auto"/>
          <w:szCs w:val="18"/>
        </w:rPr>
        <w:t>Energy Catalyst, Report 5 of 5: Transmission-Distribution Coordination (TDC)</w:t>
      </w:r>
      <w:r w:rsidR="005E3A97">
        <w:rPr>
          <w:rStyle w:val="SubtleEmphasis"/>
          <w:i w:val="0"/>
          <w:iCs w:val="0"/>
          <w:color w:val="auto"/>
          <w:szCs w:val="18"/>
        </w:rPr>
        <w:t xml:space="preserve"> v1.</w:t>
      </w:r>
      <w:r w:rsidR="00FD6A39">
        <w:rPr>
          <w:rStyle w:val="SubtleEmphasis"/>
          <w:i w:val="0"/>
          <w:iCs w:val="0"/>
          <w:color w:val="auto"/>
          <w:szCs w:val="18"/>
        </w:rPr>
        <w:t>2</w:t>
      </w:r>
      <w:r w:rsidRPr="00BE377E">
        <w:rPr>
          <w:rStyle w:val="SubtleEmphasis"/>
          <w:i w:val="0"/>
          <w:iCs w:val="0"/>
          <w:color w:val="auto"/>
          <w:szCs w:val="18"/>
        </w:rPr>
        <w:t xml:space="preserve">, AR-PST (Australian Research in Power Systems Transition) Stage 4 Topic 7, prepared for CSIRO, </w:t>
      </w:r>
      <w:r w:rsidR="003F1856">
        <w:rPr>
          <w:rStyle w:val="SubtleEmphasis"/>
          <w:i w:val="0"/>
          <w:iCs w:val="0"/>
          <w:color w:val="auto"/>
          <w:szCs w:val="18"/>
        </w:rPr>
        <w:t>August</w:t>
      </w:r>
      <w:r w:rsidRPr="00BE377E">
        <w:rPr>
          <w:rStyle w:val="SubtleEmphasis"/>
          <w:i w:val="0"/>
          <w:iCs w:val="0"/>
          <w:color w:val="auto"/>
          <w:szCs w:val="18"/>
        </w:rPr>
        <w:t xml:space="preserve"> 2025.</w:t>
      </w:r>
    </w:p>
    <w:p w14:paraId="3BAC64A6" w14:textId="77777777" w:rsidR="00663601" w:rsidRPr="00663601" w:rsidRDefault="00663601" w:rsidP="00663601">
      <w:pPr>
        <w:spacing w:before="0" w:after="160" w:line="259" w:lineRule="auto"/>
        <w:rPr>
          <w:rFonts w:ascii="PP Mori SemiBold" w:hAnsi="PP Mori SemiBold"/>
          <w:color w:val="0290B7" w:themeColor="text1" w:themeTint="BF"/>
          <w:szCs w:val="18"/>
        </w:rPr>
      </w:pPr>
      <w:r w:rsidRPr="00663601">
        <w:rPr>
          <w:rFonts w:ascii="PP Mori SemiBold" w:hAnsi="PP Mori SemiBold"/>
          <w:noProof/>
          <w:color w:val="013C4C" w:themeColor="text1"/>
          <w:szCs w:val="18"/>
        </w:rPr>
        <w:drawing>
          <wp:inline distT="0" distB="0" distL="0" distR="0" wp14:anchorId="4DBC912C" wp14:editId="464BE98D">
            <wp:extent cx="2876550" cy="534449"/>
            <wp:effectExtent l="0" t="0" r="0" b="0"/>
            <wp:docPr id="122456977" name="Picture 1" descr="A blue and black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77" name="Picture 1" descr="A blue and black tex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041" cy="561295"/>
                    </a:xfrm>
                    <a:prstGeom prst="rect">
                      <a:avLst/>
                    </a:prstGeom>
                  </pic:spPr>
                </pic:pic>
              </a:graphicData>
            </a:graphic>
          </wp:inline>
        </w:drawing>
      </w:r>
    </w:p>
    <w:p w14:paraId="5F9E0F44" w14:textId="77777777" w:rsidR="00663601" w:rsidRPr="00663601" w:rsidRDefault="00663601" w:rsidP="003F1856">
      <w:pPr>
        <w:spacing w:after="0" w:line="252" w:lineRule="auto"/>
        <w:ind w:right="-142"/>
        <w:rPr>
          <w:szCs w:val="18"/>
        </w:rPr>
      </w:pPr>
      <w:r w:rsidRPr="00663601">
        <w:rPr>
          <w:szCs w:val="18"/>
        </w:rPr>
        <w:t xml:space="preserve">Energy Catalyst Disclaimer: The information contained in this publication comprises general statements.  No claim to represent the official policy of CSIRO, AEMO or any other third party is made. The reader is advised and acknowledges that the information contained may be incomplete and/or unsuitable for use in specific situations. Therefore, no reliance or actions must be made on the information contained without seeking independent expert professional, scientific and technical advice. To the extent permitted by law, CSIRO and Energy Catalyst (including their employees and consultants) exclude all liability to any person or entity for any consequences, including but not limited to all losses, damages, costs, expenses and any other compensation, arising directly or indirectly from using this publication (in part or in whole) and any information, material, errors and/or omissions contained therein. </w:t>
      </w:r>
    </w:p>
    <w:p w14:paraId="70AFC50C" w14:textId="77777777" w:rsidR="00540386" w:rsidRPr="00540386" w:rsidRDefault="00540386" w:rsidP="00540386">
      <w:pPr>
        <w:spacing w:before="0" w:after="160" w:line="259" w:lineRule="auto"/>
        <w:rPr>
          <w:i/>
          <w:iCs/>
          <w:color w:val="013C4C" w:themeColor="accent1"/>
          <w:sz w:val="20"/>
          <w:szCs w:val="18"/>
        </w:rPr>
      </w:pPr>
    </w:p>
    <w:p w14:paraId="22275612" w14:textId="77777777" w:rsidR="00540386" w:rsidRPr="00540386" w:rsidRDefault="00540386" w:rsidP="00540386">
      <w:pPr>
        <w:spacing w:before="0" w:after="160" w:line="259" w:lineRule="auto"/>
        <w:rPr>
          <w:i/>
          <w:iCs/>
          <w:color w:val="013C4C" w:themeColor="accent1"/>
          <w:sz w:val="20"/>
          <w:szCs w:val="18"/>
        </w:rPr>
      </w:pPr>
    </w:p>
    <w:p w14:paraId="5A1DBBFE" w14:textId="77777777" w:rsidR="00540386" w:rsidRPr="00540386" w:rsidRDefault="00540386" w:rsidP="00540386">
      <w:pPr>
        <w:spacing w:before="0" w:after="160" w:line="259" w:lineRule="auto"/>
        <w:rPr>
          <w:i/>
          <w:iCs/>
          <w:color w:val="013C4C" w:themeColor="accent1"/>
          <w:sz w:val="20"/>
          <w:szCs w:val="18"/>
        </w:rPr>
      </w:pPr>
    </w:p>
    <w:p w14:paraId="41C1D5BE" w14:textId="77777777" w:rsidR="00540386" w:rsidRPr="005E3A97" w:rsidRDefault="00540386" w:rsidP="00540386">
      <w:pPr>
        <w:spacing w:before="0" w:after="160" w:line="259" w:lineRule="auto"/>
        <w:ind w:left="-567"/>
        <w:jc w:val="center"/>
        <w:rPr>
          <w:i/>
          <w:iCs/>
          <w:color w:val="013C4C" w:themeColor="text1"/>
          <w:sz w:val="72"/>
          <w:szCs w:val="56"/>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540386" w:rsidRPr="00540386" w14:paraId="3F94D090" w14:textId="77777777" w:rsidTr="005E3A97">
        <w:tc>
          <w:tcPr>
            <w:tcW w:w="7087" w:type="dxa"/>
            <w:shd w:val="clear" w:color="auto" w:fill="013C4C" w:themeFill="text1"/>
          </w:tcPr>
          <w:p w14:paraId="4431A507" w14:textId="77777777" w:rsidR="00540386" w:rsidRPr="00540386" w:rsidRDefault="00540386" w:rsidP="00540386">
            <w:pPr>
              <w:spacing w:before="60" w:after="60" w:line="259" w:lineRule="auto"/>
              <w:jc w:val="center"/>
              <w:rPr>
                <w:rFonts w:ascii="PP Mori SemiBold" w:hAnsi="PP Mori SemiBold"/>
                <w:i/>
                <w:iCs/>
                <w:color w:val="FAFAFA" w:themeColor="background1"/>
                <w:sz w:val="36"/>
                <w:szCs w:val="32"/>
              </w:rPr>
            </w:pPr>
            <w:r w:rsidRPr="00540386">
              <w:rPr>
                <w:rFonts w:ascii="PP Mori SemiBold" w:hAnsi="PP Mori SemiBold"/>
                <w:i/>
                <w:iCs/>
                <w:color w:val="FAFAFA" w:themeColor="background1"/>
                <w:sz w:val="36"/>
                <w:szCs w:val="32"/>
              </w:rPr>
              <w:t>Navigating to 2035 en route to 2050</w:t>
            </w:r>
          </w:p>
        </w:tc>
      </w:tr>
      <w:tr w:rsidR="00540386" w:rsidRPr="00540386" w14:paraId="0DCB5EC6" w14:textId="77777777">
        <w:tc>
          <w:tcPr>
            <w:tcW w:w="7087" w:type="dxa"/>
          </w:tcPr>
          <w:p w14:paraId="4B12080B" w14:textId="77777777" w:rsidR="00540386" w:rsidRPr="00540386" w:rsidRDefault="00540386" w:rsidP="00540386">
            <w:pPr>
              <w:spacing w:before="0" w:after="0" w:line="259" w:lineRule="auto"/>
              <w:jc w:val="center"/>
              <w:rPr>
                <w:rFonts w:ascii="PP Mori SemiBold" w:hAnsi="PP Mori SemiBold"/>
                <w:i/>
                <w:iCs/>
                <w:color w:val="FAFAFA" w:themeColor="background1"/>
                <w:sz w:val="6"/>
                <w:szCs w:val="6"/>
              </w:rPr>
            </w:pPr>
          </w:p>
        </w:tc>
      </w:tr>
      <w:tr w:rsidR="00540386" w:rsidRPr="00540386" w14:paraId="5D940520" w14:textId="77777777" w:rsidTr="005E3A97">
        <w:tc>
          <w:tcPr>
            <w:tcW w:w="7087" w:type="dxa"/>
            <w:shd w:val="clear" w:color="auto" w:fill="067296" w:themeFill="text2"/>
          </w:tcPr>
          <w:p w14:paraId="4DFF7E10" w14:textId="04DC4B60" w:rsidR="00213B39" w:rsidRPr="00540386" w:rsidRDefault="00E6743A" w:rsidP="001F10FF">
            <w:pPr>
              <w:spacing w:before="180" w:after="180" w:line="252" w:lineRule="auto"/>
              <w:ind w:left="176" w:right="312"/>
              <w:jc w:val="both"/>
              <w:rPr>
                <w:i/>
                <w:iCs/>
                <w:color w:val="FAFAFA" w:themeColor="background1"/>
                <w:szCs w:val="24"/>
              </w:rPr>
            </w:pPr>
            <w:r>
              <w:rPr>
                <w:color w:val="FAFAFA" w:themeColor="background1"/>
                <w:szCs w:val="24"/>
              </w:rPr>
              <w:t>As Australia’s p</w:t>
            </w:r>
            <w:r w:rsidR="00213B39" w:rsidRPr="00213B39">
              <w:rPr>
                <w:color w:val="FAFAFA" w:themeColor="background1"/>
                <w:szCs w:val="24"/>
              </w:rPr>
              <w:t xml:space="preserve">ower systems move from a unidirectional past to an increasingly bidirectional future, </w:t>
            </w:r>
            <w:r w:rsidR="00481B27">
              <w:rPr>
                <w:color w:val="FAFAFA" w:themeColor="background1"/>
                <w:szCs w:val="24"/>
              </w:rPr>
              <w:t>this report p</w:t>
            </w:r>
            <w:r w:rsidR="00213B39" w:rsidRPr="00213B39">
              <w:rPr>
                <w:color w:val="FAFAFA" w:themeColor="background1"/>
                <w:szCs w:val="24"/>
              </w:rPr>
              <w:t xml:space="preserve">rovides a detailed study of the Transmission-Distribution Coordination (TDC) models that </w:t>
            </w:r>
            <w:r w:rsidR="001F10FF">
              <w:rPr>
                <w:color w:val="FAFAFA" w:themeColor="background1"/>
                <w:szCs w:val="24"/>
              </w:rPr>
              <w:t>become</w:t>
            </w:r>
            <w:r w:rsidR="00213B39" w:rsidRPr="00213B39">
              <w:rPr>
                <w:color w:val="FAFAFA" w:themeColor="background1"/>
                <w:szCs w:val="24"/>
              </w:rPr>
              <w:t xml:space="preserve"> essential where large volumes of resources are connected either side of the transmission-distribution interface.  </w:t>
            </w:r>
            <w:r w:rsidR="006E3516">
              <w:rPr>
                <w:color w:val="FAFAFA" w:themeColor="background1"/>
                <w:szCs w:val="24"/>
              </w:rPr>
              <w:t xml:space="preserve">It </w:t>
            </w:r>
            <w:r w:rsidR="00213B39" w:rsidRPr="00213B39">
              <w:rPr>
                <w:color w:val="FAFAFA" w:themeColor="background1"/>
                <w:szCs w:val="24"/>
              </w:rPr>
              <w:t xml:space="preserve">examines how TDC interface design, data exchange and evolving functional roles </w:t>
            </w:r>
            <w:r w:rsidR="006E3516">
              <w:rPr>
                <w:color w:val="FAFAFA" w:themeColor="background1"/>
                <w:szCs w:val="24"/>
              </w:rPr>
              <w:t xml:space="preserve">will be </w:t>
            </w:r>
            <w:r w:rsidR="001F10FF">
              <w:rPr>
                <w:color w:val="FAFAFA" w:themeColor="background1"/>
                <w:szCs w:val="24"/>
              </w:rPr>
              <w:t>critical</w:t>
            </w:r>
            <w:r w:rsidR="00213B39" w:rsidRPr="00213B39">
              <w:rPr>
                <w:color w:val="FAFAFA" w:themeColor="background1"/>
                <w:szCs w:val="24"/>
              </w:rPr>
              <w:t xml:space="preserve"> to whole-system operations, enabling the system operator to collaborate more effectively </w:t>
            </w:r>
            <w:r w:rsidR="006E3516">
              <w:rPr>
                <w:color w:val="FAFAFA" w:themeColor="background1"/>
                <w:szCs w:val="24"/>
              </w:rPr>
              <w:t xml:space="preserve">with </w:t>
            </w:r>
            <w:r w:rsidR="006E3516" w:rsidRPr="00213B39">
              <w:rPr>
                <w:color w:val="FAFAFA" w:themeColor="background1"/>
                <w:szCs w:val="24"/>
              </w:rPr>
              <w:t>dozens of individual DSOs</w:t>
            </w:r>
            <w:r w:rsidR="006E3516">
              <w:rPr>
                <w:color w:val="FAFAFA" w:themeColor="background1"/>
                <w:szCs w:val="24"/>
              </w:rPr>
              <w:t xml:space="preserve"> in a standardised manner. </w:t>
            </w:r>
          </w:p>
        </w:tc>
      </w:tr>
    </w:tbl>
    <w:p w14:paraId="340A9E72" w14:textId="218B50C3" w:rsidR="00540386" w:rsidRPr="00540386" w:rsidRDefault="00540386" w:rsidP="001F10FF">
      <w:pPr>
        <w:spacing w:before="60" w:after="60" w:line="259" w:lineRule="auto"/>
        <w:rPr>
          <w:color w:val="013C4C" w:themeColor="text1"/>
          <w:sz w:val="22"/>
          <w:szCs w:val="36"/>
        </w:rPr>
      </w:pPr>
    </w:p>
    <w:p w14:paraId="166D3975" w14:textId="77777777" w:rsidR="00540386" w:rsidRPr="00540386" w:rsidRDefault="00540386" w:rsidP="00540386">
      <w:pPr>
        <w:spacing w:before="60" w:after="60" w:line="259" w:lineRule="auto"/>
        <w:rPr>
          <w:i/>
          <w:iCs/>
          <w:color w:val="013C4C" w:themeColor="text1"/>
          <w:sz w:val="44"/>
          <w:szCs w:val="40"/>
        </w:rPr>
      </w:pPr>
    </w:p>
    <w:p w14:paraId="77420043" w14:textId="77777777" w:rsidR="00540386" w:rsidRPr="00540386" w:rsidRDefault="00540386" w:rsidP="00540386">
      <w:pPr>
        <w:spacing w:before="0" w:after="0" w:line="259" w:lineRule="auto"/>
        <w:ind w:left="851" w:firstLine="590"/>
        <w:rPr>
          <w:i/>
          <w:iCs/>
          <w:color w:val="013C4C" w:themeColor="text1"/>
          <w:sz w:val="44"/>
          <w:szCs w:val="40"/>
        </w:rPr>
      </w:pPr>
    </w:p>
    <w:p w14:paraId="3A110479" w14:textId="77777777" w:rsidR="00540386" w:rsidRPr="005E3A97" w:rsidRDefault="00540386" w:rsidP="00540386">
      <w:pPr>
        <w:spacing w:before="0" w:after="0" w:line="259" w:lineRule="auto"/>
        <w:ind w:left="851" w:firstLine="590"/>
        <w:rPr>
          <w:i/>
          <w:iCs/>
          <w:color w:val="013C4C" w:themeColor="text1"/>
          <w:sz w:val="32"/>
        </w:rPr>
      </w:pPr>
    </w:p>
    <w:p w14:paraId="39E572CB" w14:textId="77777777" w:rsidR="00540386" w:rsidRPr="00540386" w:rsidRDefault="00540386" w:rsidP="00540386">
      <w:pPr>
        <w:spacing w:before="0" w:after="0" w:line="259" w:lineRule="auto"/>
        <w:ind w:left="851" w:firstLine="590"/>
        <w:rPr>
          <w:color w:val="013C4C" w:themeColor="text1"/>
          <w:sz w:val="22"/>
          <w:szCs w:val="36"/>
        </w:rPr>
      </w:pPr>
      <w:r w:rsidRPr="00540386">
        <w:rPr>
          <w:color w:val="013C4C" w:themeColor="text1"/>
          <w:sz w:val="22"/>
          <w:szCs w:val="36"/>
        </w:rPr>
        <w:tab/>
      </w:r>
      <w:r w:rsidRPr="00540386">
        <w:rPr>
          <w:color w:val="013C4C" w:themeColor="text1"/>
          <w:sz w:val="22"/>
          <w:szCs w:val="36"/>
        </w:rPr>
        <w:tab/>
        <w:t xml:space="preserve"> </w:t>
      </w:r>
      <w:r w:rsidRPr="00540386">
        <w:rPr>
          <w:color w:val="013C4C" w:themeColor="text1"/>
          <w:sz w:val="22"/>
          <w:szCs w:val="36"/>
        </w:rPr>
        <w:tab/>
      </w:r>
      <w:r w:rsidRPr="00540386">
        <w:rPr>
          <w:color w:val="013C4C" w:themeColor="text1"/>
          <w:sz w:val="22"/>
          <w:szCs w:val="36"/>
        </w:rPr>
        <w:tab/>
        <w:t xml:space="preserve"> </w:t>
      </w:r>
    </w:p>
    <w:p w14:paraId="078E0758" w14:textId="282CD700" w:rsidR="001F10FF" w:rsidRDefault="001F10FF" w:rsidP="00883706">
      <w:pPr>
        <w:spacing w:before="0" w:after="160" w:line="259" w:lineRule="auto"/>
      </w:pPr>
    </w:p>
    <w:p w14:paraId="5FF8ECFB" w14:textId="77777777" w:rsidR="006E3516" w:rsidRPr="00540386" w:rsidRDefault="006E3516" w:rsidP="00883706">
      <w:pPr>
        <w:spacing w:before="0" w:after="160" w:line="259" w:lineRule="auto"/>
      </w:pPr>
    </w:p>
    <w:tbl>
      <w:tblPr>
        <w:tblStyle w:val="TableGrid"/>
        <w:tblW w:w="0" w:type="auto"/>
        <w:tblInd w:w="284" w:type="dxa"/>
        <w:tblBorders>
          <w:top w:val="none" w:sz="0" w:space="0" w:color="auto"/>
          <w:left w:val="none" w:sz="0" w:space="0" w:color="auto"/>
          <w:bottom w:val="none" w:sz="0" w:space="0" w:color="auto"/>
          <w:right w:val="none" w:sz="0" w:space="0" w:color="auto"/>
          <w:insideH w:val="single" w:sz="4" w:space="0" w:color="E7E6E6" w:themeColor="background2"/>
          <w:insideV w:val="single" w:sz="4" w:space="0" w:color="E7E6E6" w:themeColor="background2"/>
        </w:tblBorders>
        <w:shd w:val="clear" w:color="auto" w:fill="013C4C" w:themeFill="accent1"/>
        <w:tblLook w:val="04A0" w:firstRow="1" w:lastRow="0" w:firstColumn="1" w:lastColumn="0" w:noHBand="0" w:noVBand="1"/>
      </w:tblPr>
      <w:tblGrid>
        <w:gridCol w:w="3543"/>
        <w:gridCol w:w="3544"/>
      </w:tblGrid>
      <w:tr w:rsidR="00540386" w:rsidRPr="00540386" w14:paraId="701052B1" w14:textId="77777777" w:rsidTr="00DE11DD">
        <w:tc>
          <w:tcPr>
            <w:tcW w:w="7087" w:type="dxa"/>
            <w:gridSpan w:val="2"/>
            <w:shd w:val="clear" w:color="auto" w:fill="013C4C" w:themeFill="accent1"/>
            <w:vAlign w:val="center"/>
          </w:tcPr>
          <w:p w14:paraId="4EB77BAC" w14:textId="77777777" w:rsidR="00540386" w:rsidRPr="00540386" w:rsidRDefault="00540386" w:rsidP="00540386">
            <w:pPr>
              <w:spacing w:before="120" w:after="120" w:line="259" w:lineRule="auto"/>
              <w:jc w:val="center"/>
              <w:rPr>
                <w:rFonts w:ascii="PP Mori SemiBold" w:hAnsi="PP Mori SemiBold"/>
                <w:color w:val="FAFAFA" w:themeColor="background1"/>
                <w:sz w:val="22"/>
                <w:szCs w:val="36"/>
              </w:rPr>
            </w:pPr>
            <w:r w:rsidRPr="00540386">
              <w:rPr>
                <w:rFonts w:ascii="PP Mori SemiBold" w:hAnsi="PP Mori SemiBold"/>
                <w:color w:val="FAFAFA" w:themeColor="background1"/>
                <w:sz w:val="24"/>
                <w:szCs w:val="40"/>
              </w:rPr>
              <w:t>Report Development Team</w:t>
            </w:r>
          </w:p>
        </w:tc>
      </w:tr>
      <w:tr w:rsidR="00540386" w:rsidRPr="00540386" w14:paraId="1E4D9938" w14:textId="77777777" w:rsidTr="005E3A97">
        <w:tc>
          <w:tcPr>
            <w:tcW w:w="3543" w:type="dxa"/>
            <w:shd w:val="clear" w:color="auto" w:fill="067296" w:themeFill="text2"/>
            <w:vAlign w:val="center"/>
          </w:tcPr>
          <w:p w14:paraId="3D414F01"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Lead Author</w:t>
            </w:r>
          </w:p>
        </w:tc>
        <w:tc>
          <w:tcPr>
            <w:tcW w:w="3544" w:type="dxa"/>
            <w:shd w:val="clear" w:color="auto" w:fill="067296" w:themeFill="text2"/>
            <w:vAlign w:val="center"/>
          </w:tcPr>
          <w:p w14:paraId="0D80B933" w14:textId="7FA7DD40"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 xml:space="preserve">Matthew Bird </w:t>
            </w:r>
          </w:p>
        </w:tc>
      </w:tr>
      <w:tr w:rsidR="00540386" w:rsidRPr="00540386" w14:paraId="6143D5AB" w14:textId="77777777" w:rsidTr="005E3A97">
        <w:tc>
          <w:tcPr>
            <w:tcW w:w="3543" w:type="dxa"/>
            <w:shd w:val="clear" w:color="auto" w:fill="067296" w:themeFill="text2"/>
            <w:vAlign w:val="center"/>
          </w:tcPr>
          <w:p w14:paraId="21FBBBF5"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Key Technical Advisor</w:t>
            </w:r>
          </w:p>
        </w:tc>
        <w:tc>
          <w:tcPr>
            <w:tcW w:w="3544" w:type="dxa"/>
            <w:shd w:val="clear" w:color="auto" w:fill="067296" w:themeFill="text2"/>
            <w:vAlign w:val="center"/>
          </w:tcPr>
          <w:p w14:paraId="51666BD6"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Dr Jeffrey Taft</w:t>
            </w:r>
          </w:p>
        </w:tc>
      </w:tr>
      <w:tr w:rsidR="00540386" w:rsidRPr="00540386" w14:paraId="0FB1F686" w14:textId="77777777" w:rsidTr="005E3A97">
        <w:tc>
          <w:tcPr>
            <w:tcW w:w="3543" w:type="dxa"/>
            <w:vMerge w:val="restart"/>
            <w:shd w:val="clear" w:color="auto" w:fill="067296" w:themeFill="text2"/>
            <w:vAlign w:val="center"/>
          </w:tcPr>
          <w:p w14:paraId="0268F4AA"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Contributing Authors</w:t>
            </w:r>
          </w:p>
        </w:tc>
        <w:tc>
          <w:tcPr>
            <w:tcW w:w="3544" w:type="dxa"/>
            <w:shd w:val="clear" w:color="auto" w:fill="067296" w:themeFill="text2"/>
            <w:vAlign w:val="center"/>
          </w:tcPr>
          <w:p w14:paraId="0F7ED4AF" w14:textId="65DFE193"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Mark Paterson</w:t>
            </w:r>
          </w:p>
        </w:tc>
      </w:tr>
      <w:tr w:rsidR="00540386" w:rsidRPr="00540386" w14:paraId="21E3F417" w14:textId="77777777" w:rsidTr="005E3A97">
        <w:tc>
          <w:tcPr>
            <w:tcW w:w="3543" w:type="dxa"/>
            <w:vMerge/>
            <w:shd w:val="clear" w:color="auto" w:fill="067296" w:themeFill="text2"/>
            <w:vAlign w:val="center"/>
          </w:tcPr>
          <w:p w14:paraId="394B3EF5" w14:textId="77777777" w:rsidR="00540386" w:rsidRPr="00540386" w:rsidRDefault="00540386" w:rsidP="0054038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16BB1366"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Thomas Prisk</w:t>
            </w:r>
          </w:p>
        </w:tc>
      </w:tr>
      <w:tr w:rsidR="00540386" w:rsidRPr="00540386" w14:paraId="4B5C2A11" w14:textId="77777777" w:rsidTr="005E3A97">
        <w:tc>
          <w:tcPr>
            <w:tcW w:w="3543" w:type="dxa"/>
            <w:vMerge w:val="restart"/>
            <w:shd w:val="clear" w:color="auto" w:fill="067296" w:themeFill="text2"/>
            <w:vAlign w:val="center"/>
          </w:tcPr>
          <w:p w14:paraId="4117ED7F"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Support Staff</w:t>
            </w:r>
          </w:p>
        </w:tc>
        <w:tc>
          <w:tcPr>
            <w:tcW w:w="3544" w:type="dxa"/>
            <w:shd w:val="clear" w:color="auto" w:fill="067296" w:themeFill="text2"/>
            <w:vAlign w:val="center"/>
          </w:tcPr>
          <w:p w14:paraId="4DFF047E"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Eduardo Ariztia</w:t>
            </w:r>
          </w:p>
        </w:tc>
      </w:tr>
      <w:tr w:rsidR="00540386" w:rsidRPr="00540386" w14:paraId="7A84A2A9" w14:textId="77777777" w:rsidTr="005E3A97">
        <w:tc>
          <w:tcPr>
            <w:tcW w:w="3543" w:type="dxa"/>
            <w:vMerge/>
            <w:shd w:val="clear" w:color="auto" w:fill="067296" w:themeFill="text2"/>
            <w:vAlign w:val="center"/>
          </w:tcPr>
          <w:p w14:paraId="29C6B547" w14:textId="77777777" w:rsidR="00540386" w:rsidRPr="00540386" w:rsidRDefault="00540386" w:rsidP="0054038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47253C3C" w14:textId="77777777" w:rsidR="00540386" w:rsidRPr="00540386" w:rsidRDefault="00540386" w:rsidP="00540386">
            <w:pPr>
              <w:spacing w:before="60" w:after="60" w:line="259" w:lineRule="auto"/>
              <w:jc w:val="center"/>
              <w:rPr>
                <w:color w:val="FAFAFA" w:themeColor="background1"/>
                <w:sz w:val="20"/>
                <w:szCs w:val="32"/>
              </w:rPr>
            </w:pPr>
            <w:r w:rsidRPr="00540386">
              <w:rPr>
                <w:color w:val="FAFAFA" w:themeColor="background1"/>
                <w:sz w:val="20"/>
                <w:szCs w:val="32"/>
              </w:rPr>
              <w:t>Jenny Mistry</w:t>
            </w:r>
          </w:p>
        </w:tc>
      </w:tr>
    </w:tbl>
    <w:p w14:paraId="3565BAE2" w14:textId="74F9C712" w:rsidR="004A47A1" w:rsidRDefault="004A47A1" w:rsidP="004A47A1">
      <w:pPr>
        <w:pStyle w:val="Heading1"/>
        <w:numPr>
          <w:ilvl w:val="0"/>
          <w:numId w:val="0"/>
        </w:numPr>
        <w:spacing w:line="288" w:lineRule="auto"/>
        <w:ind w:left="432" w:hanging="432"/>
      </w:pPr>
      <w:bookmarkStart w:id="0" w:name="_Toc205532819"/>
      <w:r>
        <w:lastRenderedPageBreak/>
        <w:t>Executive Summary</w:t>
      </w:r>
      <w:bookmarkEnd w:id="0"/>
    </w:p>
    <w:p w14:paraId="259D9A8A" w14:textId="77777777" w:rsidR="00790012" w:rsidRPr="00790012" w:rsidRDefault="00790012" w:rsidP="00790012">
      <w:pPr>
        <w:spacing w:before="120" w:after="0"/>
        <w:rPr>
          <w:lang w:val="en-GB"/>
        </w:rPr>
      </w:pPr>
      <w:r w:rsidRPr="00790012">
        <w:rPr>
          <w:lang w:val="en-GB"/>
        </w:rPr>
        <w:t xml:space="preserve">Australia’s large scale power systems are transforming from a past involving hundreds of large generation plant to a future involving tens of millions of diverse energy resources connected across all vertical tiers/layers of the grid. </w:t>
      </w:r>
    </w:p>
    <w:p w14:paraId="2A3E6704" w14:textId="77777777" w:rsidR="00790012" w:rsidRPr="00790012" w:rsidRDefault="00790012" w:rsidP="00790012">
      <w:pPr>
        <w:spacing w:before="160" w:after="0"/>
        <w:rPr>
          <w:lang w:val="en-GB"/>
        </w:rPr>
      </w:pPr>
      <w:r w:rsidRPr="00790012">
        <w:rPr>
          <w:lang w:val="en-GB"/>
        </w:rPr>
        <w:t xml:space="preserve">With the convergence of multiple drivers of change, Australia’s power sector now finds itself on the global frontier of large-scale grid transformation. This involves navigating physics-based phenomena never previously experienced in a continental-scale grid as the nation’s power systems become increasingly volatile and bidirectional. </w:t>
      </w:r>
    </w:p>
    <w:p w14:paraId="1F02BB58" w14:textId="77777777" w:rsidR="004A47A1" w:rsidRDefault="004A47A1" w:rsidP="004A47A1">
      <w:pPr>
        <w:spacing w:before="180" w:after="60"/>
      </w:pPr>
      <w:r w:rsidRPr="00033D3A">
        <w:t>This scale of transformation provides the specific context in which both Transmission-Distribution Coordination (TDC</w:t>
      </w:r>
      <w:r>
        <w:t xml:space="preserve">) and </w:t>
      </w:r>
      <w:r w:rsidRPr="00033D3A">
        <w:t xml:space="preserve">Distribution System Operator (DSO) </w:t>
      </w:r>
      <w:r>
        <w:t>m</w:t>
      </w:r>
      <w:r w:rsidRPr="00033D3A">
        <w:t>odels become critical to future system operations</w:t>
      </w:r>
      <w:r>
        <w:t xml:space="preserve">. Both are properly understood, most fundamentally, as structural interventions which are required to avoid ‘fighting’ the Laws of Physics in a decarbonising power system. </w:t>
      </w:r>
    </w:p>
    <w:p w14:paraId="24A455C5" w14:textId="77777777" w:rsidR="00372876" w:rsidRDefault="00372876" w:rsidP="008D3FA1">
      <w:pPr>
        <w:spacing w:before="180" w:after="160"/>
        <w:jc w:val="center"/>
      </w:pPr>
      <w:r>
        <w:rPr>
          <w:noProof/>
        </w:rPr>
        <w:drawing>
          <wp:inline distT="0" distB="0" distL="0" distR="0" wp14:anchorId="18768510" wp14:editId="73E728AC">
            <wp:extent cx="4831511" cy="2717872"/>
            <wp:effectExtent l="0" t="0" r="7620" b="6350"/>
            <wp:docPr id="1928845103" name="Picture 1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5103" name="Picture 12" descr="A diagram of a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9752" cy="2722508"/>
                    </a:xfrm>
                    <a:prstGeom prst="rect">
                      <a:avLst/>
                    </a:prstGeom>
                  </pic:spPr>
                </pic:pic>
              </a:graphicData>
            </a:graphic>
          </wp:inline>
        </w:drawing>
      </w:r>
    </w:p>
    <w:p w14:paraId="3FA5DD02" w14:textId="016ECD29" w:rsidR="00952735" w:rsidRPr="00952735" w:rsidRDefault="00952735" w:rsidP="008D3FA1">
      <w:pPr>
        <w:snapToGrid w:val="0"/>
        <w:spacing w:before="120"/>
        <w:ind w:left="284" w:right="140"/>
        <w:jc w:val="center"/>
        <w:rPr>
          <w:i/>
          <w:iCs/>
          <w:color w:val="013C4C" w:themeColor="text1"/>
        </w:rPr>
      </w:pPr>
      <w:r w:rsidRPr="008D3FA1">
        <w:rPr>
          <w:i/>
          <w:iCs/>
          <w:color w:val="013C4C" w:themeColor="text1"/>
        </w:rPr>
        <w:t>TDC models become essential where large volumes of resources are connected either side of the transmission-distribution interface</w:t>
      </w:r>
      <w:r w:rsidR="00E76C0B" w:rsidRPr="008D3FA1">
        <w:rPr>
          <w:i/>
          <w:iCs/>
          <w:color w:val="013C4C" w:themeColor="text1"/>
        </w:rPr>
        <w:t>, e</w:t>
      </w:r>
      <w:r w:rsidRPr="008D3FA1">
        <w:rPr>
          <w:i/>
          <w:iCs/>
          <w:color w:val="013C4C" w:themeColor="text1"/>
        </w:rPr>
        <w:t xml:space="preserve">nabling the system operator to collaborate more effectively with dozens of individual DSOs in a standardised manner. </w:t>
      </w:r>
    </w:p>
    <w:p w14:paraId="46D9D19F" w14:textId="4F7B2B5A" w:rsidR="004A47A1" w:rsidRDefault="004A47A1" w:rsidP="004A47A1">
      <w:pPr>
        <w:spacing w:before="180" w:after="160"/>
      </w:pPr>
      <w:r>
        <w:t xml:space="preserve">This report focuses on </w:t>
      </w:r>
      <w:r w:rsidR="00D90649">
        <w:t>TDC</w:t>
      </w:r>
      <w:r>
        <w:t xml:space="preserve"> as first and foremost a systems architecture and engineering challenge grounded in power system physics. While governance, markets and policy frameworks are critical enablers, the ultimate viability of TDC depends on careful architectural design of the technical interfaces, coordination mechanisms, and cyber-physical data exchange frameworks that sit at the core of power system operations. The allocation of roles and responsibilities between system actors is deeply entwined with these structural decisions; architectural choices inherently shape who can see, decide, control, and execute system functions.</w:t>
      </w:r>
    </w:p>
    <w:p w14:paraId="11D32CEB" w14:textId="77777777" w:rsidR="008D3FA1" w:rsidRDefault="008D3FA1">
      <w:pPr>
        <w:spacing w:before="0" w:after="160" w:line="259" w:lineRule="auto"/>
      </w:pPr>
      <w:r>
        <w:br w:type="page"/>
      </w:r>
    </w:p>
    <w:p w14:paraId="2D4B9283" w14:textId="0132C18A" w:rsidR="004A47A1" w:rsidRDefault="004A47A1" w:rsidP="004A47A1">
      <w:pPr>
        <w:spacing w:before="180" w:after="160"/>
      </w:pPr>
      <w:r>
        <w:lastRenderedPageBreak/>
        <w:t xml:space="preserve">The technical underpinnings presented in </w:t>
      </w:r>
      <w:r w:rsidR="009213A7">
        <w:t>Chapter</w:t>
      </w:r>
      <w:r>
        <w:t xml:space="preserve">s 5 and 6 demonstrate the complex interplay of data exchange models, communication protocols, functional timeframes, and latency requirements that define how TDC must operate in practice. The subsequent identification of Core Functions </w:t>
      </w:r>
      <w:r w:rsidR="00A43591">
        <w:t xml:space="preserve">in </w:t>
      </w:r>
      <w:r w:rsidR="009213A7">
        <w:t>Chapter</w:t>
      </w:r>
      <w:r>
        <w:t xml:space="preserve"> 7 shows that while the general functional needs of TDC are well understood internationally, the manner in which these functions are implemented—across structural coordination, scheduling coordination, and real-time operations—varies significantly depending on architectural decisions. Importantly, many of these functions will shift progressively between transmission and distribution actors over time as new DSO capabilities mature.</w:t>
      </w:r>
    </w:p>
    <w:p w14:paraId="47406596" w14:textId="13376E6D" w:rsidR="004A47A1" w:rsidRDefault="004A47A1" w:rsidP="004A47A1">
      <w:pPr>
        <w:spacing w:before="180" w:after="160"/>
      </w:pPr>
      <w:r>
        <w:t>This reflects one of the reports central conclusions: TDC and DSO models must be developed as tightly inter-dependent, co-evolving structures. TDC provides the upstream coordination layer that allows DSOs to operate within an integrated whole-system context, while DSOs provide the operational and informational basis for TDC’s execution. As DSOs mature and assume greater responsibility for managing their operating zones—including real-time dispatch, forecasting, network management, and resource orchestration—the Transmission-Distribution Interface (TDI) will require a commensurate architectural evolution, transitioning from today's hybridised, interpenetrated cross-layer coordination models towards increasingly layered structures.</w:t>
      </w:r>
    </w:p>
    <w:p w14:paraId="0C85F59A" w14:textId="77777777" w:rsidR="004A47A1" w:rsidRDefault="004A47A1" w:rsidP="004A47A1">
      <w:pPr>
        <w:spacing w:before="180" w:after="160"/>
      </w:pPr>
      <w:r>
        <w:t>The report further emphasises that a clear, shared architectural direction of travel is essential to avoid fragmented development pathways that risk stranded investment, functional duplication, and system incoherence. A “least regrets” approach is recommended to ensure that interim TDC and DSO functions are modular, scalable, and forward-compatible with long-term architectural objectives, without prematurely locking in transitional designs.</w:t>
      </w:r>
    </w:p>
    <w:p w14:paraId="0A2BBAB6" w14:textId="77777777" w:rsidR="004A47A1" w:rsidRDefault="004A47A1" w:rsidP="004A47A1">
      <w:pPr>
        <w:spacing w:before="180" w:after="160"/>
      </w:pPr>
      <w:r>
        <w:t>To enable this complex structural evolution, the report advocates the application of formal Systems Engineering practices and Model-Based Systems Engineering (MBSE) toolsets, which allow structural configurations, role allocations, and evolutionary pathways to be visualised, tested, and iteratively refined with input from all stakeholders.</w:t>
      </w:r>
    </w:p>
    <w:p w14:paraId="4AA6A093" w14:textId="5ADEAD9C" w:rsidR="004A47A1" w:rsidRDefault="004A47A1" w:rsidP="004A47A1">
      <w:pPr>
        <w:spacing w:before="180" w:after="160"/>
      </w:pPr>
      <w:r>
        <w:t xml:space="preserve">In summary, TDC is not a conceptual abstraction or optional overlay. Together with DSO models, both are core structural enablers of Australia’s rapidly decarbonising, participative and cost-efficient future power systems. </w:t>
      </w:r>
    </w:p>
    <w:p w14:paraId="1906CFFC" w14:textId="77777777" w:rsidR="004A47A1" w:rsidRDefault="004A47A1" w:rsidP="009565CA">
      <w:pPr>
        <w:rPr>
          <w:rStyle w:val="IntenseEmphasis"/>
        </w:rPr>
      </w:pPr>
    </w:p>
    <w:p w14:paraId="4B748EAB" w14:textId="77777777" w:rsidR="004A47A1" w:rsidRDefault="004A47A1" w:rsidP="009565CA">
      <w:pPr>
        <w:rPr>
          <w:rStyle w:val="IntenseEmphasis"/>
        </w:rPr>
      </w:pPr>
    </w:p>
    <w:p w14:paraId="0FFB072D" w14:textId="77777777" w:rsidR="004A47A1" w:rsidRDefault="004A47A1" w:rsidP="009565CA">
      <w:pPr>
        <w:rPr>
          <w:rStyle w:val="IntenseEmphasis"/>
        </w:rPr>
      </w:pPr>
    </w:p>
    <w:p w14:paraId="6FA48109" w14:textId="77777777" w:rsidR="004A47A1" w:rsidRDefault="004A47A1" w:rsidP="009565CA">
      <w:pPr>
        <w:rPr>
          <w:rStyle w:val="IntenseEmphasis"/>
        </w:rPr>
      </w:pPr>
    </w:p>
    <w:p w14:paraId="670C1E81" w14:textId="77777777" w:rsidR="004A47A1" w:rsidRDefault="004A47A1" w:rsidP="009565CA">
      <w:pPr>
        <w:rPr>
          <w:rStyle w:val="IntenseEmphasis"/>
        </w:rPr>
      </w:pPr>
    </w:p>
    <w:p w14:paraId="19ECBFE6" w14:textId="77777777" w:rsidR="004A47A1" w:rsidRDefault="004A47A1" w:rsidP="009565CA">
      <w:pPr>
        <w:rPr>
          <w:rStyle w:val="IntenseEmphasis"/>
        </w:rPr>
      </w:pPr>
    </w:p>
    <w:p w14:paraId="1FFEE003" w14:textId="77777777" w:rsidR="004A47A1" w:rsidRDefault="004A47A1" w:rsidP="009565CA">
      <w:pPr>
        <w:rPr>
          <w:rStyle w:val="IntenseEmphasis"/>
        </w:rPr>
      </w:pPr>
    </w:p>
    <w:sdt>
      <w:sdtPr>
        <w:rPr>
          <w:rFonts w:ascii="PP Mori" w:eastAsiaTheme="minorEastAsia" w:hAnsi="PP Mori" w:cstheme="minorBidi"/>
          <w:i/>
          <w:iCs/>
          <w:color w:val="auto"/>
          <w:kern w:val="2"/>
          <w:sz w:val="18"/>
          <w:szCs w:val="18"/>
          <w:lang w:val="en-AU" w:eastAsia="zh-CN" w:bidi="th-TH"/>
          <w14:ligatures w14:val="standardContextual"/>
        </w:rPr>
        <w:id w:val="1221403462"/>
        <w:docPartObj>
          <w:docPartGallery w:val="Table of Contents"/>
          <w:docPartUnique/>
        </w:docPartObj>
      </w:sdtPr>
      <w:sdtEndPr>
        <w:rPr>
          <w:b/>
        </w:rPr>
      </w:sdtEndPr>
      <w:sdtContent>
        <w:p w14:paraId="62076FBF" w14:textId="5B59F05B" w:rsidR="00744C73" w:rsidRDefault="00744C73" w:rsidP="00B8691D">
          <w:pPr>
            <w:pStyle w:val="TOCHeading"/>
            <w:spacing w:after="360"/>
          </w:pPr>
          <w:r>
            <w:t>Table of Contents</w:t>
          </w:r>
        </w:p>
        <w:p w14:paraId="31E15BA4" w14:textId="0314F949" w:rsidR="008B714C" w:rsidRDefault="00F816C9" w:rsidP="008B714C">
          <w:pPr>
            <w:pStyle w:val="TOC1"/>
            <w:rPr>
              <w:rFonts w:asciiTheme="minorHAnsi" w:hAnsiTheme="minorHAnsi"/>
              <w:szCs w:val="30"/>
            </w:rPr>
          </w:pPr>
          <w:r>
            <w:fldChar w:fldCharType="begin"/>
          </w:r>
          <w:r>
            <w:instrText xml:space="preserve"> TOC \o "1-3" \h \z \t "Appendix Title,1" </w:instrText>
          </w:r>
          <w:r>
            <w:fldChar w:fldCharType="separate"/>
          </w:r>
          <w:hyperlink w:anchor="_Toc205532819" w:history="1">
            <w:r w:rsidR="008B714C" w:rsidRPr="00F24CD1">
              <w:rPr>
                <w:rStyle w:val="Hyperlink"/>
              </w:rPr>
              <w:t>Executive Summary</w:t>
            </w:r>
            <w:r w:rsidR="008B714C">
              <w:rPr>
                <w:webHidden/>
              </w:rPr>
              <w:tab/>
            </w:r>
            <w:r w:rsidR="008B714C">
              <w:rPr>
                <w:webHidden/>
              </w:rPr>
              <w:fldChar w:fldCharType="begin"/>
            </w:r>
            <w:r w:rsidR="008B714C">
              <w:rPr>
                <w:webHidden/>
              </w:rPr>
              <w:instrText xml:space="preserve"> PAGEREF _Toc205532819 \h </w:instrText>
            </w:r>
            <w:r w:rsidR="008B714C">
              <w:rPr>
                <w:webHidden/>
              </w:rPr>
            </w:r>
            <w:r w:rsidR="008B714C">
              <w:rPr>
                <w:webHidden/>
              </w:rPr>
              <w:fldChar w:fldCharType="separate"/>
            </w:r>
            <w:r w:rsidR="00CE6CF1">
              <w:rPr>
                <w:webHidden/>
              </w:rPr>
              <w:t>4</w:t>
            </w:r>
            <w:r w:rsidR="008B714C">
              <w:rPr>
                <w:webHidden/>
              </w:rPr>
              <w:fldChar w:fldCharType="end"/>
            </w:r>
          </w:hyperlink>
        </w:p>
        <w:p w14:paraId="2D8570BB" w14:textId="6C13EB7E" w:rsidR="008B714C" w:rsidRDefault="008B714C" w:rsidP="008B714C">
          <w:pPr>
            <w:pStyle w:val="TOC1"/>
            <w:rPr>
              <w:rFonts w:asciiTheme="minorHAnsi" w:hAnsiTheme="minorHAnsi"/>
              <w:szCs w:val="30"/>
            </w:rPr>
          </w:pPr>
          <w:hyperlink w:anchor="_Toc205532820" w:history="1">
            <w:r w:rsidRPr="00F24CD1">
              <w:rPr>
                <w:rStyle w:val="Hyperlink"/>
              </w:rPr>
              <w:t>Table of Figures</w:t>
            </w:r>
            <w:r>
              <w:rPr>
                <w:webHidden/>
              </w:rPr>
              <w:tab/>
            </w:r>
            <w:r>
              <w:rPr>
                <w:webHidden/>
              </w:rPr>
              <w:fldChar w:fldCharType="begin"/>
            </w:r>
            <w:r>
              <w:rPr>
                <w:webHidden/>
              </w:rPr>
              <w:instrText xml:space="preserve"> PAGEREF _Toc205532820 \h </w:instrText>
            </w:r>
            <w:r>
              <w:rPr>
                <w:webHidden/>
              </w:rPr>
            </w:r>
            <w:r>
              <w:rPr>
                <w:webHidden/>
              </w:rPr>
              <w:fldChar w:fldCharType="separate"/>
            </w:r>
            <w:r w:rsidR="00CE6CF1">
              <w:rPr>
                <w:webHidden/>
              </w:rPr>
              <w:t>10</w:t>
            </w:r>
            <w:r>
              <w:rPr>
                <w:webHidden/>
              </w:rPr>
              <w:fldChar w:fldCharType="end"/>
            </w:r>
          </w:hyperlink>
        </w:p>
        <w:p w14:paraId="73427AB7" w14:textId="1289B406" w:rsidR="008B714C" w:rsidRDefault="008B714C" w:rsidP="008B714C">
          <w:pPr>
            <w:pStyle w:val="TOC1"/>
            <w:rPr>
              <w:rFonts w:asciiTheme="minorHAnsi" w:hAnsiTheme="minorHAnsi"/>
              <w:szCs w:val="30"/>
            </w:rPr>
          </w:pPr>
          <w:hyperlink w:anchor="_Toc205532821" w:history="1">
            <w:r w:rsidRPr="00F24CD1">
              <w:rPr>
                <w:rStyle w:val="Hyperlink"/>
              </w:rPr>
              <w:t>List of Acronyms</w:t>
            </w:r>
            <w:r>
              <w:rPr>
                <w:webHidden/>
              </w:rPr>
              <w:tab/>
            </w:r>
            <w:r>
              <w:rPr>
                <w:webHidden/>
              </w:rPr>
              <w:fldChar w:fldCharType="begin"/>
            </w:r>
            <w:r>
              <w:rPr>
                <w:webHidden/>
              </w:rPr>
              <w:instrText xml:space="preserve"> PAGEREF _Toc205532821 \h </w:instrText>
            </w:r>
            <w:r>
              <w:rPr>
                <w:webHidden/>
              </w:rPr>
            </w:r>
            <w:r>
              <w:rPr>
                <w:webHidden/>
              </w:rPr>
              <w:fldChar w:fldCharType="separate"/>
            </w:r>
            <w:r w:rsidR="00CE6CF1">
              <w:rPr>
                <w:webHidden/>
              </w:rPr>
              <w:t>12</w:t>
            </w:r>
            <w:r>
              <w:rPr>
                <w:webHidden/>
              </w:rPr>
              <w:fldChar w:fldCharType="end"/>
            </w:r>
          </w:hyperlink>
        </w:p>
        <w:p w14:paraId="586AB4F1" w14:textId="7952F63E" w:rsidR="008B714C" w:rsidRDefault="008B714C" w:rsidP="008B714C">
          <w:pPr>
            <w:pStyle w:val="TOC1"/>
            <w:rPr>
              <w:rFonts w:asciiTheme="minorHAnsi" w:hAnsiTheme="minorHAnsi"/>
              <w:szCs w:val="30"/>
            </w:rPr>
          </w:pPr>
          <w:hyperlink w:anchor="_Toc205532822" w:history="1">
            <w:r w:rsidRPr="00F24CD1">
              <w:rPr>
                <w:rStyle w:val="Hyperlink"/>
              </w:rPr>
              <w:t>1</w:t>
            </w:r>
            <w:r>
              <w:rPr>
                <w:rFonts w:asciiTheme="minorHAnsi" w:hAnsiTheme="minorHAnsi"/>
                <w:szCs w:val="30"/>
              </w:rPr>
              <w:tab/>
            </w:r>
            <w:r w:rsidRPr="00F24CD1">
              <w:rPr>
                <w:rStyle w:val="Hyperlink"/>
              </w:rPr>
              <w:t>Report Purpose, Context &amp; Rationale</w:t>
            </w:r>
            <w:r>
              <w:rPr>
                <w:webHidden/>
              </w:rPr>
              <w:tab/>
            </w:r>
            <w:r>
              <w:rPr>
                <w:webHidden/>
              </w:rPr>
              <w:fldChar w:fldCharType="begin"/>
            </w:r>
            <w:r>
              <w:rPr>
                <w:webHidden/>
              </w:rPr>
              <w:instrText xml:space="preserve"> PAGEREF _Toc205532822 \h </w:instrText>
            </w:r>
            <w:r>
              <w:rPr>
                <w:webHidden/>
              </w:rPr>
            </w:r>
            <w:r>
              <w:rPr>
                <w:webHidden/>
              </w:rPr>
              <w:fldChar w:fldCharType="separate"/>
            </w:r>
            <w:r w:rsidR="00CE6CF1">
              <w:rPr>
                <w:webHidden/>
              </w:rPr>
              <w:t>16</w:t>
            </w:r>
            <w:r>
              <w:rPr>
                <w:webHidden/>
              </w:rPr>
              <w:fldChar w:fldCharType="end"/>
            </w:r>
          </w:hyperlink>
        </w:p>
        <w:p w14:paraId="10AC6223" w14:textId="4A0ABB41" w:rsidR="008B714C" w:rsidRDefault="008B714C" w:rsidP="008B714C">
          <w:pPr>
            <w:pStyle w:val="TOC2"/>
            <w:rPr>
              <w:rFonts w:asciiTheme="minorHAnsi" w:hAnsiTheme="minorHAnsi"/>
              <w:noProof/>
              <w:sz w:val="24"/>
              <w:szCs w:val="30"/>
            </w:rPr>
          </w:pPr>
          <w:hyperlink w:anchor="_Toc205532823" w:history="1">
            <w:r w:rsidRPr="00F24CD1">
              <w:rPr>
                <w:rStyle w:val="Hyperlink"/>
                <w:noProof/>
              </w:rPr>
              <w:t>1.1</w:t>
            </w:r>
            <w:r>
              <w:rPr>
                <w:rFonts w:asciiTheme="minorHAnsi" w:hAnsiTheme="minorHAnsi"/>
                <w:noProof/>
                <w:sz w:val="24"/>
                <w:szCs w:val="30"/>
              </w:rPr>
              <w:tab/>
            </w:r>
            <w:r w:rsidRPr="00F24CD1">
              <w:rPr>
                <w:rStyle w:val="Hyperlink"/>
                <w:noProof/>
              </w:rPr>
              <w:t>Purpose</w:t>
            </w:r>
            <w:r>
              <w:rPr>
                <w:noProof/>
                <w:webHidden/>
              </w:rPr>
              <w:tab/>
            </w:r>
            <w:r>
              <w:rPr>
                <w:noProof/>
                <w:webHidden/>
              </w:rPr>
              <w:fldChar w:fldCharType="begin"/>
            </w:r>
            <w:r>
              <w:rPr>
                <w:noProof/>
                <w:webHidden/>
              </w:rPr>
              <w:instrText xml:space="preserve"> PAGEREF _Toc205532823 \h </w:instrText>
            </w:r>
            <w:r>
              <w:rPr>
                <w:noProof/>
                <w:webHidden/>
              </w:rPr>
            </w:r>
            <w:r>
              <w:rPr>
                <w:noProof/>
                <w:webHidden/>
              </w:rPr>
              <w:fldChar w:fldCharType="separate"/>
            </w:r>
            <w:r w:rsidR="00CE6CF1">
              <w:rPr>
                <w:noProof/>
                <w:webHidden/>
              </w:rPr>
              <w:t>16</w:t>
            </w:r>
            <w:r>
              <w:rPr>
                <w:noProof/>
                <w:webHidden/>
              </w:rPr>
              <w:fldChar w:fldCharType="end"/>
            </w:r>
          </w:hyperlink>
        </w:p>
        <w:p w14:paraId="403D915C" w14:textId="619D51C6" w:rsidR="008B714C" w:rsidRDefault="008B714C" w:rsidP="008B714C">
          <w:pPr>
            <w:pStyle w:val="TOC2"/>
            <w:rPr>
              <w:rFonts w:asciiTheme="minorHAnsi" w:hAnsiTheme="minorHAnsi"/>
              <w:noProof/>
              <w:sz w:val="24"/>
              <w:szCs w:val="30"/>
            </w:rPr>
          </w:pPr>
          <w:hyperlink w:anchor="_Toc205532824" w:history="1">
            <w:r w:rsidRPr="00F24CD1">
              <w:rPr>
                <w:rStyle w:val="Hyperlink"/>
                <w:noProof/>
              </w:rPr>
              <w:t>1.2</w:t>
            </w:r>
            <w:r>
              <w:rPr>
                <w:rFonts w:asciiTheme="minorHAnsi" w:hAnsiTheme="minorHAnsi"/>
                <w:noProof/>
                <w:sz w:val="24"/>
                <w:szCs w:val="30"/>
              </w:rPr>
              <w:tab/>
            </w:r>
            <w:r w:rsidRPr="00F24CD1">
              <w:rPr>
                <w:rStyle w:val="Hyperlink"/>
                <w:noProof/>
              </w:rPr>
              <w:t>National Context</w:t>
            </w:r>
            <w:r>
              <w:rPr>
                <w:noProof/>
                <w:webHidden/>
              </w:rPr>
              <w:tab/>
            </w:r>
            <w:r>
              <w:rPr>
                <w:noProof/>
                <w:webHidden/>
              </w:rPr>
              <w:fldChar w:fldCharType="begin"/>
            </w:r>
            <w:r>
              <w:rPr>
                <w:noProof/>
                <w:webHidden/>
              </w:rPr>
              <w:instrText xml:space="preserve"> PAGEREF _Toc205532824 \h </w:instrText>
            </w:r>
            <w:r>
              <w:rPr>
                <w:noProof/>
                <w:webHidden/>
              </w:rPr>
            </w:r>
            <w:r>
              <w:rPr>
                <w:noProof/>
                <w:webHidden/>
              </w:rPr>
              <w:fldChar w:fldCharType="separate"/>
            </w:r>
            <w:r w:rsidR="00CE6CF1">
              <w:rPr>
                <w:noProof/>
                <w:webHidden/>
              </w:rPr>
              <w:t>16</w:t>
            </w:r>
            <w:r>
              <w:rPr>
                <w:noProof/>
                <w:webHidden/>
              </w:rPr>
              <w:fldChar w:fldCharType="end"/>
            </w:r>
          </w:hyperlink>
        </w:p>
        <w:p w14:paraId="14FE5C8D" w14:textId="05835503" w:rsidR="008B714C" w:rsidRDefault="008B714C" w:rsidP="008B714C">
          <w:pPr>
            <w:pStyle w:val="TOC2"/>
            <w:rPr>
              <w:rFonts w:asciiTheme="minorHAnsi" w:hAnsiTheme="minorHAnsi"/>
              <w:noProof/>
              <w:sz w:val="24"/>
              <w:szCs w:val="30"/>
            </w:rPr>
          </w:pPr>
          <w:hyperlink w:anchor="_Toc205532825" w:history="1">
            <w:r w:rsidRPr="00F24CD1">
              <w:rPr>
                <w:rStyle w:val="Hyperlink"/>
                <w:noProof/>
              </w:rPr>
              <w:t>1.3</w:t>
            </w:r>
            <w:r>
              <w:rPr>
                <w:rFonts w:asciiTheme="minorHAnsi" w:hAnsiTheme="minorHAnsi"/>
                <w:noProof/>
                <w:sz w:val="24"/>
                <w:szCs w:val="30"/>
              </w:rPr>
              <w:tab/>
            </w:r>
            <w:r w:rsidRPr="00F24CD1">
              <w:rPr>
                <w:rStyle w:val="Hyperlink"/>
                <w:noProof/>
              </w:rPr>
              <w:t>Practical Rationale</w:t>
            </w:r>
            <w:r>
              <w:rPr>
                <w:noProof/>
                <w:webHidden/>
              </w:rPr>
              <w:tab/>
            </w:r>
            <w:r>
              <w:rPr>
                <w:noProof/>
                <w:webHidden/>
              </w:rPr>
              <w:fldChar w:fldCharType="begin"/>
            </w:r>
            <w:r>
              <w:rPr>
                <w:noProof/>
                <w:webHidden/>
              </w:rPr>
              <w:instrText xml:space="preserve"> PAGEREF _Toc205532825 \h </w:instrText>
            </w:r>
            <w:r>
              <w:rPr>
                <w:noProof/>
                <w:webHidden/>
              </w:rPr>
            </w:r>
            <w:r>
              <w:rPr>
                <w:noProof/>
                <w:webHidden/>
              </w:rPr>
              <w:fldChar w:fldCharType="separate"/>
            </w:r>
            <w:r w:rsidR="00CE6CF1">
              <w:rPr>
                <w:noProof/>
                <w:webHidden/>
              </w:rPr>
              <w:t>18</w:t>
            </w:r>
            <w:r>
              <w:rPr>
                <w:noProof/>
                <w:webHidden/>
              </w:rPr>
              <w:fldChar w:fldCharType="end"/>
            </w:r>
          </w:hyperlink>
        </w:p>
        <w:p w14:paraId="7D3156CD" w14:textId="18DC06CC" w:rsidR="008B714C" w:rsidRDefault="008B714C" w:rsidP="008B714C">
          <w:pPr>
            <w:pStyle w:val="TOC1"/>
            <w:rPr>
              <w:rFonts w:asciiTheme="minorHAnsi" w:hAnsiTheme="minorHAnsi"/>
              <w:szCs w:val="30"/>
            </w:rPr>
          </w:pPr>
          <w:hyperlink w:anchor="_Toc205532826" w:history="1">
            <w:r w:rsidRPr="00F24CD1">
              <w:rPr>
                <w:rStyle w:val="Hyperlink"/>
              </w:rPr>
              <w:t>2</w:t>
            </w:r>
            <w:r>
              <w:rPr>
                <w:rFonts w:asciiTheme="minorHAnsi" w:hAnsiTheme="minorHAnsi"/>
                <w:szCs w:val="30"/>
              </w:rPr>
              <w:tab/>
            </w:r>
            <w:r w:rsidRPr="00F24CD1">
              <w:rPr>
                <w:rStyle w:val="Hyperlink"/>
              </w:rPr>
              <w:t>Report Development Approach</w:t>
            </w:r>
            <w:r>
              <w:rPr>
                <w:webHidden/>
              </w:rPr>
              <w:tab/>
            </w:r>
            <w:r>
              <w:rPr>
                <w:webHidden/>
              </w:rPr>
              <w:fldChar w:fldCharType="begin"/>
            </w:r>
            <w:r>
              <w:rPr>
                <w:webHidden/>
              </w:rPr>
              <w:instrText xml:space="preserve"> PAGEREF _Toc205532826 \h </w:instrText>
            </w:r>
            <w:r>
              <w:rPr>
                <w:webHidden/>
              </w:rPr>
            </w:r>
            <w:r>
              <w:rPr>
                <w:webHidden/>
              </w:rPr>
              <w:fldChar w:fldCharType="separate"/>
            </w:r>
            <w:r w:rsidR="00CE6CF1">
              <w:rPr>
                <w:webHidden/>
              </w:rPr>
              <w:t>20</w:t>
            </w:r>
            <w:r>
              <w:rPr>
                <w:webHidden/>
              </w:rPr>
              <w:fldChar w:fldCharType="end"/>
            </w:r>
          </w:hyperlink>
        </w:p>
        <w:p w14:paraId="68DBDE8C" w14:textId="56A6C363" w:rsidR="008B714C" w:rsidRDefault="008B714C" w:rsidP="008B714C">
          <w:pPr>
            <w:pStyle w:val="TOC2"/>
            <w:rPr>
              <w:rFonts w:asciiTheme="minorHAnsi" w:hAnsiTheme="minorHAnsi"/>
              <w:noProof/>
              <w:sz w:val="24"/>
              <w:szCs w:val="30"/>
            </w:rPr>
          </w:pPr>
          <w:hyperlink w:anchor="_Toc205532827" w:history="1">
            <w:r w:rsidRPr="00F24CD1">
              <w:rPr>
                <w:rStyle w:val="Hyperlink"/>
                <w:noProof/>
                <w:lang w:val="en-US" w:eastAsia="en-US" w:bidi="ar-SA"/>
              </w:rPr>
              <w:t>2.1</w:t>
            </w:r>
            <w:r>
              <w:rPr>
                <w:rFonts w:asciiTheme="minorHAnsi" w:hAnsiTheme="minorHAnsi"/>
                <w:noProof/>
                <w:sz w:val="24"/>
                <w:szCs w:val="30"/>
              </w:rPr>
              <w:tab/>
            </w:r>
            <w:r w:rsidRPr="00F24CD1">
              <w:rPr>
                <w:rStyle w:val="Hyperlink"/>
                <w:noProof/>
              </w:rPr>
              <w:t>Philosophy</w:t>
            </w:r>
            <w:r>
              <w:rPr>
                <w:noProof/>
                <w:webHidden/>
              </w:rPr>
              <w:tab/>
            </w:r>
            <w:r>
              <w:rPr>
                <w:noProof/>
                <w:webHidden/>
              </w:rPr>
              <w:fldChar w:fldCharType="begin"/>
            </w:r>
            <w:r>
              <w:rPr>
                <w:noProof/>
                <w:webHidden/>
              </w:rPr>
              <w:instrText xml:space="preserve"> PAGEREF _Toc205532827 \h </w:instrText>
            </w:r>
            <w:r>
              <w:rPr>
                <w:noProof/>
                <w:webHidden/>
              </w:rPr>
            </w:r>
            <w:r>
              <w:rPr>
                <w:noProof/>
                <w:webHidden/>
              </w:rPr>
              <w:fldChar w:fldCharType="separate"/>
            </w:r>
            <w:r w:rsidR="00CE6CF1">
              <w:rPr>
                <w:noProof/>
                <w:webHidden/>
              </w:rPr>
              <w:t>20</w:t>
            </w:r>
            <w:r>
              <w:rPr>
                <w:noProof/>
                <w:webHidden/>
              </w:rPr>
              <w:fldChar w:fldCharType="end"/>
            </w:r>
          </w:hyperlink>
        </w:p>
        <w:p w14:paraId="55F5863D" w14:textId="336DE645" w:rsidR="008B714C" w:rsidRDefault="008B714C" w:rsidP="008B714C">
          <w:pPr>
            <w:pStyle w:val="TOC2"/>
            <w:rPr>
              <w:rFonts w:asciiTheme="minorHAnsi" w:hAnsiTheme="minorHAnsi"/>
              <w:noProof/>
              <w:sz w:val="24"/>
              <w:szCs w:val="30"/>
            </w:rPr>
          </w:pPr>
          <w:hyperlink w:anchor="_Toc205532828" w:history="1">
            <w:r w:rsidRPr="00F24CD1">
              <w:rPr>
                <w:rStyle w:val="Hyperlink"/>
                <w:noProof/>
                <w:lang w:val="en-US" w:eastAsia="en-US" w:bidi="ar-SA"/>
              </w:rPr>
              <w:t>2.2</w:t>
            </w:r>
            <w:r>
              <w:rPr>
                <w:rFonts w:asciiTheme="minorHAnsi" w:hAnsiTheme="minorHAnsi"/>
                <w:noProof/>
                <w:sz w:val="24"/>
                <w:szCs w:val="30"/>
              </w:rPr>
              <w:tab/>
            </w:r>
            <w:r w:rsidRPr="00F24CD1">
              <w:rPr>
                <w:rStyle w:val="Hyperlink"/>
                <w:noProof/>
              </w:rPr>
              <w:t>Working Definition</w:t>
            </w:r>
            <w:r>
              <w:rPr>
                <w:noProof/>
                <w:webHidden/>
              </w:rPr>
              <w:tab/>
            </w:r>
            <w:r>
              <w:rPr>
                <w:noProof/>
                <w:webHidden/>
              </w:rPr>
              <w:fldChar w:fldCharType="begin"/>
            </w:r>
            <w:r>
              <w:rPr>
                <w:noProof/>
                <w:webHidden/>
              </w:rPr>
              <w:instrText xml:space="preserve"> PAGEREF _Toc205532828 \h </w:instrText>
            </w:r>
            <w:r>
              <w:rPr>
                <w:noProof/>
                <w:webHidden/>
              </w:rPr>
            </w:r>
            <w:r>
              <w:rPr>
                <w:noProof/>
                <w:webHidden/>
              </w:rPr>
              <w:fldChar w:fldCharType="separate"/>
            </w:r>
            <w:r w:rsidR="00CE6CF1">
              <w:rPr>
                <w:noProof/>
                <w:webHidden/>
              </w:rPr>
              <w:t>21</w:t>
            </w:r>
            <w:r>
              <w:rPr>
                <w:noProof/>
                <w:webHidden/>
              </w:rPr>
              <w:fldChar w:fldCharType="end"/>
            </w:r>
          </w:hyperlink>
        </w:p>
        <w:p w14:paraId="472BA2C8" w14:textId="7E920174" w:rsidR="008B714C" w:rsidRDefault="008B714C" w:rsidP="008B714C">
          <w:pPr>
            <w:pStyle w:val="TOC2"/>
            <w:rPr>
              <w:rFonts w:asciiTheme="minorHAnsi" w:hAnsiTheme="minorHAnsi"/>
              <w:noProof/>
              <w:sz w:val="24"/>
              <w:szCs w:val="30"/>
            </w:rPr>
          </w:pPr>
          <w:hyperlink w:anchor="_Toc205532829" w:history="1">
            <w:r w:rsidRPr="00F24CD1">
              <w:rPr>
                <w:rStyle w:val="Hyperlink"/>
                <w:noProof/>
                <w:lang w:val="en-US" w:eastAsia="en-US" w:bidi="ar-SA"/>
              </w:rPr>
              <w:t>2.3</w:t>
            </w:r>
            <w:r>
              <w:rPr>
                <w:rFonts w:asciiTheme="minorHAnsi" w:hAnsiTheme="minorHAnsi"/>
                <w:noProof/>
                <w:sz w:val="24"/>
                <w:szCs w:val="30"/>
              </w:rPr>
              <w:tab/>
            </w:r>
            <w:r w:rsidRPr="00F24CD1">
              <w:rPr>
                <w:rStyle w:val="Hyperlink"/>
                <w:noProof/>
              </w:rPr>
              <w:t>Development Methodology</w:t>
            </w:r>
            <w:r>
              <w:rPr>
                <w:noProof/>
                <w:webHidden/>
              </w:rPr>
              <w:tab/>
            </w:r>
            <w:r>
              <w:rPr>
                <w:noProof/>
                <w:webHidden/>
              </w:rPr>
              <w:fldChar w:fldCharType="begin"/>
            </w:r>
            <w:r>
              <w:rPr>
                <w:noProof/>
                <w:webHidden/>
              </w:rPr>
              <w:instrText xml:space="preserve"> PAGEREF _Toc205532829 \h </w:instrText>
            </w:r>
            <w:r>
              <w:rPr>
                <w:noProof/>
                <w:webHidden/>
              </w:rPr>
            </w:r>
            <w:r>
              <w:rPr>
                <w:noProof/>
                <w:webHidden/>
              </w:rPr>
              <w:fldChar w:fldCharType="separate"/>
            </w:r>
            <w:r w:rsidR="00CE6CF1">
              <w:rPr>
                <w:noProof/>
                <w:webHidden/>
              </w:rPr>
              <w:t>21</w:t>
            </w:r>
            <w:r>
              <w:rPr>
                <w:noProof/>
                <w:webHidden/>
              </w:rPr>
              <w:fldChar w:fldCharType="end"/>
            </w:r>
          </w:hyperlink>
        </w:p>
        <w:p w14:paraId="7010BD94" w14:textId="62DE5B67" w:rsidR="008B714C" w:rsidRDefault="008B714C" w:rsidP="008B714C">
          <w:pPr>
            <w:pStyle w:val="TOC2"/>
            <w:rPr>
              <w:rFonts w:asciiTheme="minorHAnsi" w:hAnsiTheme="minorHAnsi"/>
              <w:noProof/>
              <w:sz w:val="24"/>
              <w:szCs w:val="30"/>
            </w:rPr>
          </w:pPr>
          <w:hyperlink w:anchor="_Toc205532830" w:history="1">
            <w:r w:rsidRPr="00F24CD1">
              <w:rPr>
                <w:rStyle w:val="Hyperlink"/>
                <w:noProof/>
                <w:lang w:val="en-US" w:eastAsia="en-US" w:bidi="ar-SA"/>
              </w:rPr>
              <w:t>2.4</w:t>
            </w:r>
            <w:r>
              <w:rPr>
                <w:rFonts w:asciiTheme="minorHAnsi" w:hAnsiTheme="minorHAnsi"/>
                <w:noProof/>
                <w:sz w:val="24"/>
                <w:szCs w:val="30"/>
              </w:rPr>
              <w:tab/>
            </w:r>
            <w:r w:rsidRPr="00F24CD1">
              <w:rPr>
                <w:rStyle w:val="Hyperlink"/>
                <w:noProof/>
              </w:rPr>
              <w:t>Inherent Limitations &amp; Constraints</w:t>
            </w:r>
            <w:r>
              <w:rPr>
                <w:noProof/>
                <w:webHidden/>
              </w:rPr>
              <w:tab/>
            </w:r>
            <w:r>
              <w:rPr>
                <w:noProof/>
                <w:webHidden/>
              </w:rPr>
              <w:fldChar w:fldCharType="begin"/>
            </w:r>
            <w:r>
              <w:rPr>
                <w:noProof/>
                <w:webHidden/>
              </w:rPr>
              <w:instrText xml:space="preserve"> PAGEREF _Toc205532830 \h </w:instrText>
            </w:r>
            <w:r>
              <w:rPr>
                <w:noProof/>
                <w:webHidden/>
              </w:rPr>
            </w:r>
            <w:r>
              <w:rPr>
                <w:noProof/>
                <w:webHidden/>
              </w:rPr>
              <w:fldChar w:fldCharType="separate"/>
            </w:r>
            <w:r w:rsidR="00CE6CF1">
              <w:rPr>
                <w:noProof/>
                <w:webHidden/>
              </w:rPr>
              <w:t>22</w:t>
            </w:r>
            <w:r>
              <w:rPr>
                <w:noProof/>
                <w:webHidden/>
              </w:rPr>
              <w:fldChar w:fldCharType="end"/>
            </w:r>
          </w:hyperlink>
        </w:p>
        <w:p w14:paraId="4D45B852" w14:textId="5878B0CF" w:rsidR="008B714C" w:rsidRDefault="008B714C" w:rsidP="008B714C">
          <w:pPr>
            <w:pStyle w:val="TOC2"/>
            <w:rPr>
              <w:rFonts w:asciiTheme="minorHAnsi" w:hAnsiTheme="minorHAnsi"/>
              <w:noProof/>
              <w:sz w:val="24"/>
              <w:szCs w:val="30"/>
            </w:rPr>
          </w:pPr>
          <w:hyperlink w:anchor="_Toc205532831" w:history="1">
            <w:r w:rsidRPr="00F24CD1">
              <w:rPr>
                <w:rStyle w:val="Hyperlink"/>
                <w:noProof/>
                <w:lang w:val="en-US" w:eastAsia="en-US" w:bidi="ar-SA"/>
              </w:rPr>
              <w:t>2.5</w:t>
            </w:r>
            <w:r>
              <w:rPr>
                <w:rFonts w:asciiTheme="minorHAnsi" w:hAnsiTheme="minorHAnsi"/>
                <w:noProof/>
                <w:sz w:val="24"/>
                <w:szCs w:val="30"/>
              </w:rPr>
              <w:tab/>
            </w:r>
            <w:r w:rsidRPr="00F24CD1">
              <w:rPr>
                <w:rStyle w:val="Hyperlink"/>
                <w:noProof/>
              </w:rPr>
              <w:t>Accessing the Reference Set &amp; Providing Feedback</w:t>
            </w:r>
            <w:r>
              <w:rPr>
                <w:noProof/>
                <w:webHidden/>
              </w:rPr>
              <w:tab/>
            </w:r>
            <w:r>
              <w:rPr>
                <w:noProof/>
                <w:webHidden/>
              </w:rPr>
              <w:fldChar w:fldCharType="begin"/>
            </w:r>
            <w:r>
              <w:rPr>
                <w:noProof/>
                <w:webHidden/>
              </w:rPr>
              <w:instrText xml:space="preserve"> PAGEREF _Toc205532831 \h </w:instrText>
            </w:r>
            <w:r>
              <w:rPr>
                <w:noProof/>
                <w:webHidden/>
              </w:rPr>
            </w:r>
            <w:r>
              <w:rPr>
                <w:noProof/>
                <w:webHidden/>
              </w:rPr>
              <w:fldChar w:fldCharType="separate"/>
            </w:r>
            <w:r w:rsidR="00CE6CF1">
              <w:rPr>
                <w:noProof/>
                <w:webHidden/>
              </w:rPr>
              <w:t>23</w:t>
            </w:r>
            <w:r>
              <w:rPr>
                <w:noProof/>
                <w:webHidden/>
              </w:rPr>
              <w:fldChar w:fldCharType="end"/>
            </w:r>
          </w:hyperlink>
        </w:p>
        <w:p w14:paraId="06BD0ED0" w14:textId="5DFB621B" w:rsidR="008B714C" w:rsidRDefault="008B714C" w:rsidP="008B714C">
          <w:pPr>
            <w:pStyle w:val="TOC1"/>
            <w:rPr>
              <w:rFonts w:asciiTheme="minorHAnsi" w:hAnsiTheme="minorHAnsi"/>
              <w:szCs w:val="30"/>
            </w:rPr>
          </w:pPr>
          <w:hyperlink w:anchor="_Toc205532832" w:history="1">
            <w:r w:rsidRPr="00F24CD1">
              <w:rPr>
                <w:rStyle w:val="Hyperlink"/>
              </w:rPr>
              <w:t>3</w:t>
            </w:r>
            <w:r>
              <w:rPr>
                <w:rFonts w:asciiTheme="minorHAnsi" w:hAnsiTheme="minorHAnsi"/>
                <w:szCs w:val="30"/>
              </w:rPr>
              <w:tab/>
            </w:r>
            <w:r w:rsidRPr="00F24CD1">
              <w:rPr>
                <w:rStyle w:val="Hyperlink"/>
              </w:rPr>
              <w:t>Changing Grid Dynamics: The growing importance of TDC for whole-system planning and operations</w:t>
            </w:r>
            <w:r>
              <w:rPr>
                <w:webHidden/>
              </w:rPr>
              <w:tab/>
            </w:r>
            <w:r>
              <w:rPr>
                <w:webHidden/>
              </w:rPr>
              <w:fldChar w:fldCharType="begin"/>
            </w:r>
            <w:r>
              <w:rPr>
                <w:webHidden/>
              </w:rPr>
              <w:instrText xml:space="preserve"> PAGEREF _Toc205532832 \h </w:instrText>
            </w:r>
            <w:r>
              <w:rPr>
                <w:webHidden/>
              </w:rPr>
            </w:r>
            <w:r>
              <w:rPr>
                <w:webHidden/>
              </w:rPr>
              <w:fldChar w:fldCharType="separate"/>
            </w:r>
            <w:r w:rsidR="00CE6CF1">
              <w:rPr>
                <w:webHidden/>
              </w:rPr>
              <w:t>25</w:t>
            </w:r>
            <w:r>
              <w:rPr>
                <w:webHidden/>
              </w:rPr>
              <w:fldChar w:fldCharType="end"/>
            </w:r>
          </w:hyperlink>
        </w:p>
        <w:p w14:paraId="1DEE000E" w14:textId="72EF6A3D" w:rsidR="008B714C" w:rsidRDefault="008B714C" w:rsidP="008B714C">
          <w:pPr>
            <w:pStyle w:val="TOC1"/>
            <w:rPr>
              <w:rFonts w:asciiTheme="minorHAnsi" w:hAnsiTheme="minorHAnsi"/>
              <w:szCs w:val="30"/>
            </w:rPr>
          </w:pPr>
          <w:hyperlink w:anchor="_Toc205532833" w:history="1">
            <w:r w:rsidRPr="00F24CD1">
              <w:rPr>
                <w:rStyle w:val="Hyperlink"/>
              </w:rPr>
              <w:t>4</w:t>
            </w:r>
            <w:r>
              <w:rPr>
                <w:rFonts w:asciiTheme="minorHAnsi" w:hAnsiTheme="minorHAnsi"/>
                <w:szCs w:val="30"/>
              </w:rPr>
              <w:tab/>
            </w:r>
            <w:r w:rsidRPr="00F24CD1">
              <w:rPr>
                <w:rStyle w:val="Hyperlink"/>
              </w:rPr>
              <w:t>Future Grid Enabler: TDC is a key structural enabler of low carbon power systems</w:t>
            </w:r>
            <w:r>
              <w:rPr>
                <w:webHidden/>
              </w:rPr>
              <w:tab/>
            </w:r>
            <w:r>
              <w:rPr>
                <w:webHidden/>
              </w:rPr>
              <w:fldChar w:fldCharType="begin"/>
            </w:r>
            <w:r>
              <w:rPr>
                <w:webHidden/>
              </w:rPr>
              <w:instrText xml:space="preserve"> PAGEREF _Toc205532833 \h </w:instrText>
            </w:r>
            <w:r>
              <w:rPr>
                <w:webHidden/>
              </w:rPr>
            </w:r>
            <w:r>
              <w:rPr>
                <w:webHidden/>
              </w:rPr>
              <w:fldChar w:fldCharType="separate"/>
            </w:r>
            <w:r w:rsidR="00CE6CF1">
              <w:rPr>
                <w:webHidden/>
              </w:rPr>
              <w:t>26</w:t>
            </w:r>
            <w:r>
              <w:rPr>
                <w:webHidden/>
              </w:rPr>
              <w:fldChar w:fldCharType="end"/>
            </w:r>
          </w:hyperlink>
        </w:p>
        <w:p w14:paraId="4E84DF4B" w14:textId="51246AAC" w:rsidR="008B714C" w:rsidRDefault="008B714C" w:rsidP="008B714C">
          <w:pPr>
            <w:pStyle w:val="TOC2"/>
            <w:rPr>
              <w:rFonts w:asciiTheme="minorHAnsi" w:hAnsiTheme="minorHAnsi"/>
              <w:noProof/>
              <w:sz w:val="24"/>
              <w:szCs w:val="30"/>
            </w:rPr>
          </w:pPr>
          <w:hyperlink w:anchor="_Toc205532834" w:history="1">
            <w:r w:rsidRPr="00F24CD1">
              <w:rPr>
                <w:rStyle w:val="Hyperlink"/>
                <w:noProof/>
              </w:rPr>
              <w:t>4.1</w:t>
            </w:r>
            <w:r>
              <w:rPr>
                <w:rFonts w:asciiTheme="minorHAnsi" w:hAnsiTheme="minorHAnsi"/>
                <w:noProof/>
                <w:sz w:val="24"/>
                <w:szCs w:val="30"/>
              </w:rPr>
              <w:tab/>
            </w:r>
            <w:r w:rsidRPr="00F24CD1">
              <w:rPr>
                <w:rStyle w:val="Hyperlink"/>
                <w:noProof/>
              </w:rPr>
              <w:t>How TDC is characterised globally</w:t>
            </w:r>
            <w:r>
              <w:rPr>
                <w:noProof/>
                <w:webHidden/>
              </w:rPr>
              <w:tab/>
            </w:r>
            <w:r>
              <w:rPr>
                <w:noProof/>
                <w:webHidden/>
              </w:rPr>
              <w:fldChar w:fldCharType="begin"/>
            </w:r>
            <w:r>
              <w:rPr>
                <w:noProof/>
                <w:webHidden/>
              </w:rPr>
              <w:instrText xml:space="preserve"> PAGEREF _Toc205532834 \h </w:instrText>
            </w:r>
            <w:r>
              <w:rPr>
                <w:noProof/>
                <w:webHidden/>
              </w:rPr>
            </w:r>
            <w:r>
              <w:rPr>
                <w:noProof/>
                <w:webHidden/>
              </w:rPr>
              <w:fldChar w:fldCharType="separate"/>
            </w:r>
            <w:r w:rsidR="00CE6CF1">
              <w:rPr>
                <w:noProof/>
                <w:webHidden/>
              </w:rPr>
              <w:t>26</w:t>
            </w:r>
            <w:r>
              <w:rPr>
                <w:noProof/>
                <w:webHidden/>
              </w:rPr>
              <w:fldChar w:fldCharType="end"/>
            </w:r>
          </w:hyperlink>
        </w:p>
        <w:p w14:paraId="62446CED" w14:textId="61CEBAEB" w:rsidR="008B714C" w:rsidRDefault="008B714C" w:rsidP="008B714C">
          <w:pPr>
            <w:pStyle w:val="TOC2"/>
            <w:rPr>
              <w:rFonts w:asciiTheme="minorHAnsi" w:hAnsiTheme="minorHAnsi"/>
              <w:noProof/>
              <w:sz w:val="24"/>
              <w:szCs w:val="30"/>
            </w:rPr>
          </w:pPr>
          <w:hyperlink w:anchor="_Toc205532839" w:history="1">
            <w:r w:rsidRPr="00F24CD1">
              <w:rPr>
                <w:rStyle w:val="Hyperlink"/>
                <w:noProof/>
              </w:rPr>
              <w:t>4.2</w:t>
            </w:r>
            <w:r>
              <w:rPr>
                <w:rFonts w:asciiTheme="minorHAnsi" w:hAnsiTheme="minorHAnsi"/>
                <w:noProof/>
                <w:sz w:val="24"/>
                <w:szCs w:val="30"/>
              </w:rPr>
              <w:tab/>
            </w:r>
            <w:r w:rsidRPr="00F24CD1">
              <w:rPr>
                <w:rStyle w:val="Hyperlink"/>
                <w:noProof/>
              </w:rPr>
              <w:t>Problem definition underpinning the need for TDC</w:t>
            </w:r>
            <w:r>
              <w:rPr>
                <w:noProof/>
                <w:webHidden/>
              </w:rPr>
              <w:tab/>
            </w:r>
            <w:r>
              <w:rPr>
                <w:noProof/>
                <w:webHidden/>
              </w:rPr>
              <w:fldChar w:fldCharType="begin"/>
            </w:r>
            <w:r>
              <w:rPr>
                <w:noProof/>
                <w:webHidden/>
              </w:rPr>
              <w:instrText xml:space="preserve"> PAGEREF _Toc205532839 \h </w:instrText>
            </w:r>
            <w:r>
              <w:rPr>
                <w:noProof/>
                <w:webHidden/>
              </w:rPr>
            </w:r>
            <w:r>
              <w:rPr>
                <w:noProof/>
                <w:webHidden/>
              </w:rPr>
              <w:fldChar w:fldCharType="separate"/>
            </w:r>
            <w:r w:rsidR="00CE6CF1">
              <w:rPr>
                <w:noProof/>
                <w:webHidden/>
              </w:rPr>
              <w:t>30</w:t>
            </w:r>
            <w:r>
              <w:rPr>
                <w:noProof/>
                <w:webHidden/>
              </w:rPr>
              <w:fldChar w:fldCharType="end"/>
            </w:r>
          </w:hyperlink>
        </w:p>
        <w:p w14:paraId="294725A9" w14:textId="5011D083" w:rsidR="008B714C" w:rsidRDefault="008B714C" w:rsidP="008B714C">
          <w:pPr>
            <w:pStyle w:val="TOC2"/>
            <w:rPr>
              <w:rFonts w:asciiTheme="minorHAnsi" w:hAnsiTheme="minorHAnsi"/>
              <w:noProof/>
              <w:sz w:val="24"/>
              <w:szCs w:val="30"/>
            </w:rPr>
          </w:pPr>
          <w:hyperlink w:anchor="_Toc205532843" w:history="1">
            <w:r w:rsidRPr="00F24CD1">
              <w:rPr>
                <w:rStyle w:val="Hyperlink"/>
                <w:noProof/>
              </w:rPr>
              <w:t>4.3</w:t>
            </w:r>
            <w:r>
              <w:rPr>
                <w:rFonts w:asciiTheme="minorHAnsi" w:hAnsiTheme="minorHAnsi"/>
                <w:noProof/>
                <w:sz w:val="24"/>
                <w:szCs w:val="30"/>
              </w:rPr>
              <w:tab/>
            </w:r>
            <w:r w:rsidRPr="00F24CD1">
              <w:rPr>
                <w:rStyle w:val="Hyperlink"/>
                <w:noProof/>
              </w:rPr>
              <w:t>Strategic objectives for T-D Coordination</w:t>
            </w:r>
            <w:r>
              <w:rPr>
                <w:noProof/>
                <w:webHidden/>
              </w:rPr>
              <w:tab/>
            </w:r>
            <w:r>
              <w:rPr>
                <w:noProof/>
                <w:webHidden/>
              </w:rPr>
              <w:fldChar w:fldCharType="begin"/>
            </w:r>
            <w:r>
              <w:rPr>
                <w:noProof/>
                <w:webHidden/>
              </w:rPr>
              <w:instrText xml:space="preserve"> PAGEREF _Toc205532843 \h </w:instrText>
            </w:r>
            <w:r>
              <w:rPr>
                <w:noProof/>
                <w:webHidden/>
              </w:rPr>
            </w:r>
            <w:r>
              <w:rPr>
                <w:noProof/>
                <w:webHidden/>
              </w:rPr>
              <w:fldChar w:fldCharType="separate"/>
            </w:r>
            <w:r w:rsidR="00CE6CF1">
              <w:rPr>
                <w:noProof/>
                <w:webHidden/>
              </w:rPr>
              <w:t>34</w:t>
            </w:r>
            <w:r>
              <w:rPr>
                <w:noProof/>
                <w:webHidden/>
              </w:rPr>
              <w:fldChar w:fldCharType="end"/>
            </w:r>
          </w:hyperlink>
        </w:p>
        <w:p w14:paraId="297C8117" w14:textId="7C0BD464" w:rsidR="008B714C" w:rsidRDefault="008B714C" w:rsidP="008B714C">
          <w:pPr>
            <w:pStyle w:val="TOC2"/>
            <w:rPr>
              <w:rFonts w:asciiTheme="minorHAnsi" w:hAnsiTheme="minorHAnsi"/>
              <w:noProof/>
              <w:sz w:val="24"/>
              <w:szCs w:val="30"/>
            </w:rPr>
          </w:pPr>
          <w:hyperlink w:anchor="_Toc205532844" w:history="1">
            <w:r w:rsidRPr="00F24CD1">
              <w:rPr>
                <w:rStyle w:val="Hyperlink"/>
                <w:noProof/>
              </w:rPr>
              <w:t>4.4</w:t>
            </w:r>
            <w:r>
              <w:rPr>
                <w:rFonts w:asciiTheme="minorHAnsi" w:hAnsiTheme="minorHAnsi"/>
                <w:noProof/>
                <w:sz w:val="24"/>
                <w:szCs w:val="30"/>
              </w:rPr>
              <w:tab/>
            </w:r>
            <w:r w:rsidRPr="00F24CD1">
              <w:rPr>
                <w:rStyle w:val="Hyperlink"/>
                <w:noProof/>
              </w:rPr>
              <w:t>Working definitions of TDC and TDI relevant to Australia</w:t>
            </w:r>
            <w:r>
              <w:rPr>
                <w:noProof/>
                <w:webHidden/>
              </w:rPr>
              <w:tab/>
            </w:r>
            <w:r>
              <w:rPr>
                <w:noProof/>
                <w:webHidden/>
              </w:rPr>
              <w:fldChar w:fldCharType="begin"/>
            </w:r>
            <w:r>
              <w:rPr>
                <w:noProof/>
                <w:webHidden/>
              </w:rPr>
              <w:instrText xml:space="preserve"> PAGEREF _Toc205532844 \h </w:instrText>
            </w:r>
            <w:r>
              <w:rPr>
                <w:noProof/>
                <w:webHidden/>
              </w:rPr>
            </w:r>
            <w:r>
              <w:rPr>
                <w:noProof/>
                <w:webHidden/>
              </w:rPr>
              <w:fldChar w:fldCharType="separate"/>
            </w:r>
            <w:r w:rsidR="00CE6CF1">
              <w:rPr>
                <w:noProof/>
                <w:webHidden/>
              </w:rPr>
              <w:t>38</w:t>
            </w:r>
            <w:r>
              <w:rPr>
                <w:noProof/>
                <w:webHidden/>
              </w:rPr>
              <w:fldChar w:fldCharType="end"/>
            </w:r>
          </w:hyperlink>
        </w:p>
        <w:p w14:paraId="287107C7" w14:textId="653F98A8" w:rsidR="008B714C" w:rsidRDefault="008B714C" w:rsidP="008B714C">
          <w:pPr>
            <w:pStyle w:val="TOC1"/>
            <w:rPr>
              <w:rFonts w:asciiTheme="minorHAnsi" w:hAnsiTheme="minorHAnsi"/>
              <w:szCs w:val="30"/>
            </w:rPr>
          </w:pPr>
          <w:hyperlink w:anchor="_Toc205532845" w:history="1">
            <w:r w:rsidRPr="00F24CD1">
              <w:rPr>
                <w:rStyle w:val="Hyperlink"/>
                <w:lang w:val="en-GB"/>
              </w:rPr>
              <w:t>5</w:t>
            </w:r>
            <w:r>
              <w:rPr>
                <w:rFonts w:asciiTheme="minorHAnsi" w:hAnsiTheme="minorHAnsi"/>
                <w:szCs w:val="30"/>
              </w:rPr>
              <w:tab/>
            </w:r>
            <w:r w:rsidRPr="00F24CD1">
              <w:rPr>
                <w:rStyle w:val="Hyperlink"/>
                <w:lang w:val="en-GB"/>
              </w:rPr>
              <w:t>Design Considerations: Key considerations for effective T-D Coordination model design</w:t>
            </w:r>
            <w:r>
              <w:rPr>
                <w:webHidden/>
              </w:rPr>
              <w:tab/>
            </w:r>
            <w:r>
              <w:rPr>
                <w:webHidden/>
              </w:rPr>
              <w:fldChar w:fldCharType="begin"/>
            </w:r>
            <w:r>
              <w:rPr>
                <w:webHidden/>
              </w:rPr>
              <w:instrText xml:space="preserve"> PAGEREF _Toc205532845 \h </w:instrText>
            </w:r>
            <w:r>
              <w:rPr>
                <w:webHidden/>
              </w:rPr>
            </w:r>
            <w:r>
              <w:rPr>
                <w:webHidden/>
              </w:rPr>
              <w:fldChar w:fldCharType="separate"/>
            </w:r>
            <w:r w:rsidR="00CE6CF1">
              <w:rPr>
                <w:webHidden/>
              </w:rPr>
              <w:t>40</w:t>
            </w:r>
            <w:r>
              <w:rPr>
                <w:webHidden/>
              </w:rPr>
              <w:fldChar w:fldCharType="end"/>
            </w:r>
          </w:hyperlink>
        </w:p>
        <w:p w14:paraId="13442E85" w14:textId="78E5ED36" w:rsidR="008B714C" w:rsidRDefault="008B714C" w:rsidP="008B714C">
          <w:pPr>
            <w:pStyle w:val="TOC2"/>
            <w:ind w:left="1134" w:hanging="567"/>
            <w:rPr>
              <w:rFonts w:asciiTheme="minorHAnsi" w:hAnsiTheme="minorHAnsi"/>
              <w:noProof/>
              <w:sz w:val="24"/>
              <w:szCs w:val="30"/>
            </w:rPr>
          </w:pPr>
          <w:hyperlink w:anchor="_Toc205532846" w:history="1">
            <w:r w:rsidRPr="00F24CD1">
              <w:rPr>
                <w:rStyle w:val="Hyperlink"/>
                <w:noProof/>
              </w:rPr>
              <w:t>5.1</w:t>
            </w:r>
            <w:r>
              <w:rPr>
                <w:rFonts w:asciiTheme="minorHAnsi" w:hAnsiTheme="minorHAnsi"/>
                <w:noProof/>
                <w:sz w:val="24"/>
                <w:szCs w:val="30"/>
              </w:rPr>
              <w:tab/>
            </w:r>
            <w:r w:rsidRPr="00F24CD1">
              <w:rPr>
                <w:rStyle w:val="Hyperlink"/>
                <w:noProof/>
              </w:rPr>
              <w:t>Formalised structures for whole-system alignment</w:t>
            </w:r>
            <w:r>
              <w:rPr>
                <w:noProof/>
                <w:webHidden/>
              </w:rPr>
              <w:tab/>
            </w:r>
            <w:r>
              <w:rPr>
                <w:noProof/>
                <w:webHidden/>
              </w:rPr>
              <w:fldChar w:fldCharType="begin"/>
            </w:r>
            <w:r>
              <w:rPr>
                <w:noProof/>
                <w:webHidden/>
              </w:rPr>
              <w:instrText xml:space="preserve"> PAGEREF _Toc205532846 \h </w:instrText>
            </w:r>
            <w:r>
              <w:rPr>
                <w:noProof/>
                <w:webHidden/>
              </w:rPr>
            </w:r>
            <w:r>
              <w:rPr>
                <w:noProof/>
                <w:webHidden/>
              </w:rPr>
              <w:fldChar w:fldCharType="separate"/>
            </w:r>
            <w:r w:rsidR="00CE6CF1">
              <w:rPr>
                <w:noProof/>
                <w:webHidden/>
              </w:rPr>
              <w:t>42</w:t>
            </w:r>
            <w:r>
              <w:rPr>
                <w:noProof/>
                <w:webHidden/>
              </w:rPr>
              <w:fldChar w:fldCharType="end"/>
            </w:r>
          </w:hyperlink>
        </w:p>
        <w:p w14:paraId="39B953E6" w14:textId="13A5AFB1" w:rsidR="008B714C" w:rsidRDefault="008B714C" w:rsidP="008B714C">
          <w:pPr>
            <w:pStyle w:val="TOC2"/>
            <w:ind w:left="1134" w:hanging="567"/>
            <w:rPr>
              <w:rFonts w:asciiTheme="minorHAnsi" w:hAnsiTheme="minorHAnsi"/>
              <w:noProof/>
              <w:sz w:val="24"/>
              <w:szCs w:val="30"/>
            </w:rPr>
          </w:pPr>
          <w:hyperlink w:anchor="_Toc205532847" w:history="1">
            <w:r w:rsidRPr="00F24CD1">
              <w:rPr>
                <w:rStyle w:val="Hyperlink"/>
                <w:noProof/>
              </w:rPr>
              <w:t>5.2</w:t>
            </w:r>
            <w:r>
              <w:rPr>
                <w:rFonts w:asciiTheme="minorHAnsi" w:hAnsiTheme="minorHAnsi"/>
                <w:noProof/>
                <w:sz w:val="24"/>
                <w:szCs w:val="30"/>
              </w:rPr>
              <w:tab/>
            </w:r>
            <w:r w:rsidRPr="00F24CD1">
              <w:rPr>
                <w:rStyle w:val="Hyperlink"/>
                <w:noProof/>
              </w:rPr>
              <w:t>Formalised information requirements of relevant upstream and downstream entities</w:t>
            </w:r>
            <w:r>
              <w:rPr>
                <w:noProof/>
                <w:webHidden/>
              </w:rPr>
              <w:tab/>
            </w:r>
            <w:r>
              <w:rPr>
                <w:noProof/>
                <w:webHidden/>
              </w:rPr>
              <w:fldChar w:fldCharType="begin"/>
            </w:r>
            <w:r>
              <w:rPr>
                <w:noProof/>
                <w:webHidden/>
              </w:rPr>
              <w:instrText xml:space="preserve"> PAGEREF _Toc205532847 \h </w:instrText>
            </w:r>
            <w:r>
              <w:rPr>
                <w:noProof/>
                <w:webHidden/>
              </w:rPr>
            </w:r>
            <w:r>
              <w:rPr>
                <w:noProof/>
                <w:webHidden/>
              </w:rPr>
              <w:fldChar w:fldCharType="separate"/>
            </w:r>
            <w:r w:rsidR="00CE6CF1">
              <w:rPr>
                <w:noProof/>
                <w:webHidden/>
              </w:rPr>
              <w:t>43</w:t>
            </w:r>
            <w:r>
              <w:rPr>
                <w:noProof/>
                <w:webHidden/>
              </w:rPr>
              <w:fldChar w:fldCharType="end"/>
            </w:r>
          </w:hyperlink>
        </w:p>
        <w:p w14:paraId="78334005" w14:textId="1E79B9D1" w:rsidR="008B714C" w:rsidRDefault="008B714C" w:rsidP="008B714C">
          <w:pPr>
            <w:pStyle w:val="TOC2"/>
            <w:ind w:left="1134" w:hanging="567"/>
            <w:rPr>
              <w:rFonts w:asciiTheme="minorHAnsi" w:hAnsiTheme="minorHAnsi"/>
              <w:noProof/>
              <w:sz w:val="24"/>
              <w:szCs w:val="30"/>
            </w:rPr>
          </w:pPr>
          <w:hyperlink w:anchor="_Toc205532850" w:history="1">
            <w:r w:rsidRPr="00F24CD1">
              <w:rPr>
                <w:rStyle w:val="Hyperlink"/>
                <w:noProof/>
              </w:rPr>
              <w:t>5.3</w:t>
            </w:r>
            <w:r>
              <w:rPr>
                <w:rFonts w:asciiTheme="minorHAnsi" w:hAnsiTheme="minorHAnsi"/>
                <w:noProof/>
                <w:sz w:val="24"/>
                <w:szCs w:val="30"/>
              </w:rPr>
              <w:tab/>
            </w:r>
            <w:r w:rsidRPr="00F24CD1">
              <w:rPr>
                <w:rStyle w:val="Hyperlink"/>
                <w:noProof/>
              </w:rPr>
              <w:t>Formalised functions and timeframes relevant to upstream and downstream entities</w:t>
            </w:r>
            <w:r>
              <w:rPr>
                <w:noProof/>
                <w:webHidden/>
              </w:rPr>
              <w:tab/>
            </w:r>
            <w:r>
              <w:rPr>
                <w:noProof/>
                <w:webHidden/>
              </w:rPr>
              <w:fldChar w:fldCharType="begin"/>
            </w:r>
            <w:r>
              <w:rPr>
                <w:noProof/>
                <w:webHidden/>
              </w:rPr>
              <w:instrText xml:space="preserve"> PAGEREF _Toc205532850 \h </w:instrText>
            </w:r>
            <w:r>
              <w:rPr>
                <w:noProof/>
                <w:webHidden/>
              </w:rPr>
            </w:r>
            <w:r>
              <w:rPr>
                <w:noProof/>
                <w:webHidden/>
              </w:rPr>
              <w:fldChar w:fldCharType="separate"/>
            </w:r>
            <w:r w:rsidR="00CE6CF1">
              <w:rPr>
                <w:noProof/>
                <w:webHidden/>
              </w:rPr>
              <w:t>49</w:t>
            </w:r>
            <w:r>
              <w:rPr>
                <w:noProof/>
                <w:webHidden/>
              </w:rPr>
              <w:fldChar w:fldCharType="end"/>
            </w:r>
          </w:hyperlink>
        </w:p>
        <w:p w14:paraId="612BE93D" w14:textId="56B71F4D" w:rsidR="008B714C" w:rsidRDefault="008B714C" w:rsidP="008B714C">
          <w:pPr>
            <w:pStyle w:val="TOC2"/>
            <w:ind w:left="1134" w:hanging="567"/>
            <w:rPr>
              <w:rFonts w:asciiTheme="minorHAnsi" w:hAnsiTheme="minorHAnsi"/>
              <w:noProof/>
              <w:sz w:val="24"/>
              <w:szCs w:val="30"/>
            </w:rPr>
          </w:pPr>
          <w:hyperlink w:anchor="_Toc205532851" w:history="1">
            <w:r w:rsidRPr="00F24CD1">
              <w:rPr>
                <w:rStyle w:val="Hyperlink"/>
                <w:noProof/>
              </w:rPr>
              <w:t>5.4</w:t>
            </w:r>
            <w:r>
              <w:rPr>
                <w:rFonts w:asciiTheme="minorHAnsi" w:hAnsiTheme="minorHAnsi"/>
                <w:noProof/>
                <w:sz w:val="24"/>
                <w:szCs w:val="30"/>
              </w:rPr>
              <w:tab/>
            </w:r>
            <w:r w:rsidRPr="00F24CD1">
              <w:rPr>
                <w:rStyle w:val="Hyperlink"/>
                <w:noProof/>
              </w:rPr>
              <w:t>DSO data transformations to provide upstream entities with actionable information at reduced data volumes</w:t>
            </w:r>
            <w:r>
              <w:rPr>
                <w:noProof/>
                <w:webHidden/>
              </w:rPr>
              <w:tab/>
            </w:r>
            <w:r>
              <w:rPr>
                <w:noProof/>
                <w:webHidden/>
              </w:rPr>
              <w:fldChar w:fldCharType="begin"/>
            </w:r>
            <w:r>
              <w:rPr>
                <w:noProof/>
                <w:webHidden/>
              </w:rPr>
              <w:instrText xml:space="preserve"> PAGEREF _Toc205532851 \h </w:instrText>
            </w:r>
            <w:r>
              <w:rPr>
                <w:noProof/>
                <w:webHidden/>
              </w:rPr>
            </w:r>
            <w:r>
              <w:rPr>
                <w:noProof/>
                <w:webHidden/>
              </w:rPr>
              <w:fldChar w:fldCharType="separate"/>
            </w:r>
            <w:r w:rsidR="00CE6CF1">
              <w:rPr>
                <w:noProof/>
                <w:webHidden/>
              </w:rPr>
              <w:t>55</w:t>
            </w:r>
            <w:r>
              <w:rPr>
                <w:noProof/>
                <w:webHidden/>
              </w:rPr>
              <w:fldChar w:fldCharType="end"/>
            </w:r>
          </w:hyperlink>
        </w:p>
        <w:p w14:paraId="6C9FB8E0" w14:textId="7D91C6A2" w:rsidR="008B714C" w:rsidRDefault="008B714C" w:rsidP="008B714C">
          <w:pPr>
            <w:pStyle w:val="TOC2"/>
            <w:ind w:left="1134" w:hanging="567"/>
            <w:rPr>
              <w:rFonts w:asciiTheme="minorHAnsi" w:hAnsiTheme="minorHAnsi"/>
              <w:noProof/>
              <w:sz w:val="24"/>
              <w:szCs w:val="30"/>
            </w:rPr>
          </w:pPr>
          <w:hyperlink w:anchor="_Toc205532852" w:history="1">
            <w:r w:rsidRPr="00F24CD1">
              <w:rPr>
                <w:rStyle w:val="Hyperlink"/>
                <w:noProof/>
              </w:rPr>
              <w:t>5.5</w:t>
            </w:r>
            <w:r>
              <w:rPr>
                <w:rFonts w:asciiTheme="minorHAnsi" w:hAnsiTheme="minorHAnsi"/>
                <w:noProof/>
                <w:sz w:val="24"/>
                <w:szCs w:val="30"/>
              </w:rPr>
              <w:tab/>
            </w:r>
            <w:r w:rsidRPr="00F24CD1">
              <w:rPr>
                <w:rStyle w:val="Hyperlink"/>
                <w:noProof/>
              </w:rPr>
              <w:t>Support multi-layered operational visibility and predictability</w:t>
            </w:r>
            <w:r>
              <w:rPr>
                <w:noProof/>
                <w:webHidden/>
              </w:rPr>
              <w:tab/>
            </w:r>
            <w:r>
              <w:rPr>
                <w:noProof/>
                <w:webHidden/>
              </w:rPr>
              <w:fldChar w:fldCharType="begin"/>
            </w:r>
            <w:r>
              <w:rPr>
                <w:noProof/>
                <w:webHidden/>
              </w:rPr>
              <w:instrText xml:space="preserve"> PAGEREF _Toc205532852 \h </w:instrText>
            </w:r>
            <w:r>
              <w:rPr>
                <w:noProof/>
                <w:webHidden/>
              </w:rPr>
            </w:r>
            <w:r>
              <w:rPr>
                <w:noProof/>
                <w:webHidden/>
              </w:rPr>
              <w:fldChar w:fldCharType="separate"/>
            </w:r>
            <w:r w:rsidR="00CE6CF1">
              <w:rPr>
                <w:noProof/>
                <w:webHidden/>
              </w:rPr>
              <w:t>59</w:t>
            </w:r>
            <w:r>
              <w:rPr>
                <w:noProof/>
                <w:webHidden/>
              </w:rPr>
              <w:fldChar w:fldCharType="end"/>
            </w:r>
          </w:hyperlink>
        </w:p>
        <w:p w14:paraId="468462E9" w14:textId="6E67A70B" w:rsidR="008B714C" w:rsidRDefault="008B714C" w:rsidP="008B714C">
          <w:pPr>
            <w:pStyle w:val="TOC2"/>
            <w:ind w:left="1134" w:hanging="567"/>
            <w:rPr>
              <w:rFonts w:asciiTheme="minorHAnsi" w:hAnsiTheme="minorHAnsi"/>
              <w:noProof/>
              <w:sz w:val="24"/>
              <w:szCs w:val="30"/>
            </w:rPr>
          </w:pPr>
          <w:hyperlink w:anchor="_Toc205532853" w:history="1">
            <w:r w:rsidRPr="00F24CD1">
              <w:rPr>
                <w:rStyle w:val="Hyperlink"/>
                <w:noProof/>
              </w:rPr>
              <w:t>5.6</w:t>
            </w:r>
            <w:r>
              <w:rPr>
                <w:rFonts w:asciiTheme="minorHAnsi" w:hAnsiTheme="minorHAnsi"/>
                <w:noProof/>
                <w:sz w:val="24"/>
                <w:szCs w:val="30"/>
              </w:rPr>
              <w:tab/>
            </w:r>
            <w:r w:rsidRPr="00F24CD1">
              <w:rPr>
                <w:rStyle w:val="Hyperlink"/>
                <w:noProof/>
              </w:rPr>
              <w:t>Support multi-layered, scalable operational coordination</w:t>
            </w:r>
            <w:r>
              <w:rPr>
                <w:noProof/>
                <w:webHidden/>
              </w:rPr>
              <w:tab/>
            </w:r>
            <w:r>
              <w:rPr>
                <w:noProof/>
                <w:webHidden/>
              </w:rPr>
              <w:fldChar w:fldCharType="begin"/>
            </w:r>
            <w:r>
              <w:rPr>
                <w:noProof/>
                <w:webHidden/>
              </w:rPr>
              <w:instrText xml:space="preserve"> PAGEREF _Toc205532853 \h </w:instrText>
            </w:r>
            <w:r>
              <w:rPr>
                <w:noProof/>
                <w:webHidden/>
              </w:rPr>
            </w:r>
            <w:r>
              <w:rPr>
                <w:noProof/>
                <w:webHidden/>
              </w:rPr>
              <w:fldChar w:fldCharType="separate"/>
            </w:r>
            <w:r w:rsidR="00CE6CF1">
              <w:rPr>
                <w:noProof/>
                <w:webHidden/>
              </w:rPr>
              <w:t>60</w:t>
            </w:r>
            <w:r>
              <w:rPr>
                <w:noProof/>
                <w:webHidden/>
              </w:rPr>
              <w:fldChar w:fldCharType="end"/>
            </w:r>
          </w:hyperlink>
        </w:p>
        <w:p w14:paraId="5FD35019" w14:textId="68BB1A3D" w:rsidR="008B714C" w:rsidRDefault="008B714C" w:rsidP="008B714C">
          <w:pPr>
            <w:pStyle w:val="TOC2"/>
            <w:ind w:left="1134" w:hanging="567"/>
            <w:rPr>
              <w:rFonts w:asciiTheme="minorHAnsi" w:hAnsiTheme="minorHAnsi"/>
              <w:noProof/>
              <w:sz w:val="24"/>
              <w:szCs w:val="30"/>
            </w:rPr>
          </w:pPr>
          <w:hyperlink w:anchor="_Toc205532854" w:history="1">
            <w:r w:rsidRPr="00F24CD1">
              <w:rPr>
                <w:rStyle w:val="Hyperlink"/>
                <w:noProof/>
              </w:rPr>
              <w:t>5.7</w:t>
            </w:r>
            <w:r>
              <w:rPr>
                <w:rFonts w:asciiTheme="minorHAnsi" w:hAnsiTheme="minorHAnsi"/>
                <w:noProof/>
                <w:sz w:val="24"/>
                <w:szCs w:val="30"/>
              </w:rPr>
              <w:tab/>
            </w:r>
            <w:r w:rsidRPr="00F24CD1">
              <w:rPr>
                <w:rStyle w:val="Hyperlink"/>
                <w:noProof/>
              </w:rPr>
              <w:t>Support the resolution of operational and planning conflicts</w:t>
            </w:r>
            <w:r>
              <w:rPr>
                <w:noProof/>
                <w:webHidden/>
              </w:rPr>
              <w:tab/>
            </w:r>
            <w:r>
              <w:rPr>
                <w:noProof/>
                <w:webHidden/>
              </w:rPr>
              <w:fldChar w:fldCharType="begin"/>
            </w:r>
            <w:r>
              <w:rPr>
                <w:noProof/>
                <w:webHidden/>
              </w:rPr>
              <w:instrText xml:space="preserve"> PAGEREF _Toc205532854 \h </w:instrText>
            </w:r>
            <w:r>
              <w:rPr>
                <w:noProof/>
                <w:webHidden/>
              </w:rPr>
            </w:r>
            <w:r>
              <w:rPr>
                <w:noProof/>
                <w:webHidden/>
              </w:rPr>
              <w:fldChar w:fldCharType="separate"/>
            </w:r>
            <w:r w:rsidR="00CE6CF1">
              <w:rPr>
                <w:noProof/>
                <w:webHidden/>
              </w:rPr>
              <w:t>62</w:t>
            </w:r>
            <w:r>
              <w:rPr>
                <w:noProof/>
                <w:webHidden/>
              </w:rPr>
              <w:fldChar w:fldCharType="end"/>
            </w:r>
          </w:hyperlink>
        </w:p>
        <w:p w14:paraId="48B4A58D" w14:textId="7AF1097C" w:rsidR="008B714C" w:rsidRDefault="008B714C" w:rsidP="008B714C">
          <w:pPr>
            <w:pStyle w:val="TOC1"/>
            <w:rPr>
              <w:rFonts w:asciiTheme="minorHAnsi" w:hAnsiTheme="minorHAnsi"/>
              <w:szCs w:val="30"/>
            </w:rPr>
          </w:pPr>
          <w:hyperlink w:anchor="_Toc205532855" w:history="1">
            <w:r w:rsidRPr="00F24CD1">
              <w:rPr>
                <w:rStyle w:val="Hyperlink"/>
                <w:lang w:val="en-GB"/>
              </w:rPr>
              <w:t>6</w:t>
            </w:r>
            <w:r>
              <w:rPr>
                <w:rFonts w:asciiTheme="minorHAnsi" w:hAnsiTheme="minorHAnsi"/>
                <w:szCs w:val="30"/>
              </w:rPr>
              <w:tab/>
            </w:r>
            <w:r w:rsidRPr="00F24CD1">
              <w:rPr>
                <w:rStyle w:val="Hyperlink"/>
                <w:lang w:val="en-GB"/>
              </w:rPr>
              <w:t>Data Exchange: Considerations for enabling secure and scalable data and information flows</w:t>
            </w:r>
            <w:r>
              <w:rPr>
                <w:webHidden/>
              </w:rPr>
              <w:tab/>
            </w:r>
            <w:r>
              <w:rPr>
                <w:webHidden/>
              </w:rPr>
              <w:fldChar w:fldCharType="begin"/>
            </w:r>
            <w:r>
              <w:rPr>
                <w:webHidden/>
              </w:rPr>
              <w:instrText xml:space="preserve"> PAGEREF _Toc205532855 \h </w:instrText>
            </w:r>
            <w:r>
              <w:rPr>
                <w:webHidden/>
              </w:rPr>
            </w:r>
            <w:r>
              <w:rPr>
                <w:webHidden/>
              </w:rPr>
              <w:fldChar w:fldCharType="separate"/>
            </w:r>
            <w:r w:rsidR="00CE6CF1">
              <w:rPr>
                <w:webHidden/>
              </w:rPr>
              <w:t>63</w:t>
            </w:r>
            <w:r>
              <w:rPr>
                <w:webHidden/>
              </w:rPr>
              <w:fldChar w:fldCharType="end"/>
            </w:r>
          </w:hyperlink>
        </w:p>
        <w:p w14:paraId="553FDD3A" w14:textId="5702E176" w:rsidR="008B714C" w:rsidRDefault="008B714C" w:rsidP="008B714C">
          <w:pPr>
            <w:pStyle w:val="TOC2"/>
            <w:rPr>
              <w:rFonts w:asciiTheme="minorHAnsi" w:hAnsiTheme="minorHAnsi"/>
              <w:noProof/>
              <w:sz w:val="24"/>
              <w:szCs w:val="30"/>
            </w:rPr>
          </w:pPr>
          <w:hyperlink w:anchor="_Toc205532856" w:history="1">
            <w:r w:rsidRPr="00F24CD1">
              <w:rPr>
                <w:rStyle w:val="Hyperlink"/>
                <w:noProof/>
              </w:rPr>
              <w:t>6.1</w:t>
            </w:r>
            <w:r>
              <w:rPr>
                <w:rFonts w:asciiTheme="minorHAnsi" w:hAnsiTheme="minorHAnsi"/>
                <w:noProof/>
                <w:sz w:val="24"/>
                <w:szCs w:val="30"/>
              </w:rPr>
              <w:tab/>
            </w:r>
            <w:r w:rsidRPr="00F24CD1">
              <w:rPr>
                <w:rStyle w:val="Hyperlink"/>
                <w:noProof/>
              </w:rPr>
              <w:t>Data Requirements</w:t>
            </w:r>
            <w:r>
              <w:rPr>
                <w:noProof/>
                <w:webHidden/>
              </w:rPr>
              <w:tab/>
            </w:r>
            <w:r>
              <w:rPr>
                <w:noProof/>
                <w:webHidden/>
              </w:rPr>
              <w:fldChar w:fldCharType="begin"/>
            </w:r>
            <w:r>
              <w:rPr>
                <w:noProof/>
                <w:webHidden/>
              </w:rPr>
              <w:instrText xml:space="preserve"> PAGEREF _Toc205532856 \h </w:instrText>
            </w:r>
            <w:r>
              <w:rPr>
                <w:noProof/>
                <w:webHidden/>
              </w:rPr>
            </w:r>
            <w:r>
              <w:rPr>
                <w:noProof/>
                <w:webHidden/>
              </w:rPr>
              <w:fldChar w:fldCharType="separate"/>
            </w:r>
            <w:r w:rsidR="00CE6CF1">
              <w:rPr>
                <w:noProof/>
                <w:webHidden/>
              </w:rPr>
              <w:t>63</w:t>
            </w:r>
            <w:r>
              <w:rPr>
                <w:noProof/>
                <w:webHidden/>
              </w:rPr>
              <w:fldChar w:fldCharType="end"/>
            </w:r>
          </w:hyperlink>
        </w:p>
        <w:p w14:paraId="0E16CD18" w14:textId="50EB3E9A" w:rsidR="008B714C" w:rsidRDefault="008B714C" w:rsidP="008B714C">
          <w:pPr>
            <w:pStyle w:val="TOC2"/>
            <w:rPr>
              <w:rFonts w:asciiTheme="minorHAnsi" w:hAnsiTheme="minorHAnsi"/>
              <w:noProof/>
              <w:sz w:val="24"/>
              <w:szCs w:val="30"/>
            </w:rPr>
          </w:pPr>
          <w:hyperlink w:anchor="_Toc205532857" w:history="1">
            <w:r w:rsidRPr="00F24CD1">
              <w:rPr>
                <w:rStyle w:val="Hyperlink"/>
                <w:noProof/>
              </w:rPr>
              <w:t>6.2</w:t>
            </w:r>
            <w:r>
              <w:rPr>
                <w:rFonts w:asciiTheme="minorHAnsi" w:hAnsiTheme="minorHAnsi"/>
                <w:noProof/>
                <w:sz w:val="24"/>
                <w:szCs w:val="30"/>
              </w:rPr>
              <w:tab/>
            </w:r>
            <w:r w:rsidRPr="00F24CD1">
              <w:rPr>
                <w:rStyle w:val="Hyperlink"/>
                <w:noProof/>
              </w:rPr>
              <w:t>Data Models</w:t>
            </w:r>
            <w:r>
              <w:rPr>
                <w:noProof/>
                <w:webHidden/>
              </w:rPr>
              <w:tab/>
            </w:r>
            <w:r>
              <w:rPr>
                <w:noProof/>
                <w:webHidden/>
              </w:rPr>
              <w:fldChar w:fldCharType="begin"/>
            </w:r>
            <w:r>
              <w:rPr>
                <w:noProof/>
                <w:webHidden/>
              </w:rPr>
              <w:instrText xml:space="preserve"> PAGEREF _Toc205532857 \h </w:instrText>
            </w:r>
            <w:r>
              <w:rPr>
                <w:noProof/>
                <w:webHidden/>
              </w:rPr>
            </w:r>
            <w:r>
              <w:rPr>
                <w:noProof/>
                <w:webHidden/>
              </w:rPr>
              <w:fldChar w:fldCharType="separate"/>
            </w:r>
            <w:r w:rsidR="00CE6CF1">
              <w:rPr>
                <w:noProof/>
                <w:webHidden/>
              </w:rPr>
              <w:t>67</w:t>
            </w:r>
            <w:r>
              <w:rPr>
                <w:noProof/>
                <w:webHidden/>
              </w:rPr>
              <w:fldChar w:fldCharType="end"/>
            </w:r>
          </w:hyperlink>
        </w:p>
        <w:p w14:paraId="35034FC4" w14:textId="4535C84D" w:rsidR="008B714C" w:rsidRDefault="008B714C" w:rsidP="008B714C">
          <w:pPr>
            <w:pStyle w:val="TOC2"/>
            <w:rPr>
              <w:rFonts w:asciiTheme="minorHAnsi" w:hAnsiTheme="minorHAnsi"/>
              <w:noProof/>
              <w:sz w:val="24"/>
              <w:szCs w:val="30"/>
            </w:rPr>
          </w:pPr>
          <w:hyperlink w:anchor="_Toc205532859" w:history="1">
            <w:r w:rsidRPr="00F24CD1">
              <w:rPr>
                <w:rStyle w:val="Hyperlink"/>
                <w:noProof/>
              </w:rPr>
              <w:t>6.3</w:t>
            </w:r>
            <w:r>
              <w:rPr>
                <w:rFonts w:asciiTheme="minorHAnsi" w:hAnsiTheme="minorHAnsi"/>
                <w:noProof/>
                <w:sz w:val="24"/>
                <w:szCs w:val="30"/>
              </w:rPr>
              <w:tab/>
            </w:r>
            <w:r w:rsidRPr="00F24CD1">
              <w:rPr>
                <w:rStyle w:val="Hyperlink"/>
                <w:noProof/>
              </w:rPr>
              <w:t>Data Communications</w:t>
            </w:r>
            <w:r>
              <w:rPr>
                <w:noProof/>
                <w:webHidden/>
              </w:rPr>
              <w:tab/>
            </w:r>
            <w:r>
              <w:rPr>
                <w:noProof/>
                <w:webHidden/>
              </w:rPr>
              <w:fldChar w:fldCharType="begin"/>
            </w:r>
            <w:r>
              <w:rPr>
                <w:noProof/>
                <w:webHidden/>
              </w:rPr>
              <w:instrText xml:space="preserve"> PAGEREF _Toc205532859 \h </w:instrText>
            </w:r>
            <w:r>
              <w:rPr>
                <w:noProof/>
                <w:webHidden/>
              </w:rPr>
            </w:r>
            <w:r>
              <w:rPr>
                <w:noProof/>
                <w:webHidden/>
              </w:rPr>
              <w:fldChar w:fldCharType="separate"/>
            </w:r>
            <w:r w:rsidR="00CE6CF1">
              <w:rPr>
                <w:noProof/>
                <w:webHidden/>
              </w:rPr>
              <w:t>69</w:t>
            </w:r>
            <w:r>
              <w:rPr>
                <w:noProof/>
                <w:webHidden/>
              </w:rPr>
              <w:fldChar w:fldCharType="end"/>
            </w:r>
          </w:hyperlink>
        </w:p>
        <w:p w14:paraId="48B7762F" w14:textId="56CCAE86" w:rsidR="008B714C" w:rsidRDefault="008B714C" w:rsidP="008B714C">
          <w:pPr>
            <w:pStyle w:val="TOC2"/>
            <w:rPr>
              <w:rFonts w:asciiTheme="minorHAnsi" w:hAnsiTheme="minorHAnsi"/>
              <w:noProof/>
              <w:sz w:val="24"/>
              <w:szCs w:val="30"/>
            </w:rPr>
          </w:pPr>
          <w:hyperlink w:anchor="_Toc205532866" w:history="1">
            <w:r w:rsidRPr="00F24CD1">
              <w:rPr>
                <w:rStyle w:val="Hyperlink"/>
                <w:noProof/>
              </w:rPr>
              <w:t>6.4</w:t>
            </w:r>
            <w:r>
              <w:rPr>
                <w:rFonts w:asciiTheme="minorHAnsi" w:hAnsiTheme="minorHAnsi"/>
                <w:noProof/>
                <w:sz w:val="24"/>
                <w:szCs w:val="30"/>
              </w:rPr>
              <w:tab/>
            </w:r>
            <w:r w:rsidRPr="00F24CD1">
              <w:rPr>
                <w:rStyle w:val="Hyperlink"/>
                <w:noProof/>
              </w:rPr>
              <w:t>Data and Cyber Security</w:t>
            </w:r>
            <w:r>
              <w:rPr>
                <w:noProof/>
                <w:webHidden/>
              </w:rPr>
              <w:tab/>
            </w:r>
            <w:r>
              <w:rPr>
                <w:noProof/>
                <w:webHidden/>
              </w:rPr>
              <w:fldChar w:fldCharType="begin"/>
            </w:r>
            <w:r>
              <w:rPr>
                <w:noProof/>
                <w:webHidden/>
              </w:rPr>
              <w:instrText xml:space="preserve"> PAGEREF _Toc205532866 \h </w:instrText>
            </w:r>
            <w:r>
              <w:rPr>
                <w:noProof/>
                <w:webHidden/>
              </w:rPr>
            </w:r>
            <w:r>
              <w:rPr>
                <w:noProof/>
                <w:webHidden/>
              </w:rPr>
              <w:fldChar w:fldCharType="separate"/>
            </w:r>
            <w:r w:rsidR="00CE6CF1">
              <w:rPr>
                <w:noProof/>
                <w:webHidden/>
              </w:rPr>
              <w:t>76</w:t>
            </w:r>
            <w:r>
              <w:rPr>
                <w:noProof/>
                <w:webHidden/>
              </w:rPr>
              <w:fldChar w:fldCharType="end"/>
            </w:r>
          </w:hyperlink>
        </w:p>
        <w:p w14:paraId="4287D775" w14:textId="720B2C27" w:rsidR="008B714C" w:rsidRDefault="008B714C" w:rsidP="008B714C">
          <w:pPr>
            <w:pStyle w:val="TOC1"/>
            <w:rPr>
              <w:rFonts w:asciiTheme="minorHAnsi" w:hAnsiTheme="minorHAnsi"/>
              <w:szCs w:val="30"/>
            </w:rPr>
          </w:pPr>
          <w:hyperlink w:anchor="_Toc205532869" w:history="1">
            <w:r w:rsidRPr="00F24CD1">
              <w:rPr>
                <w:rStyle w:val="Hyperlink"/>
                <w:rFonts w:cs="Calibri"/>
              </w:rPr>
              <w:t>7</w:t>
            </w:r>
            <w:r>
              <w:rPr>
                <w:rFonts w:asciiTheme="minorHAnsi" w:hAnsiTheme="minorHAnsi"/>
                <w:szCs w:val="30"/>
              </w:rPr>
              <w:tab/>
            </w:r>
            <w:r w:rsidRPr="00F24CD1">
              <w:rPr>
                <w:rStyle w:val="Hyperlink"/>
                <w:rFonts w:cs="Calibri"/>
              </w:rPr>
              <w:t>Core Functions: Examining key T-D Coordination functions and timeframes</w:t>
            </w:r>
            <w:r>
              <w:rPr>
                <w:webHidden/>
              </w:rPr>
              <w:tab/>
            </w:r>
            <w:r>
              <w:rPr>
                <w:webHidden/>
              </w:rPr>
              <w:fldChar w:fldCharType="begin"/>
            </w:r>
            <w:r>
              <w:rPr>
                <w:webHidden/>
              </w:rPr>
              <w:instrText xml:space="preserve"> PAGEREF _Toc205532869 \h </w:instrText>
            </w:r>
            <w:r>
              <w:rPr>
                <w:webHidden/>
              </w:rPr>
            </w:r>
            <w:r>
              <w:rPr>
                <w:webHidden/>
              </w:rPr>
              <w:fldChar w:fldCharType="separate"/>
            </w:r>
            <w:r w:rsidR="00CE6CF1">
              <w:rPr>
                <w:webHidden/>
              </w:rPr>
              <w:t>84</w:t>
            </w:r>
            <w:r>
              <w:rPr>
                <w:webHidden/>
              </w:rPr>
              <w:fldChar w:fldCharType="end"/>
            </w:r>
          </w:hyperlink>
        </w:p>
        <w:p w14:paraId="706179BE" w14:textId="5AB558B9" w:rsidR="008B714C" w:rsidRDefault="008B714C" w:rsidP="008B714C">
          <w:pPr>
            <w:pStyle w:val="TOC2"/>
            <w:rPr>
              <w:rFonts w:asciiTheme="minorHAnsi" w:hAnsiTheme="minorHAnsi"/>
              <w:noProof/>
              <w:sz w:val="24"/>
              <w:szCs w:val="30"/>
            </w:rPr>
          </w:pPr>
          <w:hyperlink w:anchor="_Toc205532870" w:history="1">
            <w:r w:rsidRPr="00F24CD1">
              <w:rPr>
                <w:rStyle w:val="Hyperlink"/>
                <w:noProof/>
              </w:rPr>
              <w:t>7.1</w:t>
            </w:r>
            <w:r>
              <w:rPr>
                <w:rFonts w:asciiTheme="minorHAnsi" w:hAnsiTheme="minorHAnsi"/>
                <w:noProof/>
                <w:sz w:val="24"/>
                <w:szCs w:val="30"/>
              </w:rPr>
              <w:tab/>
            </w:r>
            <w:r w:rsidRPr="00F24CD1">
              <w:rPr>
                <w:rStyle w:val="Hyperlink"/>
                <w:noProof/>
              </w:rPr>
              <w:t>Structural Coordination and Data Exchange</w:t>
            </w:r>
            <w:r>
              <w:rPr>
                <w:noProof/>
                <w:webHidden/>
              </w:rPr>
              <w:tab/>
            </w:r>
            <w:r>
              <w:rPr>
                <w:noProof/>
                <w:webHidden/>
              </w:rPr>
              <w:fldChar w:fldCharType="begin"/>
            </w:r>
            <w:r>
              <w:rPr>
                <w:noProof/>
                <w:webHidden/>
              </w:rPr>
              <w:instrText xml:space="preserve"> PAGEREF _Toc205532870 \h </w:instrText>
            </w:r>
            <w:r>
              <w:rPr>
                <w:noProof/>
                <w:webHidden/>
              </w:rPr>
            </w:r>
            <w:r>
              <w:rPr>
                <w:noProof/>
                <w:webHidden/>
              </w:rPr>
              <w:fldChar w:fldCharType="separate"/>
            </w:r>
            <w:r w:rsidR="00CE6CF1">
              <w:rPr>
                <w:noProof/>
                <w:webHidden/>
              </w:rPr>
              <w:t>90</w:t>
            </w:r>
            <w:r>
              <w:rPr>
                <w:noProof/>
                <w:webHidden/>
              </w:rPr>
              <w:fldChar w:fldCharType="end"/>
            </w:r>
          </w:hyperlink>
        </w:p>
        <w:p w14:paraId="668870D9" w14:textId="44145935" w:rsidR="008B714C" w:rsidRDefault="008B714C" w:rsidP="008B714C">
          <w:pPr>
            <w:pStyle w:val="TOC2"/>
            <w:rPr>
              <w:rFonts w:asciiTheme="minorHAnsi" w:hAnsiTheme="minorHAnsi"/>
              <w:noProof/>
              <w:sz w:val="24"/>
              <w:szCs w:val="30"/>
            </w:rPr>
          </w:pPr>
          <w:hyperlink w:anchor="_Toc205532871" w:history="1">
            <w:r w:rsidRPr="00F24CD1">
              <w:rPr>
                <w:rStyle w:val="Hyperlink"/>
                <w:noProof/>
              </w:rPr>
              <w:t>7.2</w:t>
            </w:r>
            <w:r>
              <w:rPr>
                <w:rFonts w:asciiTheme="minorHAnsi" w:hAnsiTheme="minorHAnsi"/>
                <w:noProof/>
                <w:sz w:val="24"/>
                <w:szCs w:val="30"/>
              </w:rPr>
              <w:tab/>
            </w:r>
            <w:r w:rsidRPr="00F24CD1">
              <w:rPr>
                <w:rStyle w:val="Hyperlink"/>
                <w:noProof/>
              </w:rPr>
              <w:t>Scheduled Coordination and Data Exchange</w:t>
            </w:r>
            <w:r>
              <w:rPr>
                <w:noProof/>
                <w:webHidden/>
              </w:rPr>
              <w:tab/>
            </w:r>
            <w:r>
              <w:rPr>
                <w:noProof/>
                <w:webHidden/>
              </w:rPr>
              <w:fldChar w:fldCharType="begin"/>
            </w:r>
            <w:r>
              <w:rPr>
                <w:noProof/>
                <w:webHidden/>
              </w:rPr>
              <w:instrText xml:space="preserve"> PAGEREF _Toc205532871 \h </w:instrText>
            </w:r>
            <w:r>
              <w:rPr>
                <w:noProof/>
                <w:webHidden/>
              </w:rPr>
            </w:r>
            <w:r>
              <w:rPr>
                <w:noProof/>
                <w:webHidden/>
              </w:rPr>
              <w:fldChar w:fldCharType="separate"/>
            </w:r>
            <w:r w:rsidR="00CE6CF1">
              <w:rPr>
                <w:noProof/>
                <w:webHidden/>
              </w:rPr>
              <w:t>92</w:t>
            </w:r>
            <w:r>
              <w:rPr>
                <w:noProof/>
                <w:webHidden/>
              </w:rPr>
              <w:fldChar w:fldCharType="end"/>
            </w:r>
          </w:hyperlink>
        </w:p>
        <w:p w14:paraId="1B5E145E" w14:textId="69C7FADF" w:rsidR="008B714C" w:rsidRDefault="008B714C" w:rsidP="008B714C">
          <w:pPr>
            <w:pStyle w:val="TOC2"/>
            <w:rPr>
              <w:rFonts w:asciiTheme="minorHAnsi" w:hAnsiTheme="minorHAnsi"/>
              <w:noProof/>
              <w:sz w:val="24"/>
              <w:szCs w:val="30"/>
            </w:rPr>
          </w:pPr>
          <w:hyperlink w:anchor="_Toc205532872" w:history="1">
            <w:r w:rsidRPr="00F24CD1">
              <w:rPr>
                <w:rStyle w:val="Hyperlink"/>
                <w:noProof/>
              </w:rPr>
              <w:t>7.3</w:t>
            </w:r>
            <w:r>
              <w:rPr>
                <w:rFonts w:asciiTheme="minorHAnsi" w:hAnsiTheme="minorHAnsi"/>
                <w:noProof/>
                <w:sz w:val="24"/>
                <w:szCs w:val="30"/>
              </w:rPr>
              <w:tab/>
            </w:r>
            <w:r w:rsidRPr="00F24CD1">
              <w:rPr>
                <w:rStyle w:val="Hyperlink"/>
                <w:noProof/>
              </w:rPr>
              <w:t>Real-time Coordination and Data Exchange</w:t>
            </w:r>
            <w:r>
              <w:rPr>
                <w:noProof/>
                <w:webHidden/>
              </w:rPr>
              <w:tab/>
            </w:r>
            <w:r>
              <w:rPr>
                <w:noProof/>
                <w:webHidden/>
              </w:rPr>
              <w:fldChar w:fldCharType="begin"/>
            </w:r>
            <w:r>
              <w:rPr>
                <w:noProof/>
                <w:webHidden/>
              </w:rPr>
              <w:instrText xml:space="preserve"> PAGEREF _Toc205532872 \h </w:instrText>
            </w:r>
            <w:r>
              <w:rPr>
                <w:noProof/>
                <w:webHidden/>
              </w:rPr>
            </w:r>
            <w:r>
              <w:rPr>
                <w:noProof/>
                <w:webHidden/>
              </w:rPr>
              <w:fldChar w:fldCharType="separate"/>
            </w:r>
            <w:r w:rsidR="00CE6CF1">
              <w:rPr>
                <w:noProof/>
                <w:webHidden/>
              </w:rPr>
              <w:t>94</w:t>
            </w:r>
            <w:r>
              <w:rPr>
                <w:noProof/>
                <w:webHidden/>
              </w:rPr>
              <w:fldChar w:fldCharType="end"/>
            </w:r>
          </w:hyperlink>
        </w:p>
        <w:p w14:paraId="03402455" w14:textId="11393467" w:rsidR="008B714C" w:rsidRDefault="008B714C" w:rsidP="008B714C">
          <w:pPr>
            <w:pStyle w:val="TOC1"/>
            <w:rPr>
              <w:rFonts w:asciiTheme="minorHAnsi" w:hAnsiTheme="minorHAnsi"/>
              <w:szCs w:val="30"/>
            </w:rPr>
          </w:pPr>
          <w:hyperlink w:anchor="_Toc205532873" w:history="1">
            <w:r w:rsidRPr="00F24CD1">
              <w:rPr>
                <w:rStyle w:val="Hyperlink"/>
                <w:lang w:val="en-GB"/>
              </w:rPr>
              <w:t>8</w:t>
            </w:r>
            <w:r>
              <w:rPr>
                <w:rFonts w:asciiTheme="minorHAnsi" w:hAnsiTheme="minorHAnsi"/>
                <w:szCs w:val="30"/>
              </w:rPr>
              <w:tab/>
            </w:r>
            <w:r w:rsidRPr="00F24CD1">
              <w:rPr>
                <w:rStyle w:val="Hyperlink"/>
                <w:lang w:val="en-GB"/>
              </w:rPr>
              <w:t>TDC Benefits: The societal and whole-system benefits TDC is expected to deliver</w:t>
            </w:r>
            <w:r>
              <w:rPr>
                <w:webHidden/>
              </w:rPr>
              <w:tab/>
            </w:r>
            <w:r>
              <w:rPr>
                <w:webHidden/>
              </w:rPr>
              <w:fldChar w:fldCharType="begin"/>
            </w:r>
            <w:r>
              <w:rPr>
                <w:webHidden/>
              </w:rPr>
              <w:instrText xml:space="preserve"> PAGEREF _Toc205532873 \h </w:instrText>
            </w:r>
            <w:r>
              <w:rPr>
                <w:webHidden/>
              </w:rPr>
            </w:r>
            <w:r>
              <w:rPr>
                <w:webHidden/>
              </w:rPr>
              <w:fldChar w:fldCharType="separate"/>
            </w:r>
            <w:r w:rsidR="00CE6CF1">
              <w:rPr>
                <w:webHidden/>
              </w:rPr>
              <w:t>96</w:t>
            </w:r>
            <w:r>
              <w:rPr>
                <w:webHidden/>
              </w:rPr>
              <w:fldChar w:fldCharType="end"/>
            </w:r>
          </w:hyperlink>
        </w:p>
        <w:p w14:paraId="4EBE7D9C" w14:textId="324DA7FF" w:rsidR="008B714C" w:rsidRDefault="008B714C" w:rsidP="008B714C">
          <w:pPr>
            <w:pStyle w:val="TOC2"/>
            <w:rPr>
              <w:rFonts w:asciiTheme="minorHAnsi" w:hAnsiTheme="minorHAnsi"/>
              <w:noProof/>
              <w:sz w:val="24"/>
              <w:szCs w:val="30"/>
            </w:rPr>
          </w:pPr>
          <w:hyperlink w:anchor="_Toc205532874" w:history="1">
            <w:r w:rsidRPr="00F24CD1">
              <w:rPr>
                <w:rStyle w:val="Hyperlink"/>
                <w:noProof/>
              </w:rPr>
              <w:t>8.1</w:t>
            </w:r>
            <w:r>
              <w:rPr>
                <w:rFonts w:asciiTheme="minorHAnsi" w:hAnsiTheme="minorHAnsi"/>
                <w:noProof/>
                <w:sz w:val="24"/>
                <w:szCs w:val="30"/>
              </w:rPr>
              <w:tab/>
            </w:r>
            <w:r w:rsidRPr="00F24CD1">
              <w:rPr>
                <w:rStyle w:val="Hyperlink"/>
                <w:noProof/>
              </w:rPr>
              <w:t>Societal Benefits</w:t>
            </w:r>
            <w:r>
              <w:rPr>
                <w:noProof/>
                <w:webHidden/>
              </w:rPr>
              <w:tab/>
            </w:r>
            <w:r>
              <w:rPr>
                <w:noProof/>
                <w:webHidden/>
              </w:rPr>
              <w:fldChar w:fldCharType="begin"/>
            </w:r>
            <w:r>
              <w:rPr>
                <w:noProof/>
                <w:webHidden/>
              </w:rPr>
              <w:instrText xml:space="preserve"> PAGEREF _Toc205532874 \h </w:instrText>
            </w:r>
            <w:r>
              <w:rPr>
                <w:noProof/>
                <w:webHidden/>
              </w:rPr>
            </w:r>
            <w:r>
              <w:rPr>
                <w:noProof/>
                <w:webHidden/>
              </w:rPr>
              <w:fldChar w:fldCharType="separate"/>
            </w:r>
            <w:r w:rsidR="00CE6CF1">
              <w:rPr>
                <w:noProof/>
                <w:webHidden/>
              </w:rPr>
              <w:t>96</w:t>
            </w:r>
            <w:r>
              <w:rPr>
                <w:noProof/>
                <w:webHidden/>
              </w:rPr>
              <w:fldChar w:fldCharType="end"/>
            </w:r>
          </w:hyperlink>
        </w:p>
        <w:p w14:paraId="7CE5B45E" w14:textId="7D8E4625" w:rsidR="008B714C" w:rsidRDefault="008B714C" w:rsidP="008B714C">
          <w:pPr>
            <w:pStyle w:val="TOC2"/>
            <w:rPr>
              <w:rFonts w:asciiTheme="minorHAnsi" w:hAnsiTheme="minorHAnsi"/>
              <w:noProof/>
              <w:sz w:val="24"/>
              <w:szCs w:val="30"/>
            </w:rPr>
          </w:pPr>
          <w:hyperlink w:anchor="_Toc205532875" w:history="1">
            <w:r w:rsidRPr="00F24CD1">
              <w:rPr>
                <w:rStyle w:val="Hyperlink"/>
                <w:noProof/>
              </w:rPr>
              <w:t>8.2</w:t>
            </w:r>
            <w:r>
              <w:rPr>
                <w:rFonts w:asciiTheme="minorHAnsi" w:hAnsiTheme="minorHAnsi"/>
                <w:noProof/>
                <w:sz w:val="24"/>
                <w:szCs w:val="30"/>
              </w:rPr>
              <w:tab/>
            </w:r>
            <w:r w:rsidRPr="00F24CD1">
              <w:rPr>
                <w:rStyle w:val="Hyperlink"/>
                <w:noProof/>
              </w:rPr>
              <w:t>Strategic Transformation Risks</w:t>
            </w:r>
            <w:r>
              <w:rPr>
                <w:noProof/>
                <w:webHidden/>
              </w:rPr>
              <w:tab/>
            </w:r>
            <w:r>
              <w:rPr>
                <w:noProof/>
                <w:webHidden/>
              </w:rPr>
              <w:fldChar w:fldCharType="begin"/>
            </w:r>
            <w:r>
              <w:rPr>
                <w:noProof/>
                <w:webHidden/>
              </w:rPr>
              <w:instrText xml:space="preserve"> PAGEREF _Toc205532875 \h </w:instrText>
            </w:r>
            <w:r>
              <w:rPr>
                <w:noProof/>
                <w:webHidden/>
              </w:rPr>
            </w:r>
            <w:r>
              <w:rPr>
                <w:noProof/>
                <w:webHidden/>
              </w:rPr>
              <w:fldChar w:fldCharType="separate"/>
            </w:r>
            <w:r w:rsidR="00CE6CF1">
              <w:rPr>
                <w:noProof/>
                <w:webHidden/>
              </w:rPr>
              <w:t>97</w:t>
            </w:r>
            <w:r>
              <w:rPr>
                <w:noProof/>
                <w:webHidden/>
              </w:rPr>
              <w:fldChar w:fldCharType="end"/>
            </w:r>
          </w:hyperlink>
        </w:p>
        <w:p w14:paraId="1345842B" w14:textId="07BF1986" w:rsidR="008B714C" w:rsidRDefault="008B714C" w:rsidP="008B714C">
          <w:pPr>
            <w:pStyle w:val="TOC2"/>
            <w:rPr>
              <w:rFonts w:asciiTheme="minorHAnsi" w:hAnsiTheme="minorHAnsi"/>
              <w:noProof/>
              <w:sz w:val="24"/>
              <w:szCs w:val="30"/>
            </w:rPr>
          </w:pPr>
          <w:hyperlink w:anchor="_Toc205532876" w:history="1">
            <w:r w:rsidRPr="00F24CD1">
              <w:rPr>
                <w:rStyle w:val="Hyperlink"/>
                <w:noProof/>
              </w:rPr>
              <w:t>8.3</w:t>
            </w:r>
            <w:r>
              <w:rPr>
                <w:rFonts w:asciiTheme="minorHAnsi" w:hAnsiTheme="minorHAnsi"/>
                <w:noProof/>
                <w:sz w:val="24"/>
                <w:szCs w:val="30"/>
              </w:rPr>
              <w:tab/>
            </w:r>
            <w:r w:rsidRPr="00F24CD1">
              <w:rPr>
                <w:rStyle w:val="Hyperlink"/>
                <w:noProof/>
              </w:rPr>
              <w:t>Core Structural and Operability Issues</w:t>
            </w:r>
            <w:r>
              <w:rPr>
                <w:noProof/>
                <w:webHidden/>
              </w:rPr>
              <w:tab/>
            </w:r>
            <w:r>
              <w:rPr>
                <w:noProof/>
                <w:webHidden/>
              </w:rPr>
              <w:fldChar w:fldCharType="begin"/>
            </w:r>
            <w:r>
              <w:rPr>
                <w:noProof/>
                <w:webHidden/>
              </w:rPr>
              <w:instrText xml:space="preserve"> PAGEREF _Toc205532876 \h </w:instrText>
            </w:r>
            <w:r>
              <w:rPr>
                <w:noProof/>
                <w:webHidden/>
              </w:rPr>
            </w:r>
            <w:r>
              <w:rPr>
                <w:noProof/>
                <w:webHidden/>
              </w:rPr>
              <w:fldChar w:fldCharType="separate"/>
            </w:r>
            <w:r w:rsidR="00CE6CF1">
              <w:rPr>
                <w:noProof/>
                <w:webHidden/>
              </w:rPr>
              <w:t>98</w:t>
            </w:r>
            <w:r>
              <w:rPr>
                <w:noProof/>
                <w:webHidden/>
              </w:rPr>
              <w:fldChar w:fldCharType="end"/>
            </w:r>
          </w:hyperlink>
        </w:p>
        <w:p w14:paraId="6CEC2F93" w14:textId="23FD46C9" w:rsidR="008B714C" w:rsidRDefault="008B714C" w:rsidP="008B714C">
          <w:pPr>
            <w:pStyle w:val="TOC2"/>
            <w:rPr>
              <w:rFonts w:asciiTheme="minorHAnsi" w:hAnsiTheme="minorHAnsi"/>
              <w:noProof/>
              <w:sz w:val="24"/>
              <w:szCs w:val="30"/>
            </w:rPr>
          </w:pPr>
          <w:hyperlink w:anchor="_Toc205532877" w:history="1">
            <w:r w:rsidRPr="00F24CD1">
              <w:rPr>
                <w:rStyle w:val="Hyperlink"/>
                <w:noProof/>
              </w:rPr>
              <w:t>8.4</w:t>
            </w:r>
            <w:r>
              <w:rPr>
                <w:rFonts w:asciiTheme="minorHAnsi" w:hAnsiTheme="minorHAnsi"/>
                <w:noProof/>
                <w:sz w:val="24"/>
                <w:szCs w:val="30"/>
              </w:rPr>
              <w:tab/>
            </w:r>
            <w:r w:rsidRPr="00F24CD1">
              <w:rPr>
                <w:rStyle w:val="Hyperlink"/>
                <w:noProof/>
              </w:rPr>
              <w:t>Digitalisation and Scalability Risks</w:t>
            </w:r>
            <w:r>
              <w:rPr>
                <w:noProof/>
                <w:webHidden/>
              </w:rPr>
              <w:tab/>
            </w:r>
            <w:r>
              <w:rPr>
                <w:noProof/>
                <w:webHidden/>
              </w:rPr>
              <w:fldChar w:fldCharType="begin"/>
            </w:r>
            <w:r>
              <w:rPr>
                <w:noProof/>
                <w:webHidden/>
              </w:rPr>
              <w:instrText xml:space="preserve"> PAGEREF _Toc205532877 \h </w:instrText>
            </w:r>
            <w:r>
              <w:rPr>
                <w:noProof/>
                <w:webHidden/>
              </w:rPr>
            </w:r>
            <w:r>
              <w:rPr>
                <w:noProof/>
                <w:webHidden/>
              </w:rPr>
              <w:fldChar w:fldCharType="separate"/>
            </w:r>
            <w:r w:rsidR="00CE6CF1">
              <w:rPr>
                <w:noProof/>
                <w:webHidden/>
              </w:rPr>
              <w:t>99</w:t>
            </w:r>
            <w:r>
              <w:rPr>
                <w:noProof/>
                <w:webHidden/>
              </w:rPr>
              <w:fldChar w:fldCharType="end"/>
            </w:r>
          </w:hyperlink>
        </w:p>
        <w:p w14:paraId="3BE9FEF5" w14:textId="4EEDE817" w:rsidR="008B714C" w:rsidRDefault="008B714C" w:rsidP="008B714C">
          <w:pPr>
            <w:pStyle w:val="TOC2"/>
            <w:rPr>
              <w:rFonts w:asciiTheme="minorHAnsi" w:hAnsiTheme="minorHAnsi"/>
              <w:noProof/>
              <w:sz w:val="24"/>
              <w:szCs w:val="30"/>
            </w:rPr>
          </w:pPr>
          <w:hyperlink w:anchor="_Toc205532878" w:history="1">
            <w:r w:rsidRPr="00F24CD1">
              <w:rPr>
                <w:rStyle w:val="Hyperlink"/>
                <w:noProof/>
              </w:rPr>
              <w:t>8.5</w:t>
            </w:r>
            <w:r>
              <w:rPr>
                <w:rFonts w:asciiTheme="minorHAnsi" w:hAnsiTheme="minorHAnsi"/>
                <w:noProof/>
                <w:sz w:val="24"/>
                <w:szCs w:val="30"/>
              </w:rPr>
              <w:tab/>
            </w:r>
            <w:r w:rsidRPr="00F24CD1">
              <w:rPr>
                <w:rStyle w:val="Hyperlink"/>
                <w:noProof/>
              </w:rPr>
              <w:t>Sectoral Alignment and Participation Risks</w:t>
            </w:r>
            <w:r>
              <w:rPr>
                <w:noProof/>
                <w:webHidden/>
              </w:rPr>
              <w:tab/>
            </w:r>
            <w:r>
              <w:rPr>
                <w:noProof/>
                <w:webHidden/>
              </w:rPr>
              <w:fldChar w:fldCharType="begin"/>
            </w:r>
            <w:r>
              <w:rPr>
                <w:noProof/>
                <w:webHidden/>
              </w:rPr>
              <w:instrText xml:space="preserve"> PAGEREF _Toc205532878 \h </w:instrText>
            </w:r>
            <w:r>
              <w:rPr>
                <w:noProof/>
                <w:webHidden/>
              </w:rPr>
            </w:r>
            <w:r>
              <w:rPr>
                <w:noProof/>
                <w:webHidden/>
              </w:rPr>
              <w:fldChar w:fldCharType="separate"/>
            </w:r>
            <w:r w:rsidR="00CE6CF1">
              <w:rPr>
                <w:noProof/>
                <w:webHidden/>
              </w:rPr>
              <w:t>100</w:t>
            </w:r>
            <w:r>
              <w:rPr>
                <w:noProof/>
                <w:webHidden/>
              </w:rPr>
              <w:fldChar w:fldCharType="end"/>
            </w:r>
          </w:hyperlink>
        </w:p>
        <w:p w14:paraId="1AE6CDDB" w14:textId="11EAA1DD" w:rsidR="008B714C" w:rsidRDefault="008B714C" w:rsidP="008B714C">
          <w:pPr>
            <w:pStyle w:val="TOC1"/>
            <w:rPr>
              <w:rFonts w:asciiTheme="minorHAnsi" w:hAnsiTheme="minorHAnsi"/>
              <w:szCs w:val="30"/>
            </w:rPr>
          </w:pPr>
          <w:hyperlink w:anchor="_Toc205532879" w:history="1">
            <w:r w:rsidRPr="00F24CD1">
              <w:rPr>
                <w:rStyle w:val="Hyperlink"/>
              </w:rPr>
              <w:t>9</w:t>
            </w:r>
            <w:r>
              <w:rPr>
                <w:rFonts w:asciiTheme="minorHAnsi" w:hAnsiTheme="minorHAnsi"/>
                <w:szCs w:val="30"/>
              </w:rPr>
              <w:tab/>
            </w:r>
            <w:r w:rsidRPr="00F24CD1">
              <w:rPr>
                <w:rStyle w:val="Hyperlink"/>
              </w:rPr>
              <w:t>Recommended Priority Actions</w:t>
            </w:r>
            <w:r>
              <w:rPr>
                <w:webHidden/>
              </w:rPr>
              <w:tab/>
            </w:r>
            <w:r>
              <w:rPr>
                <w:webHidden/>
              </w:rPr>
              <w:fldChar w:fldCharType="begin"/>
            </w:r>
            <w:r>
              <w:rPr>
                <w:webHidden/>
              </w:rPr>
              <w:instrText xml:space="preserve"> PAGEREF _Toc205532879 \h </w:instrText>
            </w:r>
            <w:r>
              <w:rPr>
                <w:webHidden/>
              </w:rPr>
            </w:r>
            <w:r>
              <w:rPr>
                <w:webHidden/>
              </w:rPr>
              <w:fldChar w:fldCharType="separate"/>
            </w:r>
            <w:r w:rsidR="00CE6CF1">
              <w:rPr>
                <w:webHidden/>
              </w:rPr>
              <w:t>101</w:t>
            </w:r>
            <w:r>
              <w:rPr>
                <w:webHidden/>
              </w:rPr>
              <w:fldChar w:fldCharType="end"/>
            </w:r>
          </w:hyperlink>
        </w:p>
        <w:p w14:paraId="2373FDA9" w14:textId="313DBCC3" w:rsidR="008B714C" w:rsidRDefault="008B714C" w:rsidP="009E656A">
          <w:pPr>
            <w:pStyle w:val="TOC2"/>
            <w:ind w:left="1134" w:hanging="567"/>
            <w:rPr>
              <w:rFonts w:asciiTheme="minorHAnsi" w:hAnsiTheme="minorHAnsi"/>
              <w:noProof/>
              <w:sz w:val="24"/>
              <w:szCs w:val="30"/>
            </w:rPr>
          </w:pPr>
          <w:hyperlink w:anchor="_Toc205532880" w:history="1">
            <w:r w:rsidRPr="00F24CD1">
              <w:rPr>
                <w:rStyle w:val="Hyperlink"/>
                <w:noProof/>
              </w:rPr>
              <w:t>9.1</w:t>
            </w:r>
            <w:r>
              <w:rPr>
                <w:rFonts w:asciiTheme="minorHAnsi" w:hAnsiTheme="minorHAnsi"/>
                <w:noProof/>
                <w:sz w:val="24"/>
                <w:szCs w:val="30"/>
              </w:rPr>
              <w:tab/>
            </w:r>
            <w:r w:rsidRPr="00F24CD1">
              <w:rPr>
                <w:rStyle w:val="Hyperlink"/>
                <w:noProof/>
              </w:rPr>
              <w:t>PRIORITY 1: Recognise that 21st century distribution systems are becoming renewable energy zones that will self-supply &gt;50 – 150% of local demand.</w:t>
            </w:r>
            <w:r>
              <w:rPr>
                <w:noProof/>
                <w:webHidden/>
              </w:rPr>
              <w:tab/>
            </w:r>
            <w:r>
              <w:rPr>
                <w:noProof/>
                <w:webHidden/>
              </w:rPr>
              <w:fldChar w:fldCharType="begin"/>
            </w:r>
            <w:r>
              <w:rPr>
                <w:noProof/>
                <w:webHidden/>
              </w:rPr>
              <w:instrText xml:space="preserve"> PAGEREF _Toc205532880 \h </w:instrText>
            </w:r>
            <w:r>
              <w:rPr>
                <w:noProof/>
                <w:webHidden/>
              </w:rPr>
            </w:r>
            <w:r>
              <w:rPr>
                <w:noProof/>
                <w:webHidden/>
              </w:rPr>
              <w:fldChar w:fldCharType="separate"/>
            </w:r>
            <w:r w:rsidR="00CE6CF1">
              <w:rPr>
                <w:noProof/>
                <w:webHidden/>
              </w:rPr>
              <w:t>102</w:t>
            </w:r>
            <w:r>
              <w:rPr>
                <w:noProof/>
                <w:webHidden/>
              </w:rPr>
              <w:fldChar w:fldCharType="end"/>
            </w:r>
          </w:hyperlink>
        </w:p>
        <w:p w14:paraId="33D71197" w14:textId="38A81329" w:rsidR="008B714C" w:rsidRDefault="008B714C" w:rsidP="009E656A">
          <w:pPr>
            <w:pStyle w:val="TOC2"/>
            <w:ind w:left="1134" w:hanging="567"/>
            <w:rPr>
              <w:rFonts w:asciiTheme="minorHAnsi" w:hAnsiTheme="minorHAnsi"/>
              <w:noProof/>
              <w:sz w:val="24"/>
              <w:szCs w:val="30"/>
            </w:rPr>
          </w:pPr>
          <w:hyperlink w:anchor="_Toc205532881" w:history="1">
            <w:r w:rsidRPr="00F24CD1">
              <w:rPr>
                <w:rStyle w:val="Hyperlink"/>
                <w:noProof/>
              </w:rPr>
              <w:t>9.2</w:t>
            </w:r>
            <w:r>
              <w:rPr>
                <w:rFonts w:asciiTheme="minorHAnsi" w:hAnsiTheme="minorHAnsi"/>
                <w:noProof/>
                <w:sz w:val="24"/>
                <w:szCs w:val="30"/>
              </w:rPr>
              <w:tab/>
            </w:r>
            <w:r w:rsidRPr="00F24CD1">
              <w:rPr>
                <w:rStyle w:val="Hyperlink"/>
                <w:noProof/>
              </w:rPr>
              <w:t>PRIORITY 2: Reconceptualise the 21st century transmission-distribution relationship as intrinsically bidirectional, collaborative and mutual-beneficial.</w:t>
            </w:r>
            <w:r>
              <w:rPr>
                <w:noProof/>
                <w:webHidden/>
              </w:rPr>
              <w:tab/>
            </w:r>
            <w:r>
              <w:rPr>
                <w:noProof/>
                <w:webHidden/>
              </w:rPr>
              <w:fldChar w:fldCharType="begin"/>
            </w:r>
            <w:r>
              <w:rPr>
                <w:noProof/>
                <w:webHidden/>
              </w:rPr>
              <w:instrText xml:space="preserve"> PAGEREF _Toc205532881 \h </w:instrText>
            </w:r>
            <w:r>
              <w:rPr>
                <w:noProof/>
                <w:webHidden/>
              </w:rPr>
            </w:r>
            <w:r>
              <w:rPr>
                <w:noProof/>
                <w:webHidden/>
              </w:rPr>
              <w:fldChar w:fldCharType="separate"/>
            </w:r>
            <w:r w:rsidR="00CE6CF1">
              <w:rPr>
                <w:noProof/>
                <w:webHidden/>
              </w:rPr>
              <w:t>102</w:t>
            </w:r>
            <w:r>
              <w:rPr>
                <w:noProof/>
                <w:webHidden/>
              </w:rPr>
              <w:fldChar w:fldCharType="end"/>
            </w:r>
          </w:hyperlink>
        </w:p>
        <w:p w14:paraId="5CCA957C" w14:textId="00F7F807" w:rsidR="008B714C" w:rsidRDefault="008B714C" w:rsidP="009E656A">
          <w:pPr>
            <w:pStyle w:val="TOC2"/>
            <w:ind w:left="1134" w:hanging="567"/>
            <w:rPr>
              <w:rFonts w:asciiTheme="minorHAnsi" w:hAnsiTheme="minorHAnsi"/>
              <w:noProof/>
              <w:sz w:val="24"/>
              <w:szCs w:val="30"/>
            </w:rPr>
          </w:pPr>
          <w:hyperlink w:anchor="_Toc205532882" w:history="1">
            <w:r w:rsidRPr="00F24CD1">
              <w:rPr>
                <w:rStyle w:val="Hyperlink"/>
                <w:noProof/>
              </w:rPr>
              <w:t>9.3</w:t>
            </w:r>
            <w:r>
              <w:rPr>
                <w:rFonts w:asciiTheme="minorHAnsi" w:hAnsiTheme="minorHAnsi"/>
                <w:noProof/>
                <w:sz w:val="24"/>
                <w:szCs w:val="30"/>
              </w:rPr>
              <w:tab/>
            </w:r>
            <w:r w:rsidRPr="00F24CD1">
              <w:rPr>
                <w:rStyle w:val="Hyperlink"/>
                <w:noProof/>
              </w:rPr>
              <w:t>PRIORITY 3: Recognise that DSO &amp; TDC models are transformational enablers, not simply enhancements to the legacy grid structures.</w:t>
            </w:r>
            <w:r>
              <w:rPr>
                <w:noProof/>
                <w:webHidden/>
              </w:rPr>
              <w:tab/>
            </w:r>
            <w:r>
              <w:rPr>
                <w:noProof/>
                <w:webHidden/>
              </w:rPr>
              <w:fldChar w:fldCharType="begin"/>
            </w:r>
            <w:r>
              <w:rPr>
                <w:noProof/>
                <w:webHidden/>
              </w:rPr>
              <w:instrText xml:space="preserve"> PAGEREF _Toc205532882 \h </w:instrText>
            </w:r>
            <w:r>
              <w:rPr>
                <w:noProof/>
                <w:webHidden/>
              </w:rPr>
            </w:r>
            <w:r>
              <w:rPr>
                <w:noProof/>
                <w:webHidden/>
              </w:rPr>
              <w:fldChar w:fldCharType="separate"/>
            </w:r>
            <w:r w:rsidR="00CE6CF1">
              <w:rPr>
                <w:noProof/>
                <w:webHidden/>
              </w:rPr>
              <w:t>103</w:t>
            </w:r>
            <w:r>
              <w:rPr>
                <w:noProof/>
                <w:webHidden/>
              </w:rPr>
              <w:fldChar w:fldCharType="end"/>
            </w:r>
          </w:hyperlink>
        </w:p>
        <w:p w14:paraId="62D5A8C3" w14:textId="5381AA14" w:rsidR="008B714C" w:rsidRPr="009E656A" w:rsidRDefault="008B714C" w:rsidP="009E656A">
          <w:pPr>
            <w:pStyle w:val="TOC2"/>
            <w:ind w:left="1134" w:hanging="567"/>
            <w:rPr>
              <w:rStyle w:val="Hyperlink"/>
              <w:noProof/>
            </w:rPr>
          </w:pPr>
          <w:hyperlink w:anchor="_Toc205532883" w:history="1">
            <w:r w:rsidRPr="00F24CD1">
              <w:rPr>
                <w:rStyle w:val="Hyperlink"/>
                <w:noProof/>
              </w:rPr>
              <w:t>9.4</w:t>
            </w:r>
            <w:r w:rsidRPr="009E656A">
              <w:rPr>
                <w:rStyle w:val="Hyperlink"/>
                <w:noProof/>
              </w:rPr>
              <w:tab/>
            </w:r>
            <w:r w:rsidRPr="00F24CD1">
              <w:rPr>
                <w:rStyle w:val="Hyperlink"/>
                <w:noProof/>
              </w:rPr>
              <w:t>PRIORITY 4: Recognise that activities focused on ‘keeping the lights on’ and ‘creating the future power system’ are equally necessary and require parallel paths of focus and effort.</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_Toc205532883 \h </w:instrText>
            </w:r>
            <w:r w:rsidRPr="009E656A">
              <w:rPr>
                <w:rStyle w:val="Hyperlink"/>
                <w:noProof/>
                <w:webHidden/>
              </w:rPr>
            </w:r>
            <w:r w:rsidRPr="009E656A">
              <w:rPr>
                <w:rStyle w:val="Hyperlink"/>
                <w:noProof/>
                <w:webHidden/>
              </w:rPr>
              <w:fldChar w:fldCharType="separate"/>
            </w:r>
            <w:r w:rsidR="00CE6CF1">
              <w:rPr>
                <w:rStyle w:val="Hyperlink"/>
                <w:noProof/>
                <w:webHidden/>
              </w:rPr>
              <w:t>104</w:t>
            </w:r>
            <w:r w:rsidRPr="009E656A">
              <w:rPr>
                <w:rStyle w:val="Hyperlink"/>
                <w:noProof/>
                <w:webHidden/>
              </w:rPr>
              <w:fldChar w:fldCharType="end"/>
            </w:r>
          </w:hyperlink>
        </w:p>
        <w:p w14:paraId="39B81E34" w14:textId="6D6734D0" w:rsidR="008B714C" w:rsidRPr="009E656A" w:rsidRDefault="008B714C" w:rsidP="009E656A">
          <w:pPr>
            <w:pStyle w:val="TOC2"/>
            <w:ind w:left="1134" w:hanging="567"/>
            <w:rPr>
              <w:rStyle w:val="Hyperlink"/>
              <w:noProof/>
            </w:rPr>
          </w:pPr>
          <w:hyperlink w:anchor="_Toc205532884" w:history="1">
            <w:r w:rsidRPr="00F24CD1">
              <w:rPr>
                <w:rStyle w:val="Hyperlink"/>
                <w:noProof/>
              </w:rPr>
              <w:t>9.5</w:t>
            </w:r>
            <w:r w:rsidRPr="009E656A">
              <w:rPr>
                <w:rStyle w:val="Hyperlink"/>
                <w:noProof/>
              </w:rPr>
              <w:tab/>
            </w:r>
            <w:r w:rsidRPr="00F24CD1">
              <w:rPr>
                <w:rStyle w:val="Hyperlink"/>
                <w:noProof/>
              </w:rPr>
              <w:t>PRIORITY 5: Accept that in times of profound transformation, there is no textbook, no perfect knowledge and no single entity with all the answers.</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_Toc205532884 \h </w:instrText>
            </w:r>
            <w:r w:rsidRPr="009E656A">
              <w:rPr>
                <w:rStyle w:val="Hyperlink"/>
                <w:noProof/>
                <w:webHidden/>
              </w:rPr>
            </w:r>
            <w:r w:rsidRPr="009E656A">
              <w:rPr>
                <w:rStyle w:val="Hyperlink"/>
                <w:noProof/>
                <w:webHidden/>
              </w:rPr>
              <w:fldChar w:fldCharType="separate"/>
            </w:r>
            <w:r w:rsidR="00CE6CF1">
              <w:rPr>
                <w:rStyle w:val="Hyperlink"/>
                <w:noProof/>
                <w:webHidden/>
              </w:rPr>
              <w:t>104</w:t>
            </w:r>
            <w:r w:rsidRPr="009E656A">
              <w:rPr>
                <w:rStyle w:val="Hyperlink"/>
                <w:noProof/>
                <w:webHidden/>
              </w:rPr>
              <w:fldChar w:fldCharType="end"/>
            </w:r>
          </w:hyperlink>
        </w:p>
        <w:p w14:paraId="676B70CD" w14:textId="6829B03B" w:rsidR="008B714C" w:rsidRPr="009E656A" w:rsidRDefault="008B714C" w:rsidP="009E656A">
          <w:pPr>
            <w:pStyle w:val="TOC2"/>
            <w:ind w:left="1134" w:hanging="567"/>
            <w:rPr>
              <w:rStyle w:val="Hyperlink"/>
              <w:noProof/>
            </w:rPr>
          </w:pPr>
          <w:hyperlink w:anchor="_Toc205532885" w:history="1">
            <w:r w:rsidRPr="00F24CD1">
              <w:rPr>
                <w:rStyle w:val="Hyperlink"/>
                <w:noProof/>
              </w:rPr>
              <w:t>9.6</w:t>
            </w:r>
            <w:r w:rsidRPr="009E656A">
              <w:rPr>
                <w:rStyle w:val="Hyperlink"/>
                <w:noProof/>
              </w:rPr>
              <w:tab/>
            </w:r>
            <w:r w:rsidRPr="00F24CD1">
              <w:rPr>
                <w:rStyle w:val="Hyperlink"/>
                <w:noProof/>
              </w:rPr>
              <w:t>PRIORITY 6: Build sector-wide capacity for identifying and addressing structural constraints in addition to upgrading components and targeted enhancements.</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_Toc205532885 \h </w:instrText>
            </w:r>
            <w:r w:rsidRPr="009E656A">
              <w:rPr>
                <w:rStyle w:val="Hyperlink"/>
                <w:noProof/>
                <w:webHidden/>
              </w:rPr>
            </w:r>
            <w:r w:rsidRPr="009E656A">
              <w:rPr>
                <w:rStyle w:val="Hyperlink"/>
                <w:noProof/>
                <w:webHidden/>
              </w:rPr>
              <w:fldChar w:fldCharType="separate"/>
            </w:r>
            <w:r w:rsidR="00CE6CF1">
              <w:rPr>
                <w:rStyle w:val="Hyperlink"/>
                <w:noProof/>
                <w:webHidden/>
              </w:rPr>
              <w:t>105</w:t>
            </w:r>
            <w:r w:rsidRPr="009E656A">
              <w:rPr>
                <w:rStyle w:val="Hyperlink"/>
                <w:noProof/>
                <w:webHidden/>
              </w:rPr>
              <w:fldChar w:fldCharType="end"/>
            </w:r>
          </w:hyperlink>
        </w:p>
        <w:p w14:paraId="1FD3665B" w14:textId="0EB534E2" w:rsidR="008B714C" w:rsidRPr="009E656A" w:rsidRDefault="008B714C" w:rsidP="009E656A">
          <w:pPr>
            <w:pStyle w:val="TOC2"/>
            <w:ind w:left="1134" w:hanging="567"/>
            <w:rPr>
              <w:rStyle w:val="Hyperlink"/>
              <w:noProof/>
            </w:rPr>
          </w:pPr>
          <w:hyperlink w:anchor="_Toc205532886" w:history="1">
            <w:r w:rsidRPr="00F24CD1">
              <w:rPr>
                <w:rStyle w:val="Hyperlink"/>
                <w:noProof/>
              </w:rPr>
              <w:t>9.7</w:t>
            </w:r>
            <w:r w:rsidRPr="009E656A">
              <w:rPr>
                <w:rStyle w:val="Hyperlink"/>
                <w:noProof/>
              </w:rPr>
              <w:tab/>
            </w:r>
            <w:r w:rsidRPr="00F24CD1">
              <w:rPr>
                <w:rStyle w:val="Hyperlink"/>
                <w:noProof/>
              </w:rPr>
              <w:t>PRIORITY 7: Establish a strategic and collaborative program of Systems Architecture development to underpin DSO, TDC and related NCERR initiatives</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_Toc205532886 \h </w:instrText>
            </w:r>
            <w:r w:rsidRPr="009E656A">
              <w:rPr>
                <w:rStyle w:val="Hyperlink"/>
                <w:noProof/>
                <w:webHidden/>
              </w:rPr>
            </w:r>
            <w:r w:rsidRPr="009E656A">
              <w:rPr>
                <w:rStyle w:val="Hyperlink"/>
                <w:noProof/>
                <w:webHidden/>
              </w:rPr>
              <w:fldChar w:fldCharType="separate"/>
            </w:r>
            <w:r w:rsidR="00CE6CF1">
              <w:rPr>
                <w:rStyle w:val="Hyperlink"/>
                <w:noProof/>
                <w:webHidden/>
              </w:rPr>
              <w:t>105</w:t>
            </w:r>
            <w:r w:rsidRPr="009E656A">
              <w:rPr>
                <w:rStyle w:val="Hyperlink"/>
                <w:noProof/>
                <w:webHidden/>
              </w:rPr>
              <w:fldChar w:fldCharType="end"/>
            </w:r>
          </w:hyperlink>
        </w:p>
        <w:p w14:paraId="0C0A6A88" w14:textId="04ECD88D" w:rsidR="008B714C" w:rsidRPr="009E656A" w:rsidRDefault="008B714C" w:rsidP="009E656A">
          <w:pPr>
            <w:pStyle w:val="TOC2"/>
            <w:ind w:left="1134" w:hanging="567"/>
            <w:rPr>
              <w:rStyle w:val="Hyperlink"/>
              <w:noProof/>
            </w:rPr>
          </w:pPr>
          <w:hyperlink w:anchor="_Toc205532887" w:history="1">
            <w:r w:rsidRPr="00F24CD1">
              <w:rPr>
                <w:rStyle w:val="Hyperlink"/>
                <w:noProof/>
              </w:rPr>
              <w:t>9.8</w:t>
            </w:r>
            <w:r w:rsidRPr="009E656A">
              <w:rPr>
                <w:rStyle w:val="Hyperlink"/>
                <w:noProof/>
              </w:rPr>
              <w:tab/>
            </w:r>
            <w:r w:rsidRPr="00F24CD1">
              <w:rPr>
                <w:rStyle w:val="Hyperlink"/>
                <w:noProof/>
              </w:rPr>
              <w:t>PRIORITY 8: Advance DSO &amp; TDC designs as interdependent structural enablers</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_Toc205532887 \h </w:instrText>
            </w:r>
            <w:r w:rsidRPr="009E656A">
              <w:rPr>
                <w:rStyle w:val="Hyperlink"/>
                <w:noProof/>
                <w:webHidden/>
              </w:rPr>
            </w:r>
            <w:r w:rsidRPr="009E656A">
              <w:rPr>
                <w:rStyle w:val="Hyperlink"/>
                <w:noProof/>
                <w:webHidden/>
              </w:rPr>
              <w:fldChar w:fldCharType="separate"/>
            </w:r>
            <w:r w:rsidR="00CE6CF1">
              <w:rPr>
                <w:rStyle w:val="Hyperlink"/>
                <w:noProof/>
                <w:webHidden/>
              </w:rPr>
              <w:t>105</w:t>
            </w:r>
            <w:r w:rsidRPr="009E656A">
              <w:rPr>
                <w:rStyle w:val="Hyperlink"/>
                <w:noProof/>
                <w:webHidden/>
              </w:rPr>
              <w:fldChar w:fldCharType="end"/>
            </w:r>
          </w:hyperlink>
        </w:p>
        <w:p w14:paraId="06A5A319" w14:textId="5FD843DC" w:rsidR="008B714C" w:rsidRPr="009E656A" w:rsidRDefault="008B714C" w:rsidP="009E656A">
          <w:pPr>
            <w:pStyle w:val="TOC2"/>
            <w:ind w:left="1134" w:hanging="567"/>
            <w:rPr>
              <w:rStyle w:val="Hyperlink"/>
              <w:noProof/>
            </w:rPr>
          </w:pPr>
          <w:hyperlink w:anchor="_Toc205532888" w:history="1">
            <w:r w:rsidRPr="00F24CD1">
              <w:rPr>
                <w:rStyle w:val="Hyperlink"/>
                <w:noProof/>
              </w:rPr>
              <w:t>9.9</w:t>
            </w:r>
            <w:r w:rsidRPr="009E656A">
              <w:rPr>
                <w:rStyle w:val="Hyperlink"/>
                <w:noProof/>
              </w:rPr>
              <w:tab/>
            </w:r>
            <w:r w:rsidRPr="00F24CD1">
              <w:rPr>
                <w:rStyle w:val="Hyperlink"/>
                <w:noProof/>
              </w:rPr>
              <w:t>PRIORITY 9: Formalise DSO &amp; TDC roles using a structurally informed approach</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_Toc205532888 \h </w:instrText>
            </w:r>
            <w:r w:rsidRPr="009E656A">
              <w:rPr>
                <w:rStyle w:val="Hyperlink"/>
                <w:noProof/>
                <w:webHidden/>
              </w:rPr>
            </w:r>
            <w:r w:rsidRPr="009E656A">
              <w:rPr>
                <w:rStyle w:val="Hyperlink"/>
                <w:noProof/>
                <w:webHidden/>
              </w:rPr>
              <w:fldChar w:fldCharType="separate"/>
            </w:r>
            <w:r w:rsidR="00CE6CF1">
              <w:rPr>
                <w:rStyle w:val="Hyperlink"/>
                <w:noProof/>
                <w:webHidden/>
              </w:rPr>
              <w:t>106</w:t>
            </w:r>
            <w:r w:rsidRPr="009E656A">
              <w:rPr>
                <w:rStyle w:val="Hyperlink"/>
                <w:noProof/>
                <w:webHidden/>
              </w:rPr>
              <w:fldChar w:fldCharType="end"/>
            </w:r>
          </w:hyperlink>
        </w:p>
        <w:p w14:paraId="1B6EB8B2" w14:textId="2F497051" w:rsidR="008B714C" w:rsidRPr="009E656A" w:rsidRDefault="008B714C" w:rsidP="009E656A">
          <w:pPr>
            <w:pStyle w:val="TOC2"/>
            <w:ind w:left="1134" w:hanging="567"/>
            <w:rPr>
              <w:rStyle w:val="Hyperlink"/>
              <w:noProof/>
            </w:rPr>
          </w:pPr>
          <w:hyperlink w:anchor="_Toc205532889" w:history="1">
            <w:r w:rsidRPr="00F24CD1">
              <w:rPr>
                <w:rStyle w:val="Hyperlink"/>
                <w:noProof/>
              </w:rPr>
              <w:t>9.10</w:t>
            </w:r>
            <w:r w:rsidRPr="009E656A">
              <w:rPr>
                <w:rStyle w:val="Hyperlink"/>
                <w:noProof/>
              </w:rPr>
              <w:tab/>
            </w:r>
            <w:r w:rsidRPr="00F24CD1">
              <w:rPr>
                <w:rStyle w:val="Hyperlink"/>
                <w:noProof/>
              </w:rPr>
              <w:t>PRIORITY 10: Distinguish between transitional and enduring DSO &amp; TDC structures and functions</w:t>
            </w:r>
            <w:r w:rsidRPr="009E656A">
              <w:rPr>
                <w:rStyle w:val="Hyperlink"/>
                <w:noProof/>
                <w:webHidden/>
              </w:rPr>
              <w:tab/>
            </w:r>
            <w:r w:rsidRPr="009E656A">
              <w:rPr>
                <w:rStyle w:val="Hyperlink"/>
                <w:noProof/>
                <w:webHidden/>
              </w:rPr>
              <w:fldChar w:fldCharType="begin"/>
            </w:r>
            <w:r w:rsidRPr="009E656A">
              <w:rPr>
                <w:rStyle w:val="Hyperlink"/>
                <w:noProof/>
                <w:webHidden/>
              </w:rPr>
              <w:instrText xml:space="preserve"> PAGEREF _Toc205532889 \h </w:instrText>
            </w:r>
            <w:r w:rsidRPr="009E656A">
              <w:rPr>
                <w:rStyle w:val="Hyperlink"/>
                <w:noProof/>
                <w:webHidden/>
              </w:rPr>
            </w:r>
            <w:r w:rsidRPr="009E656A">
              <w:rPr>
                <w:rStyle w:val="Hyperlink"/>
                <w:noProof/>
                <w:webHidden/>
              </w:rPr>
              <w:fldChar w:fldCharType="separate"/>
            </w:r>
            <w:r w:rsidR="00CE6CF1">
              <w:rPr>
                <w:rStyle w:val="Hyperlink"/>
                <w:noProof/>
                <w:webHidden/>
              </w:rPr>
              <w:t>106</w:t>
            </w:r>
            <w:r w:rsidRPr="009E656A">
              <w:rPr>
                <w:rStyle w:val="Hyperlink"/>
                <w:noProof/>
                <w:webHidden/>
              </w:rPr>
              <w:fldChar w:fldCharType="end"/>
            </w:r>
          </w:hyperlink>
        </w:p>
        <w:p w14:paraId="01B04A80" w14:textId="0C40B2DC" w:rsidR="008B714C" w:rsidRDefault="008B714C" w:rsidP="008B714C">
          <w:pPr>
            <w:pStyle w:val="TOC1"/>
            <w:rPr>
              <w:rFonts w:asciiTheme="minorHAnsi" w:hAnsiTheme="minorHAnsi"/>
              <w:szCs w:val="30"/>
            </w:rPr>
          </w:pPr>
          <w:hyperlink w:anchor="_Toc205532890" w:history="1">
            <w:r w:rsidRPr="00F24CD1">
              <w:rPr>
                <w:rStyle w:val="Hyperlink"/>
                <w:lang w:val="en-GB"/>
              </w:rPr>
              <w:t>10</w:t>
            </w:r>
            <w:r>
              <w:rPr>
                <w:rFonts w:asciiTheme="minorHAnsi" w:hAnsiTheme="minorHAnsi"/>
                <w:szCs w:val="30"/>
              </w:rPr>
              <w:tab/>
            </w:r>
            <w:r w:rsidRPr="00F24CD1">
              <w:rPr>
                <w:rStyle w:val="Hyperlink"/>
              </w:rPr>
              <w:t>Conclusion</w:t>
            </w:r>
            <w:r>
              <w:rPr>
                <w:webHidden/>
              </w:rPr>
              <w:tab/>
            </w:r>
            <w:r>
              <w:rPr>
                <w:webHidden/>
              </w:rPr>
              <w:fldChar w:fldCharType="begin"/>
            </w:r>
            <w:r>
              <w:rPr>
                <w:webHidden/>
              </w:rPr>
              <w:instrText xml:space="preserve"> PAGEREF _Toc205532890 \h </w:instrText>
            </w:r>
            <w:r>
              <w:rPr>
                <w:webHidden/>
              </w:rPr>
            </w:r>
            <w:r>
              <w:rPr>
                <w:webHidden/>
              </w:rPr>
              <w:fldChar w:fldCharType="separate"/>
            </w:r>
            <w:r w:rsidR="00CE6CF1">
              <w:rPr>
                <w:webHidden/>
              </w:rPr>
              <w:t>107</w:t>
            </w:r>
            <w:r>
              <w:rPr>
                <w:webHidden/>
              </w:rPr>
              <w:fldChar w:fldCharType="end"/>
            </w:r>
          </w:hyperlink>
        </w:p>
        <w:p w14:paraId="6326CF10" w14:textId="72B556F0" w:rsidR="008B714C" w:rsidRDefault="008B714C" w:rsidP="008B714C">
          <w:pPr>
            <w:pStyle w:val="TOC1"/>
            <w:rPr>
              <w:rStyle w:val="Hyperlink"/>
            </w:rPr>
          </w:pPr>
          <w:hyperlink w:anchor="_Toc205532891" w:history="1">
            <w:r w:rsidRPr="00F24CD1">
              <w:rPr>
                <w:rStyle w:val="Hyperlink"/>
              </w:rPr>
              <w:t>11</w:t>
            </w:r>
            <w:r>
              <w:rPr>
                <w:rFonts w:asciiTheme="minorHAnsi" w:hAnsiTheme="minorHAnsi"/>
                <w:szCs w:val="30"/>
              </w:rPr>
              <w:tab/>
            </w:r>
            <w:r w:rsidRPr="00F24CD1">
              <w:rPr>
                <w:rStyle w:val="Hyperlink"/>
              </w:rPr>
              <w:t>References</w:t>
            </w:r>
            <w:r>
              <w:rPr>
                <w:webHidden/>
              </w:rPr>
              <w:tab/>
            </w:r>
            <w:r>
              <w:rPr>
                <w:webHidden/>
              </w:rPr>
              <w:fldChar w:fldCharType="begin"/>
            </w:r>
            <w:r>
              <w:rPr>
                <w:webHidden/>
              </w:rPr>
              <w:instrText xml:space="preserve"> PAGEREF _Toc205532891 \h </w:instrText>
            </w:r>
            <w:r>
              <w:rPr>
                <w:webHidden/>
              </w:rPr>
            </w:r>
            <w:r>
              <w:rPr>
                <w:webHidden/>
              </w:rPr>
              <w:fldChar w:fldCharType="separate"/>
            </w:r>
            <w:r w:rsidR="00CE6CF1">
              <w:rPr>
                <w:webHidden/>
              </w:rPr>
              <w:t>109</w:t>
            </w:r>
            <w:r>
              <w:rPr>
                <w:webHidden/>
              </w:rPr>
              <w:fldChar w:fldCharType="end"/>
            </w:r>
          </w:hyperlink>
        </w:p>
        <w:p w14:paraId="1E746519" w14:textId="77777777" w:rsidR="008C1D15" w:rsidRPr="008C1D15" w:rsidRDefault="008C1D15" w:rsidP="008C1D15">
          <w:pPr>
            <w:rPr>
              <w:noProof/>
            </w:rPr>
          </w:pPr>
        </w:p>
        <w:p w14:paraId="62E28C5A" w14:textId="5B822E3E" w:rsidR="008B714C" w:rsidRDefault="008B714C" w:rsidP="008B714C">
          <w:pPr>
            <w:pStyle w:val="TOC1"/>
            <w:rPr>
              <w:rFonts w:asciiTheme="minorHAnsi" w:hAnsiTheme="minorHAnsi"/>
              <w:szCs w:val="30"/>
            </w:rPr>
          </w:pPr>
          <w:hyperlink w:anchor="_Toc205532892" w:history="1">
            <w:r w:rsidRPr="00F24CD1">
              <w:rPr>
                <w:rStyle w:val="Hyperlink"/>
              </w:rPr>
              <w:t>Appendix A: Principles, Methodologies &amp; Acknowledgements</w:t>
            </w:r>
            <w:r>
              <w:rPr>
                <w:webHidden/>
              </w:rPr>
              <w:tab/>
            </w:r>
            <w:r>
              <w:rPr>
                <w:webHidden/>
              </w:rPr>
              <w:fldChar w:fldCharType="begin"/>
            </w:r>
            <w:r>
              <w:rPr>
                <w:webHidden/>
              </w:rPr>
              <w:instrText xml:space="preserve"> PAGEREF _Toc205532892 \h </w:instrText>
            </w:r>
            <w:r>
              <w:rPr>
                <w:webHidden/>
              </w:rPr>
            </w:r>
            <w:r>
              <w:rPr>
                <w:webHidden/>
              </w:rPr>
              <w:fldChar w:fldCharType="separate"/>
            </w:r>
            <w:r w:rsidR="00CE6CF1">
              <w:rPr>
                <w:webHidden/>
              </w:rPr>
              <w:t>118</w:t>
            </w:r>
            <w:r>
              <w:rPr>
                <w:webHidden/>
              </w:rPr>
              <w:fldChar w:fldCharType="end"/>
            </w:r>
          </w:hyperlink>
        </w:p>
        <w:p w14:paraId="282F4CFC" w14:textId="061C6BC2" w:rsidR="008B714C" w:rsidRDefault="008B714C" w:rsidP="008B714C">
          <w:pPr>
            <w:pStyle w:val="TOC1"/>
            <w:rPr>
              <w:rFonts w:asciiTheme="minorHAnsi" w:hAnsiTheme="minorHAnsi"/>
              <w:szCs w:val="30"/>
            </w:rPr>
          </w:pPr>
          <w:hyperlink w:anchor="_Toc205532893" w:history="1">
            <w:r w:rsidRPr="00F24CD1">
              <w:rPr>
                <w:rStyle w:val="Hyperlink"/>
              </w:rPr>
              <w:t>Appendix B: Glossary of Terms</w:t>
            </w:r>
            <w:r>
              <w:rPr>
                <w:webHidden/>
              </w:rPr>
              <w:tab/>
            </w:r>
            <w:r>
              <w:rPr>
                <w:webHidden/>
              </w:rPr>
              <w:fldChar w:fldCharType="begin"/>
            </w:r>
            <w:r>
              <w:rPr>
                <w:webHidden/>
              </w:rPr>
              <w:instrText xml:space="preserve"> PAGEREF _Toc205532893 \h </w:instrText>
            </w:r>
            <w:r>
              <w:rPr>
                <w:webHidden/>
              </w:rPr>
            </w:r>
            <w:r>
              <w:rPr>
                <w:webHidden/>
              </w:rPr>
              <w:fldChar w:fldCharType="separate"/>
            </w:r>
            <w:r w:rsidR="00CE6CF1">
              <w:rPr>
                <w:webHidden/>
              </w:rPr>
              <w:t>125</w:t>
            </w:r>
            <w:r>
              <w:rPr>
                <w:webHidden/>
              </w:rPr>
              <w:fldChar w:fldCharType="end"/>
            </w:r>
          </w:hyperlink>
        </w:p>
        <w:p w14:paraId="39A935CA" w14:textId="48F955AA" w:rsidR="008B714C" w:rsidRDefault="008B714C" w:rsidP="008B714C">
          <w:pPr>
            <w:pStyle w:val="TOC1"/>
            <w:rPr>
              <w:rFonts w:asciiTheme="minorHAnsi" w:hAnsiTheme="minorHAnsi"/>
              <w:szCs w:val="30"/>
            </w:rPr>
          </w:pPr>
          <w:hyperlink w:anchor="_Toc205532894" w:history="1">
            <w:r w:rsidRPr="00F24CD1">
              <w:rPr>
                <w:rStyle w:val="Hyperlink"/>
              </w:rPr>
              <w:t>Appendix C: Network of Structures</w:t>
            </w:r>
            <w:r>
              <w:rPr>
                <w:webHidden/>
              </w:rPr>
              <w:tab/>
            </w:r>
            <w:r>
              <w:rPr>
                <w:webHidden/>
              </w:rPr>
              <w:fldChar w:fldCharType="begin"/>
            </w:r>
            <w:r>
              <w:rPr>
                <w:webHidden/>
              </w:rPr>
              <w:instrText xml:space="preserve"> PAGEREF _Toc205532894 \h </w:instrText>
            </w:r>
            <w:r>
              <w:rPr>
                <w:webHidden/>
              </w:rPr>
            </w:r>
            <w:r>
              <w:rPr>
                <w:webHidden/>
              </w:rPr>
              <w:fldChar w:fldCharType="separate"/>
            </w:r>
            <w:r w:rsidR="00CE6CF1">
              <w:rPr>
                <w:webHidden/>
              </w:rPr>
              <w:t>150</w:t>
            </w:r>
            <w:r>
              <w:rPr>
                <w:webHidden/>
              </w:rPr>
              <w:fldChar w:fldCharType="end"/>
            </w:r>
          </w:hyperlink>
        </w:p>
        <w:p w14:paraId="2B8162D9" w14:textId="757EA560" w:rsidR="008B714C" w:rsidRDefault="008B714C" w:rsidP="008C1D15">
          <w:pPr>
            <w:pStyle w:val="TOC1"/>
            <w:ind w:left="0" w:firstLine="0"/>
            <w:rPr>
              <w:rFonts w:asciiTheme="minorHAnsi" w:hAnsiTheme="minorHAnsi"/>
              <w:szCs w:val="30"/>
            </w:rPr>
          </w:pPr>
          <w:hyperlink w:anchor="_Toc205532895" w:history="1">
            <w:r w:rsidRPr="00F24CD1">
              <w:rPr>
                <w:rStyle w:val="Hyperlink"/>
              </w:rPr>
              <w:t>Appendix D: Power Systems Architecture vs Enterprise IT Architecture - Important Distinctions</w:t>
            </w:r>
            <w:r>
              <w:rPr>
                <w:webHidden/>
              </w:rPr>
              <w:tab/>
            </w:r>
            <w:r>
              <w:rPr>
                <w:webHidden/>
              </w:rPr>
              <w:fldChar w:fldCharType="begin"/>
            </w:r>
            <w:r>
              <w:rPr>
                <w:webHidden/>
              </w:rPr>
              <w:instrText xml:space="preserve"> PAGEREF _Toc205532895 \h </w:instrText>
            </w:r>
            <w:r>
              <w:rPr>
                <w:webHidden/>
              </w:rPr>
            </w:r>
            <w:r>
              <w:rPr>
                <w:webHidden/>
              </w:rPr>
              <w:fldChar w:fldCharType="separate"/>
            </w:r>
            <w:r w:rsidR="00CE6CF1">
              <w:rPr>
                <w:webHidden/>
              </w:rPr>
              <w:t>154</w:t>
            </w:r>
            <w:r>
              <w:rPr>
                <w:webHidden/>
              </w:rPr>
              <w:fldChar w:fldCharType="end"/>
            </w:r>
          </w:hyperlink>
        </w:p>
        <w:p w14:paraId="5256E03B" w14:textId="1DB9D7DB" w:rsidR="00744C73" w:rsidRDefault="00F816C9" w:rsidP="008B714C">
          <w:pPr>
            <w:spacing w:after="0" w:line="288" w:lineRule="auto"/>
          </w:pPr>
          <w:r>
            <w:rPr>
              <w:b/>
              <w:bCs/>
              <w:noProof/>
            </w:rPr>
            <w:fldChar w:fldCharType="end"/>
          </w:r>
        </w:p>
      </w:sdtContent>
    </w:sdt>
    <w:p w14:paraId="3D1B7750" w14:textId="77777777" w:rsidR="00A4549F" w:rsidRDefault="00A4549F">
      <w:pPr>
        <w:spacing w:before="0" w:after="160" w:line="259" w:lineRule="auto"/>
        <w:rPr>
          <w:rFonts w:ascii="PP Mori SemiBold" w:eastAsiaTheme="majorEastAsia" w:hAnsi="PP Mori SemiBold" w:cstheme="majorBidi"/>
          <w:color w:val="013C4C" w:themeColor="text1"/>
          <w:sz w:val="32"/>
          <w:szCs w:val="40"/>
        </w:rPr>
      </w:pPr>
      <w:bookmarkStart w:id="1" w:name="_Toc191547140"/>
      <w:r>
        <w:br w:type="page"/>
      </w:r>
    </w:p>
    <w:p w14:paraId="24F7087F" w14:textId="160446C3" w:rsidR="003E0D3E" w:rsidRDefault="00CE2ED3" w:rsidP="00327B3B">
      <w:pPr>
        <w:pStyle w:val="Heading1"/>
        <w:numPr>
          <w:ilvl w:val="0"/>
          <w:numId w:val="0"/>
        </w:numPr>
        <w:ind w:left="432" w:hanging="432"/>
      </w:pPr>
      <w:bookmarkStart w:id="2" w:name="_Toc205532820"/>
      <w:r>
        <w:lastRenderedPageBreak/>
        <w:t>Table of Figures</w:t>
      </w:r>
      <w:bookmarkEnd w:id="2"/>
    </w:p>
    <w:p w14:paraId="1DF77C26" w14:textId="7D85D57F" w:rsidR="00E91535" w:rsidRDefault="00CE2ED3">
      <w:pPr>
        <w:pStyle w:val="TableofFigures"/>
        <w:tabs>
          <w:tab w:val="right" w:leader="dot" w:pos="8210"/>
        </w:tabs>
        <w:rPr>
          <w:rFonts w:asciiTheme="minorHAnsi" w:hAnsiTheme="minorHAnsi"/>
          <w:noProof/>
          <w:sz w:val="24"/>
          <w:szCs w:val="24"/>
          <w:lang w:eastAsia="en-AU" w:bidi="ar-SA"/>
        </w:rPr>
      </w:pPr>
      <w:r>
        <w:fldChar w:fldCharType="begin"/>
      </w:r>
      <w:r>
        <w:instrText xml:space="preserve"> TOC \h \z \c "Figure" </w:instrText>
      </w:r>
      <w:r>
        <w:fldChar w:fldCharType="separate"/>
      </w:r>
      <w:hyperlink w:anchor="_Toc205377437" w:history="1">
        <w:r w:rsidR="00E91535" w:rsidRPr="0017009B">
          <w:rPr>
            <w:rStyle w:val="Hyperlink"/>
            <w:noProof/>
          </w:rPr>
          <w:t>Figure 1</w:t>
        </w:r>
        <w:r w:rsidR="002117E4">
          <w:rPr>
            <w:rStyle w:val="Hyperlink"/>
            <w:noProof/>
          </w:rPr>
          <w:t xml:space="preserve"> -</w:t>
        </w:r>
        <w:r w:rsidR="00E91535" w:rsidRPr="0017009B">
          <w:rPr>
            <w:rStyle w:val="Hyperlink"/>
            <w:noProof/>
          </w:rPr>
          <w:t xml:space="preserve"> The five reports are designed to support an integrative approach to grid transformation</w:t>
        </w:r>
        <w:r w:rsidR="00E91535">
          <w:rPr>
            <w:noProof/>
            <w:webHidden/>
          </w:rPr>
          <w:tab/>
        </w:r>
        <w:r w:rsidR="00E91535">
          <w:rPr>
            <w:noProof/>
            <w:webHidden/>
          </w:rPr>
          <w:fldChar w:fldCharType="begin"/>
        </w:r>
        <w:r w:rsidR="00E91535">
          <w:rPr>
            <w:noProof/>
            <w:webHidden/>
          </w:rPr>
          <w:instrText xml:space="preserve"> PAGEREF _Toc205377437 \h </w:instrText>
        </w:r>
        <w:r w:rsidR="00E91535">
          <w:rPr>
            <w:noProof/>
            <w:webHidden/>
          </w:rPr>
        </w:r>
        <w:r w:rsidR="00E91535">
          <w:rPr>
            <w:noProof/>
            <w:webHidden/>
          </w:rPr>
          <w:fldChar w:fldCharType="separate"/>
        </w:r>
        <w:r w:rsidR="00CE6CF1">
          <w:rPr>
            <w:noProof/>
            <w:webHidden/>
          </w:rPr>
          <w:t>17</w:t>
        </w:r>
        <w:r w:rsidR="00E91535">
          <w:rPr>
            <w:noProof/>
            <w:webHidden/>
          </w:rPr>
          <w:fldChar w:fldCharType="end"/>
        </w:r>
      </w:hyperlink>
    </w:p>
    <w:p w14:paraId="3A627AA6" w14:textId="7DAC8713" w:rsidR="00E91535" w:rsidRPr="00AE5526" w:rsidRDefault="00E91535">
      <w:pPr>
        <w:pStyle w:val="TableofFigures"/>
        <w:tabs>
          <w:tab w:val="right" w:leader="dot" w:pos="8210"/>
        </w:tabs>
        <w:rPr>
          <w:rFonts w:asciiTheme="minorHAnsi" w:hAnsiTheme="minorHAnsi"/>
          <w:noProof/>
          <w:sz w:val="24"/>
          <w:szCs w:val="24"/>
          <w:lang w:eastAsia="en-AU" w:bidi="ar-SA"/>
        </w:rPr>
      </w:pPr>
      <w:hyperlink w:anchor="_Toc205377438" w:history="1">
        <w:r w:rsidRPr="00AE5526">
          <w:rPr>
            <w:rStyle w:val="Hyperlink"/>
            <w:noProof/>
          </w:rPr>
          <w:t>Figure 2</w:t>
        </w:r>
        <w:r w:rsidR="002117E4">
          <w:rPr>
            <w:rStyle w:val="Hyperlink"/>
            <w:noProof/>
          </w:rPr>
          <w:t xml:space="preserve"> -</w:t>
        </w:r>
        <w:r w:rsidRPr="00AE5526">
          <w:rPr>
            <w:rStyle w:val="Hyperlink"/>
            <w:noProof/>
          </w:rPr>
          <w:t xml:space="preserve"> The reference set of five reports applies a Design Thinking approach to whole-system transformation underpinned by Systems Engineering and related disciplines</w:t>
        </w:r>
        <w:r w:rsidRPr="00AE5526">
          <w:rPr>
            <w:noProof/>
            <w:webHidden/>
          </w:rPr>
          <w:tab/>
        </w:r>
        <w:r w:rsidRPr="00AE5526">
          <w:rPr>
            <w:noProof/>
            <w:webHidden/>
          </w:rPr>
          <w:fldChar w:fldCharType="begin"/>
        </w:r>
        <w:r w:rsidRPr="00AE5526">
          <w:rPr>
            <w:noProof/>
            <w:webHidden/>
          </w:rPr>
          <w:instrText xml:space="preserve"> PAGEREF _Toc205377438 \h </w:instrText>
        </w:r>
        <w:r w:rsidRPr="00AE5526">
          <w:rPr>
            <w:noProof/>
            <w:webHidden/>
          </w:rPr>
        </w:r>
        <w:r w:rsidRPr="00AE5526">
          <w:rPr>
            <w:noProof/>
            <w:webHidden/>
          </w:rPr>
          <w:fldChar w:fldCharType="separate"/>
        </w:r>
        <w:r w:rsidR="00CE6CF1">
          <w:rPr>
            <w:noProof/>
            <w:webHidden/>
          </w:rPr>
          <w:t>20</w:t>
        </w:r>
        <w:r w:rsidRPr="00AE5526">
          <w:rPr>
            <w:noProof/>
            <w:webHidden/>
          </w:rPr>
          <w:fldChar w:fldCharType="end"/>
        </w:r>
      </w:hyperlink>
    </w:p>
    <w:p w14:paraId="6F07F8A9" w14:textId="0DC261CD" w:rsidR="00E91535" w:rsidRDefault="00E91535">
      <w:pPr>
        <w:pStyle w:val="TableofFigures"/>
        <w:tabs>
          <w:tab w:val="right" w:leader="dot" w:pos="8210"/>
        </w:tabs>
        <w:rPr>
          <w:rFonts w:asciiTheme="minorHAnsi" w:hAnsiTheme="minorHAnsi"/>
          <w:noProof/>
          <w:sz w:val="24"/>
          <w:szCs w:val="24"/>
          <w:lang w:eastAsia="en-AU" w:bidi="ar-SA"/>
        </w:rPr>
      </w:pPr>
      <w:hyperlink w:anchor="_Toc205377439" w:history="1">
        <w:r w:rsidRPr="0017009B">
          <w:rPr>
            <w:rStyle w:val="Hyperlink"/>
            <w:noProof/>
          </w:rPr>
          <w:t xml:space="preserve">Figure 3 -Typical present-day scenario (top) and future scenario (bottom) in which increased coordination is required to manage a decentralised system </w:t>
        </w:r>
        <w:r w:rsidRPr="0017009B">
          <w:rPr>
            <w:rStyle w:val="Hyperlink"/>
            <w:noProof/>
            <w:lang w:val="en-GB"/>
          </w:rPr>
          <w:t>[11]</w:t>
        </w:r>
        <w:r>
          <w:rPr>
            <w:noProof/>
            <w:webHidden/>
          </w:rPr>
          <w:tab/>
        </w:r>
        <w:r>
          <w:rPr>
            <w:noProof/>
            <w:webHidden/>
          </w:rPr>
          <w:fldChar w:fldCharType="begin"/>
        </w:r>
        <w:r>
          <w:rPr>
            <w:noProof/>
            <w:webHidden/>
          </w:rPr>
          <w:instrText xml:space="preserve"> PAGEREF _Toc205377439 \h </w:instrText>
        </w:r>
        <w:r>
          <w:rPr>
            <w:noProof/>
            <w:webHidden/>
          </w:rPr>
        </w:r>
        <w:r>
          <w:rPr>
            <w:noProof/>
            <w:webHidden/>
          </w:rPr>
          <w:fldChar w:fldCharType="separate"/>
        </w:r>
        <w:r w:rsidR="00CE6CF1">
          <w:rPr>
            <w:noProof/>
            <w:webHidden/>
          </w:rPr>
          <w:t>37</w:t>
        </w:r>
        <w:r>
          <w:rPr>
            <w:noProof/>
            <w:webHidden/>
          </w:rPr>
          <w:fldChar w:fldCharType="end"/>
        </w:r>
      </w:hyperlink>
    </w:p>
    <w:p w14:paraId="1FDB5ABE" w14:textId="18CF7291" w:rsidR="00E91535" w:rsidRDefault="00E91535">
      <w:pPr>
        <w:pStyle w:val="TableofFigures"/>
        <w:tabs>
          <w:tab w:val="right" w:leader="dot" w:pos="8210"/>
        </w:tabs>
        <w:rPr>
          <w:rFonts w:asciiTheme="minorHAnsi" w:hAnsiTheme="minorHAnsi"/>
          <w:noProof/>
          <w:sz w:val="24"/>
          <w:szCs w:val="24"/>
          <w:lang w:eastAsia="en-AU" w:bidi="ar-SA"/>
        </w:rPr>
      </w:pPr>
      <w:hyperlink w:anchor="_Toc205377440" w:history="1">
        <w:r w:rsidRPr="0017009B">
          <w:rPr>
            <w:rStyle w:val="Hyperlink"/>
            <w:noProof/>
          </w:rPr>
          <w:t>Figure 4</w:t>
        </w:r>
        <w:r w:rsidR="006851E7">
          <w:rPr>
            <w:rStyle w:val="Hyperlink"/>
            <w:noProof/>
          </w:rPr>
          <w:t xml:space="preserve"> </w:t>
        </w:r>
        <w:r w:rsidR="002117E4">
          <w:rPr>
            <w:rStyle w:val="Hyperlink"/>
            <w:noProof/>
          </w:rPr>
          <w:t>-</w:t>
        </w:r>
        <w:r w:rsidRPr="0017009B">
          <w:rPr>
            <w:rStyle w:val="Hyperlink"/>
            <w:noProof/>
          </w:rPr>
          <w:t xml:space="preserve"> Hierarchical Structure of Power Systems</w:t>
        </w:r>
        <w:r>
          <w:rPr>
            <w:noProof/>
            <w:webHidden/>
          </w:rPr>
          <w:tab/>
        </w:r>
        <w:r>
          <w:rPr>
            <w:noProof/>
            <w:webHidden/>
          </w:rPr>
          <w:fldChar w:fldCharType="begin"/>
        </w:r>
        <w:r>
          <w:rPr>
            <w:noProof/>
            <w:webHidden/>
          </w:rPr>
          <w:instrText xml:space="preserve"> PAGEREF _Toc205377440 \h </w:instrText>
        </w:r>
        <w:r>
          <w:rPr>
            <w:noProof/>
            <w:webHidden/>
          </w:rPr>
        </w:r>
        <w:r>
          <w:rPr>
            <w:noProof/>
            <w:webHidden/>
          </w:rPr>
          <w:fldChar w:fldCharType="separate"/>
        </w:r>
        <w:r w:rsidR="00CE6CF1">
          <w:rPr>
            <w:noProof/>
            <w:webHidden/>
          </w:rPr>
          <w:t>42</w:t>
        </w:r>
        <w:r>
          <w:rPr>
            <w:noProof/>
            <w:webHidden/>
          </w:rPr>
          <w:fldChar w:fldCharType="end"/>
        </w:r>
      </w:hyperlink>
    </w:p>
    <w:p w14:paraId="3D34DB81" w14:textId="43B0D94E" w:rsidR="00E91535" w:rsidRDefault="00E91535">
      <w:pPr>
        <w:pStyle w:val="TableofFigures"/>
        <w:tabs>
          <w:tab w:val="right" w:leader="dot" w:pos="8210"/>
        </w:tabs>
        <w:rPr>
          <w:rFonts w:asciiTheme="minorHAnsi" w:hAnsiTheme="minorHAnsi"/>
          <w:noProof/>
          <w:sz w:val="24"/>
          <w:szCs w:val="24"/>
          <w:lang w:eastAsia="en-AU" w:bidi="ar-SA"/>
        </w:rPr>
      </w:pPr>
      <w:hyperlink w:anchor="_Toc205377441" w:history="1">
        <w:r w:rsidRPr="0017009B">
          <w:rPr>
            <w:rStyle w:val="Hyperlink"/>
            <w:noProof/>
          </w:rPr>
          <w:t>Figure 5</w:t>
        </w:r>
        <w:r w:rsidR="002117E4">
          <w:rPr>
            <w:rStyle w:val="Hyperlink"/>
            <w:noProof/>
          </w:rPr>
          <w:t xml:space="preserve"> -</w:t>
        </w:r>
        <w:r w:rsidRPr="0017009B">
          <w:rPr>
            <w:rStyle w:val="Hyperlink"/>
            <w:noProof/>
          </w:rPr>
          <w:t xml:space="preserve"> </w:t>
        </w:r>
        <w:r w:rsidRPr="00E91535">
          <w:rPr>
            <w:rStyle w:val="Hyperlink"/>
            <w:noProof/>
          </w:rPr>
          <w:t xml:space="preserve">EPRI's Timeframes of Applicability by Identified Functions </w:t>
        </w:r>
        <w:r w:rsidRPr="0017009B">
          <w:rPr>
            <w:rStyle w:val="Hyperlink"/>
            <w:noProof/>
            <w:lang w:val="en-GB"/>
          </w:rPr>
          <w:t>[16]</w:t>
        </w:r>
        <w:r>
          <w:rPr>
            <w:noProof/>
            <w:webHidden/>
          </w:rPr>
          <w:tab/>
        </w:r>
        <w:r>
          <w:rPr>
            <w:noProof/>
            <w:webHidden/>
          </w:rPr>
          <w:fldChar w:fldCharType="begin"/>
        </w:r>
        <w:r>
          <w:rPr>
            <w:noProof/>
            <w:webHidden/>
          </w:rPr>
          <w:instrText xml:space="preserve"> PAGEREF _Toc205377441 \h </w:instrText>
        </w:r>
        <w:r>
          <w:rPr>
            <w:noProof/>
            <w:webHidden/>
          </w:rPr>
        </w:r>
        <w:r>
          <w:rPr>
            <w:noProof/>
            <w:webHidden/>
          </w:rPr>
          <w:fldChar w:fldCharType="separate"/>
        </w:r>
        <w:r w:rsidR="00CE6CF1">
          <w:rPr>
            <w:noProof/>
            <w:webHidden/>
          </w:rPr>
          <w:t>50</w:t>
        </w:r>
        <w:r>
          <w:rPr>
            <w:noProof/>
            <w:webHidden/>
          </w:rPr>
          <w:fldChar w:fldCharType="end"/>
        </w:r>
      </w:hyperlink>
    </w:p>
    <w:p w14:paraId="2FD5AB59" w14:textId="33F399BF" w:rsidR="00E91535" w:rsidRDefault="00E91535">
      <w:pPr>
        <w:pStyle w:val="TableofFigures"/>
        <w:tabs>
          <w:tab w:val="right" w:leader="dot" w:pos="8210"/>
        </w:tabs>
        <w:rPr>
          <w:rFonts w:asciiTheme="minorHAnsi" w:hAnsiTheme="minorHAnsi"/>
          <w:noProof/>
          <w:sz w:val="24"/>
          <w:szCs w:val="24"/>
          <w:lang w:eastAsia="en-AU" w:bidi="ar-SA"/>
        </w:rPr>
      </w:pPr>
      <w:hyperlink w:anchor="_Toc205377442" w:history="1">
        <w:r w:rsidRPr="0017009B">
          <w:rPr>
            <w:rStyle w:val="Hyperlink"/>
            <w:noProof/>
          </w:rPr>
          <w:t>Figure 6 - EU-SysFlex Prequalification Phase (see footnote for acronyms)</w:t>
        </w:r>
        <w:r>
          <w:rPr>
            <w:noProof/>
            <w:webHidden/>
          </w:rPr>
          <w:tab/>
        </w:r>
        <w:r>
          <w:rPr>
            <w:noProof/>
            <w:webHidden/>
          </w:rPr>
          <w:fldChar w:fldCharType="begin"/>
        </w:r>
        <w:r>
          <w:rPr>
            <w:noProof/>
            <w:webHidden/>
          </w:rPr>
          <w:instrText xml:space="preserve"> PAGEREF _Toc205377442 \h </w:instrText>
        </w:r>
        <w:r>
          <w:rPr>
            <w:noProof/>
            <w:webHidden/>
          </w:rPr>
        </w:r>
        <w:r>
          <w:rPr>
            <w:noProof/>
            <w:webHidden/>
          </w:rPr>
          <w:fldChar w:fldCharType="separate"/>
        </w:r>
        <w:r w:rsidR="00CE6CF1">
          <w:rPr>
            <w:noProof/>
            <w:webHidden/>
          </w:rPr>
          <w:t>51</w:t>
        </w:r>
        <w:r>
          <w:rPr>
            <w:noProof/>
            <w:webHidden/>
          </w:rPr>
          <w:fldChar w:fldCharType="end"/>
        </w:r>
      </w:hyperlink>
    </w:p>
    <w:p w14:paraId="331B33C0" w14:textId="67E7B4AD" w:rsidR="00E91535" w:rsidRDefault="00E91535">
      <w:pPr>
        <w:pStyle w:val="TableofFigures"/>
        <w:tabs>
          <w:tab w:val="right" w:leader="dot" w:pos="8210"/>
        </w:tabs>
        <w:rPr>
          <w:rFonts w:asciiTheme="minorHAnsi" w:hAnsiTheme="minorHAnsi"/>
          <w:noProof/>
          <w:sz w:val="24"/>
          <w:szCs w:val="24"/>
          <w:lang w:eastAsia="en-AU" w:bidi="ar-SA"/>
        </w:rPr>
      </w:pPr>
      <w:hyperlink w:anchor="_Toc205377443" w:history="1">
        <w:r w:rsidRPr="0017009B">
          <w:rPr>
            <w:rStyle w:val="Hyperlink"/>
            <w:noProof/>
          </w:rPr>
          <w:t>Figure 7 - Procurement organisations and optimisation principles</w:t>
        </w:r>
        <w:r>
          <w:rPr>
            <w:noProof/>
            <w:webHidden/>
          </w:rPr>
          <w:tab/>
        </w:r>
        <w:r>
          <w:rPr>
            <w:noProof/>
            <w:webHidden/>
          </w:rPr>
          <w:fldChar w:fldCharType="begin"/>
        </w:r>
        <w:r>
          <w:rPr>
            <w:noProof/>
            <w:webHidden/>
          </w:rPr>
          <w:instrText xml:space="preserve"> PAGEREF _Toc205377443 \h </w:instrText>
        </w:r>
        <w:r>
          <w:rPr>
            <w:noProof/>
            <w:webHidden/>
          </w:rPr>
        </w:r>
        <w:r>
          <w:rPr>
            <w:noProof/>
            <w:webHidden/>
          </w:rPr>
          <w:fldChar w:fldCharType="separate"/>
        </w:r>
        <w:r w:rsidR="00CE6CF1">
          <w:rPr>
            <w:noProof/>
            <w:webHidden/>
          </w:rPr>
          <w:t>52</w:t>
        </w:r>
        <w:r>
          <w:rPr>
            <w:noProof/>
            <w:webHidden/>
          </w:rPr>
          <w:fldChar w:fldCharType="end"/>
        </w:r>
      </w:hyperlink>
    </w:p>
    <w:p w14:paraId="359D0BFE" w14:textId="2B8B26F0" w:rsidR="00E91535" w:rsidRDefault="00E91535">
      <w:pPr>
        <w:pStyle w:val="TableofFigures"/>
        <w:tabs>
          <w:tab w:val="right" w:leader="dot" w:pos="8210"/>
        </w:tabs>
        <w:rPr>
          <w:rFonts w:asciiTheme="minorHAnsi" w:hAnsiTheme="minorHAnsi"/>
          <w:noProof/>
          <w:sz w:val="24"/>
          <w:szCs w:val="24"/>
          <w:lang w:eastAsia="en-AU" w:bidi="ar-SA"/>
        </w:rPr>
      </w:pPr>
      <w:hyperlink w:anchor="_Toc205377444" w:history="1">
        <w:r w:rsidRPr="0017009B">
          <w:rPr>
            <w:rStyle w:val="Hyperlink"/>
            <w:noProof/>
          </w:rPr>
          <w:t>Figure 8 - Procurement Phase - Centralised Optimisation</w:t>
        </w:r>
        <w:r>
          <w:rPr>
            <w:noProof/>
            <w:webHidden/>
          </w:rPr>
          <w:tab/>
        </w:r>
        <w:r>
          <w:rPr>
            <w:noProof/>
            <w:webHidden/>
          </w:rPr>
          <w:fldChar w:fldCharType="begin"/>
        </w:r>
        <w:r>
          <w:rPr>
            <w:noProof/>
            <w:webHidden/>
          </w:rPr>
          <w:instrText xml:space="preserve"> PAGEREF _Toc205377444 \h </w:instrText>
        </w:r>
        <w:r>
          <w:rPr>
            <w:noProof/>
            <w:webHidden/>
          </w:rPr>
        </w:r>
        <w:r>
          <w:rPr>
            <w:noProof/>
            <w:webHidden/>
          </w:rPr>
          <w:fldChar w:fldCharType="separate"/>
        </w:r>
        <w:r w:rsidR="00CE6CF1">
          <w:rPr>
            <w:noProof/>
            <w:webHidden/>
          </w:rPr>
          <w:t>52</w:t>
        </w:r>
        <w:r>
          <w:rPr>
            <w:noProof/>
            <w:webHidden/>
          </w:rPr>
          <w:fldChar w:fldCharType="end"/>
        </w:r>
      </w:hyperlink>
    </w:p>
    <w:p w14:paraId="64E1CE70" w14:textId="7D0544E8" w:rsidR="00E91535" w:rsidRDefault="00E91535">
      <w:pPr>
        <w:pStyle w:val="TableofFigures"/>
        <w:tabs>
          <w:tab w:val="right" w:leader="dot" w:pos="8210"/>
        </w:tabs>
        <w:rPr>
          <w:rFonts w:asciiTheme="minorHAnsi" w:hAnsiTheme="minorHAnsi"/>
          <w:noProof/>
          <w:sz w:val="24"/>
          <w:szCs w:val="24"/>
          <w:lang w:eastAsia="en-AU" w:bidi="ar-SA"/>
        </w:rPr>
      </w:pPr>
      <w:hyperlink w:anchor="_Toc205377445" w:history="1">
        <w:r w:rsidRPr="0017009B">
          <w:rPr>
            <w:rStyle w:val="Hyperlink"/>
            <w:noProof/>
          </w:rPr>
          <w:t>Figure 9 - Procurement Phase - Decentralised Optimisation</w:t>
        </w:r>
        <w:r>
          <w:rPr>
            <w:noProof/>
            <w:webHidden/>
          </w:rPr>
          <w:tab/>
        </w:r>
        <w:r>
          <w:rPr>
            <w:noProof/>
            <w:webHidden/>
          </w:rPr>
          <w:fldChar w:fldCharType="begin"/>
        </w:r>
        <w:r>
          <w:rPr>
            <w:noProof/>
            <w:webHidden/>
          </w:rPr>
          <w:instrText xml:space="preserve"> PAGEREF _Toc205377445 \h </w:instrText>
        </w:r>
        <w:r>
          <w:rPr>
            <w:noProof/>
            <w:webHidden/>
          </w:rPr>
        </w:r>
        <w:r>
          <w:rPr>
            <w:noProof/>
            <w:webHidden/>
          </w:rPr>
          <w:fldChar w:fldCharType="separate"/>
        </w:r>
        <w:r w:rsidR="00CE6CF1">
          <w:rPr>
            <w:noProof/>
            <w:webHidden/>
          </w:rPr>
          <w:t>53</w:t>
        </w:r>
        <w:r>
          <w:rPr>
            <w:noProof/>
            <w:webHidden/>
          </w:rPr>
          <w:fldChar w:fldCharType="end"/>
        </w:r>
      </w:hyperlink>
    </w:p>
    <w:p w14:paraId="45B97D3F" w14:textId="58D156D9" w:rsidR="00E91535" w:rsidRDefault="00E91535">
      <w:pPr>
        <w:pStyle w:val="TableofFigures"/>
        <w:tabs>
          <w:tab w:val="right" w:leader="dot" w:pos="8210"/>
        </w:tabs>
        <w:rPr>
          <w:rFonts w:asciiTheme="minorHAnsi" w:hAnsiTheme="minorHAnsi"/>
          <w:noProof/>
          <w:sz w:val="24"/>
          <w:szCs w:val="24"/>
          <w:lang w:eastAsia="en-AU" w:bidi="ar-SA"/>
        </w:rPr>
      </w:pPr>
      <w:hyperlink w:anchor="_Toc205377446" w:history="1">
        <w:r w:rsidRPr="0017009B">
          <w:rPr>
            <w:rStyle w:val="Hyperlink"/>
            <w:noProof/>
          </w:rPr>
          <w:t>Figure 10 - Activation Phase - Automatic</w:t>
        </w:r>
        <w:r>
          <w:rPr>
            <w:noProof/>
            <w:webHidden/>
          </w:rPr>
          <w:tab/>
        </w:r>
        <w:r>
          <w:rPr>
            <w:noProof/>
            <w:webHidden/>
          </w:rPr>
          <w:fldChar w:fldCharType="begin"/>
        </w:r>
        <w:r>
          <w:rPr>
            <w:noProof/>
            <w:webHidden/>
          </w:rPr>
          <w:instrText xml:space="preserve"> PAGEREF _Toc205377446 \h </w:instrText>
        </w:r>
        <w:r>
          <w:rPr>
            <w:noProof/>
            <w:webHidden/>
          </w:rPr>
        </w:r>
        <w:r>
          <w:rPr>
            <w:noProof/>
            <w:webHidden/>
          </w:rPr>
          <w:fldChar w:fldCharType="separate"/>
        </w:r>
        <w:r w:rsidR="00CE6CF1">
          <w:rPr>
            <w:noProof/>
            <w:webHidden/>
          </w:rPr>
          <w:t>53</w:t>
        </w:r>
        <w:r>
          <w:rPr>
            <w:noProof/>
            <w:webHidden/>
          </w:rPr>
          <w:fldChar w:fldCharType="end"/>
        </w:r>
      </w:hyperlink>
    </w:p>
    <w:p w14:paraId="7806BC90" w14:textId="2A4D9A33" w:rsidR="00E91535" w:rsidRDefault="00E91535">
      <w:pPr>
        <w:pStyle w:val="TableofFigures"/>
        <w:tabs>
          <w:tab w:val="right" w:leader="dot" w:pos="8210"/>
        </w:tabs>
        <w:rPr>
          <w:rFonts w:asciiTheme="minorHAnsi" w:hAnsiTheme="minorHAnsi"/>
          <w:noProof/>
          <w:sz w:val="24"/>
          <w:szCs w:val="24"/>
          <w:lang w:eastAsia="en-AU" w:bidi="ar-SA"/>
        </w:rPr>
      </w:pPr>
      <w:hyperlink w:anchor="_Toc205377447" w:history="1">
        <w:r w:rsidRPr="0017009B">
          <w:rPr>
            <w:rStyle w:val="Hyperlink"/>
            <w:noProof/>
          </w:rPr>
          <w:t>Figure 11 - Activation Phase - Manual</w:t>
        </w:r>
        <w:r>
          <w:rPr>
            <w:noProof/>
            <w:webHidden/>
          </w:rPr>
          <w:tab/>
        </w:r>
        <w:r>
          <w:rPr>
            <w:noProof/>
            <w:webHidden/>
          </w:rPr>
          <w:fldChar w:fldCharType="begin"/>
        </w:r>
        <w:r>
          <w:rPr>
            <w:noProof/>
            <w:webHidden/>
          </w:rPr>
          <w:instrText xml:space="preserve"> PAGEREF _Toc205377447 \h </w:instrText>
        </w:r>
        <w:r>
          <w:rPr>
            <w:noProof/>
            <w:webHidden/>
          </w:rPr>
        </w:r>
        <w:r>
          <w:rPr>
            <w:noProof/>
            <w:webHidden/>
          </w:rPr>
          <w:fldChar w:fldCharType="separate"/>
        </w:r>
        <w:r w:rsidR="00CE6CF1">
          <w:rPr>
            <w:noProof/>
            <w:webHidden/>
          </w:rPr>
          <w:t>54</w:t>
        </w:r>
        <w:r>
          <w:rPr>
            <w:noProof/>
            <w:webHidden/>
          </w:rPr>
          <w:fldChar w:fldCharType="end"/>
        </w:r>
      </w:hyperlink>
    </w:p>
    <w:p w14:paraId="357CE8FC" w14:textId="6242AA71" w:rsidR="00E91535" w:rsidRDefault="00E91535">
      <w:pPr>
        <w:pStyle w:val="TableofFigures"/>
        <w:tabs>
          <w:tab w:val="right" w:leader="dot" w:pos="8210"/>
        </w:tabs>
        <w:rPr>
          <w:rFonts w:asciiTheme="minorHAnsi" w:hAnsiTheme="minorHAnsi"/>
          <w:noProof/>
          <w:sz w:val="24"/>
          <w:szCs w:val="24"/>
          <w:lang w:eastAsia="en-AU" w:bidi="ar-SA"/>
        </w:rPr>
      </w:pPr>
      <w:hyperlink w:anchor="_Toc205377448" w:history="1">
        <w:r w:rsidRPr="0017009B">
          <w:rPr>
            <w:rStyle w:val="Hyperlink"/>
            <w:noProof/>
          </w:rPr>
          <w:t>Figure 12 - Settlement Phase</w:t>
        </w:r>
        <w:r>
          <w:rPr>
            <w:noProof/>
            <w:webHidden/>
          </w:rPr>
          <w:tab/>
        </w:r>
        <w:r>
          <w:rPr>
            <w:noProof/>
            <w:webHidden/>
          </w:rPr>
          <w:fldChar w:fldCharType="begin"/>
        </w:r>
        <w:r>
          <w:rPr>
            <w:noProof/>
            <w:webHidden/>
          </w:rPr>
          <w:instrText xml:space="preserve"> PAGEREF _Toc205377448 \h </w:instrText>
        </w:r>
        <w:r>
          <w:rPr>
            <w:noProof/>
            <w:webHidden/>
          </w:rPr>
        </w:r>
        <w:r>
          <w:rPr>
            <w:noProof/>
            <w:webHidden/>
          </w:rPr>
          <w:fldChar w:fldCharType="separate"/>
        </w:r>
        <w:r w:rsidR="00CE6CF1">
          <w:rPr>
            <w:noProof/>
            <w:webHidden/>
          </w:rPr>
          <w:t>54</w:t>
        </w:r>
        <w:r>
          <w:rPr>
            <w:noProof/>
            <w:webHidden/>
          </w:rPr>
          <w:fldChar w:fldCharType="end"/>
        </w:r>
      </w:hyperlink>
    </w:p>
    <w:p w14:paraId="1402CB04" w14:textId="17307FFB" w:rsidR="00E91535" w:rsidRDefault="00E91535">
      <w:pPr>
        <w:pStyle w:val="TableofFigures"/>
        <w:tabs>
          <w:tab w:val="right" w:leader="dot" w:pos="8210"/>
        </w:tabs>
        <w:rPr>
          <w:rFonts w:asciiTheme="minorHAnsi" w:hAnsiTheme="minorHAnsi"/>
          <w:noProof/>
          <w:sz w:val="24"/>
          <w:szCs w:val="24"/>
          <w:lang w:eastAsia="en-AU" w:bidi="ar-SA"/>
        </w:rPr>
      </w:pPr>
      <w:hyperlink w:anchor="_Toc205377449" w:history="1">
        <w:r w:rsidRPr="0017009B">
          <w:rPr>
            <w:rStyle w:val="Hyperlink"/>
            <w:noProof/>
          </w:rPr>
          <w:t>Figure 13 – ENTSO-E Congestion Management Process Overview</w:t>
        </w:r>
        <w:r>
          <w:rPr>
            <w:noProof/>
            <w:webHidden/>
          </w:rPr>
          <w:tab/>
        </w:r>
        <w:r>
          <w:rPr>
            <w:noProof/>
            <w:webHidden/>
          </w:rPr>
          <w:fldChar w:fldCharType="begin"/>
        </w:r>
        <w:r>
          <w:rPr>
            <w:noProof/>
            <w:webHidden/>
          </w:rPr>
          <w:instrText xml:space="preserve"> PAGEREF _Toc205377449 \h </w:instrText>
        </w:r>
        <w:r>
          <w:rPr>
            <w:noProof/>
            <w:webHidden/>
          </w:rPr>
        </w:r>
        <w:r>
          <w:rPr>
            <w:noProof/>
            <w:webHidden/>
          </w:rPr>
          <w:fldChar w:fldCharType="separate"/>
        </w:r>
        <w:r w:rsidR="00CE6CF1">
          <w:rPr>
            <w:noProof/>
            <w:webHidden/>
          </w:rPr>
          <w:t>55</w:t>
        </w:r>
        <w:r>
          <w:rPr>
            <w:noProof/>
            <w:webHidden/>
          </w:rPr>
          <w:fldChar w:fldCharType="end"/>
        </w:r>
      </w:hyperlink>
    </w:p>
    <w:p w14:paraId="4A330629" w14:textId="3BCD01E8" w:rsidR="00E91535" w:rsidRDefault="00E91535">
      <w:pPr>
        <w:pStyle w:val="TableofFigures"/>
        <w:tabs>
          <w:tab w:val="right" w:leader="dot" w:pos="8210"/>
        </w:tabs>
        <w:rPr>
          <w:rFonts w:asciiTheme="minorHAnsi" w:hAnsiTheme="minorHAnsi"/>
          <w:noProof/>
          <w:sz w:val="24"/>
          <w:szCs w:val="24"/>
          <w:lang w:eastAsia="en-AU" w:bidi="ar-SA"/>
        </w:rPr>
      </w:pPr>
      <w:hyperlink w:anchor="_Toc205377450" w:history="1">
        <w:r w:rsidRPr="0017009B">
          <w:rPr>
            <w:rStyle w:val="Hyperlink"/>
            <w:noProof/>
          </w:rPr>
          <w:t>Figure 14 - Data Rates and Information Extraction Relationships</w:t>
        </w:r>
        <w:r>
          <w:rPr>
            <w:noProof/>
            <w:webHidden/>
          </w:rPr>
          <w:tab/>
        </w:r>
        <w:r>
          <w:rPr>
            <w:noProof/>
            <w:webHidden/>
          </w:rPr>
          <w:fldChar w:fldCharType="begin"/>
        </w:r>
        <w:r>
          <w:rPr>
            <w:noProof/>
            <w:webHidden/>
          </w:rPr>
          <w:instrText xml:space="preserve"> PAGEREF _Toc205377450 \h </w:instrText>
        </w:r>
        <w:r>
          <w:rPr>
            <w:noProof/>
            <w:webHidden/>
          </w:rPr>
        </w:r>
        <w:r>
          <w:rPr>
            <w:noProof/>
            <w:webHidden/>
          </w:rPr>
          <w:fldChar w:fldCharType="separate"/>
        </w:r>
        <w:r w:rsidR="00CE6CF1">
          <w:rPr>
            <w:noProof/>
            <w:webHidden/>
          </w:rPr>
          <w:t>56</w:t>
        </w:r>
        <w:r>
          <w:rPr>
            <w:noProof/>
            <w:webHidden/>
          </w:rPr>
          <w:fldChar w:fldCharType="end"/>
        </w:r>
      </w:hyperlink>
    </w:p>
    <w:p w14:paraId="22802518" w14:textId="1956A801" w:rsidR="00E91535" w:rsidRDefault="00E91535">
      <w:pPr>
        <w:pStyle w:val="TableofFigures"/>
        <w:tabs>
          <w:tab w:val="right" w:leader="dot" w:pos="8210"/>
        </w:tabs>
        <w:rPr>
          <w:rFonts w:asciiTheme="minorHAnsi" w:hAnsiTheme="minorHAnsi"/>
          <w:noProof/>
          <w:sz w:val="24"/>
          <w:szCs w:val="24"/>
          <w:lang w:eastAsia="en-AU" w:bidi="ar-SA"/>
        </w:rPr>
      </w:pPr>
      <w:hyperlink w:anchor="_Toc205377451" w:history="1">
        <w:r w:rsidRPr="0017009B">
          <w:rPr>
            <w:rStyle w:val="Hyperlink"/>
            <w:noProof/>
          </w:rPr>
          <w:t>Figure 15 - Data/Information Funnel Effect for Power Systems with DSOs</w:t>
        </w:r>
        <w:r>
          <w:rPr>
            <w:noProof/>
            <w:webHidden/>
          </w:rPr>
          <w:tab/>
        </w:r>
        <w:r>
          <w:rPr>
            <w:noProof/>
            <w:webHidden/>
          </w:rPr>
          <w:fldChar w:fldCharType="begin"/>
        </w:r>
        <w:r>
          <w:rPr>
            <w:noProof/>
            <w:webHidden/>
          </w:rPr>
          <w:instrText xml:space="preserve"> PAGEREF _Toc205377451 \h </w:instrText>
        </w:r>
        <w:r>
          <w:rPr>
            <w:noProof/>
            <w:webHidden/>
          </w:rPr>
        </w:r>
        <w:r>
          <w:rPr>
            <w:noProof/>
            <w:webHidden/>
          </w:rPr>
          <w:fldChar w:fldCharType="separate"/>
        </w:r>
        <w:r w:rsidR="00CE6CF1">
          <w:rPr>
            <w:noProof/>
            <w:webHidden/>
          </w:rPr>
          <w:t>57</w:t>
        </w:r>
        <w:r>
          <w:rPr>
            <w:noProof/>
            <w:webHidden/>
          </w:rPr>
          <w:fldChar w:fldCharType="end"/>
        </w:r>
      </w:hyperlink>
    </w:p>
    <w:p w14:paraId="291BC729" w14:textId="123057F7" w:rsidR="00E91535" w:rsidRDefault="00E91535">
      <w:pPr>
        <w:pStyle w:val="TableofFigures"/>
        <w:tabs>
          <w:tab w:val="right" w:leader="dot" w:pos="8210"/>
        </w:tabs>
        <w:rPr>
          <w:rFonts w:asciiTheme="minorHAnsi" w:hAnsiTheme="minorHAnsi"/>
          <w:noProof/>
          <w:sz w:val="24"/>
          <w:szCs w:val="24"/>
          <w:lang w:eastAsia="en-AU" w:bidi="ar-SA"/>
        </w:rPr>
      </w:pPr>
      <w:hyperlink w:anchor="_Toc205377452" w:history="1">
        <w:r w:rsidRPr="0017009B">
          <w:rPr>
            <w:rStyle w:val="Hyperlink"/>
            <w:noProof/>
          </w:rPr>
          <w:t>Figure 16 - Example Upstream Dataflows and Data Transformations</w:t>
        </w:r>
        <w:r>
          <w:rPr>
            <w:noProof/>
            <w:webHidden/>
          </w:rPr>
          <w:tab/>
        </w:r>
        <w:r>
          <w:rPr>
            <w:noProof/>
            <w:webHidden/>
          </w:rPr>
          <w:fldChar w:fldCharType="begin"/>
        </w:r>
        <w:r>
          <w:rPr>
            <w:noProof/>
            <w:webHidden/>
          </w:rPr>
          <w:instrText xml:space="preserve"> PAGEREF _Toc205377452 \h </w:instrText>
        </w:r>
        <w:r>
          <w:rPr>
            <w:noProof/>
            <w:webHidden/>
          </w:rPr>
        </w:r>
        <w:r>
          <w:rPr>
            <w:noProof/>
            <w:webHidden/>
          </w:rPr>
          <w:fldChar w:fldCharType="separate"/>
        </w:r>
        <w:r w:rsidR="00CE6CF1">
          <w:rPr>
            <w:noProof/>
            <w:webHidden/>
          </w:rPr>
          <w:t>57</w:t>
        </w:r>
        <w:r>
          <w:rPr>
            <w:noProof/>
            <w:webHidden/>
          </w:rPr>
          <w:fldChar w:fldCharType="end"/>
        </w:r>
      </w:hyperlink>
    </w:p>
    <w:p w14:paraId="29B447A3" w14:textId="3F130634" w:rsidR="00E91535" w:rsidRDefault="00E91535">
      <w:pPr>
        <w:pStyle w:val="TableofFigures"/>
        <w:tabs>
          <w:tab w:val="right" w:leader="dot" w:pos="8210"/>
        </w:tabs>
        <w:rPr>
          <w:rFonts w:asciiTheme="minorHAnsi" w:hAnsiTheme="minorHAnsi"/>
          <w:noProof/>
          <w:sz w:val="24"/>
          <w:szCs w:val="24"/>
          <w:lang w:eastAsia="en-AU" w:bidi="ar-SA"/>
        </w:rPr>
      </w:pPr>
      <w:hyperlink w:anchor="_Toc205377453" w:history="1">
        <w:r w:rsidRPr="0017009B">
          <w:rPr>
            <w:rStyle w:val="Hyperlink"/>
            <w:noProof/>
          </w:rPr>
          <w:t>Figure 17 - Dataflows viewed from a whole-system perspective, highlighting the value of established data transformation approaches</w:t>
        </w:r>
        <w:r>
          <w:rPr>
            <w:noProof/>
            <w:webHidden/>
          </w:rPr>
          <w:tab/>
        </w:r>
        <w:r>
          <w:rPr>
            <w:noProof/>
            <w:webHidden/>
          </w:rPr>
          <w:fldChar w:fldCharType="begin"/>
        </w:r>
        <w:r>
          <w:rPr>
            <w:noProof/>
            <w:webHidden/>
          </w:rPr>
          <w:instrText xml:space="preserve"> PAGEREF _Toc205377453 \h </w:instrText>
        </w:r>
        <w:r>
          <w:rPr>
            <w:noProof/>
            <w:webHidden/>
          </w:rPr>
        </w:r>
        <w:r>
          <w:rPr>
            <w:noProof/>
            <w:webHidden/>
          </w:rPr>
          <w:fldChar w:fldCharType="separate"/>
        </w:r>
        <w:r w:rsidR="00CE6CF1">
          <w:rPr>
            <w:noProof/>
            <w:webHidden/>
          </w:rPr>
          <w:t>58</w:t>
        </w:r>
        <w:r>
          <w:rPr>
            <w:noProof/>
            <w:webHidden/>
          </w:rPr>
          <w:fldChar w:fldCharType="end"/>
        </w:r>
      </w:hyperlink>
    </w:p>
    <w:p w14:paraId="042D0698" w14:textId="09EE892F" w:rsidR="00E91535" w:rsidRDefault="00E91535">
      <w:pPr>
        <w:pStyle w:val="TableofFigures"/>
        <w:tabs>
          <w:tab w:val="right" w:leader="dot" w:pos="8210"/>
        </w:tabs>
        <w:rPr>
          <w:rFonts w:asciiTheme="minorHAnsi" w:hAnsiTheme="minorHAnsi"/>
          <w:noProof/>
          <w:sz w:val="24"/>
          <w:szCs w:val="24"/>
          <w:lang w:eastAsia="en-AU" w:bidi="ar-SA"/>
        </w:rPr>
      </w:pPr>
      <w:hyperlink w:anchor="_Toc205377454" w:history="1">
        <w:r w:rsidRPr="0017009B">
          <w:rPr>
            <w:rStyle w:val="Hyperlink"/>
            <w:noProof/>
          </w:rPr>
          <w:t xml:space="preserve">Figure 18 - Example Solar Variability Over One Day </w:t>
        </w:r>
        <w:r w:rsidRPr="0017009B">
          <w:rPr>
            <w:rStyle w:val="Hyperlink"/>
            <w:noProof/>
            <w:lang w:val="en-GB"/>
          </w:rPr>
          <w:t>[18]</w:t>
        </w:r>
        <w:r>
          <w:rPr>
            <w:noProof/>
            <w:webHidden/>
          </w:rPr>
          <w:tab/>
        </w:r>
        <w:r>
          <w:rPr>
            <w:noProof/>
            <w:webHidden/>
          </w:rPr>
          <w:fldChar w:fldCharType="begin"/>
        </w:r>
        <w:r>
          <w:rPr>
            <w:noProof/>
            <w:webHidden/>
          </w:rPr>
          <w:instrText xml:space="preserve"> PAGEREF _Toc205377454 \h </w:instrText>
        </w:r>
        <w:r>
          <w:rPr>
            <w:noProof/>
            <w:webHidden/>
          </w:rPr>
        </w:r>
        <w:r>
          <w:rPr>
            <w:noProof/>
            <w:webHidden/>
          </w:rPr>
          <w:fldChar w:fldCharType="separate"/>
        </w:r>
        <w:r w:rsidR="00CE6CF1">
          <w:rPr>
            <w:noProof/>
            <w:webHidden/>
          </w:rPr>
          <w:t>59</w:t>
        </w:r>
        <w:r>
          <w:rPr>
            <w:noProof/>
            <w:webHidden/>
          </w:rPr>
          <w:fldChar w:fldCharType="end"/>
        </w:r>
      </w:hyperlink>
    </w:p>
    <w:p w14:paraId="4E62A88B" w14:textId="7D219334" w:rsidR="00E91535" w:rsidRDefault="00E91535">
      <w:pPr>
        <w:pStyle w:val="TableofFigures"/>
        <w:tabs>
          <w:tab w:val="right" w:leader="dot" w:pos="8210"/>
        </w:tabs>
        <w:rPr>
          <w:rFonts w:asciiTheme="minorHAnsi" w:hAnsiTheme="minorHAnsi"/>
          <w:noProof/>
          <w:sz w:val="24"/>
          <w:szCs w:val="24"/>
          <w:lang w:eastAsia="en-AU" w:bidi="ar-SA"/>
        </w:rPr>
      </w:pPr>
      <w:hyperlink w:anchor="_Toc205377455" w:history="1">
        <w:r w:rsidRPr="0017009B">
          <w:rPr>
            <w:rStyle w:val="Hyperlink"/>
            <w:noProof/>
          </w:rPr>
          <w:t>Figure 19 - Energy products that are location-specific</w:t>
        </w:r>
        <w:r w:rsidRPr="0017009B">
          <w:rPr>
            <w:rStyle w:val="Hyperlink"/>
            <w:noProof/>
            <w:lang w:val="en-GB"/>
          </w:rPr>
          <w:t xml:space="preserve"> [17]</w:t>
        </w:r>
        <w:r>
          <w:rPr>
            <w:noProof/>
            <w:webHidden/>
          </w:rPr>
          <w:tab/>
        </w:r>
        <w:r>
          <w:rPr>
            <w:noProof/>
            <w:webHidden/>
          </w:rPr>
          <w:fldChar w:fldCharType="begin"/>
        </w:r>
        <w:r>
          <w:rPr>
            <w:noProof/>
            <w:webHidden/>
          </w:rPr>
          <w:instrText xml:space="preserve"> PAGEREF _Toc205377455 \h </w:instrText>
        </w:r>
        <w:r>
          <w:rPr>
            <w:noProof/>
            <w:webHidden/>
          </w:rPr>
        </w:r>
        <w:r>
          <w:rPr>
            <w:noProof/>
            <w:webHidden/>
          </w:rPr>
          <w:fldChar w:fldCharType="separate"/>
        </w:r>
        <w:r w:rsidR="00CE6CF1">
          <w:rPr>
            <w:noProof/>
            <w:webHidden/>
          </w:rPr>
          <w:t>61</w:t>
        </w:r>
        <w:r>
          <w:rPr>
            <w:noProof/>
            <w:webHidden/>
          </w:rPr>
          <w:fldChar w:fldCharType="end"/>
        </w:r>
      </w:hyperlink>
    </w:p>
    <w:p w14:paraId="39E8C698" w14:textId="3C0B66D5" w:rsidR="00E91535" w:rsidRDefault="00E91535">
      <w:pPr>
        <w:pStyle w:val="TableofFigures"/>
        <w:tabs>
          <w:tab w:val="right" w:leader="dot" w:pos="8210"/>
        </w:tabs>
        <w:rPr>
          <w:rFonts w:asciiTheme="minorHAnsi" w:hAnsiTheme="minorHAnsi"/>
          <w:noProof/>
          <w:sz w:val="24"/>
          <w:szCs w:val="24"/>
          <w:lang w:eastAsia="en-AU" w:bidi="ar-SA"/>
        </w:rPr>
      </w:pPr>
      <w:hyperlink w:anchor="_Toc205377456" w:history="1">
        <w:r w:rsidRPr="0017009B">
          <w:rPr>
            <w:rStyle w:val="Hyperlink"/>
            <w:noProof/>
          </w:rPr>
          <w:t>Figure 20 - Important areas of coordination between TSO and DSO</w:t>
        </w:r>
        <w:r w:rsidRPr="0017009B">
          <w:rPr>
            <w:rStyle w:val="Hyperlink"/>
            <w:noProof/>
            <w:lang w:val="en-GB"/>
          </w:rPr>
          <w:t xml:space="preserve"> [24]</w:t>
        </w:r>
        <w:r>
          <w:rPr>
            <w:noProof/>
            <w:webHidden/>
          </w:rPr>
          <w:tab/>
        </w:r>
        <w:r>
          <w:rPr>
            <w:noProof/>
            <w:webHidden/>
          </w:rPr>
          <w:fldChar w:fldCharType="begin"/>
        </w:r>
        <w:r>
          <w:rPr>
            <w:noProof/>
            <w:webHidden/>
          </w:rPr>
          <w:instrText xml:space="preserve"> PAGEREF _Toc205377456 \h </w:instrText>
        </w:r>
        <w:r>
          <w:rPr>
            <w:noProof/>
            <w:webHidden/>
          </w:rPr>
        </w:r>
        <w:r>
          <w:rPr>
            <w:noProof/>
            <w:webHidden/>
          </w:rPr>
          <w:fldChar w:fldCharType="separate"/>
        </w:r>
        <w:r w:rsidR="00CE6CF1">
          <w:rPr>
            <w:noProof/>
            <w:webHidden/>
          </w:rPr>
          <w:t>63</w:t>
        </w:r>
        <w:r>
          <w:rPr>
            <w:noProof/>
            <w:webHidden/>
          </w:rPr>
          <w:fldChar w:fldCharType="end"/>
        </w:r>
      </w:hyperlink>
    </w:p>
    <w:p w14:paraId="321796DA" w14:textId="4587E32B" w:rsidR="00E91535" w:rsidRDefault="00E91535">
      <w:pPr>
        <w:pStyle w:val="TableofFigures"/>
        <w:tabs>
          <w:tab w:val="right" w:leader="dot" w:pos="8210"/>
        </w:tabs>
        <w:rPr>
          <w:rFonts w:asciiTheme="minorHAnsi" w:hAnsiTheme="minorHAnsi"/>
          <w:noProof/>
          <w:sz w:val="24"/>
          <w:szCs w:val="24"/>
          <w:lang w:eastAsia="en-AU" w:bidi="ar-SA"/>
        </w:rPr>
      </w:pPr>
      <w:hyperlink w:anchor="_Toc205377457" w:history="1">
        <w:r w:rsidRPr="0017009B">
          <w:rPr>
            <w:rStyle w:val="Hyperlink"/>
            <w:noProof/>
          </w:rPr>
          <w:t xml:space="preserve">Figure 21 - Example CIM UML class: Voltage </w:t>
        </w:r>
        <w:r w:rsidRPr="0017009B">
          <w:rPr>
            <w:rStyle w:val="Hyperlink"/>
            <w:noProof/>
            <w:lang w:val="en-GB"/>
          </w:rPr>
          <w:t>[27]</w:t>
        </w:r>
        <w:r>
          <w:rPr>
            <w:noProof/>
            <w:webHidden/>
          </w:rPr>
          <w:tab/>
        </w:r>
        <w:r>
          <w:rPr>
            <w:noProof/>
            <w:webHidden/>
          </w:rPr>
          <w:fldChar w:fldCharType="begin"/>
        </w:r>
        <w:r>
          <w:rPr>
            <w:noProof/>
            <w:webHidden/>
          </w:rPr>
          <w:instrText xml:space="preserve"> PAGEREF _Toc205377457 \h </w:instrText>
        </w:r>
        <w:r>
          <w:rPr>
            <w:noProof/>
            <w:webHidden/>
          </w:rPr>
        </w:r>
        <w:r>
          <w:rPr>
            <w:noProof/>
            <w:webHidden/>
          </w:rPr>
          <w:fldChar w:fldCharType="separate"/>
        </w:r>
        <w:r w:rsidR="00CE6CF1">
          <w:rPr>
            <w:noProof/>
            <w:webHidden/>
          </w:rPr>
          <w:t>68</w:t>
        </w:r>
        <w:r>
          <w:rPr>
            <w:noProof/>
            <w:webHidden/>
          </w:rPr>
          <w:fldChar w:fldCharType="end"/>
        </w:r>
      </w:hyperlink>
    </w:p>
    <w:p w14:paraId="4E02F6AC" w14:textId="13B0AFE1" w:rsidR="00E91535" w:rsidRDefault="00E91535">
      <w:pPr>
        <w:pStyle w:val="TableofFigures"/>
        <w:tabs>
          <w:tab w:val="right" w:leader="dot" w:pos="8210"/>
        </w:tabs>
        <w:rPr>
          <w:rFonts w:asciiTheme="minorHAnsi" w:hAnsiTheme="minorHAnsi"/>
          <w:noProof/>
          <w:sz w:val="24"/>
          <w:szCs w:val="24"/>
          <w:lang w:eastAsia="en-AU" w:bidi="ar-SA"/>
        </w:rPr>
      </w:pPr>
      <w:hyperlink w:anchor="_Toc205377458" w:history="1">
        <w:r w:rsidRPr="0017009B">
          <w:rPr>
            <w:rStyle w:val="Hyperlink"/>
            <w:noProof/>
          </w:rPr>
          <w:t>Figure 22 - Example Partial Protocol Stack for Electric Utilities</w:t>
        </w:r>
        <w:r>
          <w:rPr>
            <w:noProof/>
            <w:webHidden/>
          </w:rPr>
          <w:tab/>
        </w:r>
        <w:r>
          <w:rPr>
            <w:noProof/>
            <w:webHidden/>
          </w:rPr>
          <w:fldChar w:fldCharType="begin"/>
        </w:r>
        <w:r>
          <w:rPr>
            <w:noProof/>
            <w:webHidden/>
          </w:rPr>
          <w:instrText xml:space="preserve"> PAGEREF _Toc205377458 \h </w:instrText>
        </w:r>
        <w:r>
          <w:rPr>
            <w:noProof/>
            <w:webHidden/>
          </w:rPr>
        </w:r>
        <w:r>
          <w:rPr>
            <w:noProof/>
            <w:webHidden/>
          </w:rPr>
          <w:fldChar w:fldCharType="separate"/>
        </w:r>
        <w:r w:rsidR="00CE6CF1">
          <w:rPr>
            <w:noProof/>
            <w:webHidden/>
          </w:rPr>
          <w:t>69</w:t>
        </w:r>
        <w:r>
          <w:rPr>
            <w:noProof/>
            <w:webHidden/>
          </w:rPr>
          <w:fldChar w:fldCharType="end"/>
        </w:r>
      </w:hyperlink>
    </w:p>
    <w:p w14:paraId="62BDF747" w14:textId="5AD98672" w:rsidR="00E91535" w:rsidRDefault="00E91535">
      <w:pPr>
        <w:pStyle w:val="TableofFigures"/>
        <w:tabs>
          <w:tab w:val="right" w:leader="dot" w:pos="8210"/>
        </w:tabs>
        <w:rPr>
          <w:rFonts w:asciiTheme="minorHAnsi" w:hAnsiTheme="minorHAnsi"/>
          <w:noProof/>
          <w:sz w:val="24"/>
          <w:szCs w:val="24"/>
          <w:lang w:eastAsia="en-AU" w:bidi="ar-SA"/>
        </w:rPr>
      </w:pPr>
      <w:hyperlink w:anchor="_Toc205377459" w:history="1">
        <w:r w:rsidRPr="0017009B">
          <w:rPr>
            <w:rStyle w:val="Hyperlink"/>
            <w:noProof/>
          </w:rPr>
          <w:t>Figure 23 - Example contents of a Substation Configuration Language  file with embedded data model [30]</w:t>
        </w:r>
        <w:r>
          <w:rPr>
            <w:noProof/>
            <w:webHidden/>
          </w:rPr>
          <w:tab/>
        </w:r>
        <w:r>
          <w:rPr>
            <w:noProof/>
            <w:webHidden/>
          </w:rPr>
          <w:fldChar w:fldCharType="begin"/>
        </w:r>
        <w:r>
          <w:rPr>
            <w:noProof/>
            <w:webHidden/>
          </w:rPr>
          <w:instrText xml:space="preserve"> PAGEREF _Toc205377459 \h </w:instrText>
        </w:r>
        <w:r>
          <w:rPr>
            <w:noProof/>
            <w:webHidden/>
          </w:rPr>
        </w:r>
        <w:r>
          <w:rPr>
            <w:noProof/>
            <w:webHidden/>
          </w:rPr>
          <w:fldChar w:fldCharType="separate"/>
        </w:r>
        <w:r w:rsidR="00CE6CF1">
          <w:rPr>
            <w:noProof/>
            <w:webHidden/>
          </w:rPr>
          <w:t>70</w:t>
        </w:r>
        <w:r>
          <w:rPr>
            <w:noProof/>
            <w:webHidden/>
          </w:rPr>
          <w:fldChar w:fldCharType="end"/>
        </w:r>
      </w:hyperlink>
    </w:p>
    <w:p w14:paraId="2CC453FB" w14:textId="51A6648E" w:rsidR="00E91535" w:rsidRDefault="00E91535">
      <w:pPr>
        <w:pStyle w:val="TableofFigures"/>
        <w:tabs>
          <w:tab w:val="right" w:leader="dot" w:pos="8210"/>
        </w:tabs>
        <w:rPr>
          <w:rFonts w:asciiTheme="minorHAnsi" w:hAnsiTheme="minorHAnsi"/>
          <w:noProof/>
          <w:sz w:val="24"/>
          <w:szCs w:val="24"/>
          <w:lang w:eastAsia="en-AU" w:bidi="ar-SA"/>
        </w:rPr>
      </w:pPr>
      <w:hyperlink w:anchor="_Toc205377460" w:history="1">
        <w:r w:rsidRPr="0017009B">
          <w:rPr>
            <w:rStyle w:val="Hyperlink"/>
            <w:noProof/>
          </w:rPr>
          <w:t>Figure 24 - Example IEEE2030.5 JSON formatted data model</w:t>
        </w:r>
        <w:r>
          <w:rPr>
            <w:noProof/>
            <w:webHidden/>
          </w:rPr>
          <w:tab/>
        </w:r>
        <w:r>
          <w:rPr>
            <w:noProof/>
            <w:webHidden/>
          </w:rPr>
          <w:fldChar w:fldCharType="begin"/>
        </w:r>
        <w:r>
          <w:rPr>
            <w:noProof/>
            <w:webHidden/>
          </w:rPr>
          <w:instrText xml:space="preserve"> PAGEREF _Toc205377460 \h </w:instrText>
        </w:r>
        <w:r>
          <w:rPr>
            <w:noProof/>
            <w:webHidden/>
          </w:rPr>
        </w:r>
        <w:r>
          <w:rPr>
            <w:noProof/>
            <w:webHidden/>
          </w:rPr>
          <w:fldChar w:fldCharType="separate"/>
        </w:r>
        <w:r w:rsidR="00CE6CF1">
          <w:rPr>
            <w:noProof/>
            <w:webHidden/>
          </w:rPr>
          <w:t>71</w:t>
        </w:r>
        <w:r>
          <w:rPr>
            <w:noProof/>
            <w:webHidden/>
          </w:rPr>
          <w:fldChar w:fldCharType="end"/>
        </w:r>
      </w:hyperlink>
    </w:p>
    <w:p w14:paraId="02D6A153" w14:textId="16FE66FB" w:rsidR="00E91535" w:rsidRDefault="00E91535">
      <w:pPr>
        <w:pStyle w:val="TableofFigures"/>
        <w:tabs>
          <w:tab w:val="right" w:leader="dot" w:pos="8210"/>
        </w:tabs>
        <w:rPr>
          <w:rFonts w:asciiTheme="minorHAnsi" w:hAnsiTheme="minorHAnsi"/>
          <w:noProof/>
          <w:sz w:val="24"/>
          <w:szCs w:val="24"/>
          <w:lang w:eastAsia="en-AU" w:bidi="ar-SA"/>
        </w:rPr>
      </w:pPr>
      <w:hyperlink w:anchor="_Toc205377461" w:history="1">
        <w:r w:rsidRPr="0017009B">
          <w:rPr>
            <w:rStyle w:val="Hyperlink"/>
            <w:noProof/>
          </w:rPr>
          <w:t>Figure 25 - OpenADR XML formatted data model</w:t>
        </w:r>
        <w:r>
          <w:rPr>
            <w:noProof/>
            <w:webHidden/>
          </w:rPr>
          <w:tab/>
        </w:r>
        <w:r>
          <w:rPr>
            <w:noProof/>
            <w:webHidden/>
          </w:rPr>
          <w:fldChar w:fldCharType="begin"/>
        </w:r>
        <w:r>
          <w:rPr>
            <w:noProof/>
            <w:webHidden/>
          </w:rPr>
          <w:instrText xml:space="preserve"> PAGEREF _Toc205377461 \h </w:instrText>
        </w:r>
        <w:r>
          <w:rPr>
            <w:noProof/>
            <w:webHidden/>
          </w:rPr>
        </w:r>
        <w:r>
          <w:rPr>
            <w:noProof/>
            <w:webHidden/>
          </w:rPr>
          <w:fldChar w:fldCharType="separate"/>
        </w:r>
        <w:r w:rsidR="00CE6CF1">
          <w:rPr>
            <w:noProof/>
            <w:webHidden/>
          </w:rPr>
          <w:t>71</w:t>
        </w:r>
        <w:r>
          <w:rPr>
            <w:noProof/>
            <w:webHidden/>
          </w:rPr>
          <w:fldChar w:fldCharType="end"/>
        </w:r>
      </w:hyperlink>
    </w:p>
    <w:p w14:paraId="7EF79828" w14:textId="6CDAD0C1" w:rsidR="00E91535" w:rsidRDefault="00E91535">
      <w:pPr>
        <w:pStyle w:val="TableofFigures"/>
        <w:tabs>
          <w:tab w:val="right" w:leader="dot" w:pos="8210"/>
        </w:tabs>
        <w:rPr>
          <w:rFonts w:asciiTheme="minorHAnsi" w:hAnsiTheme="minorHAnsi"/>
          <w:noProof/>
          <w:sz w:val="24"/>
          <w:szCs w:val="24"/>
          <w:lang w:eastAsia="en-AU" w:bidi="ar-SA"/>
        </w:rPr>
      </w:pPr>
      <w:hyperlink w:anchor="_Toc205377462" w:history="1">
        <w:r w:rsidRPr="0017009B">
          <w:rPr>
            <w:rStyle w:val="Hyperlink"/>
            <w:noProof/>
          </w:rPr>
          <w:t>Figure 26 - Relative Operational Process Latency Tolerance</w:t>
        </w:r>
        <w:r w:rsidRPr="0017009B">
          <w:rPr>
            <w:rStyle w:val="Hyperlink"/>
            <w:noProof/>
            <w:lang w:val="en-GB"/>
          </w:rPr>
          <w:t xml:space="preserve"> [35]</w:t>
        </w:r>
        <w:r>
          <w:rPr>
            <w:noProof/>
            <w:webHidden/>
          </w:rPr>
          <w:tab/>
        </w:r>
        <w:r>
          <w:rPr>
            <w:noProof/>
            <w:webHidden/>
          </w:rPr>
          <w:fldChar w:fldCharType="begin"/>
        </w:r>
        <w:r>
          <w:rPr>
            <w:noProof/>
            <w:webHidden/>
          </w:rPr>
          <w:instrText xml:space="preserve"> PAGEREF _Toc205377462 \h </w:instrText>
        </w:r>
        <w:r>
          <w:rPr>
            <w:noProof/>
            <w:webHidden/>
          </w:rPr>
        </w:r>
        <w:r>
          <w:rPr>
            <w:noProof/>
            <w:webHidden/>
          </w:rPr>
          <w:fldChar w:fldCharType="separate"/>
        </w:r>
        <w:r w:rsidR="00CE6CF1">
          <w:rPr>
            <w:noProof/>
            <w:webHidden/>
          </w:rPr>
          <w:t>75</w:t>
        </w:r>
        <w:r>
          <w:rPr>
            <w:noProof/>
            <w:webHidden/>
          </w:rPr>
          <w:fldChar w:fldCharType="end"/>
        </w:r>
      </w:hyperlink>
    </w:p>
    <w:p w14:paraId="7B9540C6" w14:textId="6415540D" w:rsidR="00E91535" w:rsidRDefault="00E91535">
      <w:pPr>
        <w:pStyle w:val="TableofFigures"/>
        <w:tabs>
          <w:tab w:val="right" w:leader="dot" w:pos="8210"/>
        </w:tabs>
        <w:rPr>
          <w:rFonts w:asciiTheme="minorHAnsi" w:hAnsiTheme="minorHAnsi"/>
          <w:noProof/>
          <w:sz w:val="24"/>
          <w:szCs w:val="24"/>
          <w:lang w:eastAsia="en-AU" w:bidi="ar-SA"/>
        </w:rPr>
      </w:pPr>
      <w:hyperlink w:anchor="_Toc205377463" w:history="1">
        <w:r w:rsidRPr="0017009B">
          <w:rPr>
            <w:rStyle w:val="Hyperlink"/>
            <w:noProof/>
          </w:rPr>
          <w:t xml:space="preserve">Figure 27 - Applicable interfaces for DER Group Functions </w:t>
        </w:r>
        <w:r w:rsidRPr="0017009B">
          <w:rPr>
            <w:rStyle w:val="Hyperlink"/>
            <w:noProof/>
            <w:lang w:val="en-GB"/>
          </w:rPr>
          <w:t>[38]</w:t>
        </w:r>
        <w:r>
          <w:rPr>
            <w:noProof/>
            <w:webHidden/>
          </w:rPr>
          <w:tab/>
        </w:r>
        <w:r>
          <w:rPr>
            <w:noProof/>
            <w:webHidden/>
          </w:rPr>
          <w:fldChar w:fldCharType="begin"/>
        </w:r>
        <w:r>
          <w:rPr>
            <w:noProof/>
            <w:webHidden/>
          </w:rPr>
          <w:instrText xml:space="preserve"> PAGEREF _Toc205377463 \h </w:instrText>
        </w:r>
        <w:r>
          <w:rPr>
            <w:noProof/>
            <w:webHidden/>
          </w:rPr>
        </w:r>
        <w:r>
          <w:rPr>
            <w:noProof/>
            <w:webHidden/>
          </w:rPr>
          <w:fldChar w:fldCharType="separate"/>
        </w:r>
        <w:r w:rsidR="00CE6CF1">
          <w:rPr>
            <w:noProof/>
            <w:webHidden/>
          </w:rPr>
          <w:t>85</w:t>
        </w:r>
        <w:r>
          <w:rPr>
            <w:noProof/>
            <w:webHidden/>
          </w:rPr>
          <w:fldChar w:fldCharType="end"/>
        </w:r>
      </w:hyperlink>
    </w:p>
    <w:p w14:paraId="27E2E1A5" w14:textId="26759D79" w:rsidR="00E91535" w:rsidRDefault="00E91535">
      <w:pPr>
        <w:pStyle w:val="TableofFigures"/>
        <w:tabs>
          <w:tab w:val="right" w:leader="dot" w:pos="8210"/>
        </w:tabs>
        <w:rPr>
          <w:rFonts w:asciiTheme="minorHAnsi" w:hAnsiTheme="minorHAnsi"/>
          <w:noProof/>
          <w:sz w:val="24"/>
          <w:szCs w:val="24"/>
          <w:lang w:eastAsia="en-AU" w:bidi="ar-SA"/>
        </w:rPr>
      </w:pPr>
      <w:hyperlink w:anchor="_Toc205377464" w:history="1">
        <w:r w:rsidRPr="0017009B">
          <w:rPr>
            <w:rStyle w:val="Hyperlink"/>
            <w:noProof/>
          </w:rPr>
          <w:t>Figure 28 - Customer and Societal Objectives outlined in Report 1</w:t>
        </w:r>
        <w:r>
          <w:rPr>
            <w:noProof/>
            <w:webHidden/>
          </w:rPr>
          <w:tab/>
        </w:r>
        <w:r>
          <w:rPr>
            <w:noProof/>
            <w:webHidden/>
          </w:rPr>
          <w:fldChar w:fldCharType="begin"/>
        </w:r>
        <w:r>
          <w:rPr>
            <w:noProof/>
            <w:webHidden/>
          </w:rPr>
          <w:instrText xml:space="preserve"> PAGEREF _Toc205377464 \h </w:instrText>
        </w:r>
        <w:r>
          <w:rPr>
            <w:noProof/>
            <w:webHidden/>
          </w:rPr>
        </w:r>
        <w:r>
          <w:rPr>
            <w:noProof/>
            <w:webHidden/>
          </w:rPr>
          <w:fldChar w:fldCharType="separate"/>
        </w:r>
        <w:r w:rsidR="00CE6CF1">
          <w:rPr>
            <w:noProof/>
            <w:webHidden/>
          </w:rPr>
          <w:t>96</w:t>
        </w:r>
        <w:r>
          <w:rPr>
            <w:noProof/>
            <w:webHidden/>
          </w:rPr>
          <w:fldChar w:fldCharType="end"/>
        </w:r>
      </w:hyperlink>
    </w:p>
    <w:p w14:paraId="45F73834" w14:textId="33723706" w:rsidR="00E91535" w:rsidRDefault="00E91535">
      <w:pPr>
        <w:pStyle w:val="TableofFigures"/>
        <w:tabs>
          <w:tab w:val="right" w:leader="dot" w:pos="8210"/>
        </w:tabs>
        <w:rPr>
          <w:rFonts w:asciiTheme="minorHAnsi" w:hAnsiTheme="minorHAnsi"/>
          <w:noProof/>
          <w:sz w:val="24"/>
          <w:szCs w:val="24"/>
          <w:lang w:eastAsia="en-AU" w:bidi="ar-SA"/>
        </w:rPr>
      </w:pPr>
      <w:hyperlink w:anchor="_Toc205377465" w:history="1">
        <w:r w:rsidRPr="0017009B">
          <w:rPr>
            <w:rStyle w:val="Hyperlink"/>
            <w:noProof/>
          </w:rPr>
          <w:t>Figure 29 - Systemic Issues identified in Report 3 and grouped by category</w:t>
        </w:r>
        <w:r>
          <w:rPr>
            <w:noProof/>
            <w:webHidden/>
          </w:rPr>
          <w:tab/>
        </w:r>
        <w:r>
          <w:rPr>
            <w:noProof/>
            <w:webHidden/>
          </w:rPr>
          <w:fldChar w:fldCharType="begin"/>
        </w:r>
        <w:r>
          <w:rPr>
            <w:noProof/>
            <w:webHidden/>
          </w:rPr>
          <w:instrText xml:space="preserve"> PAGEREF _Toc205377465 \h </w:instrText>
        </w:r>
        <w:r>
          <w:rPr>
            <w:noProof/>
            <w:webHidden/>
          </w:rPr>
        </w:r>
        <w:r>
          <w:rPr>
            <w:noProof/>
            <w:webHidden/>
          </w:rPr>
          <w:fldChar w:fldCharType="separate"/>
        </w:r>
        <w:r w:rsidR="00CE6CF1">
          <w:rPr>
            <w:noProof/>
            <w:webHidden/>
          </w:rPr>
          <w:t>98</w:t>
        </w:r>
        <w:r>
          <w:rPr>
            <w:noProof/>
            <w:webHidden/>
          </w:rPr>
          <w:fldChar w:fldCharType="end"/>
        </w:r>
      </w:hyperlink>
    </w:p>
    <w:p w14:paraId="383404BF" w14:textId="370E806F" w:rsidR="00E91535" w:rsidRDefault="00E91535">
      <w:pPr>
        <w:pStyle w:val="TableofFigures"/>
        <w:tabs>
          <w:tab w:val="right" w:leader="dot" w:pos="8210"/>
        </w:tabs>
        <w:rPr>
          <w:rFonts w:asciiTheme="minorHAnsi" w:hAnsiTheme="minorHAnsi"/>
          <w:noProof/>
          <w:sz w:val="24"/>
          <w:szCs w:val="24"/>
          <w:lang w:eastAsia="en-AU" w:bidi="ar-SA"/>
        </w:rPr>
      </w:pPr>
      <w:hyperlink w:anchor="_Toc205377466" w:history="1">
        <w:r w:rsidRPr="0017009B">
          <w:rPr>
            <w:rStyle w:val="Hyperlink"/>
            <w:noProof/>
          </w:rPr>
          <w:t>Figure 30 : The field of transition design highlights the need to reconceptualise key paradigms and address system structures that are no longer fit-for-purpose</w:t>
        </w:r>
        <w:r>
          <w:rPr>
            <w:noProof/>
            <w:webHidden/>
          </w:rPr>
          <w:tab/>
        </w:r>
        <w:r>
          <w:rPr>
            <w:noProof/>
            <w:webHidden/>
          </w:rPr>
          <w:fldChar w:fldCharType="begin"/>
        </w:r>
        <w:r>
          <w:rPr>
            <w:noProof/>
            <w:webHidden/>
          </w:rPr>
          <w:instrText xml:space="preserve"> PAGEREF _Toc205377466 \h </w:instrText>
        </w:r>
        <w:r>
          <w:rPr>
            <w:noProof/>
            <w:webHidden/>
          </w:rPr>
        </w:r>
        <w:r>
          <w:rPr>
            <w:noProof/>
            <w:webHidden/>
          </w:rPr>
          <w:fldChar w:fldCharType="separate"/>
        </w:r>
        <w:r w:rsidR="00CE6CF1">
          <w:rPr>
            <w:noProof/>
            <w:webHidden/>
          </w:rPr>
          <w:t>101</w:t>
        </w:r>
        <w:r>
          <w:rPr>
            <w:noProof/>
            <w:webHidden/>
          </w:rPr>
          <w:fldChar w:fldCharType="end"/>
        </w:r>
      </w:hyperlink>
    </w:p>
    <w:p w14:paraId="3EA6F5C5" w14:textId="4153689D" w:rsidR="00E91535" w:rsidRDefault="00E91535">
      <w:pPr>
        <w:pStyle w:val="TableofFigures"/>
        <w:tabs>
          <w:tab w:val="right" w:leader="dot" w:pos="8210"/>
        </w:tabs>
        <w:rPr>
          <w:rFonts w:asciiTheme="minorHAnsi" w:hAnsiTheme="minorHAnsi"/>
          <w:noProof/>
          <w:sz w:val="24"/>
          <w:szCs w:val="24"/>
          <w:lang w:eastAsia="en-AU" w:bidi="ar-SA"/>
        </w:rPr>
      </w:pPr>
      <w:hyperlink w:anchor="_Toc205377467" w:history="1">
        <w:r w:rsidRPr="0017009B">
          <w:rPr>
            <w:rStyle w:val="Hyperlink"/>
            <w:noProof/>
          </w:rPr>
          <w:t>Figure 31: DSO and TDC models are key enablers for ‘crossing the chasm’ between two distinct parallel paths of capability</w:t>
        </w:r>
        <w:r>
          <w:rPr>
            <w:noProof/>
            <w:webHidden/>
          </w:rPr>
          <w:tab/>
        </w:r>
        <w:r>
          <w:rPr>
            <w:noProof/>
            <w:webHidden/>
          </w:rPr>
          <w:fldChar w:fldCharType="begin"/>
        </w:r>
        <w:r>
          <w:rPr>
            <w:noProof/>
            <w:webHidden/>
          </w:rPr>
          <w:instrText xml:space="preserve"> PAGEREF _Toc205377467 \h </w:instrText>
        </w:r>
        <w:r>
          <w:rPr>
            <w:noProof/>
            <w:webHidden/>
          </w:rPr>
        </w:r>
        <w:r>
          <w:rPr>
            <w:noProof/>
            <w:webHidden/>
          </w:rPr>
          <w:fldChar w:fldCharType="separate"/>
        </w:r>
        <w:r w:rsidR="00CE6CF1">
          <w:rPr>
            <w:noProof/>
            <w:webHidden/>
          </w:rPr>
          <w:t>103</w:t>
        </w:r>
        <w:r>
          <w:rPr>
            <w:noProof/>
            <w:webHidden/>
          </w:rPr>
          <w:fldChar w:fldCharType="end"/>
        </w:r>
      </w:hyperlink>
    </w:p>
    <w:p w14:paraId="6F194058" w14:textId="262F4D00" w:rsidR="00CE2ED3" w:rsidRDefault="00CE2ED3">
      <w:pPr>
        <w:spacing w:before="0" w:after="160" w:line="259" w:lineRule="auto"/>
      </w:pPr>
      <w:r>
        <w:fldChar w:fldCharType="end"/>
      </w:r>
    </w:p>
    <w:p w14:paraId="74C1A5A0" w14:textId="77777777" w:rsidR="00CE2ED3" w:rsidRPr="003E0D3E" w:rsidRDefault="00CE2ED3">
      <w:pPr>
        <w:spacing w:before="0" w:after="160" w:line="259" w:lineRule="auto"/>
      </w:pPr>
    </w:p>
    <w:p w14:paraId="1531F478" w14:textId="77777777" w:rsidR="00B7201E" w:rsidRDefault="00B7201E">
      <w:pPr>
        <w:spacing w:before="0" w:after="160" w:line="259" w:lineRule="auto"/>
      </w:pPr>
    </w:p>
    <w:p w14:paraId="18404C0A" w14:textId="77777777" w:rsidR="00B7201E" w:rsidRDefault="00B7201E">
      <w:pPr>
        <w:spacing w:before="0" w:after="160" w:line="259" w:lineRule="auto"/>
      </w:pPr>
    </w:p>
    <w:p w14:paraId="40ED5C25" w14:textId="77777777" w:rsidR="00B7201E" w:rsidRDefault="00B7201E">
      <w:pPr>
        <w:spacing w:before="0" w:after="160" w:line="259" w:lineRule="auto"/>
      </w:pPr>
    </w:p>
    <w:p w14:paraId="09522EB5" w14:textId="77777777" w:rsidR="00B7201E" w:rsidRDefault="00B7201E">
      <w:pPr>
        <w:spacing w:before="0" w:after="160" w:line="259" w:lineRule="auto"/>
      </w:pPr>
    </w:p>
    <w:p w14:paraId="3304DAF7" w14:textId="77777777" w:rsidR="00B7201E" w:rsidRDefault="00B7201E">
      <w:pPr>
        <w:spacing w:before="0" w:after="160" w:line="259" w:lineRule="auto"/>
      </w:pPr>
    </w:p>
    <w:p w14:paraId="3CF902C8" w14:textId="77777777" w:rsidR="00B7201E" w:rsidRDefault="00B7201E">
      <w:pPr>
        <w:spacing w:before="0" w:after="160" w:line="259" w:lineRule="auto"/>
      </w:pPr>
    </w:p>
    <w:p w14:paraId="0FD43FE5" w14:textId="77777777" w:rsidR="00B7201E" w:rsidRDefault="00B7201E">
      <w:pPr>
        <w:spacing w:before="0" w:after="160" w:line="259" w:lineRule="auto"/>
      </w:pPr>
    </w:p>
    <w:p w14:paraId="1A2BB811" w14:textId="77777777" w:rsidR="00B7201E" w:rsidRDefault="00B7201E">
      <w:pPr>
        <w:spacing w:before="0" w:after="160" w:line="259" w:lineRule="auto"/>
      </w:pPr>
    </w:p>
    <w:p w14:paraId="50F85386" w14:textId="77777777" w:rsidR="00B7201E" w:rsidRDefault="00B7201E">
      <w:pPr>
        <w:spacing w:before="0" w:after="160" w:line="259" w:lineRule="auto"/>
      </w:pPr>
    </w:p>
    <w:p w14:paraId="31E73BBE" w14:textId="77777777" w:rsidR="00B7201E" w:rsidRDefault="00B7201E">
      <w:pPr>
        <w:spacing w:before="0" w:after="160" w:line="259" w:lineRule="auto"/>
      </w:pPr>
    </w:p>
    <w:p w14:paraId="05C3C999" w14:textId="77777777" w:rsidR="00B7201E" w:rsidRDefault="00B7201E">
      <w:pPr>
        <w:spacing w:before="0" w:after="160" w:line="259" w:lineRule="auto"/>
      </w:pPr>
    </w:p>
    <w:p w14:paraId="4B23D230" w14:textId="77777777" w:rsidR="00B7201E" w:rsidRDefault="00B7201E">
      <w:pPr>
        <w:spacing w:before="0" w:after="160" w:line="259" w:lineRule="auto"/>
      </w:pPr>
    </w:p>
    <w:p w14:paraId="0B95862C" w14:textId="77777777" w:rsidR="00B7201E" w:rsidRDefault="00B7201E">
      <w:pPr>
        <w:spacing w:before="0" w:after="160" w:line="259" w:lineRule="auto"/>
      </w:pPr>
    </w:p>
    <w:p w14:paraId="06827F0B" w14:textId="76630F7D" w:rsidR="00835F0E" w:rsidRDefault="00395ECD" w:rsidP="005560E0">
      <w:pPr>
        <w:pStyle w:val="Heading1"/>
        <w:numPr>
          <w:ilvl w:val="0"/>
          <w:numId w:val="0"/>
        </w:numPr>
        <w:spacing w:line="288" w:lineRule="auto"/>
        <w:ind w:left="432" w:hanging="432"/>
      </w:pPr>
      <w:bookmarkStart w:id="3" w:name="_Toc205532821"/>
      <w:r>
        <w:lastRenderedPageBreak/>
        <w:t>List of 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843"/>
        <w:gridCol w:w="6377"/>
      </w:tblGrid>
      <w:tr w:rsidR="007047DA" w:rsidRPr="00857693" w14:paraId="673BD625" w14:textId="77777777" w:rsidTr="00036039">
        <w:trPr>
          <w:trHeight w:val="340"/>
        </w:trPr>
        <w:tc>
          <w:tcPr>
            <w:tcW w:w="1843" w:type="dxa"/>
          </w:tcPr>
          <w:p w14:paraId="65882257" w14:textId="32108119" w:rsidR="007047DA" w:rsidRPr="00857693" w:rsidRDefault="007047DA" w:rsidP="00BD0970">
            <w:pPr>
              <w:spacing w:before="0" w:after="0"/>
            </w:pPr>
            <w:r>
              <w:t>AR</w:t>
            </w:r>
            <w:r w:rsidR="00BD0970">
              <w:t>-PST</w:t>
            </w:r>
          </w:p>
        </w:tc>
        <w:tc>
          <w:tcPr>
            <w:tcW w:w="6377" w:type="dxa"/>
          </w:tcPr>
          <w:p w14:paraId="329A5F03" w14:textId="5C937365" w:rsidR="007047DA" w:rsidRPr="00857693" w:rsidRDefault="00BD0970" w:rsidP="00FA2B6F">
            <w:pPr>
              <w:spacing w:before="0" w:after="0"/>
            </w:pPr>
            <w:r>
              <w:t>Australian Research in Power System Transition</w:t>
            </w:r>
          </w:p>
        </w:tc>
      </w:tr>
      <w:tr w:rsidR="00395ECD" w:rsidRPr="00857693" w14:paraId="5F1A230D" w14:textId="77777777" w:rsidTr="00036039">
        <w:trPr>
          <w:trHeight w:val="340"/>
        </w:trPr>
        <w:tc>
          <w:tcPr>
            <w:tcW w:w="1843" w:type="dxa"/>
          </w:tcPr>
          <w:p w14:paraId="6657C232" w14:textId="77777777" w:rsidR="00395ECD" w:rsidRPr="00857693" w:rsidRDefault="00395ECD" w:rsidP="00FA2B6F">
            <w:pPr>
              <w:spacing w:before="0" w:after="0"/>
            </w:pPr>
            <w:bookmarkStart w:id="4" w:name="_Hlk204086718"/>
            <w:r w:rsidRPr="00857693">
              <w:t>AEMO</w:t>
            </w:r>
          </w:p>
        </w:tc>
        <w:tc>
          <w:tcPr>
            <w:tcW w:w="6377" w:type="dxa"/>
          </w:tcPr>
          <w:p w14:paraId="4FC1F67E" w14:textId="77777777" w:rsidR="00395ECD" w:rsidRPr="00857693" w:rsidRDefault="00395ECD" w:rsidP="00FA2B6F">
            <w:pPr>
              <w:spacing w:before="0" w:after="0"/>
            </w:pPr>
            <w:r w:rsidRPr="00857693">
              <w:t>Australian Energy Market Operator</w:t>
            </w:r>
          </w:p>
        </w:tc>
      </w:tr>
      <w:tr w:rsidR="00395ECD" w:rsidRPr="00857693" w14:paraId="2DA8DD37" w14:textId="77777777" w:rsidTr="00036039">
        <w:trPr>
          <w:trHeight w:val="340"/>
        </w:trPr>
        <w:tc>
          <w:tcPr>
            <w:tcW w:w="1843" w:type="dxa"/>
          </w:tcPr>
          <w:p w14:paraId="08BF9D6A" w14:textId="77777777" w:rsidR="00395ECD" w:rsidRPr="00857693" w:rsidRDefault="00395ECD" w:rsidP="00FA2B6F">
            <w:pPr>
              <w:spacing w:before="0" w:after="0"/>
            </w:pPr>
            <w:r>
              <w:t>ADR</w:t>
            </w:r>
          </w:p>
        </w:tc>
        <w:tc>
          <w:tcPr>
            <w:tcW w:w="6377" w:type="dxa"/>
          </w:tcPr>
          <w:p w14:paraId="3A06B05E" w14:textId="77777777" w:rsidR="00395ECD" w:rsidRPr="00857693" w:rsidRDefault="00395ECD" w:rsidP="00FA2B6F">
            <w:pPr>
              <w:spacing w:before="0" w:after="0"/>
            </w:pPr>
            <w:r w:rsidRPr="00ED5270">
              <w:t>Automated Demand Response</w:t>
            </w:r>
          </w:p>
        </w:tc>
      </w:tr>
      <w:tr w:rsidR="00395ECD" w:rsidRPr="00857693" w14:paraId="76061C20" w14:textId="77777777" w:rsidTr="00036039">
        <w:trPr>
          <w:trHeight w:val="340"/>
        </w:trPr>
        <w:tc>
          <w:tcPr>
            <w:tcW w:w="1843" w:type="dxa"/>
          </w:tcPr>
          <w:p w14:paraId="1A32D6AC" w14:textId="77777777" w:rsidR="00395ECD" w:rsidRPr="00857693" w:rsidRDefault="00395ECD" w:rsidP="00FA2B6F">
            <w:pPr>
              <w:spacing w:before="0" w:after="0"/>
            </w:pPr>
            <w:r>
              <w:t>API</w:t>
            </w:r>
          </w:p>
        </w:tc>
        <w:tc>
          <w:tcPr>
            <w:tcW w:w="6377" w:type="dxa"/>
          </w:tcPr>
          <w:p w14:paraId="2B625290" w14:textId="77777777" w:rsidR="00395ECD" w:rsidRPr="00857693" w:rsidRDefault="00395ECD" w:rsidP="00FA2B6F">
            <w:pPr>
              <w:spacing w:before="0" w:after="0"/>
            </w:pPr>
            <w:r>
              <w:t>Application Programming Interface</w:t>
            </w:r>
          </w:p>
        </w:tc>
      </w:tr>
      <w:tr w:rsidR="00395ECD" w:rsidRPr="00857693" w14:paraId="4AD2A087" w14:textId="77777777" w:rsidTr="00036039">
        <w:trPr>
          <w:trHeight w:val="340"/>
        </w:trPr>
        <w:tc>
          <w:tcPr>
            <w:tcW w:w="1843" w:type="dxa"/>
          </w:tcPr>
          <w:p w14:paraId="6371F235" w14:textId="77777777" w:rsidR="00395ECD" w:rsidRDefault="00395ECD" w:rsidP="00FA2B6F">
            <w:pPr>
              <w:spacing w:before="0" w:after="0"/>
            </w:pPr>
            <w:r>
              <w:t>AS2</w:t>
            </w:r>
          </w:p>
        </w:tc>
        <w:tc>
          <w:tcPr>
            <w:tcW w:w="6377" w:type="dxa"/>
          </w:tcPr>
          <w:p w14:paraId="2565BB64" w14:textId="77777777" w:rsidR="00395ECD" w:rsidRDefault="00395ECD" w:rsidP="00FA2B6F">
            <w:pPr>
              <w:spacing w:before="0" w:after="0"/>
            </w:pPr>
            <w:r>
              <w:t>Applicability Statement 2</w:t>
            </w:r>
          </w:p>
        </w:tc>
      </w:tr>
      <w:tr w:rsidR="00395ECD" w:rsidRPr="00857693" w14:paraId="30007A4A" w14:textId="77777777" w:rsidTr="00036039">
        <w:trPr>
          <w:trHeight w:val="340"/>
        </w:trPr>
        <w:tc>
          <w:tcPr>
            <w:tcW w:w="1843" w:type="dxa"/>
          </w:tcPr>
          <w:p w14:paraId="0D653389" w14:textId="77777777" w:rsidR="00395ECD" w:rsidRDefault="00395ECD" w:rsidP="00FA2B6F">
            <w:pPr>
              <w:spacing w:before="0" w:after="0"/>
            </w:pPr>
            <w:r>
              <w:t>BES</w:t>
            </w:r>
          </w:p>
        </w:tc>
        <w:tc>
          <w:tcPr>
            <w:tcW w:w="6377" w:type="dxa"/>
          </w:tcPr>
          <w:p w14:paraId="7E76D619" w14:textId="77777777" w:rsidR="00395ECD" w:rsidRDefault="00395ECD" w:rsidP="00FA2B6F">
            <w:pPr>
              <w:spacing w:before="0" w:after="0"/>
            </w:pPr>
            <w:r>
              <w:t>Bulk Electric System</w:t>
            </w:r>
          </w:p>
        </w:tc>
      </w:tr>
      <w:tr w:rsidR="00395ECD" w:rsidRPr="00857693" w14:paraId="419597CE" w14:textId="77777777" w:rsidTr="00036039">
        <w:trPr>
          <w:trHeight w:val="340"/>
        </w:trPr>
        <w:tc>
          <w:tcPr>
            <w:tcW w:w="1843" w:type="dxa"/>
          </w:tcPr>
          <w:p w14:paraId="1D603071" w14:textId="77777777" w:rsidR="00395ECD" w:rsidRPr="00857693" w:rsidRDefault="00395ECD" w:rsidP="00FA2B6F">
            <w:pPr>
              <w:spacing w:before="0" w:after="0"/>
            </w:pPr>
            <w:r>
              <w:t>BPS</w:t>
            </w:r>
          </w:p>
        </w:tc>
        <w:tc>
          <w:tcPr>
            <w:tcW w:w="6377" w:type="dxa"/>
          </w:tcPr>
          <w:p w14:paraId="0E2F2470" w14:textId="77777777" w:rsidR="00395ECD" w:rsidRPr="00857693" w:rsidRDefault="00395ECD" w:rsidP="00FA2B6F">
            <w:pPr>
              <w:spacing w:before="0" w:after="0"/>
            </w:pPr>
            <w:r>
              <w:t>Bulk Power System</w:t>
            </w:r>
          </w:p>
        </w:tc>
      </w:tr>
      <w:tr w:rsidR="00395ECD" w:rsidRPr="00857693" w14:paraId="00A6CC1B" w14:textId="77777777" w:rsidTr="00036039">
        <w:trPr>
          <w:trHeight w:val="340"/>
        </w:trPr>
        <w:tc>
          <w:tcPr>
            <w:tcW w:w="1843" w:type="dxa"/>
          </w:tcPr>
          <w:p w14:paraId="06C5B6A1" w14:textId="77777777" w:rsidR="00395ECD" w:rsidRDefault="00395ECD" w:rsidP="00FA2B6F">
            <w:pPr>
              <w:spacing w:before="0" w:after="0"/>
            </w:pPr>
            <w:r>
              <w:t>BSP</w:t>
            </w:r>
          </w:p>
        </w:tc>
        <w:tc>
          <w:tcPr>
            <w:tcW w:w="6377" w:type="dxa"/>
          </w:tcPr>
          <w:p w14:paraId="69FBEC58" w14:textId="77777777" w:rsidR="00395ECD" w:rsidRDefault="00395ECD" w:rsidP="00FA2B6F">
            <w:pPr>
              <w:spacing w:before="0" w:after="0"/>
            </w:pPr>
            <w:r>
              <w:t>Bulk Supply Point</w:t>
            </w:r>
          </w:p>
        </w:tc>
      </w:tr>
      <w:tr w:rsidR="00395ECD" w:rsidRPr="00857693" w14:paraId="76A02D2D" w14:textId="77777777" w:rsidTr="00036039">
        <w:trPr>
          <w:trHeight w:val="340"/>
        </w:trPr>
        <w:tc>
          <w:tcPr>
            <w:tcW w:w="1843" w:type="dxa"/>
          </w:tcPr>
          <w:p w14:paraId="19F0DD03" w14:textId="77777777" w:rsidR="00395ECD" w:rsidRDefault="00395ECD" w:rsidP="00FA2B6F">
            <w:pPr>
              <w:spacing w:before="0" w:after="0"/>
            </w:pPr>
            <w:r>
              <w:t>CAN</w:t>
            </w:r>
          </w:p>
        </w:tc>
        <w:tc>
          <w:tcPr>
            <w:tcW w:w="6377" w:type="dxa"/>
          </w:tcPr>
          <w:p w14:paraId="485B6E38" w14:textId="77777777" w:rsidR="00395ECD" w:rsidRDefault="00395ECD" w:rsidP="00FA2B6F">
            <w:pPr>
              <w:spacing w:before="0" w:after="0"/>
            </w:pPr>
            <w:r>
              <w:t>Canada</w:t>
            </w:r>
          </w:p>
        </w:tc>
      </w:tr>
      <w:tr w:rsidR="00395ECD" w:rsidRPr="00857693" w14:paraId="5B53386E" w14:textId="77777777" w:rsidTr="00036039">
        <w:trPr>
          <w:trHeight w:val="340"/>
        </w:trPr>
        <w:tc>
          <w:tcPr>
            <w:tcW w:w="1843" w:type="dxa"/>
          </w:tcPr>
          <w:p w14:paraId="79F1FCCC" w14:textId="77777777" w:rsidR="00395ECD" w:rsidRDefault="00395ECD" w:rsidP="00FA2B6F">
            <w:pPr>
              <w:spacing w:before="0" w:after="0"/>
            </w:pPr>
            <w:r>
              <w:t>CAPEX</w:t>
            </w:r>
          </w:p>
        </w:tc>
        <w:tc>
          <w:tcPr>
            <w:tcW w:w="6377" w:type="dxa"/>
          </w:tcPr>
          <w:p w14:paraId="537C1C36" w14:textId="77777777" w:rsidR="00395ECD" w:rsidRDefault="00395ECD" w:rsidP="00FA2B6F">
            <w:pPr>
              <w:spacing w:before="0" w:after="0"/>
            </w:pPr>
            <w:r>
              <w:t>Capital Expenditure</w:t>
            </w:r>
          </w:p>
        </w:tc>
      </w:tr>
      <w:tr w:rsidR="00395ECD" w:rsidRPr="00857693" w14:paraId="748FFFE1" w14:textId="77777777" w:rsidTr="00036039">
        <w:trPr>
          <w:trHeight w:val="340"/>
        </w:trPr>
        <w:tc>
          <w:tcPr>
            <w:tcW w:w="1843" w:type="dxa"/>
          </w:tcPr>
          <w:p w14:paraId="22A8B49F" w14:textId="77777777" w:rsidR="00395ECD" w:rsidRPr="00857693" w:rsidRDefault="00395ECD" w:rsidP="00FA2B6F">
            <w:pPr>
              <w:spacing w:before="0" w:after="0"/>
            </w:pPr>
            <w:r w:rsidRPr="00857693">
              <w:t>CER</w:t>
            </w:r>
          </w:p>
        </w:tc>
        <w:tc>
          <w:tcPr>
            <w:tcW w:w="6377" w:type="dxa"/>
          </w:tcPr>
          <w:p w14:paraId="3D25F760" w14:textId="77777777" w:rsidR="00395ECD" w:rsidRPr="00857693" w:rsidRDefault="00395ECD" w:rsidP="00FA2B6F">
            <w:pPr>
              <w:spacing w:before="0" w:after="0"/>
            </w:pPr>
            <w:r w:rsidRPr="00857693">
              <w:t>Consumer Energy Resources</w:t>
            </w:r>
          </w:p>
        </w:tc>
      </w:tr>
      <w:tr w:rsidR="00395ECD" w:rsidRPr="00857693" w14:paraId="3DDA1026" w14:textId="77777777" w:rsidTr="00036039">
        <w:trPr>
          <w:trHeight w:val="340"/>
        </w:trPr>
        <w:tc>
          <w:tcPr>
            <w:tcW w:w="1843" w:type="dxa"/>
          </w:tcPr>
          <w:p w14:paraId="53584B0E" w14:textId="77777777" w:rsidR="00395ECD" w:rsidRPr="00857693" w:rsidRDefault="00395ECD" w:rsidP="00FA2B6F">
            <w:pPr>
              <w:spacing w:before="0" w:after="0"/>
            </w:pPr>
            <w:r>
              <w:t>CGMES</w:t>
            </w:r>
          </w:p>
        </w:tc>
        <w:tc>
          <w:tcPr>
            <w:tcW w:w="6377" w:type="dxa"/>
          </w:tcPr>
          <w:p w14:paraId="7D443CB6" w14:textId="77777777" w:rsidR="00395ECD" w:rsidRPr="00857693" w:rsidRDefault="00395ECD" w:rsidP="00FA2B6F">
            <w:pPr>
              <w:spacing w:before="0" w:after="0"/>
            </w:pPr>
            <w:r>
              <w:t>Grid Model Exchange Specification</w:t>
            </w:r>
          </w:p>
        </w:tc>
      </w:tr>
      <w:tr w:rsidR="00395ECD" w:rsidRPr="00857693" w14:paraId="583D6540" w14:textId="77777777" w:rsidTr="00036039">
        <w:trPr>
          <w:trHeight w:val="340"/>
        </w:trPr>
        <w:tc>
          <w:tcPr>
            <w:tcW w:w="1843" w:type="dxa"/>
          </w:tcPr>
          <w:p w14:paraId="71AA495C" w14:textId="77777777" w:rsidR="00395ECD" w:rsidRDefault="00395ECD" w:rsidP="00FA2B6F">
            <w:pPr>
              <w:spacing w:before="0" w:after="0"/>
            </w:pPr>
            <w:r>
              <w:t>CIE</w:t>
            </w:r>
          </w:p>
        </w:tc>
        <w:tc>
          <w:tcPr>
            <w:tcW w:w="6377" w:type="dxa"/>
          </w:tcPr>
          <w:p w14:paraId="2CCD3A2C" w14:textId="77777777" w:rsidR="00395ECD" w:rsidRDefault="00395ECD" w:rsidP="00FA2B6F">
            <w:pPr>
              <w:spacing w:before="0" w:after="0"/>
            </w:pPr>
            <w:r w:rsidRPr="0050162C">
              <w:rPr>
                <w:rFonts w:cs="Calibri"/>
                <w:szCs w:val="18"/>
              </w:rPr>
              <w:t xml:space="preserve">Cyber-Informed Engineering </w:t>
            </w:r>
          </w:p>
        </w:tc>
      </w:tr>
      <w:tr w:rsidR="00395ECD" w:rsidRPr="00857693" w14:paraId="67A6D3FE" w14:textId="77777777" w:rsidTr="00036039">
        <w:trPr>
          <w:trHeight w:val="340"/>
        </w:trPr>
        <w:tc>
          <w:tcPr>
            <w:tcW w:w="1843" w:type="dxa"/>
          </w:tcPr>
          <w:p w14:paraId="46623C17" w14:textId="77777777" w:rsidR="00395ECD" w:rsidRPr="00857693" w:rsidRDefault="00395ECD" w:rsidP="00FA2B6F">
            <w:pPr>
              <w:spacing w:before="0" w:after="0"/>
            </w:pPr>
            <w:r>
              <w:t>CIM</w:t>
            </w:r>
          </w:p>
        </w:tc>
        <w:tc>
          <w:tcPr>
            <w:tcW w:w="6377" w:type="dxa"/>
          </w:tcPr>
          <w:p w14:paraId="41A81127" w14:textId="77777777" w:rsidR="00395ECD" w:rsidRPr="00857693" w:rsidRDefault="00395ECD" w:rsidP="00FA2B6F">
            <w:pPr>
              <w:spacing w:before="0" w:after="0"/>
            </w:pPr>
            <w:r>
              <w:t>Common Information Model</w:t>
            </w:r>
          </w:p>
        </w:tc>
      </w:tr>
      <w:tr w:rsidR="00395ECD" w:rsidRPr="00857693" w14:paraId="3C7D18D5" w14:textId="77777777" w:rsidTr="00036039">
        <w:trPr>
          <w:trHeight w:val="340"/>
        </w:trPr>
        <w:tc>
          <w:tcPr>
            <w:tcW w:w="1843" w:type="dxa"/>
          </w:tcPr>
          <w:p w14:paraId="061F946A" w14:textId="77777777" w:rsidR="00395ECD" w:rsidRDefault="00395ECD" w:rsidP="00FA2B6F">
            <w:pPr>
              <w:spacing w:before="0" w:after="0"/>
            </w:pPr>
            <w:r>
              <w:t>CIP</w:t>
            </w:r>
          </w:p>
        </w:tc>
        <w:tc>
          <w:tcPr>
            <w:tcW w:w="6377" w:type="dxa"/>
          </w:tcPr>
          <w:p w14:paraId="048D5185" w14:textId="77777777" w:rsidR="00395ECD" w:rsidRDefault="00395ECD" w:rsidP="00FA2B6F">
            <w:pPr>
              <w:spacing w:before="0" w:after="0"/>
            </w:pPr>
            <w:r>
              <w:t>Critical Infrastructure Protection</w:t>
            </w:r>
          </w:p>
        </w:tc>
      </w:tr>
      <w:tr w:rsidR="00395ECD" w:rsidRPr="00857693" w14:paraId="277018BD" w14:textId="77777777" w:rsidTr="00036039">
        <w:trPr>
          <w:trHeight w:val="340"/>
        </w:trPr>
        <w:tc>
          <w:tcPr>
            <w:tcW w:w="1843" w:type="dxa"/>
          </w:tcPr>
          <w:p w14:paraId="262E8217" w14:textId="77777777" w:rsidR="00395ECD" w:rsidRPr="00857693" w:rsidRDefault="00395ECD" w:rsidP="00FA2B6F">
            <w:pPr>
              <w:spacing w:before="0" w:after="0"/>
            </w:pPr>
            <w:r>
              <w:t>CIS</w:t>
            </w:r>
          </w:p>
        </w:tc>
        <w:tc>
          <w:tcPr>
            <w:tcW w:w="6377" w:type="dxa"/>
          </w:tcPr>
          <w:p w14:paraId="6141769C" w14:textId="77777777" w:rsidR="00395ECD" w:rsidRPr="00857693" w:rsidRDefault="00395ECD" w:rsidP="00FA2B6F">
            <w:pPr>
              <w:spacing w:before="0" w:after="0"/>
            </w:pPr>
            <w:r>
              <w:t>Customer Information System</w:t>
            </w:r>
          </w:p>
        </w:tc>
      </w:tr>
      <w:tr w:rsidR="00395ECD" w:rsidRPr="00857693" w14:paraId="1061FEC5" w14:textId="77777777" w:rsidTr="00036039">
        <w:trPr>
          <w:trHeight w:val="340"/>
        </w:trPr>
        <w:tc>
          <w:tcPr>
            <w:tcW w:w="1843" w:type="dxa"/>
          </w:tcPr>
          <w:p w14:paraId="1271CAE0" w14:textId="77777777" w:rsidR="00395ECD" w:rsidRDefault="00395ECD" w:rsidP="00FA2B6F">
            <w:pPr>
              <w:spacing w:before="0" w:after="0"/>
            </w:pPr>
            <w:r>
              <w:t>CROW</w:t>
            </w:r>
          </w:p>
        </w:tc>
        <w:tc>
          <w:tcPr>
            <w:tcW w:w="6377" w:type="dxa"/>
          </w:tcPr>
          <w:p w14:paraId="3280C067" w14:textId="77777777" w:rsidR="00395ECD" w:rsidRDefault="00395ECD" w:rsidP="00FA2B6F">
            <w:pPr>
              <w:spacing w:before="0" w:after="0"/>
            </w:pPr>
            <w:r>
              <w:t>Control Room Operations Window</w:t>
            </w:r>
          </w:p>
        </w:tc>
      </w:tr>
      <w:tr w:rsidR="00395ECD" w:rsidRPr="00857693" w14:paraId="2AFD1D81" w14:textId="77777777" w:rsidTr="00036039">
        <w:trPr>
          <w:trHeight w:val="340"/>
        </w:trPr>
        <w:tc>
          <w:tcPr>
            <w:tcW w:w="1843" w:type="dxa"/>
          </w:tcPr>
          <w:p w14:paraId="1A778CC2" w14:textId="77777777" w:rsidR="00395ECD" w:rsidRPr="00857693" w:rsidRDefault="00395ECD" w:rsidP="00FA2B6F">
            <w:pPr>
              <w:spacing w:before="0" w:after="0"/>
            </w:pPr>
            <w:r w:rsidRPr="00857693">
              <w:t>CSIRO</w:t>
            </w:r>
          </w:p>
        </w:tc>
        <w:tc>
          <w:tcPr>
            <w:tcW w:w="6377" w:type="dxa"/>
          </w:tcPr>
          <w:p w14:paraId="775FA300" w14:textId="77777777" w:rsidR="00395ECD" w:rsidRPr="00857693" w:rsidRDefault="00395ECD" w:rsidP="00FA2B6F">
            <w:pPr>
              <w:spacing w:before="0" w:after="0"/>
            </w:pPr>
            <w:r w:rsidRPr="00857693">
              <w:t>Commonwealth Scientific and Industrial Research Organisation</w:t>
            </w:r>
          </w:p>
        </w:tc>
      </w:tr>
      <w:tr w:rsidR="00395ECD" w:rsidRPr="00857693" w14:paraId="04DC7A12" w14:textId="77777777" w:rsidTr="00036039">
        <w:trPr>
          <w:trHeight w:val="340"/>
        </w:trPr>
        <w:tc>
          <w:tcPr>
            <w:tcW w:w="1843" w:type="dxa"/>
          </w:tcPr>
          <w:p w14:paraId="4B61A3EC" w14:textId="77777777" w:rsidR="00395ECD" w:rsidRPr="00857693" w:rsidRDefault="00395ECD" w:rsidP="00FA2B6F">
            <w:pPr>
              <w:spacing w:before="0" w:after="0"/>
            </w:pPr>
            <w:r>
              <w:t>DACP</w:t>
            </w:r>
          </w:p>
        </w:tc>
        <w:tc>
          <w:tcPr>
            <w:tcW w:w="6377" w:type="dxa"/>
          </w:tcPr>
          <w:p w14:paraId="7BDA6833" w14:textId="77777777" w:rsidR="00395ECD" w:rsidRPr="00857693" w:rsidRDefault="00395ECD" w:rsidP="00FA2B6F">
            <w:pPr>
              <w:spacing w:before="0" w:after="0"/>
            </w:pPr>
            <w:r w:rsidRPr="007805C4">
              <w:rPr>
                <w:lang w:bidi="ar-SA"/>
              </w:rPr>
              <w:t xml:space="preserve">Day Ahead Commitment Process </w:t>
            </w:r>
          </w:p>
        </w:tc>
      </w:tr>
      <w:tr w:rsidR="00395ECD" w:rsidRPr="00857693" w14:paraId="3EE4A13C" w14:textId="77777777" w:rsidTr="00036039">
        <w:trPr>
          <w:trHeight w:val="340"/>
        </w:trPr>
        <w:tc>
          <w:tcPr>
            <w:tcW w:w="1843" w:type="dxa"/>
          </w:tcPr>
          <w:p w14:paraId="1943BCAA" w14:textId="77777777" w:rsidR="00395ECD" w:rsidRPr="00857693" w:rsidRDefault="00395ECD" w:rsidP="00FA2B6F">
            <w:pPr>
              <w:spacing w:before="0" w:after="0"/>
            </w:pPr>
            <w:r w:rsidRPr="00857693">
              <w:t>DER</w:t>
            </w:r>
          </w:p>
        </w:tc>
        <w:tc>
          <w:tcPr>
            <w:tcW w:w="6377" w:type="dxa"/>
          </w:tcPr>
          <w:p w14:paraId="56A97B1B" w14:textId="77777777" w:rsidR="00395ECD" w:rsidRPr="00857693" w:rsidRDefault="00395ECD" w:rsidP="00FA2B6F">
            <w:pPr>
              <w:spacing w:before="0" w:after="0"/>
            </w:pPr>
            <w:r w:rsidRPr="00857693">
              <w:t>Distributed Energy Resources</w:t>
            </w:r>
          </w:p>
        </w:tc>
      </w:tr>
      <w:tr w:rsidR="00395ECD" w:rsidRPr="00857693" w14:paraId="1BAC74E9" w14:textId="77777777" w:rsidTr="00036039">
        <w:trPr>
          <w:trHeight w:val="340"/>
        </w:trPr>
        <w:tc>
          <w:tcPr>
            <w:tcW w:w="1843" w:type="dxa"/>
          </w:tcPr>
          <w:p w14:paraId="640A603F" w14:textId="77777777" w:rsidR="00395ECD" w:rsidRPr="00857693" w:rsidRDefault="00395ECD" w:rsidP="00FA2B6F">
            <w:pPr>
              <w:spacing w:before="0" w:after="0"/>
            </w:pPr>
            <w:r w:rsidRPr="00857693">
              <w:t>DERMS</w:t>
            </w:r>
          </w:p>
        </w:tc>
        <w:tc>
          <w:tcPr>
            <w:tcW w:w="6377" w:type="dxa"/>
          </w:tcPr>
          <w:p w14:paraId="7D1B4ED6" w14:textId="77777777" w:rsidR="00395ECD" w:rsidRPr="00857693" w:rsidRDefault="00395ECD" w:rsidP="00FA2B6F">
            <w:pPr>
              <w:spacing w:before="0" w:after="0"/>
            </w:pPr>
            <w:r w:rsidRPr="00857693">
              <w:t>Distributed Energy Resources Management System</w:t>
            </w:r>
          </w:p>
        </w:tc>
      </w:tr>
      <w:tr w:rsidR="00395ECD" w:rsidRPr="00857693" w14:paraId="50C88668" w14:textId="77777777" w:rsidTr="00036039">
        <w:trPr>
          <w:trHeight w:val="340"/>
        </w:trPr>
        <w:tc>
          <w:tcPr>
            <w:tcW w:w="1843" w:type="dxa"/>
          </w:tcPr>
          <w:p w14:paraId="420DCA36" w14:textId="77777777" w:rsidR="00395ECD" w:rsidRPr="00857693" w:rsidRDefault="00395ECD" w:rsidP="00FA2B6F">
            <w:pPr>
              <w:spacing w:before="0" w:after="0"/>
            </w:pPr>
            <w:r>
              <w:t>DLP</w:t>
            </w:r>
          </w:p>
        </w:tc>
        <w:tc>
          <w:tcPr>
            <w:tcW w:w="6377" w:type="dxa"/>
          </w:tcPr>
          <w:p w14:paraId="261362F8" w14:textId="77777777" w:rsidR="00395ECD" w:rsidRPr="00857693" w:rsidRDefault="00395ECD" w:rsidP="00FA2B6F">
            <w:pPr>
              <w:spacing w:before="0" w:after="0"/>
            </w:pPr>
            <w:r>
              <w:t>Data Loss Prevention</w:t>
            </w:r>
          </w:p>
        </w:tc>
      </w:tr>
      <w:tr w:rsidR="00395ECD" w:rsidRPr="00857693" w14:paraId="79DDA999" w14:textId="77777777" w:rsidTr="00036039">
        <w:trPr>
          <w:trHeight w:val="340"/>
        </w:trPr>
        <w:tc>
          <w:tcPr>
            <w:tcW w:w="1843" w:type="dxa"/>
          </w:tcPr>
          <w:p w14:paraId="37D9141B" w14:textId="77777777" w:rsidR="00395ECD" w:rsidRPr="00857693" w:rsidRDefault="00395ECD" w:rsidP="00FA2B6F">
            <w:pPr>
              <w:spacing w:before="0" w:after="0"/>
            </w:pPr>
            <w:r>
              <w:t>DMS</w:t>
            </w:r>
          </w:p>
        </w:tc>
        <w:tc>
          <w:tcPr>
            <w:tcW w:w="6377" w:type="dxa"/>
          </w:tcPr>
          <w:p w14:paraId="1DE51EDC" w14:textId="77777777" w:rsidR="00395ECD" w:rsidRPr="00857693" w:rsidRDefault="00395ECD" w:rsidP="00FA2B6F">
            <w:pPr>
              <w:spacing w:before="0" w:after="0"/>
            </w:pPr>
            <w:r>
              <w:t>Distribution Management System</w:t>
            </w:r>
          </w:p>
        </w:tc>
      </w:tr>
      <w:tr w:rsidR="00395ECD" w:rsidRPr="00857693" w14:paraId="1976D3F6" w14:textId="77777777" w:rsidTr="00036039">
        <w:trPr>
          <w:trHeight w:val="340"/>
        </w:trPr>
        <w:tc>
          <w:tcPr>
            <w:tcW w:w="1843" w:type="dxa"/>
          </w:tcPr>
          <w:p w14:paraId="47C03DF4" w14:textId="77777777" w:rsidR="00395ECD" w:rsidRPr="00857693" w:rsidRDefault="00395ECD" w:rsidP="00FA2B6F">
            <w:pPr>
              <w:spacing w:before="0" w:after="0"/>
            </w:pPr>
            <w:r w:rsidRPr="00857693">
              <w:t>DNSP</w:t>
            </w:r>
          </w:p>
        </w:tc>
        <w:tc>
          <w:tcPr>
            <w:tcW w:w="6377" w:type="dxa"/>
          </w:tcPr>
          <w:p w14:paraId="35159EB8" w14:textId="77777777" w:rsidR="00395ECD" w:rsidRPr="00857693" w:rsidRDefault="00395ECD" w:rsidP="00FA2B6F">
            <w:pPr>
              <w:spacing w:before="0" w:after="0"/>
            </w:pPr>
            <w:r w:rsidRPr="00857693">
              <w:t>Distribution Network Service Provider</w:t>
            </w:r>
          </w:p>
        </w:tc>
      </w:tr>
      <w:tr w:rsidR="00395ECD" w:rsidRPr="00857693" w14:paraId="3C66649E" w14:textId="77777777" w:rsidTr="00036039">
        <w:trPr>
          <w:trHeight w:val="340"/>
        </w:trPr>
        <w:tc>
          <w:tcPr>
            <w:tcW w:w="1843" w:type="dxa"/>
          </w:tcPr>
          <w:p w14:paraId="7EAE330B" w14:textId="77777777" w:rsidR="00395ECD" w:rsidRPr="00857693" w:rsidRDefault="00395ECD" w:rsidP="00FA2B6F">
            <w:pPr>
              <w:spacing w:before="0" w:after="0"/>
            </w:pPr>
            <w:r>
              <w:t>DNP3</w:t>
            </w:r>
          </w:p>
        </w:tc>
        <w:tc>
          <w:tcPr>
            <w:tcW w:w="6377" w:type="dxa"/>
          </w:tcPr>
          <w:p w14:paraId="7BE9336A" w14:textId="7BF93624" w:rsidR="00395ECD" w:rsidRPr="00857693" w:rsidRDefault="00395ECD" w:rsidP="00FA2B6F">
            <w:pPr>
              <w:spacing w:before="0" w:after="0"/>
            </w:pPr>
            <w:r>
              <w:t>Distributed Network Protocol 3</w:t>
            </w:r>
          </w:p>
        </w:tc>
      </w:tr>
      <w:tr w:rsidR="00395ECD" w:rsidRPr="00857693" w14:paraId="3DC69842" w14:textId="77777777" w:rsidTr="00036039">
        <w:trPr>
          <w:trHeight w:val="340"/>
        </w:trPr>
        <w:tc>
          <w:tcPr>
            <w:tcW w:w="1843" w:type="dxa"/>
          </w:tcPr>
          <w:p w14:paraId="3F2EC5A9" w14:textId="77777777" w:rsidR="00395ECD" w:rsidRPr="00857693" w:rsidRDefault="00395ECD" w:rsidP="00FA2B6F">
            <w:pPr>
              <w:spacing w:before="0" w:after="0"/>
            </w:pPr>
            <w:r w:rsidRPr="00857693">
              <w:t>DOE</w:t>
            </w:r>
          </w:p>
        </w:tc>
        <w:tc>
          <w:tcPr>
            <w:tcW w:w="6377" w:type="dxa"/>
          </w:tcPr>
          <w:p w14:paraId="0061AA15" w14:textId="77777777" w:rsidR="00395ECD" w:rsidRPr="00857693" w:rsidRDefault="00395ECD" w:rsidP="00FA2B6F">
            <w:pPr>
              <w:spacing w:before="0" w:after="0"/>
              <w:rPr>
                <w:szCs w:val="18"/>
              </w:rPr>
            </w:pPr>
            <w:r w:rsidRPr="00857693">
              <w:t>Dynamic Operating Envelopes</w:t>
            </w:r>
          </w:p>
        </w:tc>
      </w:tr>
      <w:tr w:rsidR="00395ECD" w:rsidRPr="00857693" w14:paraId="54505A97" w14:textId="77777777" w:rsidTr="00036039">
        <w:trPr>
          <w:trHeight w:val="340"/>
        </w:trPr>
        <w:tc>
          <w:tcPr>
            <w:tcW w:w="1843" w:type="dxa"/>
          </w:tcPr>
          <w:p w14:paraId="06CBF166" w14:textId="77777777" w:rsidR="00395ECD" w:rsidRPr="00857693" w:rsidRDefault="00395ECD" w:rsidP="00FA2B6F">
            <w:pPr>
              <w:spacing w:before="0" w:after="0"/>
            </w:pPr>
            <w:r w:rsidRPr="00857693">
              <w:t>DPV</w:t>
            </w:r>
          </w:p>
        </w:tc>
        <w:tc>
          <w:tcPr>
            <w:tcW w:w="6377" w:type="dxa"/>
          </w:tcPr>
          <w:p w14:paraId="58F89A9D" w14:textId="77777777" w:rsidR="00395ECD" w:rsidRPr="00857693" w:rsidRDefault="00395ECD" w:rsidP="00FA2B6F">
            <w:pPr>
              <w:spacing w:before="0" w:after="0"/>
            </w:pPr>
            <w:r w:rsidRPr="00857693">
              <w:t>Distributed Photovoltaics</w:t>
            </w:r>
          </w:p>
        </w:tc>
      </w:tr>
      <w:tr w:rsidR="00395ECD" w:rsidRPr="00857693" w14:paraId="5ED21EDC" w14:textId="77777777" w:rsidTr="00036039">
        <w:trPr>
          <w:trHeight w:val="340"/>
        </w:trPr>
        <w:tc>
          <w:tcPr>
            <w:tcW w:w="1843" w:type="dxa"/>
          </w:tcPr>
          <w:p w14:paraId="29B03FBA" w14:textId="77777777" w:rsidR="00395ECD" w:rsidRPr="00857693" w:rsidRDefault="00395ECD" w:rsidP="00FA2B6F">
            <w:pPr>
              <w:spacing w:before="0" w:after="0"/>
            </w:pPr>
            <w:r>
              <w:t>DR</w:t>
            </w:r>
          </w:p>
        </w:tc>
        <w:tc>
          <w:tcPr>
            <w:tcW w:w="6377" w:type="dxa"/>
          </w:tcPr>
          <w:p w14:paraId="6989997C" w14:textId="77777777" w:rsidR="00395ECD" w:rsidRPr="00857693" w:rsidRDefault="00395ECD" w:rsidP="00FA2B6F">
            <w:pPr>
              <w:spacing w:before="0" w:after="0"/>
            </w:pPr>
            <w:r>
              <w:t>Demand Response</w:t>
            </w:r>
          </w:p>
        </w:tc>
      </w:tr>
      <w:tr w:rsidR="00395ECD" w:rsidRPr="00857693" w14:paraId="3EBA7008" w14:textId="77777777" w:rsidTr="00036039">
        <w:trPr>
          <w:trHeight w:val="340"/>
        </w:trPr>
        <w:tc>
          <w:tcPr>
            <w:tcW w:w="1843" w:type="dxa"/>
          </w:tcPr>
          <w:p w14:paraId="3DF6BE94" w14:textId="77777777" w:rsidR="00395ECD" w:rsidRDefault="00395ECD" w:rsidP="00FA2B6F">
            <w:pPr>
              <w:spacing w:before="0" w:after="0"/>
            </w:pPr>
            <w:r w:rsidRPr="00857693">
              <w:t>DSO</w:t>
            </w:r>
          </w:p>
        </w:tc>
        <w:tc>
          <w:tcPr>
            <w:tcW w:w="6377" w:type="dxa"/>
          </w:tcPr>
          <w:p w14:paraId="3DFA19BE" w14:textId="77777777" w:rsidR="00395ECD" w:rsidRDefault="00395ECD" w:rsidP="00FA2B6F">
            <w:pPr>
              <w:spacing w:before="0" w:after="0"/>
            </w:pPr>
            <w:r w:rsidRPr="00857693">
              <w:t>Distribution System Operator</w:t>
            </w:r>
          </w:p>
        </w:tc>
      </w:tr>
      <w:tr w:rsidR="00395ECD" w:rsidRPr="00857693" w14:paraId="0F9B1105" w14:textId="77777777" w:rsidTr="00036039">
        <w:trPr>
          <w:trHeight w:val="340"/>
        </w:trPr>
        <w:tc>
          <w:tcPr>
            <w:tcW w:w="1843" w:type="dxa"/>
          </w:tcPr>
          <w:p w14:paraId="1168ACDD" w14:textId="77777777" w:rsidR="00395ECD" w:rsidRPr="00857693" w:rsidRDefault="00395ECD" w:rsidP="00FA2B6F">
            <w:pPr>
              <w:spacing w:before="0" w:after="0"/>
            </w:pPr>
            <w:r w:rsidRPr="00857693">
              <w:t>EC</w:t>
            </w:r>
          </w:p>
        </w:tc>
        <w:tc>
          <w:tcPr>
            <w:tcW w:w="6377" w:type="dxa"/>
          </w:tcPr>
          <w:p w14:paraId="77BC5879" w14:textId="77777777" w:rsidR="00395ECD" w:rsidRPr="00857693" w:rsidRDefault="00395ECD" w:rsidP="00FA2B6F">
            <w:pPr>
              <w:spacing w:before="0" w:after="0"/>
            </w:pPr>
            <w:r w:rsidRPr="00857693">
              <w:t>Energy Catalyst</w:t>
            </w:r>
          </w:p>
        </w:tc>
      </w:tr>
      <w:tr w:rsidR="00395ECD" w:rsidRPr="00857693" w14:paraId="2857F78E" w14:textId="77777777" w:rsidTr="00036039">
        <w:trPr>
          <w:trHeight w:val="340"/>
        </w:trPr>
        <w:tc>
          <w:tcPr>
            <w:tcW w:w="1843" w:type="dxa"/>
          </w:tcPr>
          <w:p w14:paraId="4AE8B86B" w14:textId="77777777" w:rsidR="00395ECD" w:rsidRPr="00857693" w:rsidRDefault="00395ECD" w:rsidP="00FA2B6F">
            <w:pPr>
              <w:spacing w:before="0" w:after="0"/>
            </w:pPr>
            <w:r>
              <w:t>EDGE (project)</w:t>
            </w:r>
          </w:p>
        </w:tc>
        <w:tc>
          <w:tcPr>
            <w:tcW w:w="6377" w:type="dxa"/>
          </w:tcPr>
          <w:p w14:paraId="5CF7C546" w14:textId="77777777" w:rsidR="00395ECD" w:rsidRPr="00857693" w:rsidRDefault="00395ECD" w:rsidP="00FA2B6F">
            <w:pPr>
              <w:spacing w:before="0" w:after="0"/>
            </w:pPr>
            <w:r>
              <w:t>Energy Demand and Generation Exchange</w:t>
            </w:r>
          </w:p>
        </w:tc>
      </w:tr>
      <w:tr w:rsidR="00395ECD" w:rsidRPr="00857693" w14:paraId="1B099651" w14:textId="77777777" w:rsidTr="00036039">
        <w:trPr>
          <w:trHeight w:val="340"/>
        </w:trPr>
        <w:tc>
          <w:tcPr>
            <w:tcW w:w="1843" w:type="dxa"/>
          </w:tcPr>
          <w:p w14:paraId="51C0D65B" w14:textId="77777777" w:rsidR="00395ECD" w:rsidRDefault="00395ECD" w:rsidP="00FA2B6F">
            <w:pPr>
              <w:spacing w:before="0" w:after="0"/>
            </w:pPr>
            <w:r>
              <w:t>EDR</w:t>
            </w:r>
          </w:p>
        </w:tc>
        <w:tc>
          <w:tcPr>
            <w:tcW w:w="6377" w:type="dxa"/>
          </w:tcPr>
          <w:p w14:paraId="6DEC3DBE" w14:textId="77777777" w:rsidR="00395ECD" w:rsidRDefault="00395ECD" w:rsidP="00FA2B6F">
            <w:pPr>
              <w:spacing w:before="0" w:after="0"/>
            </w:pPr>
            <w:r>
              <w:t>Endpoint Detection and Response</w:t>
            </w:r>
          </w:p>
        </w:tc>
      </w:tr>
      <w:tr w:rsidR="00395ECD" w:rsidRPr="00857693" w14:paraId="4582E67E" w14:textId="77777777" w:rsidTr="00036039">
        <w:trPr>
          <w:trHeight w:val="340"/>
        </w:trPr>
        <w:tc>
          <w:tcPr>
            <w:tcW w:w="1843" w:type="dxa"/>
          </w:tcPr>
          <w:p w14:paraId="59D8514E" w14:textId="77777777" w:rsidR="00395ECD" w:rsidRDefault="00395ECD" w:rsidP="00FA2B6F">
            <w:pPr>
              <w:spacing w:before="0" w:after="0"/>
            </w:pPr>
            <w:r>
              <w:t>ELP</w:t>
            </w:r>
          </w:p>
        </w:tc>
        <w:tc>
          <w:tcPr>
            <w:tcW w:w="6377" w:type="dxa"/>
          </w:tcPr>
          <w:p w14:paraId="5AB3F9CC" w14:textId="77777777" w:rsidR="00395ECD" w:rsidRDefault="00395ECD" w:rsidP="00FA2B6F">
            <w:pPr>
              <w:spacing w:before="0" w:after="0"/>
            </w:pPr>
            <w:r>
              <w:t>Elapsed Time to Dispatch</w:t>
            </w:r>
          </w:p>
        </w:tc>
      </w:tr>
      <w:tr w:rsidR="00395ECD" w:rsidRPr="00857693" w14:paraId="31D1A75A" w14:textId="77777777" w:rsidTr="00036039">
        <w:trPr>
          <w:trHeight w:val="340"/>
        </w:trPr>
        <w:tc>
          <w:tcPr>
            <w:tcW w:w="1843" w:type="dxa"/>
          </w:tcPr>
          <w:p w14:paraId="49D15261" w14:textId="77777777" w:rsidR="00395ECD" w:rsidRDefault="00395ECD" w:rsidP="00FA2B6F">
            <w:pPr>
              <w:spacing w:before="0" w:after="0"/>
            </w:pPr>
            <w:r>
              <w:t>EMI</w:t>
            </w:r>
          </w:p>
        </w:tc>
        <w:tc>
          <w:tcPr>
            <w:tcW w:w="6377" w:type="dxa"/>
          </w:tcPr>
          <w:p w14:paraId="7E522E93" w14:textId="77777777" w:rsidR="00395ECD" w:rsidRDefault="00395ECD" w:rsidP="00FA2B6F">
            <w:pPr>
              <w:spacing w:before="0" w:after="0"/>
            </w:pPr>
            <w:r>
              <w:t>Energy Management Interface</w:t>
            </w:r>
          </w:p>
        </w:tc>
      </w:tr>
      <w:tr w:rsidR="00395ECD" w:rsidRPr="00857693" w14:paraId="3F2BCF30" w14:textId="77777777" w:rsidTr="00036039">
        <w:trPr>
          <w:trHeight w:val="340"/>
        </w:trPr>
        <w:tc>
          <w:tcPr>
            <w:tcW w:w="1843" w:type="dxa"/>
          </w:tcPr>
          <w:p w14:paraId="530DFB8A" w14:textId="77777777" w:rsidR="00395ECD" w:rsidRPr="00857693" w:rsidRDefault="00395ECD" w:rsidP="00FA2B6F">
            <w:pPr>
              <w:spacing w:before="0" w:after="0"/>
            </w:pPr>
            <w:r>
              <w:lastRenderedPageBreak/>
              <w:t>EMS</w:t>
            </w:r>
          </w:p>
        </w:tc>
        <w:tc>
          <w:tcPr>
            <w:tcW w:w="6377" w:type="dxa"/>
          </w:tcPr>
          <w:p w14:paraId="5A77C0C9" w14:textId="77777777" w:rsidR="00395ECD" w:rsidRPr="00857693" w:rsidRDefault="00395ECD" w:rsidP="00FA2B6F">
            <w:pPr>
              <w:spacing w:before="0" w:after="0"/>
            </w:pPr>
            <w:r>
              <w:t>Energy Management System</w:t>
            </w:r>
          </w:p>
        </w:tc>
      </w:tr>
      <w:tr w:rsidR="00395ECD" w:rsidRPr="00857693" w14:paraId="3E9D1452" w14:textId="77777777" w:rsidTr="00036039">
        <w:trPr>
          <w:trHeight w:val="340"/>
        </w:trPr>
        <w:tc>
          <w:tcPr>
            <w:tcW w:w="1843" w:type="dxa"/>
          </w:tcPr>
          <w:p w14:paraId="0EB83B0F" w14:textId="77777777" w:rsidR="00395ECD" w:rsidRDefault="00395ECD" w:rsidP="00FA2B6F">
            <w:pPr>
              <w:spacing w:before="0" w:after="0"/>
            </w:pPr>
            <w:r>
              <w:t>ENA</w:t>
            </w:r>
          </w:p>
        </w:tc>
        <w:tc>
          <w:tcPr>
            <w:tcW w:w="6377" w:type="dxa"/>
          </w:tcPr>
          <w:p w14:paraId="4CBE6106" w14:textId="77777777" w:rsidR="00395ECD" w:rsidRDefault="00395ECD" w:rsidP="00FA2B6F">
            <w:pPr>
              <w:spacing w:before="0" w:after="0"/>
            </w:pPr>
            <w:r>
              <w:t>Energy Network Association (UK)</w:t>
            </w:r>
          </w:p>
        </w:tc>
      </w:tr>
      <w:tr w:rsidR="00395ECD" w:rsidRPr="00857693" w14:paraId="7DBE83C1" w14:textId="77777777" w:rsidTr="00036039">
        <w:trPr>
          <w:trHeight w:val="340"/>
        </w:trPr>
        <w:tc>
          <w:tcPr>
            <w:tcW w:w="1843" w:type="dxa"/>
          </w:tcPr>
          <w:p w14:paraId="2B217245" w14:textId="77777777" w:rsidR="00395ECD" w:rsidRDefault="00395ECD" w:rsidP="00FA2B6F">
            <w:pPr>
              <w:spacing w:before="0" w:after="0"/>
            </w:pPr>
            <w:r>
              <w:t>ENTSO-E</w:t>
            </w:r>
          </w:p>
        </w:tc>
        <w:tc>
          <w:tcPr>
            <w:tcW w:w="6377" w:type="dxa"/>
          </w:tcPr>
          <w:p w14:paraId="3D298ACC" w14:textId="77777777" w:rsidR="00395ECD" w:rsidRDefault="00395ECD" w:rsidP="00FA2B6F">
            <w:pPr>
              <w:spacing w:before="0" w:after="0"/>
            </w:pPr>
            <w:r w:rsidRPr="00A22D04">
              <w:t>European Network of</w:t>
            </w:r>
            <w:r w:rsidRPr="00A22D04">
              <w:rPr>
                <w:rFonts w:ascii="Calibri" w:hAnsi="Calibri" w:cs="Calibri"/>
              </w:rPr>
              <w:t> </w:t>
            </w:r>
            <w:r w:rsidRPr="00A22D04">
              <w:t>Transmission System Operators</w:t>
            </w:r>
            <w:r w:rsidRPr="00A22D04">
              <w:rPr>
                <w:rFonts w:ascii="Calibri" w:hAnsi="Calibri" w:cs="Calibri"/>
              </w:rPr>
              <w:t> </w:t>
            </w:r>
            <w:r w:rsidRPr="00A22D04">
              <w:t>for Electricity</w:t>
            </w:r>
          </w:p>
        </w:tc>
      </w:tr>
      <w:tr w:rsidR="00395ECD" w:rsidRPr="00857693" w14:paraId="4C8FFD83" w14:textId="77777777" w:rsidTr="00036039">
        <w:trPr>
          <w:trHeight w:val="340"/>
        </w:trPr>
        <w:tc>
          <w:tcPr>
            <w:tcW w:w="1843" w:type="dxa"/>
          </w:tcPr>
          <w:p w14:paraId="10D1868A" w14:textId="77777777" w:rsidR="00395ECD" w:rsidRDefault="00395ECD" w:rsidP="00FA2B6F">
            <w:pPr>
              <w:spacing w:before="0" w:after="0"/>
            </w:pPr>
            <w:r>
              <w:t>EPRI</w:t>
            </w:r>
          </w:p>
        </w:tc>
        <w:tc>
          <w:tcPr>
            <w:tcW w:w="6377" w:type="dxa"/>
          </w:tcPr>
          <w:p w14:paraId="512326B0" w14:textId="77777777" w:rsidR="00395ECD" w:rsidRDefault="00395ECD" w:rsidP="00FA2B6F">
            <w:pPr>
              <w:spacing w:before="0" w:after="0"/>
            </w:pPr>
            <w:r>
              <w:t>Electric Power Research Institute (US)</w:t>
            </w:r>
          </w:p>
        </w:tc>
      </w:tr>
      <w:tr w:rsidR="00395ECD" w:rsidRPr="00857693" w14:paraId="543EEEB5" w14:textId="77777777" w:rsidTr="00036039">
        <w:trPr>
          <w:trHeight w:val="340"/>
        </w:trPr>
        <w:tc>
          <w:tcPr>
            <w:tcW w:w="1843" w:type="dxa"/>
          </w:tcPr>
          <w:p w14:paraId="4AFD60AF" w14:textId="77777777" w:rsidR="00395ECD" w:rsidRDefault="00395ECD" w:rsidP="00FA2B6F">
            <w:pPr>
              <w:spacing w:before="0" w:after="0"/>
            </w:pPr>
            <w:r>
              <w:t>ESO</w:t>
            </w:r>
          </w:p>
        </w:tc>
        <w:tc>
          <w:tcPr>
            <w:tcW w:w="6377" w:type="dxa"/>
          </w:tcPr>
          <w:p w14:paraId="7572E819" w14:textId="77777777" w:rsidR="00395ECD" w:rsidRPr="00A22D04" w:rsidRDefault="00395ECD" w:rsidP="00FA2B6F">
            <w:pPr>
              <w:spacing w:before="0" w:after="0"/>
            </w:pPr>
            <w:r>
              <w:t>Electricity System Operator</w:t>
            </w:r>
          </w:p>
        </w:tc>
      </w:tr>
      <w:tr w:rsidR="00395ECD" w:rsidRPr="00857693" w14:paraId="5AC40F68" w14:textId="77777777" w:rsidTr="00036039">
        <w:trPr>
          <w:trHeight w:val="340"/>
        </w:trPr>
        <w:tc>
          <w:tcPr>
            <w:tcW w:w="1843" w:type="dxa"/>
          </w:tcPr>
          <w:p w14:paraId="0D5877B0" w14:textId="77777777" w:rsidR="00395ECD" w:rsidRDefault="00395ECD" w:rsidP="00FA2B6F">
            <w:pPr>
              <w:spacing w:before="0" w:after="0"/>
            </w:pPr>
            <w:r>
              <w:t>ESS</w:t>
            </w:r>
          </w:p>
        </w:tc>
        <w:tc>
          <w:tcPr>
            <w:tcW w:w="6377" w:type="dxa"/>
          </w:tcPr>
          <w:p w14:paraId="15F45DED" w14:textId="77777777" w:rsidR="00395ECD" w:rsidRPr="00A22D04" w:rsidRDefault="00395ECD" w:rsidP="00FA2B6F">
            <w:pPr>
              <w:spacing w:before="0" w:after="0"/>
            </w:pPr>
            <w:r>
              <w:t>Essential System Services</w:t>
            </w:r>
          </w:p>
        </w:tc>
      </w:tr>
      <w:tr w:rsidR="00395ECD" w:rsidRPr="00857693" w14:paraId="26A31E9F" w14:textId="77777777" w:rsidTr="00036039">
        <w:trPr>
          <w:trHeight w:val="340"/>
        </w:trPr>
        <w:tc>
          <w:tcPr>
            <w:tcW w:w="1843" w:type="dxa"/>
          </w:tcPr>
          <w:p w14:paraId="2E8FFF78" w14:textId="77777777" w:rsidR="00395ECD" w:rsidRDefault="00395ECD" w:rsidP="00FA2B6F">
            <w:pPr>
              <w:spacing w:before="0" w:after="0"/>
            </w:pPr>
            <w:r>
              <w:t>EST</w:t>
            </w:r>
          </w:p>
        </w:tc>
        <w:tc>
          <w:tcPr>
            <w:tcW w:w="6377" w:type="dxa"/>
          </w:tcPr>
          <w:p w14:paraId="65486DA4" w14:textId="77777777" w:rsidR="00395ECD" w:rsidRDefault="00395ECD" w:rsidP="00FA2B6F">
            <w:pPr>
              <w:spacing w:before="0" w:after="0"/>
            </w:pPr>
            <w:r>
              <w:t>Eastern Standard Time</w:t>
            </w:r>
          </w:p>
        </w:tc>
      </w:tr>
      <w:tr w:rsidR="00F13669" w:rsidRPr="00857693" w14:paraId="6BDA252E" w14:textId="77777777" w:rsidTr="00036039">
        <w:trPr>
          <w:trHeight w:val="340"/>
        </w:trPr>
        <w:tc>
          <w:tcPr>
            <w:tcW w:w="1843" w:type="dxa"/>
          </w:tcPr>
          <w:p w14:paraId="5ADA7EC5" w14:textId="0F8A8D9C" w:rsidR="00F13669" w:rsidRDefault="00F13669" w:rsidP="00FA2B6F">
            <w:pPr>
              <w:spacing w:before="0" w:after="0"/>
            </w:pPr>
            <w:r w:rsidRPr="00857693">
              <w:t>EV</w:t>
            </w:r>
          </w:p>
        </w:tc>
        <w:tc>
          <w:tcPr>
            <w:tcW w:w="6377" w:type="dxa"/>
          </w:tcPr>
          <w:p w14:paraId="0B3E3093" w14:textId="05911F41" w:rsidR="00F13669" w:rsidRPr="00A22D04" w:rsidRDefault="00F13669" w:rsidP="00FA2B6F">
            <w:pPr>
              <w:spacing w:before="0" w:after="0"/>
            </w:pPr>
            <w:r w:rsidRPr="00857693">
              <w:t>Electric Vehicle</w:t>
            </w:r>
          </w:p>
        </w:tc>
      </w:tr>
      <w:tr w:rsidR="00F13669" w:rsidRPr="00857693" w14:paraId="4BC0CA53" w14:textId="77777777" w:rsidTr="00036039">
        <w:trPr>
          <w:trHeight w:val="340"/>
        </w:trPr>
        <w:tc>
          <w:tcPr>
            <w:tcW w:w="1843" w:type="dxa"/>
          </w:tcPr>
          <w:p w14:paraId="2AD1553E" w14:textId="69283B2A" w:rsidR="00F13669" w:rsidRDefault="00F13669" w:rsidP="00FA2B6F">
            <w:pPr>
              <w:spacing w:before="0" w:after="0"/>
            </w:pPr>
            <w:r>
              <w:t>EVSE</w:t>
            </w:r>
          </w:p>
        </w:tc>
        <w:tc>
          <w:tcPr>
            <w:tcW w:w="6377" w:type="dxa"/>
          </w:tcPr>
          <w:p w14:paraId="3BBFE4FE" w14:textId="16C15A0B" w:rsidR="00F13669" w:rsidRDefault="00F13669" w:rsidP="00FA2B6F">
            <w:pPr>
              <w:spacing w:before="0" w:after="0"/>
            </w:pPr>
            <w:r>
              <w:t>Electric Vehicle Supply Equipment</w:t>
            </w:r>
          </w:p>
        </w:tc>
      </w:tr>
      <w:tr w:rsidR="00F13669" w:rsidRPr="00857693" w14:paraId="0CF5AB39" w14:textId="77777777" w:rsidTr="00036039">
        <w:trPr>
          <w:trHeight w:val="340"/>
        </w:trPr>
        <w:tc>
          <w:tcPr>
            <w:tcW w:w="1843" w:type="dxa"/>
          </w:tcPr>
          <w:p w14:paraId="3E1EBB21" w14:textId="550EE425" w:rsidR="00F13669" w:rsidRPr="00857693" w:rsidRDefault="00F13669" w:rsidP="00FA2B6F">
            <w:pPr>
              <w:spacing w:before="0" w:after="0"/>
            </w:pPr>
            <w:r w:rsidRPr="00857693">
              <w:t>FCAS</w:t>
            </w:r>
          </w:p>
        </w:tc>
        <w:tc>
          <w:tcPr>
            <w:tcW w:w="6377" w:type="dxa"/>
          </w:tcPr>
          <w:p w14:paraId="3BFDA6D2" w14:textId="0E8A13AD" w:rsidR="00F13669" w:rsidRPr="00857693" w:rsidRDefault="00F13669" w:rsidP="00FA2B6F">
            <w:pPr>
              <w:spacing w:before="0" w:after="0"/>
            </w:pPr>
            <w:r w:rsidRPr="00857693">
              <w:t>Frequency Control Ancillary Services</w:t>
            </w:r>
          </w:p>
        </w:tc>
      </w:tr>
      <w:tr w:rsidR="00F13669" w:rsidRPr="00857693" w14:paraId="6B648240" w14:textId="77777777" w:rsidTr="00036039">
        <w:trPr>
          <w:trHeight w:val="340"/>
        </w:trPr>
        <w:tc>
          <w:tcPr>
            <w:tcW w:w="1843" w:type="dxa"/>
          </w:tcPr>
          <w:p w14:paraId="47B65085" w14:textId="3D56B58C" w:rsidR="00F13669" w:rsidRPr="00857693" w:rsidRDefault="00F13669" w:rsidP="00FA2B6F">
            <w:pPr>
              <w:spacing w:before="0" w:after="0"/>
            </w:pPr>
            <w:r>
              <w:t>FDD</w:t>
            </w:r>
          </w:p>
        </w:tc>
        <w:tc>
          <w:tcPr>
            <w:tcW w:w="6377" w:type="dxa"/>
          </w:tcPr>
          <w:p w14:paraId="383BDB9A" w14:textId="319F1CB8" w:rsidR="00F13669" w:rsidRPr="00857693" w:rsidRDefault="00F13669" w:rsidP="00FA2B6F">
            <w:pPr>
              <w:spacing w:before="0" w:after="0"/>
            </w:pPr>
            <w:r>
              <w:t>Facility Description Document (CAN)</w:t>
            </w:r>
          </w:p>
        </w:tc>
      </w:tr>
      <w:tr w:rsidR="00F13669" w:rsidRPr="00857693" w14:paraId="27117233" w14:textId="77777777" w:rsidTr="00036039">
        <w:trPr>
          <w:trHeight w:val="340"/>
        </w:trPr>
        <w:tc>
          <w:tcPr>
            <w:tcW w:w="1843" w:type="dxa"/>
          </w:tcPr>
          <w:p w14:paraId="09E5D341" w14:textId="4B183C01" w:rsidR="00F13669" w:rsidRPr="00857693" w:rsidRDefault="00F13669" w:rsidP="00FA2B6F">
            <w:pPr>
              <w:spacing w:before="0" w:after="0"/>
            </w:pPr>
            <w:r>
              <w:t>FEL</w:t>
            </w:r>
          </w:p>
        </w:tc>
        <w:tc>
          <w:tcPr>
            <w:tcW w:w="6377" w:type="dxa"/>
          </w:tcPr>
          <w:p w14:paraId="50E61DC8" w14:textId="7AF87A5F" w:rsidR="00F13669" w:rsidRPr="00857693" w:rsidRDefault="00F13669" w:rsidP="00FA2B6F">
            <w:pPr>
              <w:spacing w:before="0" w:after="0"/>
            </w:pPr>
            <w:r>
              <w:t>Forecast Energy Limits</w:t>
            </w:r>
          </w:p>
        </w:tc>
      </w:tr>
      <w:tr w:rsidR="00F13669" w:rsidRPr="00857693" w14:paraId="6DFF2A84" w14:textId="77777777" w:rsidTr="00036039">
        <w:trPr>
          <w:trHeight w:val="340"/>
        </w:trPr>
        <w:tc>
          <w:tcPr>
            <w:tcW w:w="1843" w:type="dxa"/>
          </w:tcPr>
          <w:p w14:paraId="6356E19F" w14:textId="013375DB" w:rsidR="00F13669" w:rsidRPr="00857693" w:rsidRDefault="00F13669" w:rsidP="00FA2B6F">
            <w:pPr>
              <w:spacing w:before="0" w:after="0"/>
            </w:pPr>
            <w:r>
              <w:t>FERC</w:t>
            </w:r>
          </w:p>
        </w:tc>
        <w:tc>
          <w:tcPr>
            <w:tcW w:w="6377" w:type="dxa"/>
          </w:tcPr>
          <w:p w14:paraId="171A7B76" w14:textId="76AFF258" w:rsidR="00F13669" w:rsidRPr="00857693" w:rsidRDefault="00F13669" w:rsidP="00FA2B6F">
            <w:pPr>
              <w:spacing w:before="0" w:after="0"/>
            </w:pPr>
            <w:r>
              <w:t>Federal Energy Regulatory Commission (US)</w:t>
            </w:r>
          </w:p>
        </w:tc>
      </w:tr>
      <w:tr w:rsidR="002C0E5B" w:rsidRPr="00857693" w14:paraId="016C5645" w14:textId="77777777" w:rsidTr="00036039">
        <w:trPr>
          <w:trHeight w:val="340"/>
        </w:trPr>
        <w:tc>
          <w:tcPr>
            <w:tcW w:w="1843" w:type="dxa"/>
          </w:tcPr>
          <w:p w14:paraId="710F032F" w14:textId="13730CFB" w:rsidR="002C0E5B" w:rsidRPr="00857693" w:rsidRDefault="002C0E5B" w:rsidP="00FA2B6F">
            <w:pPr>
              <w:spacing w:before="0" w:after="0"/>
            </w:pPr>
            <w:r>
              <w:t>FSO</w:t>
            </w:r>
          </w:p>
        </w:tc>
        <w:tc>
          <w:tcPr>
            <w:tcW w:w="6377" w:type="dxa"/>
          </w:tcPr>
          <w:p w14:paraId="67FA1E61" w14:textId="1C023224" w:rsidR="002C0E5B" w:rsidRPr="00857693" w:rsidRDefault="002C0E5B" w:rsidP="00FA2B6F">
            <w:pPr>
              <w:spacing w:before="0" w:after="0"/>
            </w:pPr>
            <w:r>
              <w:t>Future System Operator</w:t>
            </w:r>
          </w:p>
        </w:tc>
      </w:tr>
      <w:tr w:rsidR="002C0E5B" w:rsidRPr="00857693" w14:paraId="6655782D" w14:textId="77777777" w:rsidTr="00036039">
        <w:trPr>
          <w:trHeight w:val="340"/>
        </w:trPr>
        <w:tc>
          <w:tcPr>
            <w:tcW w:w="1843" w:type="dxa"/>
          </w:tcPr>
          <w:p w14:paraId="34363F2D" w14:textId="0BDF4824" w:rsidR="002C0E5B" w:rsidRDefault="002C0E5B" w:rsidP="00FA2B6F">
            <w:pPr>
              <w:spacing w:before="0" w:after="0"/>
            </w:pPr>
            <w:r w:rsidRPr="00857693">
              <w:t>FTM</w:t>
            </w:r>
          </w:p>
        </w:tc>
        <w:tc>
          <w:tcPr>
            <w:tcW w:w="6377" w:type="dxa"/>
          </w:tcPr>
          <w:p w14:paraId="20227E56" w14:textId="014C69D1" w:rsidR="002C0E5B" w:rsidRDefault="002C0E5B" w:rsidP="00FA2B6F">
            <w:pPr>
              <w:spacing w:before="0" w:after="0"/>
            </w:pPr>
            <w:r w:rsidRPr="00857693">
              <w:t xml:space="preserve">Front </w:t>
            </w:r>
            <w:r>
              <w:t xml:space="preserve">of </w:t>
            </w:r>
            <w:r w:rsidRPr="00857693">
              <w:t>the Meter</w:t>
            </w:r>
          </w:p>
        </w:tc>
      </w:tr>
      <w:tr w:rsidR="002C0E5B" w:rsidRPr="00857693" w14:paraId="099C1A96" w14:textId="77777777" w:rsidTr="00036039">
        <w:trPr>
          <w:trHeight w:val="340"/>
        </w:trPr>
        <w:tc>
          <w:tcPr>
            <w:tcW w:w="1843" w:type="dxa"/>
          </w:tcPr>
          <w:p w14:paraId="6BBA9299" w14:textId="053E1421" w:rsidR="002C0E5B" w:rsidRPr="00857693" w:rsidRDefault="002C0E5B" w:rsidP="00FA2B6F">
            <w:pPr>
              <w:spacing w:before="0" w:after="0"/>
            </w:pPr>
            <w:r>
              <w:t>GIS</w:t>
            </w:r>
          </w:p>
        </w:tc>
        <w:tc>
          <w:tcPr>
            <w:tcW w:w="6377" w:type="dxa"/>
          </w:tcPr>
          <w:p w14:paraId="6F96DCA8" w14:textId="6AAD2CC0" w:rsidR="002C0E5B" w:rsidRPr="00857693" w:rsidRDefault="002C0E5B" w:rsidP="00FA2B6F">
            <w:pPr>
              <w:spacing w:before="0" w:after="0"/>
            </w:pPr>
            <w:r>
              <w:t>Geographic Information System</w:t>
            </w:r>
          </w:p>
        </w:tc>
      </w:tr>
      <w:tr w:rsidR="002C0E5B" w:rsidRPr="00857693" w14:paraId="4008A750" w14:textId="77777777" w:rsidTr="00036039">
        <w:trPr>
          <w:trHeight w:val="340"/>
        </w:trPr>
        <w:tc>
          <w:tcPr>
            <w:tcW w:w="1843" w:type="dxa"/>
          </w:tcPr>
          <w:p w14:paraId="44B4A237" w14:textId="17E22F6D" w:rsidR="002C0E5B" w:rsidRDefault="002C0E5B" w:rsidP="00FA2B6F">
            <w:pPr>
              <w:spacing w:before="0" w:after="0"/>
            </w:pPr>
            <w:r>
              <w:t>GMLC</w:t>
            </w:r>
          </w:p>
        </w:tc>
        <w:tc>
          <w:tcPr>
            <w:tcW w:w="6377" w:type="dxa"/>
          </w:tcPr>
          <w:p w14:paraId="60BFFAE2" w14:textId="11F119F1" w:rsidR="002C0E5B" w:rsidRDefault="002C0E5B" w:rsidP="00FA2B6F">
            <w:pPr>
              <w:spacing w:before="0" w:after="0"/>
            </w:pPr>
            <w:r>
              <w:t>Grid Modernisation Lab Consortium (US)</w:t>
            </w:r>
          </w:p>
        </w:tc>
      </w:tr>
      <w:tr w:rsidR="002C0E5B" w:rsidRPr="00857693" w14:paraId="4C9A04CB" w14:textId="77777777" w:rsidTr="00036039">
        <w:trPr>
          <w:trHeight w:val="340"/>
        </w:trPr>
        <w:tc>
          <w:tcPr>
            <w:tcW w:w="1843" w:type="dxa"/>
          </w:tcPr>
          <w:p w14:paraId="27078187" w14:textId="764F7AB2" w:rsidR="002C0E5B" w:rsidRPr="00857693" w:rsidRDefault="002C0E5B" w:rsidP="00FA2B6F">
            <w:pPr>
              <w:spacing w:before="0" w:after="0"/>
            </w:pPr>
            <w:r>
              <w:t>HDR</w:t>
            </w:r>
          </w:p>
        </w:tc>
        <w:tc>
          <w:tcPr>
            <w:tcW w:w="6377" w:type="dxa"/>
          </w:tcPr>
          <w:p w14:paraId="6600ED3C" w14:textId="73B51B19" w:rsidR="002C0E5B" w:rsidRPr="00857693" w:rsidRDefault="002C0E5B" w:rsidP="00FA2B6F">
            <w:pPr>
              <w:spacing w:before="0" w:after="0"/>
            </w:pPr>
            <w:r>
              <w:t>Hourly Demand Response</w:t>
            </w:r>
          </w:p>
        </w:tc>
      </w:tr>
      <w:tr w:rsidR="002C0E5B" w:rsidRPr="00857693" w14:paraId="0AB78D55" w14:textId="77777777" w:rsidTr="00036039">
        <w:trPr>
          <w:trHeight w:val="340"/>
        </w:trPr>
        <w:tc>
          <w:tcPr>
            <w:tcW w:w="1843" w:type="dxa"/>
          </w:tcPr>
          <w:p w14:paraId="4BB6AC19" w14:textId="203531DB" w:rsidR="002C0E5B" w:rsidRDefault="002C0E5B" w:rsidP="00FA2B6F">
            <w:pPr>
              <w:spacing w:before="0" w:after="0"/>
            </w:pPr>
            <w:r>
              <w:t>HOEP</w:t>
            </w:r>
          </w:p>
        </w:tc>
        <w:tc>
          <w:tcPr>
            <w:tcW w:w="6377" w:type="dxa"/>
          </w:tcPr>
          <w:p w14:paraId="39F51872" w14:textId="5E7064F6" w:rsidR="002C0E5B" w:rsidRDefault="002C0E5B" w:rsidP="00FA2B6F">
            <w:pPr>
              <w:spacing w:before="0" w:after="0"/>
            </w:pPr>
            <w:r>
              <w:t>Hourly Ontario Energy Price</w:t>
            </w:r>
          </w:p>
        </w:tc>
      </w:tr>
      <w:tr w:rsidR="002C0E5B" w:rsidRPr="00857693" w14:paraId="77DCE1B6" w14:textId="77777777" w:rsidTr="00036039">
        <w:trPr>
          <w:trHeight w:val="340"/>
        </w:trPr>
        <w:tc>
          <w:tcPr>
            <w:tcW w:w="1843" w:type="dxa"/>
          </w:tcPr>
          <w:p w14:paraId="3EB5A708" w14:textId="1A271901" w:rsidR="002C0E5B" w:rsidRPr="00857693" w:rsidRDefault="002C0E5B" w:rsidP="00FA2B6F">
            <w:pPr>
              <w:spacing w:before="0" w:after="0"/>
            </w:pPr>
            <w:r>
              <w:t>HTTP</w:t>
            </w:r>
          </w:p>
        </w:tc>
        <w:tc>
          <w:tcPr>
            <w:tcW w:w="6377" w:type="dxa"/>
          </w:tcPr>
          <w:p w14:paraId="59D5BDBD" w14:textId="678579A0" w:rsidR="002C0E5B" w:rsidRPr="00857693" w:rsidRDefault="002C0E5B" w:rsidP="00FA2B6F">
            <w:pPr>
              <w:spacing w:before="0" w:after="0"/>
            </w:pPr>
            <w:r w:rsidRPr="00453686">
              <w:t>HyperText Transfer Protocol</w:t>
            </w:r>
          </w:p>
        </w:tc>
      </w:tr>
      <w:tr w:rsidR="002C0E5B" w:rsidRPr="00857693" w14:paraId="46635819" w14:textId="77777777" w:rsidTr="00036039">
        <w:trPr>
          <w:trHeight w:val="340"/>
        </w:trPr>
        <w:tc>
          <w:tcPr>
            <w:tcW w:w="1843" w:type="dxa"/>
          </w:tcPr>
          <w:p w14:paraId="6FCBEC17" w14:textId="09BD499E" w:rsidR="002C0E5B" w:rsidRDefault="002C0E5B" w:rsidP="00FA2B6F">
            <w:pPr>
              <w:spacing w:before="0" w:after="0"/>
            </w:pPr>
            <w:r>
              <w:t>HTTPS</w:t>
            </w:r>
          </w:p>
        </w:tc>
        <w:tc>
          <w:tcPr>
            <w:tcW w:w="6377" w:type="dxa"/>
          </w:tcPr>
          <w:p w14:paraId="7D2D1AA0" w14:textId="3C560F73" w:rsidR="002C0E5B" w:rsidRDefault="002C0E5B" w:rsidP="00FA2B6F">
            <w:pPr>
              <w:spacing w:before="0" w:after="0"/>
            </w:pPr>
            <w:r w:rsidRPr="00453686">
              <w:t>HyperText Transfer Protocol</w:t>
            </w:r>
            <w:r>
              <w:t xml:space="preserve"> Secure</w:t>
            </w:r>
          </w:p>
        </w:tc>
      </w:tr>
      <w:tr w:rsidR="002C0E5B" w:rsidRPr="00857693" w14:paraId="0FC5CC63" w14:textId="77777777" w:rsidTr="00036039">
        <w:trPr>
          <w:trHeight w:val="340"/>
        </w:trPr>
        <w:tc>
          <w:tcPr>
            <w:tcW w:w="1843" w:type="dxa"/>
          </w:tcPr>
          <w:p w14:paraId="6C37872E" w14:textId="0376625D" w:rsidR="002C0E5B" w:rsidRDefault="002C0E5B" w:rsidP="00FA2B6F">
            <w:pPr>
              <w:spacing w:before="0" w:after="0"/>
            </w:pPr>
            <w:r w:rsidRPr="00857693">
              <w:t>HV</w:t>
            </w:r>
          </w:p>
        </w:tc>
        <w:tc>
          <w:tcPr>
            <w:tcW w:w="6377" w:type="dxa"/>
          </w:tcPr>
          <w:p w14:paraId="2949D038" w14:textId="22463BE8" w:rsidR="002C0E5B" w:rsidRDefault="002C0E5B" w:rsidP="00FA2B6F">
            <w:pPr>
              <w:spacing w:before="0" w:after="0"/>
            </w:pPr>
            <w:r w:rsidRPr="00857693">
              <w:t>High Voltage</w:t>
            </w:r>
          </w:p>
        </w:tc>
      </w:tr>
      <w:tr w:rsidR="002C0E5B" w:rsidRPr="00857693" w14:paraId="03B475A8" w14:textId="77777777" w:rsidTr="00036039">
        <w:trPr>
          <w:trHeight w:val="340"/>
        </w:trPr>
        <w:tc>
          <w:tcPr>
            <w:tcW w:w="1843" w:type="dxa"/>
          </w:tcPr>
          <w:p w14:paraId="323EB5DA" w14:textId="4ECB31E4" w:rsidR="002C0E5B" w:rsidRDefault="002C0E5B" w:rsidP="00FA2B6F">
            <w:pPr>
              <w:spacing w:before="0" w:after="0"/>
            </w:pPr>
            <w:r>
              <w:t>IAM</w:t>
            </w:r>
          </w:p>
        </w:tc>
        <w:tc>
          <w:tcPr>
            <w:tcW w:w="6377" w:type="dxa"/>
          </w:tcPr>
          <w:p w14:paraId="2AD33567" w14:textId="643BEDCB" w:rsidR="002C0E5B" w:rsidRDefault="002C0E5B" w:rsidP="00FA2B6F">
            <w:pPr>
              <w:spacing w:before="0" w:after="0"/>
            </w:pPr>
            <w:r>
              <w:t>IESO-Administered Markets</w:t>
            </w:r>
          </w:p>
        </w:tc>
      </w:tr>
      <w:tr w:rsidR="002C0E5B" w:rsidRPr="00857693" w14:paraId="76235720" w14:textId="77777777" w:rsidTr="00036039">
        <w:trPr>
          <w:trHeight w:val="340"/>
        </w:trPr>
        <w:tc>
          <w:tcPr>
            <w:tcW w:w="1843" w:type="dxa"/>
          </w:tcPr>
          <w:p w14:paraId="3D125B37" w14:textId="2CB4946C" w:rsidR="002C0E5B" w:rsidRDefault="002C0E5B" w:rsidP="00FA2B6F">
            <w:pPr>
              <w:spacing w:before="0" w:after="0"/>
            </w:pPr>
            <w:r>
              <w:t>ICCP</w:t>
            </w:r>
          </w:p>
        </w:tc>
        <w:tc>
          <w:tcPr>
            <w:tcW w:w="6377" w:type="dxa"/>
          </w:tcPr>
          <w:p w14:paraId="044214C4" w14:textId="16DC532B" w:rsidR="002C0E5B" w:rsidRDefault="002C0E5B" w:rsidP="00FA2B6F">
            <w:pPr>
              <w:spacing w:before="0" w:after="0"/>
            </w:pPr>
            <w:r w:rsidRPr="00147A92">
              <w:rPr>
                <w:lang w:bidi="ar-SA"/>
              </w:rPr>
              <w:t xml:space="preserve">Inter Control Centre Communication Protocol </w:t>
            </w:r>
          </w:p>
        </w:tc>
      </w:tr>
      <w:tr w:rsidR="002C0E5B" w:rsidRPr="00857693" w14:paraId="6DC9BE36" w14:textId="77777777" w:rsidTr="00036039">
        <w:trPr>
          <w:trHeight w:val="340"/>
        </w:trPr>
        <w:tc>
          <w:tcPr>
            <w:tcW w:w="1843" w:type="dxa"/>
          </w:tcPr>
          <w:p w14:paraId="44D2621B" w14:textId="54C3CA5A" w:rsidR="002C0E5B" w:rsidRDefault="002C0E5B" w:rsidP="00FA2B6F">
            <w:pPr>
              <w:spacing w:before="0" w:after="0"/>
            </w:pPr>
            <w:r>
              <w:t>ICG</w:t>
            </w:r>
          </w:p>
        </w:tc>
        <w:tc>
          <w:tcPr>
            <w:tcW w:w="6377" w:type="dxa"/>
          </w:tcPr>
          <w:p w14:paraId="560A8CD5" w14:textId="2EB39607" w:rsidR="002C0E5B" w:rsidRPr="00453686" w:rsidRDefault="002C0E5B" w:rsidP="00FA2B6F">
            <w:pPr>
              <w:spacing w:before="0" w:after="0"/>
            </w:pPr>
            <w:r>
              <w:t>IESO-Controlled Grid (CAN)</w:t>
            </w:r>
          </w:p>
        </w:tc>
      </w:tr>
      <w:tr w:rsidR="002C0E5B" w:rsidRPr="00857693" w14:paraId="7E99401B" w14:textId="77777777" w:rsidTr="00036039">
        <w:trPr>
          <w:trHeight w:val="340"/>
        </w:trPr>
        <w:tc>
          <w:tcPr>
            <w:tcW w:w="1843" w:type="dxa"/>
          </w:tcPr>
          <w:p w14:paraId="6F9320F7" w14:textId="258D0901" w:rsidR="002C0E5B" w:rsidRPr="00857693" w:rsidRDefault="002C0E5B" w:rsidP="00FA2B6F">
            <w:pPr>
              <w:spacing w:before="0" w:after="0"/>
            </w:pPr>
            <w:r>
              <w:t>IdP</w:t>
            </w:r>
          </w:p>
        </w:tc>
        <w:tc>
          <w:tcPr>
            <w:tcW w:w="6377" w:type="dxa"/>
          </w:tcPr>
          <w:p w14:paraId="7A648D9A" w14:textId="2EEF7069" w:rsidR="002C0E5B" w:rsidRPr="00857693" w:rsidRDefault="002C0E5B" w:rsidP="00FA2B6F">
            <w:pPr>
              <w:spacing w:before="0" w:after="0"/>
            </w:pPr>
            <w:r>
              <w:t>Identity Provider</w:t>
            </w:r>
          </w:p>
        </w:tc>
      </w:tr>
      <w:tr w:rsidR="002C0E5B" w:rsidRPr="00857693" w14:paraId="222E33D3" w14:textId="77777777" w:rsidTr="00036039">
        <w:trPr>
          <w:trHeight w:val="340"/>
        </w:trPr>
        <w:tc>
          <w:tcPr>
            <w:tcW w:w="1843" w:type="dxa"/>
          </w:tcPr>
          <w:p w14:paraId="583D530E" w14:textId="5EA75127" w:rsidR="002C0E5B" w:rsidRPr="00857693" w:rsidRDefault="002C0E5B" w:rsidP="00FA2B6F">
            <w:pPr>
              <w:spacing w:before="0" w:after="0"/>
            </w:pPr>
            <w:r>
              <w:t>IEC</w:t>
            </w:r>
          </w:p>
        </w:tc>
        <w:tc>
          <w:tcPr>
            <w:tcW w:w="6377" w:type="dxa"/>
          </w:tcPr>
          <w:p w14:paraId="43A814AE" w14:textId="022F7635" w:rsidR="002C0E5B" w:rsidRPr="00857693" w:rsidRDefault="002C0E5B" w:rsidP="00FA2B6F">
            <w:pPr>
              <w:spacing w:before="0" w:after="0"/>
            </w:pPr>
            <w:r w:rsidRPr="00C06E1B">
              <w:t>International Electrotechnical Commission</w:t>
            </w:r>
          </w:p>
        </w:tc>
      </w:tr>
      <w:tr w:rsidR="002C0E5B" w:rsidRPr="00857693" w14:paraId="1B24F05C" w14:textId="77777777" w:rsidTr="00036039">
        <w:trPr>
          <w:trHeight w:val="340"/>
        </w:trPr>
        <w:tc>
          <w:tcPr>
            <w:tcW w:w="1843" w:type="dxa"/>
          </w:tcPr>
          <w:p w14:paraId="6186EC9C" w14:textId="4E030A5D" w:rsidR="002C0E5B" w:rsidRDefault="002C0E5B" w:rsidP="00FA2B6F">
            <w:pPr>
              <w:spacing w:before="0" w:after="0"/>
            </w:pPr>
            <w:r>
              <w:t>IED</w:t>
            </w:r>
          </w:p>
        </w:tc>
        <w:tc>
          <w:tcPr>
            <w:tcW w:w="6377" w:type="dxa"/>
          </w:tcPr>
          <w:p w14:paraId="102FF70A" w14:textId="65C7C4C6" w:rsidR="002C0E5B" w:rsidRDefault="002C0E5B" w:rsidP="00FA2B6F">
            <w:pPr>
              <w:spacing w:before="0" w:after="0"/>
            </w:pPr>
            <w:r>
              <w:t>Intelligent Electronic Devices</w:t>
            </w:r>
          </w:p>
        </w:tc>
      </w:tr>
      <w:tr w:rsidR="002C0E5B" w:rsidRPr="00857693" w14:paraId="2BF1284E" w14:textId="77777777" w:rsidTr="00036039">
        <w:trPr>
          <w:trHeight w:val="340"/>
        </w:trPr>
        <w:tc>
          <w:tcPr>
            <w:tcW w:w="1843" w:type="dxa"/>
          </w:tcPr>
          <w:p w14:paraId="7325B5F6" w14:textId="6D3D7156" w:rsidR="002C0E5B" w:rsidRPr="00857693" w:rsidRDefault="002C0E5B" w:rsidP="00FA2B6F">
            <w:pPr>
              <w:spacing w:before="0" w:after="0"/>
            </w:pPr>
            <w:r>
              <w:t>IEEE</w:t>
            </w:r>
          </w:p>
        </w:tc>
        <w:tc>
          <w:tcPr>
            <w:tcW w:w="6377" w:type="dxa"/>
          </w:tcPr>
          <w:p w14:paraId="08C29595" w14:textId="39D6EEB3" w:rsidR="002C0E5B" w:rsidRPr="00857693" w:rsidRDefault="002C0E5B" w:rsidP="00FA2B6F">
            <w:pPr>
              <w:spacing w:before="0" w:after="0"/>
            </w:pPr>
            <w:r w:rsidRPr="008C1C9A">
              <w:t>Institute of Electrical and Electronics Engineers</w:t>
            </w:r>
          </w:p>
        </w:tc>
      </w:tr>
      <w:tr w:rsidR="002C0E5B" w:rsidRPr="00857693" w14:paraId="1791EEC4" w14:textId="77777777" w:rsidTr="00036039">
        <w:trPr>
          <w:trHeight w:val="340"/>
        </w:trPr>
        <w:tc>
          <w:tcPr>
            <w:tcW w:w="1843" w:type="dxa"/>
          </w:tcPr>
          <w:p w14:paraId="55E974C4" w14:textId="03FB62D1" w:rsidR="002C0E5B" w:rsidRDefault="002C0E5B" w:rsidP="00FA2B6F">
            <w:pPr>
              <w:spacing w:before="0" w:after="0"/>
            </w:pPr>
            <w:r>
              <w:t>IESO</w:t>
            </w:r>
          </w:p>
        </w:tc>
        <w:tc>
          <w:tcPr>
            <w:tcW w:w="6377" w:type="dxa"/>
          </w:tcPr>
          <w:p w14:paraId="783154DF" w14:textId="5A948CF0" w:rsidR="002C0E5B" w:rsidRDefault="002C0E5B" w:rsidP="00FA2B6F">
            <w:pPr>
              <w:spacing w:before="0" w:after="0"/>
            </w:pPr>
            <w:r>
              <w:t>Independent Electricity System Operator (CAN)</w:t>
            </w:r>
          </w:p>
        </w:tc>
      </w:tr>
      <w:tr w:rsidR="002C0E5B" w:rsidRPr="00857693" w14:paraId="67BB6859" w14:textId="77777777" w:rsidTr="00036039">
        <w:trPr>
          <w:trHeight w:val="340"/>
        </w:trPr>
        <w:tc>
          <w:tcPr>
            <w:tcW w:w="1843" w:type="dxa"/>
          </w:tcPr>
          <w:p w14:paraId="5481A381" w14:textId="7D2BE4E7" w:rsidR="002C0E5B" w:rsidRDefault="002C0E5B" w:rsidP="00FA2B6F">
            <w:pPr>
              <w:spacing w:before="0" w:after="0"/>
            </w:pPr>
            <w:r>
              <w:t>IP</w:t>
            </w:r>
          </w:p>
        </w:tc>
        <w:tc>
          <w:tcPr>
            <w:tcW w:w="6377" w:type="dxa"/>
          </w:tcPr>
          <w:p w14:paraId="0C6A5E96" w14:textId="58C3F3C3" w:rsidR="002C0E5B" w:rsidRDefault="002C0E5B" w:rsidP="00FA2B6F">
            <w:pPr>
              <w:spacing w:before="0" w:after="0"/>
            </w:pPr>
            <w:r>
              <w:t>Internet Protocol</w:t>
            </w:r>
          </w:p>
        </w:tc>
      </w:tr>
      <w:tr w:rsidR="002C0E5B" w:rsidRPr="00857693" w14:paraId="0CECD69A" w14:textId="77777777" w:rsidTr="00036039">
        <w:trPr>
          <w:trHeight w:val="340"/>
        </w:trPr>
        <w:tc>
          <w:tcPr>
            <w:tcW w:w="1843" w:type="dxa"/>
          </w:tcPr>
          <w:p w14:paraId="1B9EFF97" w14:textId="6302C6DF" w:rsidR="002C0E5B" w:rsidRDefault="002C0E5B" w:rsidP="00FA2B6F">
            <w:pPr>
              <w:spacing w:before="0" w:after="0"/>
            </w:pPr>
            <w:r>
              <w:t>IPS</w:t>
            </w:r>
          </w:p>
        </w:tc>
        <w:tc>
          <w:tcPr>
            <w:tcW w:w="6377" w:type="dxa"/>
          </w:tcPr>
          <w:p w14:paraId="3DC014DA" w14:textId="5D94D9AD" w:rsidR="002C0E5B" w:rsidRPr="00C06E1B" w:rsidRDefault="002C0E5B" w:rsidP="00FA2B6F">
            <w:pPr>
              <w:spacing w:before="0" w:after="0"/>
            </w:pPr>
            <w:r>
              <w:t>Information Publishing System</w:t>
            </w:r>
          </w:p>
        </w:tc>
      </w:tr>
      <w:tr w:rsidR="002C0E5B" w:rsidRPr="00857693" w14:paraId="073BE5A1" w14:textId="77777777" w:rsidTr="00036039">
        <w:trPr>
          <w:trHeight w:val="340"/>
        </w:trPr>
        <w:tc>
          <w:tcPr>
            <w:tcW w:w="1843" w:type="dxa"/>
          </w:tcPr>
          <w:p w14:paraId="74F17888" w14:textId="7EE27E89" w:rsidR="002C0E5B" w:rsidRPr="00857693" w:rsidRDefault="002C0E5B" w:rsidP="00FA2B6F">
            <w:pPr>
              <w:spacing w:before="0" w:after="0"/>
            </w:pPr>
            <w:r>
              <w:t>ISO</w:t>
            </w:r>
          </w:p>
        </w:tc>
        <w:tc>
          <w:tcPr>
            <w:tcW w:w="6377" w:type="dxa"/>
          </w:tcPr>
          <w:p w14:paraId="6EA9E826" w14:textId="4AD1C95B" w:rsidR="002C0E5B" w:rsidRPr="00857693" w:rsidRDefault="002C0E5B" w:rsidP="00FA2B6F">
            <w:pPr>
              <w:spacing w:before="0" w:after="0"/>
            </w:pPr>
            <w:r>
              <w:t>Independent System Operator (US)</w:t>
            </w:r>
          </w:p>
        </w:tc>
      </w:tr>
      <w:tr w:rsidR="002C0E5B" w:rsidRPr="00857693" w14:paraId="6A81E060" w14:textId="77777777" w:rsidTr="00036039">
        <w:trPr>
          <w:trHeight w:val="340"/>
        </w:trPr>
        <w:tc>
          <w:tcPr>
            <w:tcW w:w="1843" w:type="dxa"/>
          </w:tcPr>
          <w:p w14:paraId="1FE513A7" w14:textId="7B4EEF55" w:rsidR="002C0E5B" w:rsidRDefault="002C0E5B" w:rsidP="00FA2B6F">
            <w:pPr>
              <w:spacing w:before="0" w:after="0"/>
            </w:pPr>
            <w:r>
              <w:t>JSON</w:t>
            </w:r>
          </w:p>
        </w:tc>
        <w:tc>
          <w:tcPr>
            <w:tcW w:w="6377" w:type="dxa"/>
          </w:tcPr>
          <w:p w14:paraId="322FB00E" w14:textId="2DC1C8EE" w:rsidR="002C0E5B" w:rsidRPr="008C1C9A" w:rsidRDefault="002C0E5B" w:rsidP="00FA2B6F">
            <w:pPr>
              <w:spacing w:before="0" w:after="0"/>
            </w:pPr>
            <w:r w:rsidRPr="00EA38EE">
              <w:t>JavaScript Object Notation</w:t>
            </w:r>
          </w:p>
        </w:tc>
      </w:tr>
      <w:tr w:rsidR="002C0E5B" w:rsidRPr="00857693" w14:paraId="19342B56" w14:textId="77777777" w:rsidTr="00036039">
        <w:trPr>
          <w:trHeight w:val="340"/>
        </w:trPr>
        <w:tc>
          <w:tcPr>
            <w:tcW w:w="1843" w:type="dxa"/>
          </w:tcPr>
          <w:p w14:paraId="1389B42B" w14:textId="62021B77" w:rsidR="002C0E5B" w:rsidRPr="00857693" w:rsidRDefault="002C0E5B" w:rsidP="00FA2B6F">
            <w:pPr>
              <w:spacing w:before="0" w:after="0"/>
            </w:pPr>
            <w:r w:rsidRPr="00857693">
              <w:t>LV</w:t>
            </w:r>
          </w:p>
        </w:tc>
        <w:tc>
          <w:tcPr>
            <w:tcW w:w="6377" w:type="dxa"/>
          </w:tcPr>
          <w:p w14:paraId="24D1A1AD" w14:textId="2E0F58CF" w:rsidR="002C0E5B" w:rsidRPr="00857693" w:rsidRDefault="002C0E5B" w:rsidP="00FA2B6F">
            <w:pPr>
              <w:spacing w:before="0" w:after="0"/>
            </w:pPr>
            <w:r w:rsidRPr="00857693">
              <w:t>Low Voltage</w:t>
            </w:r>
          </w:p>
        </w:tc>
      </w:tr>
      <w:tr w:rsidR="002C0E5B" w:rsidRPr="00857693" w14:paraId="03423C25" w14:textId="77777777" w:rsidTr="00036039">
        <w:trPr>
          <w:trHeight w:val="340"/>
        </w:trPr>
        <w:tc>
          <w:tcPr>
            <w:tcW w:w="1843" w:type="dxa"/>
          </w:tcPr>
          <w:p w14:paraId="016F52A5" w14:textId="22D76F69" w:rsidR="002C0E5B" w:rsidRPr="00857693" w:rsidRDefault="002C0E5B" w:rsidP="00FA2B6F">
            <w:pPr>
              <w:spacing w:before="0" w:after="0"/>
            </w:pPr>
            <w:r>
              <w:t>MBSE</w:t>
            </w:r>
          </w:p>
        </w:tc>
        <w:tc>
          <w:tcPr>
            <w:tcW w:w="6377" w:type="dxa"/>
          </w:tcPr>
          <w:p w14:paraId="26C23399" w14:textId="694DB9ED" w:rsidR="002C0E5B" w:rsidRPr="00857693" w:rsidRDefault="002C0E5B" w:rsidP="00FA2B6F">
            <w:pPr>
              <w:spacing w:before="0" w:after="0"/>
            </w:pPr>
            <w:r>
              <w:t>Model System Based Engineering</w:t>
            </w:r>
          </w:p>
        </w:tc>
      </w:tr>
      <w:tr w:rsidR="002C0E5B" w:rsidRPr="00857693" w14:paraId="613D4774" w14:textId="77777777" w:rsidTr="00036039">
        <w:trPr>
          <w:trHeight w:val="340"/>
        </w:trPr>
        <w:tc>
          <w:tcPr>
            <w:tcW w:w="1843" w:type="dxa"/>
          </w:tcPr>
          <w:p w14:paraId="1F0A01F7" w14:textId="44FA1B82" w:rsidR="002C0E5B" w:rsidRDefault="002C0E5B" w:rsidP="00FA2B6F">
            <w:pPr>
              <w:spacing w:before="0" w:after="0"/>
            </w:pPr>
            <w:r>
              <w:t>MDAS</w:t>
            </w:r>
          </w:p>
        </w:tc>
        <w:tc>
          <w:tcPr>
            <w:tcW w:w="6377" w:type="dxa"/>
          </w:tcPr>
          <w:p w14:paraId="5DFA2A80" w14:textId="35CBB113" w:rsidR="002C0E5B" w:rsidRDefault="002C0E5B" w:rsidP="00FA2B6F">
            <w:pPr>
              <w:spacing w:before="0" w:after="0"/>
            </w:pPr>
            <w:r>
              <w:t>Meter Data Acquisition System</w:t>
            </w:r>
          </w:p>
        </w:tc>
      </w:tr>
      <w:tr w:rsidR="002C0E5B" w:rsidRPr="00857693" w14:paraId="7051CC70" w14:textId="77777777" w:rsidTr="00036039">
        <w:trPr>
          <w:trHeight w:val="340"/>
        </w:trPr>
        <w:tc>
          <w:tcPr>
            <w:tcW w:w="1843" w:type="dxa"/>
          </w:tcPr>
          <w:p w14:paraId="06EB124C" w14:textId="6E1E1925" w:rsidR="002C0E5B" w:rsidRDefault="002C0E5B" w:rsidP="00FA2B6F">
            <w:pPr>
              <w:spacing w:before="0" w:after="0"/>
            </w:pPr>
            <w:r>
              <w:lastRenderedPageBreak/>
              <w:t>MDMS</w:t>
            </w:r>
          </w:p>
        </w:tc>
        <w:tc>
          <w:tcPr>
            <w:tcW w:w="6377" w:type="dxa"/>
          </w:tcPr>
          <w:p w14:paraId="0329A955" w14:textId="07136643" w:rsidR="002C0E5B" w:rsidRDefault="002C0E5B" w:rsidP="00FA2B6F">
            <w:pPr>
              <w:spacing w:before="0" w:after="0"/>
            </w:pPr>
            <w:r>
              <w:t>Meter Data Management System</w:t>
            </w:r>
          </w:p>
        </w:tc>
      </w:tr>
      <w:tr w:rsidR="002C0E5B" w:rsidRPr="00857693" w14:paraId="0F6FAE8C" w14:textId="77777777" w:rsidTr="00036039">
        <w:trPr>
          <w:trHeight w:val="340"/>
        </w:trPr>
        <w:tc>
          <w:tcPr>
            <w:tcW w:w="1843" w:type="dxa"/>
          </w:tcPr>
          <w:p w14:paraId="0D1CC520" w14:textId="4B0ED93B" w:rsidR="002C0E5B" w:rsidRPr="00857693" w:rsidRDefault="002C0E5B" w:rsidP="00FA2B6F">
            <w:pPr>
              <w:spacing w:before="0" w:after="0"/>
            </w:pPr>
            <w:r>
              <w:t>MDM/R</w:t>
            </w:r>
          </w:p>
        </w:tc>
        <w:tc>
          <w:tcPr>
            <w:tcW w:w="6377" w:type="dxa"/>
          </w:tcPr>
          <w:p w14:paraId="23C31E57" w14:textId="74E2AB32" w:rsidR="002C0E5B" w:rsidRPr="00857693" w:rsidRDefault="002C0E5B" w:rsidP="00FA2B6F">
            <w:pPr>
              <w:spacing w:before="0" w:after="0"/>
            </w:pPr>
            <w:r>
              <w:t>Meter Data Management and Repository</w:t>
            </w:r>
          </w:p>
        </w:tc>
      </w:tr>
      <w:tr w:rsidR="002C0E5B" w:rsidRPr="00857693" w14:paraId="39AEC209" w14:textId="77777777" w:rsidTr="00036039">
        <w:trPr>
          <w:trHeight w:val="340"/>
        </w:trPr>
        <w:tc>
          <w:tcPr>
            <w:tcW w:w="1843" w:type="dxa"/>
          </w:tcPr>
          <w:p w14:paraId="4A87FA83" w14:textId="2DBA64DE" w:rsidR="002C0E5B" w:rsidRPr="00857693" w:rsidRDefault="002C0E5B" w:rsidP="00FA2B6F">
            <w:pPr>
              <w:spacing w:before="0" w:after="0"/>
            </w:pPr>
            <w:r>
              <w:t>MGBRT</w:t>
            </w:r>
          </w:p>
        </w:tc>
        <w:tc>
          <w:tcPr>
            <w:tcW w:w="6377" w:type="dxa"/>
          </w:tcPr>
          <w:p w14:paraId="5DA262A2" w14:textId="706D2F01" w:rsidR="002C0E5B" w:rsidRPr="00857693" w:rsidRDefault="002C0E5B" w:rsidP="00FA2B6F">
            <w:pPr>
              <w:spacing w:before="0" w:after="0"/>
            </w:pPr>
            <w:r>
              <w:t>Minimum Generation Block Run-time</w:t>
            </w:r>
          </w:p>
        </w:tc>
      </w:tr>
      <w:tr w:rsidR="002C0E5B" w:rsidRPr="00857693" w14:paraId="678ADCED" w14:textId="77777777" w:rsidTr="00036039">
        <w:trPr>
          <w:trHeight w:val="340"/>
        </w:trPr>
        <w:tc>
          <w:tcPr>
            <w:tcW w:w="1843" w:type="dxa"/>
          </w:tcPr>
          <w:p w14:paraId="00569D4E" w14:textId="542E2A87" w:rsidR="002C0E5B" w:rsidRPr="00857693" w:rsidRDefault="002C0E5B" w:rsidP="00FA2B6F">
            <w:pPr>
              <w:spacing w:before="0" w:after="0"/>
            </w:pPr>
            <w:r>
              <w:t>MLP</w:t>
            </w:r>
          </w:p>
        </w:tc>
        <w:tc>
          <w:tcPr>
            <w:tcW w:w="6377" w:type="dxa"/>
          </w:tcPr>
          <w:p w14:paraId="15DD5822" w14:textId="65F56509" w:rsidR="002C0E5B" w:rsidRPr="00857693" w:rsidRDefault="002C0E5B" w:rsidP="00FA2B6F">
            <w:pPr>
              <w:spacing w:before="0" w:after="0"/>
            </w:pPr>
            <w:r>
              <w:t>Minimum Loading Point</w:t>
            </w:r>
          </w:p>
        </w:tc>
      </w:tr>
      <w:tr w:rsidR="002C0E5B" w:rsidRPr="00857693" w14:paraId="06B82B2C" w14:textId="77777777" w:rsidTr="00036039">
        <w:trPr>
          <w:trHeight w:val="340"/>
        </w:trPr>
        <w:tc>
          <w:tcPr>
            <w:tcW w:w="1843" w:type="dxa"/>
          </w:tcPr>
          <w:p w14:paraId="554A70BB" w14:textId="1FE62DE3" w:rsidR="002C0E5B" w:rsidRPr="00857693" w:rsidRDefault="002C0E5B" w:rsidP="00FA2B6F">
            <w:pPr>
              <w:spacing w:before="0" w:after="0"/>
            </w:pPr>
            <w:r>
              <w:t>MP</w:t>
            </w:r>
          </w:p>
        </w:tc>
        <w:tc>
          <w:tcPr>
            <w:tcW w:w="6377" w:type="dxa"/>
          </w:tcPr>
          <w:p w14:paraId="23D392EC" w14:textId="7C64AFC2" w:rsidR="002C0E5B" w:rsidRPr="00857693" w:rsidRDefault="002C0E5B" w:rsidP="00FA2B6F">
            <w:pPr>
              <w:spacing w:before="0" w:after="0"/>
            </w:pPr>
            <w:r>
              <w:t>Market Participant</w:t>
            </w:r>
          </w:p>
        </w:tc>
      </w:tr>
      <w:tr w:rsidR="002C0E5B" w:rsidRPr="00857693" w14:paraId="0108AED9" w14:textId="77777777" w:rsidTr="00036039">
        <w:trPr>
          <w:trHeight w:val="340"/>
        </w:trPr>
        <w:tc>
          <w:tcPr>
            <w:tcW w:w="1843" w:type="dxa"/>
          </w:tcPr>
          <w:p w14:paraId="625CFCBE" w14:textId="46DAD2B9" w:rsidR="002C0E5B" w:rsidRDefault="002C0E5B" w:rsidP="00FA2B6F">
            <w:pPr>
              <w:spacing w:before="0" w:after="0"/>
            </w:pPr>
            <w:r>
              <w:t>MQTT</w:t>
            </w:r>
          </w:p>
        </w:tc>
        <w:tc>
          <w:tcPr>
            <w:tcW w:w="6377" w:type="dxa"/>
          </w:tcPr>
          <w:p w14:paraId="2458E2FC" w14:textId="5B238AC8" w:rsidR="002C0E5B" w:rsidRDefault="002C0E5B" w:rsidP="00FA2B6F">
            <w:pPr>
              <w:spacing w:before="0" w:after="0"/>
            </w:pPr>
            <w:r w:rsidRPr="00862A18">
              <w:t>Message Queuing Telemetry Transport</w:t>
            </w:r>
          </w:p>
        </w:tc>
      </w:tr>
      <w:tr w:rsidR="002C0E5B" w:rsidRPr="00857693" w14:paraId="7D3B7CE1" w14:textId="77777777" w:rsidTr="00036039">
        <w:trPr>
          <w:trHeight w:val="340"/>
        </w:trPr>
        <w:tc>
          <w:tcPr>
            <w:tcW w:w="1843" w:type="dxa"/>
          </w:tcPr>
          <w:p w14:paraId="45287161" w14:textId="173BD6F5" w:rsidR="002C0E5B" w:rsidRPr="00857693" w:rsidRDefault="002C0E5B" w:rsidP="00FA2B6F">
            <w:pPr>
              <w:spacing w:before="0" w:after="0"/>
            </w:pPr>
            <w:r>
              <w:t>MVAr</w:t>
            </w:r>
          </w:p>
        </w:tc>
        <w:tc>
          <w:tcPr>
            <w:tcW w:w="6377" w:type="dxa"/>
          </w:tcPr>
          <w:p w14:paraId="3B927912" w14:textId="687CB4B2" w:rsidR="002C0E5B" w:rsidRPr="00857693" w:rsidRDefault="002C0E5B" w:rsidP="00FA2B6F">
            <w:pPr>
              <w:spacing w:before="0" w:after="0"/>
            </w:pPr>
            <w:r>
              <w:t>Megavolt-ampere Reactive</w:t>
            </w:r>
          </w:p>
        </w:tc>
      </w:tr>
      <w:tr w:rsidR="002C0E5B" w:rsidRPr="00857693" w14:paraId="2E807E25" w14:textId="77777777" w:rsidTr="00036039">
        <w:trPr>
          <w:trHeight w:val="340"/>
        </w:trPr>
        <w:tc>
          <w:tcPr>
            <w:tcW w:w="1843" w:type="dxa"/>
          </w:tcPr>
          <w:p w14:paraId="6E32BFAB" w14:textId="40FE7C91" w:rsidR="002C0E5B" w:rsidRDefault="002C0E5B" w:rsidP="00FA2B6F">
            <w:pPr>
              <w:spacing w:before="0" w:after="0"/>
            </w:pPr>
            <w:r>
              <w:t>NAESB</w:t>
            </w:r>
          </w:p>
        </w:tc>
        <w:tc>
          <w:tcPr>
            <w:tcW w:w="6377" w:type="dxa"/>
          </w:tcPr>
          <w:p w14:paraId="2BEFEDBF" w14:textId="02F01D10" w:rsidR="002C0E5B" w:rsidRDefault="002C0E5B" w:rsidP="00FA2B6F">
            <w:pPr>
              <w:spacing w:before="0" w:after="0"/>
            </w:pPr>
            <w:r w:rsidRPr="004132FE">
              <w:t>North American Energy Standards Board</w:t>
            </w:r>
          </w:p>
        </w:tc>
      </w:tr>
      <w:tr w:rsidR="002C0E5B" w:rsidRPr="00857693" w14:paraId="7AD77063" w14:textId="77777777" w:rsidTr="00036039">
        <w:trPr>
          <w:trHeight w:val="340"/>
        </w:trPr>
        <w:tc>
          <w:tcPr>
            <w:tcW w:w="1843" w:type="dxa"/>
          </w:tcPr>
          <w:p w14:paraId="12742F68" w14:textId="66A6A69F" w:rsidR="002C0E5B" w:rsidRDefault="002C0E5B" w:rsidP="00FA2B6F">
            <w:pPr>
              <w:spacing w:before="0" w:after="0"/>
            </w:pPr>
            <w:r w:rsidRPr="00857693">
              <w:t>NEM</w:t>
            </w:r>
          </w:p>
        </w:tc>
        <w:tc>
          <w:tcPr>
            <w:tcW w:w="6377" w:type="dxa"/>
          </w:tcPr>
          <w:p w14:paraId="0E4B53B8" w14:textId="66C15B23" w:rsidR="002C0E5B" w:rsidRDefault="002C0E5B" w:rsidP="00FA2B6F">
            <w:pPr>
              <w:spacing w:before="0" w:after="0"/>
            </w:pPr>
            <w:r w:rsidRPr="00857693">
              <w:t>National Electricity Market</w:t>
            </w:r>
          </w:p>
        </w:tc>
      </w:tr>
      <w:tr w:rsidR="002C0E5B" w:rsidRPr="00857693" w14:paraId="039C2664" w14:textId="77777777" w:rsidTr="00036039">
        <w:trPr>
          <w:trHeight w:val="340"/>
        </w:trPr>
        <w:tc>
          <w:tcPr>
            <w:tcW w:w="1843" w:type="dxa"/>
          </w:tcPr>
          <w:p w14:paraId="35FF8F29" w14:textId="78042D8D" w:rsidR="002C0E5B" w:rsidRDefault="002C0E5B" w:rsidP="00FA2B6F">
            <w:pPr>
              <w:spacing w:before="0" w:after="0"/>
            </w:pPr>
            <w:r>
              <w:t>NERC</w:t>
            </w:r>
          </w:p>
        </w:tc>
        <w:tc>
          <w:tcPr>
            <w:tcW w:w="6377" w:type="dxa"/>
          </w:tcPr>
          <w:p w14:paraId="2823E1DA" w14:textId="68517724" w:rsidR="002C0E5B" w:rsidRDefault="002C0E5B" w:rsidP="00FA2B6F">
            <w:pPr>
              <w:spacing w:before="0" w:after="0"/>
            </w:pPr>
            <w:r>
              <w:t>North American Electric Reliability Corporation</w:t>
            </w:r>
          </w:p>
        </w:tc>
      </w:tr>
      <w:tr w:rsidR="002C0E5B" w:rsidRPr="00857693" w14:paraId="143CF2F5" w14:textId="77777777" w:rsidTr="00036039">
        <w:trPr>
          <w:trHeight w:val="340"/>
        </w:trPr>
        <w:tc>
          <w:tcPr>
            <w:tcW w:w="1843" w:type="dxa"/>
          </w:tcPr>
          <w:p w14:paraId="187974AA" w14:textId="007368E5" w:rsidR="002C0E5B" w:rsidRDefault="002C0E5B" w:rsidP="00FA2B6F">
            <w:pPr>
              <w:spacing w:before="0" w:after="0"/>
            </w:pPr>
            <w:r>
              <w:t>NESO</w:t>
            </w:r>
          </w:p>
        </w:tc>
        <w:tc>
          <w:tcPr>
            <w:tcW w:w="6377" w:type="dxa"/>
          </w:tcPr>
          <w:p w14:paraId="067D694A" w14:textId="1B48F888" w:rsidR="002C0E5B" w:rsidRDefault="002C0E5B" w:rsidP="00FA2B6F">
            <w:pPr>
              <w:spacing w:before="0" w:after="0"/>
            </w:pPr>
            <w:r>
              <w:t>National Energy System Operator</w:t>
            </w:r>
          </w:p>
        </w:tc>
      </w:tr>
      <w:tr w:rsidR="002C0E5B" w:rsidRPr="00857693" w14:paraId="0D80D222" w14:textId="77777777" w:rsidTr="00036039">
        <w:trPr>
          <w:trHeight w:val="340"/>
        </w:trPr>
        <w:tc>
          <w:tcPr>
            <w:tcW w:w="1843" w:type="dxa"/>
          </w:tcPr>
          <w:p w14:paraId="014167E4" w14:textId="33B89E53" w:rsidR="002C0E5B" w:rsidRDefault="002C0E5B" w:rsidP="00FA2B6F">
            <w:pPr>
              <w:spacing w:before="0" w:after="0"/>
            </w:pPr>
            <w:r>
              <w:t>NIST</w:t>
            </w:r>
          </w:p>
        </w:tc>
        <w:tc>
          <w:tcPr>
            <w:tcW w:w="6377" w:type="dxa"/>
          </w:tcPr>
          <w:p w14:paraId="453B42DC" w14:textId="7DC44119" w:rsidR="002C0E5B" w:rsidRDefault="002C0E5B" w:rsidP="00FA2B6F">
            <w:pPr>
              <w:spacing w:before="0" w:after="0"/>
            </w:pPr>
            <w:r w:rsidRPr="0050162C">
              <w:rPr>
                <w:rFonts w:cs="Calibri"/>
                <w:szCs w:val="18"/>
              </w:rPr>
              <w:t xml:space="preserve">National Institute of Standards and Technology </w:t>
            </w:r>
          </w:p>
        </w:tc>
      </w:tr>
      <w:tr w:rsidR="002C0E5B" w:rsidRPr="00857693" w14:paraId="4F0678EA" w14:textId="77777777" w:rsidTr="00036039">
        <w:trPr>
          <w:trHeight w:val="340"/>
        </w:trPr>
        <w:tc>
          <w:tcPr>
            <w:tcW w:w="1843" w:type="dxa"/>
          </w:tcPr>
          <w:p w14:paraId="220A29FC" w14:textId="0F19A894" w:rsidR="002C0E5B" w:rsidRDefault="002C0E5B" w:rsidP="00FA2B6F">
            <w:pPr>
              <w:spacing w:before="0" w:after="0"/>
            </w:pPr>
            <w:r>
              <w:t>NYISO</w:t>
            </w:r>
          </w:p>
        </w:tc>
        <w:tc>
          <w:tcPr>
            <w:tcW w:w="6377" w:type="dxa"/>
          </w:tcPr>
          <w:p w14:paraId="7AF974E5" w14:textId="4AE423B5" w:rsidR="002C0E5B" w:rsidRDefault="002C0E5B" w:rsidP="00FA2B6F">
            <w:pPr>
              <w:spacing w:before="0" w:after="0"/>
            </w:pPr>
            <w:r>
              <w:t>New York Independent System Operator</w:t>
            </w:r>
          </w:p>
        </w:tc>
      </w:tr>
      <w:tr w:rsidR="002C0E5B" w:rsidRPr="00857693" w14:paraId="62D2FBE2" w14:textId="77777777" w:rsidTr="00036039">
        <w:trPr>
          <w:trHeight w:val="340"/>
        </w:trPr>
        <w:tc>
          <w:tcPr>
            <w:tcW w:w="1843" w:type="dxa"/>
          </w:tcPr>
          <w:p w14:paraId="46598F6F" w14:textId="426FA80B" w:rsidR="002C0E5B" w:rsidRPr="00857693" w:rsidRDefault="002C0E5B" w:rsidP="00FA2B6F">
            <w:pPr>
              <w:spacing w:before="0" w:after="0"/>
            </w:pPr>
            <w:r>
              <w:t>OASIS</w:t>
            </w:r>
          </w:p>
        </w:tc>
        <w:tc>
          <w:tcPr>
            <w:tcW w:w="6377" w:type="dxa"/>
          </w:tcPr>
          <w:p w14:paraId="74E07AC6" w14:textId="05490213" w:rsidR="002C0E5B" w:rsidRPr="00857693" w:rsidRDefault="002C0E5B" w:rsidP="00FA2B6F">
            <w:pPr>
              <w:spacing w:before="0" w:after="0"/>
            </w:pPr>
            <w:r w:rsidRPr="00BD01A4">
              <w:t>Open Access Same-Time Information System</w:t>
            </w:r>
          </w:p>
        </w:tc>
      </w:tr>
      <w:tr w:rsidR="002C0E5B" w:rsidRPr="00857693" w14:paraId="3431C613" w14:textId="77777777" w:rsidTr="00036039">
        <w:trPr>
          <w:trHeight w:val="340"/>
        </w:trPr>
        <w:tc>
          <w:tcPr>
            <w:tcW w:w="1843" w:type="dxa"/>
          </w:tcPr>
          <w:p w14:paraId="5315F3FA" w14:textId="4B2773F5" w:rsidR="002C0E5B" w:rsidRDefault="002C0E5B" w:rsidP="00FA2B6F">
            <w:pPr>
              <w:spacing w:before="0" w:after="0"/>
            </w:pPr>
            <w:r w:rsidRPr="00857693">
              <w:t>OEM</w:t>
            </w:r>
          </w:p>
        </w:tc>
        <w:tc>
          <w:tcPr>
            <w:tcW w:w="6377" w:type="dxa"/>
          </w:tcPr>
          <w:p w14:paraId="0C3DA6B9" w14:textId="49CD2458" w:rsidR="002C0E5B" w:rsidRDefault="002C0E5B" w:rsidP="00FA2B6F">
            <w:pPr>
              <w:spacing w:before="0" w:after="0"/>
            </w:pPr>
            <w:r w:rsidRPr="00857693">
              <w:t>Original Equipment Manufacturer</w:t>
            </w:r>
          </w:p>
        </w:tc>
      </w:tr>
      <w:tr w:rsidR="002C0E5B" w:rsidRPr="00857693" w14:paraId="3C8B37EA" w14:textId="77777777" w:rsidTr="00036039">
        <w:trPr>
          <w:trHeight w:val="340"/>
        </w:trPr>
        <w:tc>
          <w:tcPr>
            <w:tcW w:w="1843" w:type="dxa"/>
          </w:tcPr>
          <w:p w14:paraId="74888996" w14:textId="113DAFA7" w:rsidR="002C0E5B" w:rsidRPr="00857693" w:rsidRDefault="002C0E5B" w:rsidP="00FA2B6F">
            <w:pPr>
              <w:spacing w:before="0" w:after="0"/>
            </w:pPr>
            <w:r>
              <w:t>OMS</w:t>
            </w:r>
          </w:p>
        </w:tc>
        <w:tc>
          <w:tcPr>
            <w:tcW w:w="6377" w:type="dxa"/>
          </w:tcPr>
          <w:p w14:paraId="351332A8" w14:textId="368E4FE8" w:rsidR="002C0E5B" w:rsidRPr="00857693" w:rsidRDefault="002C0E5B" w:rsidP="00FA2B6F">
            <w:pPr>
              <w:spacing w:before="0" w:after="0"/>
            </w:pPr>
            <w:r>
              <w:t>Outage Management System</w:t>
            </w:r>
          </w:p>
        </w:tc>
      </w:tr>
      <w:tr w:rsidR="002C0E5B" w:rsidRPr="00857693" w14:paraId="34E5DB04" w14:textId="77777777" w:rsidTr="00036039">
        <w:trPr>
          <w:trHeight w:val="340"/>
        </w:trPr>
        <w:tc>
          <w:tcPr>
            <w:tcW w:w="1843" w:type="dxa"/>
          </w:tcPr>
          <w:p w14:paraId="43ECE087" w14:textId="62E9AF0E" w:rsidR="002C0E5B" w:rsidRPr="00857693" w:rsidRDefault="002C0E5B" w:rsidP="00FA2B6F">
            <w:pPr>
              <w:spacing w:before="0" w:after="0"/>
            </w:pPr>
            <w:r>
              <w:t>OPEX</w:t>
            </w:r>
          </w:p>
        </w:tc>
        <w:tc>
          <w:tcPr>
            <w:tcW w:w="6377" w:type="dxa"/>
          </w:tcPr>
          <w:p w14:paraId="716E70AF" w14:textId="698517C4" w:rsidR="002C0E5B" w:rsidRPr="00857693" w:rsidRDefault="002C0E5B" w:rsidP="00FA2B6F">
            <w:pPr>
              <w:spacing w:before="0" w:after="0"/>
            </w:pPr>
            <w:r>
              <w:t>Operational Expenditure</w:t>
            </w:r>
          </w:p>
        </w:tc>
      </w:tr>
      <w:tr w:rsidR="002C0E5B" w:rsidRPr="00857693" w14:paraId="53266079" w14:textId="77777777" w:rsidTr="00036039">
        <w:trPr>
          <w:trHeight w:val="340"/>
        </w:trPr>
        <w:tc>
          <w:tcPr>
            <w:tcW w:w="1843" w:type="dxa"/>
          </w:tcPr>
          <w:p w14:paraId="71100297" w14:textId="055D58C1" w:rsidR="002C0E5B" w:rsidRPr="00857693" w:rsidRDefault="002C0E5B" w:rsidP="00FA2B6F">
            <w:pPr>
              <w:spacing w:before="0" w:after="0"/>
            </w:pPr>
            <w:r>
              <w:t>OR</w:t>
            </w:r>
          </w:p>
        </w:tc>
        <w:tc>
          <w:tcPr>
            <w:tcW w:w="6377" w:type="dxa"/>
          </w:tcPr>
          <w:p w14:paraId="0E404867" w14:textId="6F074E8F" w:rsidR="002C0E5B" w:rsidRPr="00857693" w:rsidRDefault="002C0E5B" w:rsidP="00FA2B6F">
            <w:pPr>
              <w:spacing w:before="0" w:after="0"/>
            </w:pPr>
            <w:r>
              <w:t>Operating Reserve</w:t>
            </w:r>
          </w:p>
        </w:tc>
      </w:tr>
      <w:tr w:rsidR="00BC283C" w:rsidRPr="00857693" w14:paraId="0D08D47A" w14:textId="77777777" w:rsidTr="00036039">
        <w:trPr>
          <w:trHeight w:val="340"/>
        </w:trPr>
        <w:tc>
          <w:tcPr>
            <w:tcW w:w="1843" w:type="dxa"/>
          </w:tcPr>
          <w:p w14:paraId="024FDF9F" w14:textId="2EA5AE62" w:rsidR="00BC283C" w:rsidRPr="00857693" w:rsidRDefault="00BC283C" w:rsidP="00FA2B6F">
            <w:pPr>
              <w:spacing w:before="0" w:after="0"/>
            </w:pPr>
            <w:r w:rsidRPr="00857693">
              <w:t>PV</w:t>
            </w:r>
          </w:p>
        </w:tc>
        <w:tc>
          <w:tcPr>
            <w:tcW w:w="6377" w:type="dxa"/>
          </w:tcPr>
          <w:p w14:paraId="4D428C2F" w14:textId="49825774" w:rsidR="00BC283C" w:rsidRPr="00857693" w:rsidRDefault="00BC283C" w:rsidP="00FA2B6F">
            <w:pPr>
              <w:spacing w:before="0" w:after="0"/>
            </w:pPr>
            <w:r w:rsidRPr="00857693">
              <w:t>Photovoltaic</w:t>
            </w:r>
          </w:p>
        </w:tc>
      </w:tr>
      <w:tr w:rsidR="00BC283C" w:rsidRPr="00857693" w14:paraId="022C9188" w14:textId="77777777" w:rsidTr="00036039">
        <w:trPr>
          <w:trHeight w:val="340"/>
        </w:trPr>
        <w:tc>
          <w:tcPr>
            <w:tcW w:w="1843" w:type="dxa"/>
          </w:tcPr>
          <w:p w14:paraId="26CBF7EE" w14:textId="4C41EFB3" w:rsidR="00BC283C" w:rsidRDefault="00BC283C" w:rsidP="00FA2B6F">
            <w:pPr>
              <w:spacing w:before="0" w:after="0"/>
            </w:pPr>
            <w:r>
              <w:t>REST</w:t>
            </w:r>
          </w:p>
        </w:tc>
        <w:tc>
          <w:tcPr>
            <w:tcW w:w="6377" w:type="dxa"/>
          </w:tcPr>
          <w:p w14:paraId="79F3345B" w14:textId="3C5CA20B" w:rsidR="00BC283C" w:rsidRDefault="00BC283C" w:rsidP="00FA2B6F">
            <w:pPr>
              <w:spacing w:before="0" w:after="0"/>
            </w:pPr>
            <w:r>
              <w:t>Representational State Transfer</w:t>
            </w:r>
          </w:p>
        </w:tc>
      </w:tr>
      <w:tr w:rsidR="00BC283C" w:rsidRPr="00857693" w14:paraId="0EC83AB0" w14:textId="77777777" w:rsidTr="00036039">
        <w:trPr>
          <w:trHeight w:val="340"/>
        </w:trPr>
        <w:tc>
          <w:tcPr>
            <w:tcW w:w="1843" w:type="dxa"/>
          </w:tcPr>
          <w:p w14:paraId="02D7B54C" w14:textId="3AA08F6F" w:rsidR="00BC283C" w:rsidRDefault="00BC283C" w:rsidP="00FA2B6F">
            <w:pPr>
              <w:spacing w:before="0" w:after="0"/>
            </w:pPr>
            <w:r>
              <w:t>RSS</w:t>
            </w:r>
          </w:p>
        </w:tc>
        <w:tc>
          <w:tcPr>
            <w:tcW w:w="6377" w:type="dxa"/>
          </w:tcPr>
          <w:p w14:paraId="2852E281" w14:textId="187568B1" w:rsidR="00BC283C" w:rsidRDefault="00BC283C" w:rsidP="00FA2B6F">
            <w:pPr>
              <w:spacing w:before="0" w:after="0"/>
            </w:pPr>
            <w:r>
              <w:t>Real Simple Syndication</w:t>
            </w:r>
          </w:p>
        </w:tc>
      </w:tr>
      <w:tr w:rsidR="00BC283C" w:rsidRPr="00857693" w14:paraId="0F9EB856" w14:textId="77777777" w:rsidTr="00036039">
        <w:trPr>
          <w:trHeight w:val="340"/>
        </w:trPr>
        <w:tc>
          <w:tcPr>
            <w:tcW w:w="1843" w:type="dxa"/>
          </w:tcPr>
          <w:p w14:paraId="32803D3E" w14:textId="44AEC2C7" w:rsidR="00BC283C" w:rsidRDefault="00BC283C" w:rsidP="00FA2B6F">
            <w:pPr>
              <w:spacing w:before="0" w:after="0"/>
            </w:pPr>
            <w:r>
              <w:t>RT</w:t>
            </w:r>
          </w:p>
        </w:tc>
        <w:tc>
          <w:tcPr>
            <w:tcW w:w="6377" w:type="dxa"/>
          </w:tcPr>
          <w:p w14:paraId="7CBA3C0D" w14:textId="7C9F59A5" w:rsidR="00BC283C" w:rsidRDefault="00BC283C" w:rsidP="00FA2B6F">
            <w:pPr>
              <w:spacing w:before="0" w:after="0"/>
            </w:pPr>
            <w:r>
              <w:t>Real-Time</w:t>
            </w:r>
          </w:p>
        </w:tc>
      </w:tr>
      <w:tr w:rsidR="00BC283C" w:rsidRPr="00857693" w14:paraId="6ED1F646" w14:textId="77777777" w:rsidTr="00036039">
        <w:trPr>
          <w:trHeight w:val="340"/>
        </w:trPr>
        <w:tc>
          <w:tcPr>
            <w:tcW w:w="1843" w:type="dxa"/>
          </w:tcPr>
          <w:p w14:paraId="57126739" w14:textId="75C1D55C" w:rsidR="00BC283C" w:rsidRPr="00857693" w:rsidRDefault="00BC283C" w:rsidP="00FA2B6F">
            <w:pPr>
              <w:spacing w:before="0" w:after="0"/>
            </w:pPr>
            <w:r>
              <w:t>RTO</w:t>
            </w:r>
          </w:p>
        </w:tc>
        <w:tc>
          <w:tcPr>
            <w:tcW w:w="6377" w:type="dxa"/>
          </w:tcPr>
          <w:p w14:paraId="780EE772" w14:textId="65165140" w:rsidR="00BC283C" w:rsidRPr="00857693" w:rsidRDefault="00BC283C" w:rsidP="00FA2B6F">
            <w:pPr>
              <w:spacing w:before="0" w:after="0"/>
            </w:pPr>
            <w:r>
              <w:t>Regional Transmission Organisation (US)</w:t>
            </w:r>
          </w:p>
        </w:tc>
      </w:tr>
      <w:tr w:rsidR="00BC283C" w:rsidRPr="00857693" w14:paraId="2222BC78" w14:textId="77777777" w:rsidTr="00036039">
        <w:trPr>
          <w:trHeight w:val="340"/>
        </w:trPr>
        <w:tc>
          <w:tcPr>
            <w:tcW w:w="1843" w:type="dxa"/>
          </w:tcPr>
          <w:p w14:paraId="07E1D0FF" w14:textId="12355D28" w:rsidR="00BC283C" w:rsidRPr="00857693" w:rsidRDefault="00BC283C" w:rsidP="00FA2B6F">
            <w:pPr>
              <w:spacing w:before="0" w:after="0"/>
            </w:pPr>
            <w:r>
              <w:t>RTU</w:t>
            </w:r>
          </w:p>
        </w:tc>
        <w:tc>
          <w:tcPr>
            <w:tcW w:w="6377" w:type="dxa"/>
          </w:tcPr>
          <w:p w14:paraId="7D1B79F6" w14:textId="4A2C4069" w:rsidR="00BC283C" w:rsidRPr="00857693" w:rsidRDefault="00BC283C" w:rsidP="00FA2B6F">
            <w:pPr>
              <w:spacing w:before="0" w:after="0"/>
            </w:pPr>
            <w:r>
              <w:t>Remote Terminal Unit</w:t>
            </w:r>
          </w:p>
        </w:tc>
      </w:tr>
      <w:tr w:rsidR="00BC283C" w:rsidRPr="00857693" w14:paraId="4EC2FCA3" w14:textId="77777777" w:rsidTr="00036039">
        <w:trPr>
          <w:trHeight w:val="340"/>
        </w:trPr>
        <w:tc>
          <w:tcPr>
            <w:tcW w:w="1843" w:type="dxa"/>
          </w:tcPr>
          <w:p w14:paraId="29A502DD" w14:textId="596C24D5" w:rsidR="00BC283C" w:rsidRDefault="00BC283C" w:rsidP="00FA2B6F">
            <w:pPr>
              <w:spacing w:before="0" w:after="0"/>
            </w:pPr>
            <w:r w:rsidRPr="00857693">
              <w:t>SCADA</w:t>
            </w:r>
          </w:p>
        </w:tc>
        <w:tc>
          <w:tcPr>
            <w:tcW w:w="6377" w:type="dxa"/>
          </w:tcPr>
          <w:p w14:paraId="3A6BA5C3" w14:textId="08CDE29D" w:rsidR="00BC283C" w:rsidRDefault="00BC283C" w:rsidP="00FA2B6F">
            <w:pPr>
              <w:spacing w:before="0" w:after="0"/>
            </w:pPr>
            <w:r w:rsidRPr="00857693">
              <w:t>Supervisory Control and Data Acquisition</w:t>
            </w:r>
          </w:p>
        </w:tc>
      </w:tr>
      <w:tr w:rsidR="00BC283C" w:rsidRPr="00857693" w14:paraId="3540CAF1" w14:textId="77777777" w:rsidTr="00036039">
        <w:trPr>
          <w:trHeight w:val="340"/>
        </w:trPr>
        <w:tc>
          <w:tcPr>
            <w:tcW w:w="1843" w:type="dxa"/>
          </w:tcPr>
          <w:p w14:paraId="2962C80B" w14:textId="5F6E96DF" w:rsidR="00BC283C" w:rsidRDefault="00BC283C" w:rsidP="00FA2B6F">
            <w:pPr>
              <w:spacing w:before="0" w:after="0"/>
            </w:pPr>
            <w:r>
              <w:t>SLD</w:t>
            </w:r>
          </w:p>
        </w:tc>
        <w:tc>
          <w:tcPr>
            <w:tcW w:w="6377" w:type="dxa"/>
          </w:tcPr>
          <w:p w14:paraId="4DA104C5" w14:textId="597A2AC4" w:rsidR="00BC283C" w:rsidRDefault="00BC283C" w:rsidP="00FA2B6F">
            <w:pPr>
              <w:spacing w:before="0" w:after="0"/>
            </w:pPr>
            <w:r>
              <w:t>Single Line Diagram</w:t>
            </w:r>
          </w:p>
        </w:tc>
      </w:tr>
      <w:tr w:rsidR="00BC283C" w:rsidRPr="00857693" w14:paraId="2FA335B8" w14:textId="77777777" w:rsidTr="00036039">
        <w:trPr>
          <w:trHeight w:val="340"/>
        </w:trPr>
        <w:tc>
          <w:tcPr>
            <w:tcW w:w="1843" w:type="dxa"/>
          </w:tcPr>
          <w:p w14:paraId="11B63D12" w14:textId="07D62F01" w:rsidR="00BC283C" w:rsidRDefault="00BC283C" w:rsidP="00FA2B6F">
            <w:pPr>
              <w:spacing w:before="0" w:after="0"/>
            </w:pPr>
            <w:r>
              <w:t>SMS</w:t>
            </w:r>
          </w:p>
        </w:tc>
        <w:tc>
          <w:tcPr>
            <w:tcW w:w="6377" w:type="dxa"/>
          </w:tcPr>
          <w:p w14:paraId="175193E3" w14:textId="31D18FEC" w:rsidR="00BC283C" w:rsidRDefault="00BC283C" w:rsidP="00FA2B6F">
            <w:pPr>
              <w:spacing w:before="0" w:after="0"/>
            </w:pPr>
            <w:r>
              <w:t>Short Message Service</w:t>
            </w:r>
          </w:p>
        </w:tc>
      </w:tr>
      <w:tr w:rsidR="00BC283C" w:rsidRPr="00857693" w14:paraId="6BCB5BF2" w14:textId="77777777" w:rsidTr="00036039">
        <w:trPr>
          <w:trHeight w:val="340"/>
        </w:trPr>
        <w:tc>
          <w:tcPr>
            <w:tcW w:w="1843" w:type="dxa"/>
          </w:tcPr>
          <w:p w14:paraId="2350ADE9" w14:textId="27F8C612" w:rsidR="00BC283C" w:rsidRDefault="00BC283C" w:rsidP="00FA2B6F">
            <w:pPr>
              <w:spacing w:before="0" w:after="0"/>
            </w:pPr>
            <w:r w:rsidRPr="00857693">
              <w:t>SO</w:t>
            </w:r>
          </w:p>
        </w:tc>
        <w:tc>
          <w:tcPr>
            <w:tcW w:w="6377" w:type="dxa"/>
          </w:tcPr>
          <w:p w14:paraId="692C83DB" w14:textId="7FFA473C" w:rsidR="00BC283C" w:rsidRDefault="00BC283C" w:rsidP="00FA2B6F">
            <w:pPr>
              <w:spacing w:before="0" w:after="0"/>
            </w:pPr>
            <w:r w:rsidRPr="00857693">
              <w:t>System Operator</w:t>
            </w:r>
          </w:p>
        </w:tc>
      </w:tr>
      <w:tr w:rsidR="00BC283C" w:rsidRPr="00857693" w14:paraId="23C0ECAF" w14:textId="77777777" w:rsidTr="00036039">
        <w:trPr>
          <w:trHeight w:val="340"/>
        </w:trPr>
        <w:tc>
          <w:tcPr>
            <w:tcW w:w="1843" w:type="dxa"/>
          </w:tcPr>
          <w:p w14:paraId="739348A0" w14:textId="6D6C1C32" w:rsidR="00BC283C" w:rsidRPr="00857693" w:rsidRDefault="00BC283C" w:rsidP="00FA2B6F">
            <w:pPr>
              <w:spacing w:before="0" w:after="0"/>
            </w:pPr>
            <w:r>
              <w:t>TASE.2</w:t>
            </w:r>
          </w:p>
        </w:tc>
        <w:tc>
          <w:tcPr>
            <w:tcW w:w="6377" w:type="dxa"/>
          </w:tcPr>
          <w:p w14:paraId="745609BF" w14:textId="175671EF" w:rsidR="00BC283C" w:rsidRPr="00857693" w:rsidRDefault="00BC283C" w:rsidP="00FA2B6F">
            <w:pPr>
              <w:spacing w:before="0" w:after="0"/>
            </w:pPr>
            <w:r w:rsidRPr="00A239B9">
              <w:t>Telecontrol Application Service Element 2</w:t>
            </w:r>
          </w:p>
        </w:tc>
      </w:tr>
      <w:tr w:rsidR="00BC283C" w:rsidRPr="00857693" w14:paraId="0A74EA58" w14:textId="77777777" w:rsidTr="00036039">
        <w:trPr>
          <w:trHeight w:val="340"/>
        </w:trPr>
        <w:tc>
          <w:tcPr>
            <w:tcW w:w="1843" w:type="dxa"/>
          </w:tcPr>
          <w:p w14:paraId="3B44B8A3" w14:textId="25BE0491" w:rsidR="00BC283C" w:rsidRPr="00857693" w:rsidRDefault="00BC283C" w:rsidP="00FA2B6F">
            <w:pPr>
              <w:spacing w:before="0" w:after="0"/>
            </w:pPr>
            <w:r>
              <w:t>TCP</w:t>
            </w:r>
          </w:p>
        </w:tc>
        <w:tc>
          <w:tcPr>
            <w:tcW w:w="6377" w:type="dxa"/>
          </w:tcPr>
          <w:p w14:paraId="566C0E7E" w14:textId="7A27A2AC" w:rsidR="00BC283C" w:rsidRPr="00857693" w:rsidRDefault="00BC283C" w:rsidP="00FA2B6F">
            <w:pPr>
              <w:spacing w:before="0" w:after="0"/>
            </w:pPr>
            <w:r>
              <w:t>Transmission Control Protocol</w:t>
            </w:r>
          </w:p>
        </w:tc>
      </w:tr>
      <w:tr w:rsidR="00BC283C" w:rsidRPr="00857693" w14:paraId="2EFE5E95" w14:textId="77777777" w:rsidTr="00036039">
        <w:trPr>
          <w:trHeight w:val="340"/>
        </w:trPr>
        <w:tc>
          <w:tcPr>
            <w:tcW w:w="1843" w:type="dxa"/>
          </w:tcPr>
          <w:p w14:paraId="424EDB08" w14:textId="4378F056" w:rsidR="00BC283C" w:rsidRPr="00857693" w:rsidRDefault="00BC283C" w:rsidP="00FA2B6F">
            <w:pPr>
              <w:spacing w:before="0" w:after="0"/>
            </w:pPr>
            <w:r w:rsidRPr="00857693">
              <w:t>TDC</w:t>
            </w:r>
          </w:p>
        </w:tc>
        <w:tc>
          <w:tcPr>
            <w:tcW w:w="6377" w:type="dxa"/>
          </w:tcPr>
          <w:p w14:paraId="66358A0F" w14:textId="1996250D" w:rsidR="00BC283C" w:rsidRPr="00857693" w:rsidRDefault="00BC283C" w:rsidP="00FA2B6F">
            <w:pPr>
              <w:spacing w:before="0" w:after="0"/>
            </w:pPr>
            <w:r w:rsidRPr="00857693">
              <w:t>Transmission – Distribution Coordination</w:t>
            </w:r>
          </w:p>
        </w:tc>
      </w:tr>
      <w:tr w:rsidR="00BC283C" w:rsidRPr="00857693" w14:paraId="46DBC38C" w14:textId="77777777" w:rsidTr="00036039">
        <w:trPr>
          <w:trHeight w:val="340"/>
        </w:trPr>
        <w:tc>
          <w:tcPr>
            <w:tcW w:w="1843" w:type="dxa"/>
          </w:tcPr>
          <w:p w14:paraId="6F7F3AA4" w14:textId="2AF086A7" w:rsidR="00BC283C" w:rsidRPr="00857693" w:rsidRDefault="00BC283C" w:rsidP="00FA2B6F">
            <w:pPr>
              <w:spacing w:before="0" w:after="0"/>
            </w:pPr>
            <w:r w:rsidRPr="00857693">
              <w:t>TDI</w:t>
            </w:r>
          </w:p>
        </w:tc>
        <w:tc>
          <w:tcPr>
            <w:tcW w:w="6377" w:type="dxa"/>
          </w:tcPr>
          <w:p w14:paraId="7EF98E79" w14:textId="58E19A4E" w:rsidR="00BC283C" w:rsidRPr="00857693" w:rsidRDefault="00BC283C" w:rsidP="00FA2B6F">
            <w:pPr>
              <w:spacing w:before="0" w:after="0"/>
            </w:pPr>
            <w:r w:rsidRPr="00857693">
              <w:t>Transmission - Distribution Interface</w:t>
            </w:r>
          </w:p>
        </w:tc>
      </w:tr>
      <w:tr w:rsidR="00BC283C" w:rsidRPr="00857693" w14:paraId="79B8E542" w14:textId="77777777" w:rsidTr="00036039">
        <w:trPr>
          <w:trHeight w:val="340"/>
        </w:trPr>
        <w:tc>
          <w:tcPr>
            <w:tcW w:w="1843" w:type="dxa"/>
          </w:tcPr>
          <w:p w14:paraId="77E9BAFB" w14:textId="57C8DF70" w:rsidR="00BC283C" w:rsidRPr="00857693" w:rsidRDefault="00BC283C" w:rsidP="00FA2B6F">
            <w:pPr>
              <w:spacing w:before="0" w:after="0"/>
            </w:pPr>
            <w:r>
              <w:t>TDWG</w:t>
            </w:r>
          </w:p>
        </w:tc>
        <w:tc>
          <w:tcPr>
            <w:tcW w:w="6377" w:type="dxa"/>
          </w:tcPr>
          <w:p w14:paraId="5CB72951" w14:textId="76B80D4A" w:rsidR="00BC283C" w:rsidRPr="00857693" w:rsidRDefault="00BC283C" w:rsidP="00FA2B6F">
            <w:pPr>
              <w:spacing w:before="0" w:after="0"/>
            </w:pPr>
            <w:r>
              <w:t>Transmission-Distribution-Coordination Working Group (CAN)</w:t>
            </w:r>
          </w:p>
        </w:tc>
      </w:tr>
      <w:tr w:rsidR="00BC283C" w:rsidRPr="00857693" w14:paraId="598D0EC7" w14:textId="77777777" w:rsidTr="00036039">
        <w:trPr>
          <w:trHeight w:val="340"/>
        </w:trPr>
        <w:tc>
          <w:tcPr>
            <w:tcW w:w="1843" w:type="dxa"/>
          </w:tcPr>
          <w:p w14:paraId="45401734" w14:textId="4D92B8FD" w:rsidR="00BC283C" w:rsidRPr="00857693" w:rsidRDefault="00BC283C" w:rsidP="00FA2B6F">
            <w:pPr>
              <w:spacing w:before="0" w:after="0"/>
            </w:pPr>
            <w:r w:rsidRPr="00857693">
              <w:t>TNSP</w:t>
            </w:r>
          </w:p>
        </w:tc>
        <w:tc>
          <w:tcPr>
            <w:tcW w:w="6377" w:type="dxa"/>
          </w:tcPr>
          <w:p w14:paraId="46C6F40A" w14:textId="0771881B" w:rsidR="00BC283C" w:rsidRPr="00857693" w:rsidRDefault="00BC283C" w:rsidP="00FA2B6F">
            <w:pPr>
              <w:spacing w:before="0" w:after="0"/>
            </w:pPr>
            <w:r w:rsidRPr="00857693">
              <w:t>Transmission Network Service Provider</w:t>
            </w:r>
          </w:p>
        </w:tc>
      </w:tr>
      <w:tr w:rsidR="00BC283C" w:rsidRPr="00857693" w14:paraId="4C8C15CD" w14:textId="77777777" w:rsidTr="00036039">
        <w:trPr>
          <w:trHeight w:val="340"/>
        </w:trPr>
        <w:tc>
          <w:tcPr>
            <w:tcW w:w="1843" w:type="dxa"/>
          </w:tcPr>
          <w:p w14:paraId="137CDEC2" w14:textId="104933B8" w:rsidR="00BC283C" w:rsidRDefault="00BC283C" w:rsidP="00FA2B6F">
            <w:pPr>
              <w:spacing w:before="0" w:after="0"/>
            </w:pPr>
            <w:r>
              <w:t>UML</w:t>
            </w:r>
          </w:p>
        </w:tc>
        <w:tc>
          <w:tcPr>
            <w:tcW w:w="6377" w:type="dxa"/>
          </w:tcPr>
          <w:p w14:paraId="387A729F" w14:textId="533EBFF8" w:rsidR="00BC283C" w:rsidRDefault="00BC283C" w:rsidP="00FA2B6F">
            <w:pPr>
              <w:spacing w:before="0" w:after="0"/>
            </w:pPr>
            <w:r>
              <w:t>Unified Modelling Language</w:t>
            </w:r>
          </w:p>
        </w:tc>
      </w:tr>
      <w:tr w:rsidR="00BC283C" w:rsidRPr="00857693" w14:paraId="24207CBE" w14:textId="77777777" w:rsidTr="00036039">
        <w:trPr>
          <w:trHeight w:val="340"/>
        </w:trPr>
        <w:tc>
          <w:tcPr>
            <w:tcW w:w="1843" w:type="dxa"/>
          </w:tcPr>
          <w:p w14:paraId="352D43B9" w14:textId="1C3C6C28" w:rsidR="00BC283C" w:rsidRPr="00857693" w:rsidRDefault="00BC283C" w:rsidP="00FA2B6F">
            <w:pPr>
              <w:spacing w:before="0" w:after="0"/>
            </w:pPr>
            <w:r>
              <w:t>UUID</w:t>
            </w:r>
          </w:p>
        </w:tc>
        <w:tc>
          <w:tcPr>
            <w:tcW w:w="6377" w:type="dxa"/>
          </w:tcPr>
          <w:p w14:paraId="248BD96A" w14:textId="170DFF40" w:rsidR="00BC283C" w:rsidRPr="00857693" w:rsidRDefault="00BC283C" w:rsidP="00FA2B6F">
            <w:pPr>
              <w:spacing w:before="0" w:after="0"/>
            </w:pPr>
            <w:r w:rsidRPr="00ED517F">
              <w:t>Universally Unique Identifier</w:t>
            </w:r>
          </w:p>
        </w:tc>
      </w:tr>
      <w:tr w:rsidR="00BC283C" w:rsidRPr="00857693" w14:paraId="69BE7293" w14:textId="77777777" w:rsidTr="00036039">
        <w:trPr>
          <w:trHeight w:val="340"/>
        </w:trPr>
        <w:tc>
          <w:tcPr>
            <w:tcW w:w="1843" w:type="dxa"/>
          </w:tcPr>
          <w:p w14:paraId="0D5E5892" w14:textId="708F34F9" w:rsidR="00BC283C" w:rsidRPr="00857693" w:rsidRDefault="00BC283C" w:rsidP="00FA2B6F">
            <w:pPr>
              <w:spacing w:before="0" w:after="0"/>
            </w:pPr>
            <w:r>
              <w:t>VA</w:t>
            </w:r>
          </w:p>
        </w:tc>
        <w:tc>
          <w:tcPr>
            <w:tcW w:w="6377" w:type="dxa"/>
          </w:tcPr>
          <w:p w14:paraId="7778A0D1" w14:textId="59942F8D" w:rsidR="00BC283C" w:rsidRPr="00857693" w:rsidRDefault="00BC283C" w:rsidP="00FA2B6F">
            <w:pPr>
              <w:spacing w:before="0" w:after="0"/>
            </w:pPr>
            <w:r>
              <w:t>Volt-ampere</w:t>
            </w:r>
          </w:p>
        </w:tc>
      </w:tr>
      <w:tr w:rsidR="00BC283C" w:rsidRPr="00857693" w14:paraId="4F52895A" w14:textId="77777777" w:rsidTr="00036039">
        <w:trPr>
          <w:trHeight w:val="340"/>
        </w:trPr>
        <w:tc>
          <w:tcPr>
            <w:tcW w:w="1843" w:type="dxa"/>
          </w:tcPr>
          <w:p w14:paraId="4A3E6CF5" w14:textId="523EC4BF" w:rsidR="00BC283C" w:rsidRDefault="00BC283C" w:rsidP="00FA2B6F">
            <w:pPr>
              <w:spacing w:before="0" w:after="0"/>
            </w:pPr>
            <w:r w:rsidRPr="00857693">
              <w:lastRenderedPageBreak/>
              <w:t>VPP</w:t>
            </w:r>
          </w:p>
        </w:tc>
        <w:tc>
          <w:tcPr>
            <w:tcW w:w="6377" w:type="dxa"/>
          </w:tcPr>
          <w:p w14:paraId="57E6E0FF" w14:textId="47F5B1C9" w:rsidR="00BC283C" w:rsidRDefault="00BC283C" w:rsidP="00FA2B6F">
            <w:pPr>
              <w:spacing w:before="0" w:after="0"/>
            </w:pPr>
            <w:r w:rsidRPr="00857693">
              <w:t>Virtual Power Plant</w:t>
            </w:r>
          </w:p>
        </w:tc>
      </w:tr>
      <w:tr w:rsidR="00BC283C" w:rsidRPr="00857693" w14:paraId="7E2EC14C" w14:textId="77777777" w:rsidTr="00036039">
        <w:trPr>
          <w:trHeight w:val="340"/>
        </w:trPr>
        <w:tc>
          <w:tcPr>
            <w:tcW w:w="1843" w:type="dxa"/>
          </w:tcPr>
          <w:p w14:paraId="2C6C1F0F" w14:textId="4B8E0D58" w:rsidR="00BC283C" w:rsidRPr="00857693" w:rsidRDefault="00BC283C" w:rsidP="00FA2B6F">
            <w:pPr>
              <w:spacing w:before="0" w:after="0"/>
            </w:pPr>
            <w:r w:rsidRPr="00857693">
              <w:t>VRE</w:t>
            </w:r>
          </w:p>
        </w:tc>
        <w:tc>
          <w:tcPr>
            <w:tcW w:w="6377" w:type="dxa"/>
          </w:tcPr>
          <w:p w14:paraId="4AF0425D" w14:textId="39570B7F" w:rsidR="00BC283C" w:rsidRPr="00857693" w:rsidRDefault="00BC283C" w:rsidP="00FA2B6F">
            <w:pPr>
              <w:spacing w:before="0" w:after="0"/>
            </w:pPr>
            <w:r w:rsidRPr="00857693">
              <w:t>Variable Renewable Energy</w:t>
            </w:r>
          </w:p>
        </w:tc>
      </w:tr>
      <w:tr w:rsidR="00BC283C" w:rsidRPr="00857693" w14:paraId="2C913750" w14:textId="77777777" w:rsidTr="00036039">
        <w:trPr>
          <w:trHeight w:val="340"/>
        </w:trPr>
        <w:tc>
          <w:tcPr>
            <w:tcW w:w="1843" w:type="dxa"/>
          </w:tcPr>
          <w:p w14:paraId="62BA86CE" w14:textId="2E504C3E" w:rsidR="00BC283C" w:rsidRPr="00857693" w:rsidRDefault="00BC283C" w:rsidP="00FA2B6F">
            <w:pPr>
              <w:spacing w:before="0" w:after="0"/>
            </w:pPr>
            <w:r>
              <w:t>XML</w:t>
            </w:r>
          </w:p>
        </w:tc>
        <w:tc>
          <w:tcPr>
            <w:tcW w:w="6377" w:type="dxa"/>
          </w:tcPr>
          <w:p w14:paraId="28D272F7" w14:textId="153DDA9B" w:rsidR="00BC283C" w:rsidRPr="00857693" w:rsidRDefault="00BC283C" w:rsidP="00FA2B6F">
            <w:pPr>
              <w:spacing w:before="0" w:after="0"/>
            </w:pPr>
            <w:r w:rsidRPr="00C07B07">
              <w:t>eXtensible Markup Language</w:t>
            </w:r>
          </w:p>
        </w:tc>
      </w:tr>
      <w:bookmarkEnd w:id="4"/>
    </w:tbl>
    <w:p w14:paraId="7180B7C7" w14:textId="77777777" w:rsidR="00395ECD" w:rsidRPr="00395ECD" w:rsidRDefault="00395ECD" w:rsidP="00CD1296"/>
    <w:p w14:paraId="465978E7" w14:textId="77777777" w:rsidR="00835F0E" w:rsidRDefault="00835F0E">
      <w:pPr>
        <w:spacing w:before="0" w:after="160" w:line="259" w:lineRule="auto"/>
        <w:rPr>
          <w:rFonts w:ascii="PP Mori SemiBold" w:eastAsiaTheme="majorEastAsia" w:hAnsi="PP Mori SemiBold" w:cstheme="majorBidi"/>
          <w:color w:val="013C4C" w:themeColor="text1"/>
          <w:sz w:val="32"/>
          <w:szCs w:val="40"/>
        </w:rPr>
      </w:pPr>
      <w:r>
        <w:br w:type="page"/>
      </w:r>
    </w:p>
    <w:p w14:paraId="343546E4" w14:textId="18B52471" w:rsidR="005560E0" w:rsidRPr="00887A8E" w:rsidRDefault="005560E0" w:rsidP="00AA3722">
      <w:pPr>
        <w:pStyle w:val="Heading1"/>
        <w:ind w:left="709" w:hanging="709"/>
      </w:pPr>
      <w:bookmarkStart w:id="5" w:name="_Toc191547141"/>
      <w:bookmarkStart w:id="6" w:name="_Toc205532822"/>
      <w:bookmarkStart w:id="7" w:name="S_1"/>
      <w:bookmarkEnd w:id="1"/>
      <w:r w:rsidRPr="00887A8E">
        <w:lastRenderedPageBreak/>
        <w:t>Report Purpose</w:t>
      </w:r>
      <w:bookmarkEnd w:id="5"/>
      <w:r w:rsidR="009553F8" w:rsidRPr="00887A8E">
        <w:t>, Context &amp; Rationale</w:t>
      </w:r>
      <w:bookmarkEnd w:id="6"/>
    </w:p>
    <w:p w14:paraId="20787FB4" w14:textId="73880617" w:rsidR="009553F8" w:rsidRPr="00887A8E" w:rsidRDefault="009553F8" w:rsidP="00AA3722">
      <w:pPr>
        <w:pStyle w:val="Heading2"/>
        <w:ind w:left="709" w:hanging="709"/>
      </w:pPr>
      <w:bookmarkStart w:id="8" w:name="_Toc205532823"/>
      <w:bookmarkEnd w:id="7"/>
      <w:r w:rsidRPr="00887A8E">
        <w:t>Purpose</w:t>
      </w:r>
      <w:bookmarkEnd w:id="8"/>
    </w:p>
    <w:p w14:paraId="51CD2225" w14:textId="77777777" w:rsidR="001E2B80" w:rsidRPr="001E2B80" w:rsidRDefault="001E2B80" w:rsidP="001E2B80">
      <w:pPr>
        <w:snapToGrid w:val="0"/>
        <w:spacing w:before="120" w:after="120"/>
        <w:rPr>
          <w:rFonts w:eastAsia="DengXian"/>
          <w:kern w:val="24"/>
          <w:szCs w:val="18"/>
          <w:lang w:eastAsia="en-AU"/>
        </w:rPr>
      </w:pPr>
      <w:r w:rsidRPr="001E2B80">
        <w:rPr>
          <w:rFonts w:eastAsia="DengXian"/>
          <w:kern w:val="24"/>
          <w:szCs w:val="18"/>
          <w:lang w:eastAsia="en-AU"/>
        </w:rPr>
        <w:t xml:space="preserve">Australia’s large scale power systems are transforming from a past involving hundreds of large generation plant to a future involving tens of millions of diverse energy resources connected across all vertical tiers/layers of the grid. </w:t>
      </w:r>
    </w:p>
    <w:p w14:paraId="0CB25046" w14:textId="5FF79F71" w:rsidR="00E249A4" w:rsidRDefault="001E2B80" w:rsidP="007D7300">
      <w:pPr>
        <w:snapToGrid w:val="0"/>
        <w:spacing w:before="120" w:after="120"/>
        <w:rPr>
          <w:rFonts w:eastAsia="DengXian"/>
          <w:kern w:val="24"/>
          <w:szCs w:val="18"/>
          <w:lang w:eastAsia="en-AU"/>
        </w:rPr>
      </w:pPr>
      <w:r w:rsidRPr="001E2B80">
        <w:rPr>
          <w:rFonts w:eastAsia="DengXian"/>
          <w:kern w:val="24"/>
          <w:szCs w:val="18"/>
          <w:lang w:eastAsia="en-AU"/>
        </w:rPr>
        <w:t xml:space="preserve">With the convergence of multiple drivers of change, Australia’s power sector now finds itself on the global frontier of large-scale grid transformation. This involves navigating physics-based phenomena never previously experienced in a continental-scale grid as the nation’s power systems become increasingly volatile and bidirectional. </w:t>
      </w:r>
    </w:p>
    <w:p w14:paraId="42800DC9" w14:textId="2AA3644A" w:rsidR="000F1DA2" w:rsidRDefault="00B17C80" w:rsidP="007D7300">
      <w:pPr>
        <w:snapToGrid w:val="0"/>
        <w:spacing w:before="120" w:after="120"/>
        <w:rPr>
          <w:rFonts w:eastAsia="DengXian"/>
          <w:kern w:val="24"/>
          <w:szCs w:val="18"/>
          <w:lang w:eastAsia="en-AU"/>
        </w:rPr>
      </w:pPr>
      <w:r>
        <w:rPr>
          <w:rFonts w:eastAsia="DengXian"/>
          <w:kern w:val="24"/>
          <w:szCs w:val="18"/>
          <w:lang w:eastAsia="en-AU"/>
        </w:rPr>
        <w:t xml:space="preserve">Historically, </w:t>
      </w:r>
      <w:r w:rsidR="00814074">
        <w:rPr>
          <w:rFonts w:eastAsia="DengXian"/>
          <w:kern w:val="24"/>
          <w:szCs w:val="18"/>
          <w:lang w:eastAsia="en-AU"/>
        </w:rPr>
        <w:t xml:space="preserve">Bulk </w:t>
      </w:r>
      <w:r w:rsidR="00574FDD">
        <w:rPr>
          <w:rFonts w:eastAsia="DengXian"/>
          <w:kern w:val="24"/>
          <w:szCs w:val="18"/>
          <w:lang w:eastAsia="en-AU"/>
        </w:rPr>
        <w:t>Supply</w:t>
      </w:r>
      <w:r w:rsidR="00814074">
        <w:rPr>
          <w:rFonts w:eastAsia="DengXian"/>
          <w:kern w:val="24"/>
          <w:szCs w:val="18"/>
          <w:lang w:eastAsia="en-AU"/>
        </w:rPr>
        <w:t xml:space="preserve"> Point</w:t>
      </w:r>
      <w:r w:rsidR="00212A07">
        <w:rPr>
          <w:rFonts w:eastAsia="DengXian"/>
          <w:kern w:val="24"/>
          <w:szCs w:val="18"/>
          <w:lang w:eastAsia="en-AU"/>
        </w:rPr>
        <w:t xml:space="preserve">s </w:t>
      </w:r>
      <w:r w:rsidR="00574FDD">
        <w:rPr>
          <w:rFonts w:eastAsia="DengXian"/>
          <w:kern w:val="24"/>
          <w:szCs w:val="18"/>
          <w:lang w:eastAsia="en-AU"/>
        </w:rPr>
        <w:t xml:space="preserve">(BSP) </w:t>
      </w:r>
      <w:r>
        <w:rPr>
          <w:rFonts w:eastAsia="DengXian"/>
          <w:kern w:val="24"/>
          <w:szCs w:val="18"/>
          <w:lang w:eastAsia="en-AU"/>
        </w:rPr>
        <w:t xml:space="preserve">have </w:t>
      </w:r>
      <w:r w:rsidR="00212A07">
        <w:rPr>
          <w:rFonts w:eastAsia="DengXian"/>
          <w:kern w:val="24"/>
          <w:szCs w:val="18"/>
          <w:lang w:eastAsia="en-AU"/>
        </w:rPr>
        <w:t>represent</w:t>
      </w:r>
      <w:r>
        <w:rPr>
          <w:rFonts w:eastAsia="DengXian"/>
          <w:kern w:val="24"/>
          <w:szCs w:val="18"/>
          <w:lang w:eastAsia="en-AU"/>
        </w:rPr>
        <w:t>ed</w:t>
      </w:r>
      <w:r w:rsidR="00212A07">
        <w:rPr>
          <w:rFonts w:eastAsia="DengXian"/>
          <w:kern w:val="24"/>
          <w:szCs w:val="18"/>
          <w:lang w:eastAsia="en-AU"/>
        </w:rPr>
        <w:t xml:space="preserve"> the point</w:t>
      </w:r>
      <w:r w:rsidR="00276E14">
        <w:rPr>
          <w:rFonts w:eastAsia="DengXian"/>
          <w:kern w:val="24"/>
          <w:szCs w:val="18"/>
          <w:lang w:eastAsia="en-AU"/>
        </w:rPr>
        <w:t>s</w:t>
      </w:r>
      <w:r w:rsidR="00212A07">
        <w:rPr>
          <w:rFonts w:eastAsia="DengXian"/>
          <w:kern w:val="24"/>
          <w:szCs w:val="18"/>
          <w:lang w:eastAsia="en-AU"/>
        </w:rPr>
        <w:t xml:space="preserve"> </w:t>
      </w:r>
      <w:r w:rsidR="006F7759">
        <w:rPr>
          <w:rFonts w:eastAsia="DengXian"/>
          <w:kern w:val="24"/>
          <w:szCs w:val="18"/>
          <w:lang w:eastAsia="en-AU"/>
        </w:rPr>
        <w:t>in a</w:t>
      </w:r>
      <w:r w:rsidR="00402C65">
        <w:rPr>
          <w:rFonts w:eastAsia="DengXian"/>
          <w:kern w:val="24"/>
          <w:szCs w:val="18"/>
          <w:lang w:eastAsia="en-AU"/>
        </w:rPr>
        <w:t xml:space="preserve"> system of</w:t>
      </w:r>
      <w:r w:rsidR="006F7759">
        <w:rPr>
          <w:rFonts w:eastAsia="DengXian"/>
          <w:kern w:val="24"/>
          <w:szCs w:val="18"/>
          <w:lang w:eastAsia="en-AU"/>
        </w:rPr>
        <w:t xml:space="preserve"> one-way </w:t>
      </w:r>
      <w:r w:rsidR="00402C65">
        <w:rPr>
          <w:rFonts w:eastAsia="DengXian"/>
          <w:kern w:val="24"/>
          <w:szCs w:val="18"/>
          <w:lang w:eastAsia="en-AU"/>
        </w:rPr>
        <w:t xml:space="preserve">flow, </w:t>
      </w:r>
      <w:r w:rsidR="007146C6">
        <w:rPr>
          <w:rFonts w:eastAsia="DengXian"/>
          <w:kern w:val="24"/>
          <w:szCs w:val="18"/>
          <w:lang w:eastAsia="en-AU"/>
        </w:rPr>
        <w:t>where</w:t>
      </w:r>
      <w:r w:rsidR="00111CDD">
        <w:rPr>
          <w:rFonts w:eastAsia="DengXian"/>
          <w:kern w:val="24"/>
          <w:szCs w:val="18"/>
          <w:lang w:eastAsia="en-AU"/>
        </w:rPr>
        <w:t xml:space="preserve"> </w:t>
      </w:r>
      <w:r w:rsidR="00212A07">
        <w:rPr>
          <w:rFonts w:eastAsia="DengXian"/>
          <w:kern w:val="24"/>
          <w:szCs w:val="18"/>
          <w:lang w:eastAsia="en-AU"/>
        </w:rPr>
        <w:t>e</w:t>
      </w:r>
      <w:r w:rsidR="00574FDD" w:rsidRPr="00574FDD">
        <w:rPr>
          <w:rFonts w:eastAsia="DengXian"/>
          <w:kern w:val="24"/>
          <w:szCs w:val="18"/>
          <w:lang w:eastAsia="en-AU"/>
        </w:rPr>
        <w:t xml:space="preserve">lectricity </w:t>
      </w:r>
      <w:r w:rsidR="004C22F2">
        <w:rPr>
          <w:rFonts w:eastAsia="DengXian"/>
          <w:kern w:val="24"/>
          <w:szCs w:val="18"/>
          <w:lang w:eastAsia="en-AU"/>
        </w:rPr>
        <w:t xml:space="preserve">from the bulk </w:t>
      </w:r>
      <w:r w:rsidR="000A0466">
        <w:rPr>
          <w:rFonts w:eastAsia="DengXian"/>
          <w:kern w:val="24"/>
          <w:szCs w:val="18"/>
          <w:lang w:eastAsia="en-AU"/>
        </w:rPr>
        <w:t xml:space="preserve">power system </w:t>
      </w:r>
      <w:r w:rsidR="00CF3E47">
        <w:rPr>
          <w:rFonts w:eastAsia="DengXian"/>
          <w:kern w:val="24"/>
          <w:szCs w:val="18"/>
          <w:lang w:eastAsia="en-AU"/>
        </w:rPr>
        <w:t xml:space="preserve">is delivered </w:t>
      </w:r>
      <w:r w:rsidR="00507AC5">
        <w:rPr>
          <w:rFonts w:eastAsia="DengXian"/>
          <w:kern w:val="24"/>
          <w:szCs w:val="18"/>
          <w:lang w:eastAsia="en-AU"/>
        </w:rPr>
        <w:t>via</w:t>
      </w:r>
      <w:r w:rsidR="000A0466">
        <w:rPr>
          <w:rFonts w:eastAsia="DengXian"/>
          <w:kern w:val="24"/>
          <w:szCs w:val="18"/>
          <w:lang w:eastAsia="en-AU"/>
        </w:rPr>
        <w:t xml:space="preserve"> </w:t>
      </w:r>
      <w:r w:rsidR="00574FDD" w:rsidRPr="00574FDD">
        <w:rPr>
          <w:rFonts w:eastAsia="DengXian"/>
          <w:kern w:val="24"/>
          <w:szCs w:val="18"/>
          <w:lang w:eastAsia="en-AU"/>
        </w:rPr>
        <w:t xml:space="preserve">the </w:t>
      </w:r>
      <w:r w:rsidR="001865A4">
        <w:rPr>
          <w:rFonts w:eastAsia="DengXian"/>
          <w:kern w:val="24"/>
          <w:szCs w:val="18"/>
          <w:lang w:eastAsia="en-AU"/>
        </w:rPr>
        <w:t>t</w:t>
      </w:r>
      <w:r w:rsidR="00574FDD" w:rsidRPr="00574FDD">
        <w:rPr>
          <w:rFonts w:eastAsia="DengXian"/>
          <w:kern w:val="24"/>
          <w:szCs w:val="18"/>
          <w:lang w:eastAsia="en-AU"/>
        </w:rPr>
        <w:t xml:space="preserve">ransmission </w:t>
      </w:r>
      <w:r w:rsidR="001865A4">
        <w:rPr>
          <w:rFonts w:eastAsia="DengXian"/>
          <w:kern w:val="24"/>
          <w:szCs w:val="18"/>
          <w:lang w:eastAsia="en-AU"/>
        </w:rPr>
        <w:t xml:space="preserve">network to </w:t>
      </w:r>
      <w:r w:rsidR="00B57255">
        <w:rPr>
          <w:rFonts w:eastAsia="DengXian"/>
          <w:kern w:val="24"/>
          <w:szCs w:val="18"/>
          <w:lang w:eastAsia="en-AU"/>
        </w:rPr>
        <w:t xml:space="preserve">regional </w:t>
      </w:r>
      <w:r w:rsidR="008B2FF1">
        <w:rPr>
          <w:rFonts w:eastAsia="DengXian"/>
          <w:kern w:val="24"/>
          <w:szCs w:val="18"/>
          <w:lang w:eastAsia="en-AU"/>
        </w:rPr>
        <w:t xml:space="preserve">and metropolitan </w:t>
      </w:r>
      <w:r w:rsidR="001865A4">
        <w:rPr>
          <w:rFonts w:eastAsia="DengXian"/>
          <w:kern w:val="24"/>
          <w:szCs w:val="18"/>
          <w:lang w:eastAsia="en-AU"/>
        </w:rPr>
        <w:t>d</w:t>
      </w:r>
      <w:r w:rsidR="00574FDD" w:rsidRPr="00574FDD">
        <w:rPr>
          <w:rFonts w:eastAsia="DengXian"/>
          <w:kern w:val="24"/>
          <w:szCs w:val="18"/>
          <w:lang w:eastAsia="en-AU"/>
        </w:rPr>
        <w:t xml:space="preserve">istribution </w:t>
      </w:r>
      <w:r w:rsidR="001865A4">
        <w:rPr>
          <w:rFonts w:eastAsia="DengXian"/>
          <w:kern w:val="24"/>
          <w:szCs w:val="18"/>
          <w:lang w:eastAsia="en-AU"/>
        </w:rPr>
        <w:t>n</w:t>
      </w:r>
      <w:r w:rsidR="00574FDD" w:rsidRPr="00574FDD">
        <w:rPr>
          <w:rFonts w:eastAsia="DengXian"/>
          <w:kern w:val="24"/>
          <w:szCs w:val="18"/>
          <w:lang w:eastAsia="en-AU"/>
        </w:rPr>
        <w:t>etwork</w:t>
      </w:r>
      <w:r w:rsidR="00BA5E9B">
        <w:rPr>
          <w:rFonts w:eastAsia="DengXian"/>
          <w:kern w:val="24"/>
          <w:szCs w:val="18"/>
          <w:lang w:eastAsia="en-AU"/>
        </w:rPr>
        <w:t>s</w:t>
      </w:r>
      <w:r w:rsidR="00772EEE">
        <w:rPr>
          <w:rFonts w:eastAsia="DengXian"/>
          <w:kern w:val="24"/>
          <w:szCs w:val="18"/>
          <w:lang w:eastAsia="en-AU"/>
        </w:rPr>
        <w:t xml:space="preserve">. </w:t>
      </w:r>
      <w:r w:rsidR="009A1DAD">
        <w:rPr>
          <w:rFonts w:eastAsia="DengXian"/>
          <w:kern w:val="24"/>
          <w:szCs w:val="18"/>
          <w:lang w:eastAsia="en-AU"/>
        </w:rPr>
        <w:t>As</w:t>
      </w:r>
      <w:r w:rsidR="0025339F">
        <w:rPr>
          <w:rFonts w:eastAsia="DengXian"/>
          <w:kern w:val="24"/>
          <w:szCs w:val="18"/>
          <w:lang w:eastAsia="en-AU"/>
        </w:rPr>
        <w:t xml:space="preserve"> </w:t>
      </w:r>
      <w:r w:rsidR="009A1DAD">
        <w:rPr>
          <w:rFonts w:eastAsia="DengXian"/>
          <w:kern w:val="24"/>
          <w:szCs w:val="18"/>
          <w:lang w:eastAsia="en-AU"/>
        </w:rPr>
        <w:t xml:space="preserve">power systems </w:t>
      </w:r>
      <w:r w:rsidR="00B57255">
        <w:rPr>
          <w:rFonts w:eastAsia="DengXian"/>
          <w:kern w:val="24"/>
          <w:szCs w:val="18"/>
          <w:lang w:eastAsia="en-AU"/>
        </w:rPr>
        <w:t>decarbonise</w:t>
      </w:r>
      <w:r w:rsidR="008B2FF1">
        <w:rPr>
          <w:rFonts w:eastAsia="DengXian"/>
          <w:kern w:val="24"/>
          <w:szCs w:val="18"/>
          <w:lang w:eastAsia="en-AU"/>
        </w:rPr>
        <w:t xml:space="preserve"> and</w:t>
      </w:r>
      <w:r w:rsidR="00B57255">
        <w:rPr>
          <w:rFonts w:eastAsia="DengXian"/>
          <w:kern w:val="24"/>
          <w:szCs w:val="18"/>
          <w:lang w:eastAsia="en-AU"/>
        </w:rPr>
        <w:t xml:space="preserve"> </w:t>
      </w:r>
      <w:r w:rsidR="003313ED">
        <w:rPr>
          <w:rFonts w:eastAsia="DengXian"/>
          <w:kern w:val="24"/>
          <w:szCs w:val="18"/>
          <w:lang w:eastAsia="en-AU"/>
        </w:rPr>
        <w:t xml:space="preserve">conventional </w:t>
      </w:r>
      <w:r w:rsidR="00B57255">
        <w:rPr>
          <w:rFonts w:eastAsia="DengXian"/>
          <w:kern w:val="24"/>
          <w:szCs w:val="18"/>
          <w:lang w:eastAsia="en-AU"/>
        </w:rPr>
        <w:t>sources of system flexibility are progressively withdrawn</w:t>
      </w:r>
      <w:r w:rsidR="002A40A0">
        <w:rPr>
          <w:rFonts w:eastAsia="DengXian"/>
          <w:kern w:val="24"/>
          <w:szCs w:val="18"/>
          <w:lang w:eastAsia="en-AU"/>
        </w:rPr>
        <w:t>,</w:t>
      </w:r>
      <w:r w:rsidR="000F5658">
        <w:rPr>
          <w:rFonts w:eastAsia="DengXian"/>
          <w:kern w:val="24"/>
          <w:szCs w:val="18"/>
          <w:lang w:eastAsia="en-AU"/>
        </w:rPr>
        <w:t xml:space="preserve"> </w:t>
      </w:r>
      <w:r w:rsidR="00507AC5">
        <w:rPr>
          <w:rFonts w:eastAsia="DengXian"/>
          <w:kern w:val="24"/>
          <w:szCs w:val="18"/>
          <w:lang w:eastAsia="en-AU"/>
        </w:rPr>
        <w:t xml:space="preserve">however, </w:t>
      </w:r>
      <w:r w:rsidR="00996BAD">
        <w:rPr>
          <w:rFonts w:eastAsia="DengXian"/>
          <w:kern w:val="24"/>
          <w:szCs w:val="18"/>
          <w:lang w:eastAsia="en-AU"/>
        </w:rPr>
        <w:t xml:space="preserve">significant new </w:t>
      </w:r>
      <w:r w:rsidR="000F5658">
        <w:rPr>
          <w:rFonts w:eastAsia="DengXian"/>
          <w:kern w:val="24"/>
          <w:szCs w:val="18"/>
          <w:lang w:eastAsia="en-AU"/>
        </w:rPr>
        <w:t xml:space="preserve">volumes of </w:t>
      </w:r>
      <w:r w:rsidR="00326748">
        <w:rPr>
          <w:rFonts w:eastAsia="DengXian"/>
          <w:kern w:val="24"/>
          <w:szCs w:val="18"/>
          <w:lang w:eastAsia="en-AU"/>
        </w:rPr>
        <w:t xml:space="preserve">supply, </w:t>
      </w:r>
      <w:r w:rsidR="00996BAD">
        <w:rPr>
          <w:rFonts w:eastAsia="DengXian"/>
          <w:kern w:val="24"/>
          <w:szCs w:val="18"/>
          <w:lang w:eastAsia="en-AU"/>
        </w:rPr>
        <w:t>flexibility</w:t>
      </w:r>
      <w:r w:rsidR="006B2DCB">
        <w:rPr>
          <w:rFonts w:eastAsia="DengXian"/>
          <w:kern w:val="24"/>
          <w:szCs w:val="18"/>
          <w:lang w:eastAsia="en-AU"/>
        </w:rPr>
        <w:t xml:space="preserve">, </w:t>
      </w:r>
      <w:r w:rsidR="00996BAD">
        <w:rPr>
          <w:rFonts w:eastAsia="DengXian"/>
          <w:kern w:val="24"/>
          <w:szCs w:val="18"/>
          <w:lang w:eastAsia="en-AU"/>
        </w:rPr>
        <w:t>buffering</w:t>
      </w:r>
      <w:r w:rsidR="006A5DA8">
        <w:rPr>
          <w:rFonts w:eastAsia="DengXian"/>
          <w:kern w:val="24"/>
          <w:szCs w:val="18"/>
          <w:lang w:eastAsia="en-AU"/>
        </w:rPr>
        <w:t xml:space="preserve"> </w:t>
      </w:r>
      <w:r w:rsidR="006B2DCB">
        <w:rPr>
          <w:rFonts w:eastAsia="DengXian"/>
          <w:kern w:val="24"/>
          <w:szCs w:val="18"/>
          <w:lang w:eastAsia="en-AU"/>
        </w:rPr>
        <w:t xml:space="preserve">and other system services </w:t>
      </w:r>
      <w:r w:rsidR="002A40A0">
        <w:rPr>
          <w:rFonts w:eastAsia="DengXian"/>
          <w:kern w:val="24"/>
          <w:szCs w:val="18"/>
          <w:lang w:eastAsia="en-AU"/>
        </w:rPr>
        <w:t>must be sourced</w:t>
      </w:r>
      <w:r w:rsidR="00947D14">
        <w:rPr>
          <w:rFonts w:eastAsia="DengXian"/>
          <w:kern w:val="24"/>
          <w:szCs w:val="18"/>
          <w:lang w:eastAsia="en-AU"/>
        </w:rPr>
        <w:t xml:space="preserve"> and </w:t>
      </w:r>
      <w:r w:rsidR="00A82E92">
        <w:rPr>
          <w:rFonts w:eastAsia="DengXian"/>
          <w:kern w:val="24"/>
          <w:szCs w:val="18"/>
          <w:lang w:eastAsia="en-AU"/>
        </w:rPr>
        <w:t>coordinated with system needs</w:t>
      </w:r>
      <w:r w:rsidR="00772EEE">
        <w:rPr>
          <w:rFonts w:eastAsia="DengXian"/>
          <w:kern w:val="24"/>
          <w:szCs w:val="18"/>
          <w:lang w:eastAsia="en-AU"/>
        </w:rPr>
        <w:t xml:space="preserve">. </w:t>
      </w:r>
      <w:r w:rsidR="005304C5">
        <w:rPr>
          <w:rFonts w:eastAsia="DengXian"/>
          <w:kern w:val="24"/>
          <w:szCs w:val="18"/>
          <w:lang w:eastAsia="en-AU"/>
        </w:rPr>
        <w:t xml:space="preserve">Unlike conventional </w:t>
      </w:r>
      <w:r w:rsidR="007146C6">
        <w:rPr>
          <w:rFonts w:eastAsia="DengXian"/>
          <w:kern w:val="24"/>
          <w:szCs w:val="18"/>
          <w:lang w:eastAsia="en-AU"/>
        </w:rPr>
        <w:t>grids</w:t>
      </w:r>
      <w:r w:rsidR="00147CAA">
        <w:rPr>
          <w:rFonts w:eastAsia="DengXian"/>
          <w:kern w:val="24"/>
          <w:szCs w:val="18"/>
          <w:lang w:eastAsia="en-AU"/>
        </w:rPr>
        <w:t xml:space="preserve"> where</w:t>
      </w:r>
      <w:r w:rsidR="00F60554">
        <w:rPr>
          <w:rFonts w:eastAsia="DengXian"/>
          <w:kern w:val="24"/>
          <w:szCs w:val="18"/>
          <w:lang w:eastAsia="en-AU"/>
        </w:rPr>
        <w:t xml:space="preserve"> </w:t>
      </w:r>
      <w:r w:rsidR="00507AC5">
        <w:rPr>
          <w:rFonts w:eastAsia="DengXian"/>
          <w:kern w:val="24"/>
          <w:szCs w:val="18"/>
          <w:lang w:eastAsia="en-AU"/>
        </w:rPr>
        <w:t xml:space="preserve">these </w:t>
      </w:r>
      <w:r w:rsidR="00F60554">
        <w:rPr>
          <w:rFonts w:eastAsia="DengXian"/>
          <w:kern w:val="24"/>
          <w:szCs w:val="18"/>
          <w:lang w:eastAsia="en-AU"/>
        </w:rPr>
        <w:t xml:space="preserve">system services were </w:t>
      </w:r>
      <w:r w:rsidR="00D71C59">
        <w:rPr>
          <w:rFonts w:eastAsia="DengXian"/>
          <w:kern w:val="24"/>
          <w:szCs w:val="18"/>
          <w:lang w:eastAsia="en-AU"/>
        </w:rPr>
        <w:t xml:space="preserve">largely </w:t>
      </w:r>
      <w:r w:rsidR="00F60554">
        <w:rPr>
          <w:rFonts w:eastAsia="DengXian"/>
          <w:kern w:val="24"/>
          <w:szCs w:val="18"/>
          <w:lang w:eastAsia="en-AU"/>
        </w:rPr>
        <w:t>provided</w:t>
      </w:r>
      <w:r w:rsidR="00650741">
        <w:rPr>
          <w:rFonts w:eastAsia="DengXian"/>
          <w:kern w:val="24"/>
          <w:szCs w:val="18"/>
          <w:lang w:eastAsia="en-AU"/>
        </w:rPr>
        <w:t xml:space="preserve"> fortuitously</w:t>
      </w:r>
      <w:r w:rsidR="00F60554">
        <w:rPr>
          <w:rFonts w:eastAsia="DengXian"/>
          <w:kern w:val="24"/>
          <w:szCs w:val="18"/>
          <w:lang w:eastAsia="en-AU"/>
        </w:rPr>
        <w:t xml:space="preserve"> by</w:t>
      </w:r>
      <w:r w:rsidR="00FC1192">
        <w:rPr>
          <w:rFonts w:eastAsia="DengXian"/>
          <w:kern w:val="24"/>
          <w:szCs w:val="18"/>
          <w:lang w:eastAsia="en-AU"/>
        </w:rPr>
        <w:t xml:space="preserve"> </w:t>
      </w:r>
      <w:r w:rsidR="00C1355C">
        <w:rPr>
          <w:rFonts w:eastAsia="DengXian"/>
          <w:kern w:val="24"/>
          <w:szCs w:val="18"/>
          <w:lang w:eastAsia="en-AU"/>
        </w:rPr>
        <w:t>upstream</w:t>
      </w:r>
      <w:r w:rsidR="00EE3ADD">
        <w:rPr>
          <w:rFonts w:eastAsia="DengXian"/>
          <w:kern w:val="24"/>
          <w:szCs w:val="18"/>
          <w:lang w:eastAsia="en-AU"/>
        </w:rPr>
        <w:t xml:space="preserve"> merchant </w:t>
      </w:r>
      <w:r w:rsidR="00F60554">
        <w:rPr>
          <w:rFonts w:eastAsia="DengXian"/>
          <w:kern w:val="24"/>
          <w:szCs w:val="18"/>
          <w:lang w:eastAsia="en-AU"/>
        </w:rPr>
        <w:t xml:space="preserve">resources, </w:t>
      </w:r>
      <w:r w:rsidR="00051B96">
        <w:rPr>
          <w:rFonts w:eastAsia="DengXian"/>
          <w:kern w:val="24"/>
          <w:szCs w:val="18"/>
          <w:lang w:eastAsia="en-AU"/>
        </w:rPr>
        <w:t>the transforming landscape</w:t>
      </w:r>
      <w:r w:rsidR="00452880">
        <w:rPr>
          <w:rFonts w:eastAsia="DengXian"/>
          <w:kern w:val="24"/>
          <w:szCs w:val="18"/>
          <w:lang w:eastAsia="en-AU"/>
        </w:rPr>
        <w:t xml:space="preserve"> </w:t>
      </w:r>
      <w:r w:rsidR="00610D8D">
        <w:rPr>
          <w:rFonts w:eastAsia="DengXian"/>
          <w:kern w:val="24"/>
          <w:szCs w:val="18"/>
          <w:lang w:eastAsia="en-AU"/>
        </w:rPr>
        <w:t xml:space="preserve">will require </w:t>
      </w:r>
      <w:r w:rsidR="009E1936">
        <w:rPr>
          <w:rFonts w:eastAsia="DengXian"/>
          <w:kern w:val="24"/>
          <w:szCs w:val="18"/>
          <w:lang w:eastAsia="en-AU"/>
        </w:rPr>
        <w:t xml:space="preserve">them </w:t>
      </w:r>
      <w:r w:rsidR="00051B96">
        <w:rPr>
          <w:rFonts w:eastAsia="DengXian"/>
          <w:kern w:val="24"/>
          <w:szCs w:val="18"/>
          <w:lang w:eastAsia="en-AU"/>
        </w:rPr>
        <w:t xml:space="preserve">to be sourced </w:t>
      </w:r>
      <w:r w:rsidR="00507AC5">
        <w:rPr>
          <w:rFonts w:eastAsia="DengXian"/>
          <w:kern w:val="24"/>
          <w:szCs w:val="18"/>
          <w:lang w:eastAsia="en-AU"/>
        </w:rPr>
        <w:t xml:space="preserve">both </w:t>
      </w:r>
      <w:r w:rsidR="009E1936">
        <w:rPr>
          <w:rFonts w:eastAsia="DengXian"/>
          <w:kern w:val="24"/>
          <w:szCs w:val="18"/>
          <w:lang w:eastAsia="en-AU"/>
        </w:rPr>
        <w:t>fro</w:t>
      </w:r>
      <w:r w:rsidR="00A16FD7">
        <w:rPr>
          <w:rFonts w:eastAsia="DengXian"/>
          <w:kern w:val="24"/>
          <w:szCs w:val="18"/>
          <w:lang w:eastAsia="en-AU"/>
        </w:rPr>
        <w:t xml:space="preserve">m </w:t>
      </w:r>
      <w:r w:rsidR="007146C6">
        <w:rPr>
          <w:rFonts w:eastAsia="DengXian"/>
          <w:kern w:val="24"/>
          <w:szCs w:val="18"/>
          <w:lang w:eastAsia="en-AU"/>
        </w:rPr>
        <w:t>hundreds of</w:t>
      </w:r>
      <w:r w:rsidR="00A16FD7">
        <w:rPr>
          <w:rFonts w:eastAsia="DengXian"/>
          <w:kern w:val="24"/>
          <w:szCs w:val="18"/>
          <w:lang w:eastAsia="en-AU"/>
        </w:rPr>
        <w:t xml:space="preserve"> upstream </w:t>
      </w:r>
      <w:r w:rsidR="00051B96">
        <w:rPr>
          <w:rFonts w:eastAsia="DengXian"/>
          <w:kern w:val="24"/>
          <w:szCs w:val="18"/>
          <w:lang w:eastAsia="en-AU"/>
        </w:rPr>
        <w:t>utility-scale</w:t>
      </w:r>
      <w:r w:rsidR="00C1355C">
        <w:rPr>
          <w:rFonts w:eastAsia="DengXian"/>
          <w:kern w:val="24"/>
          <w:szCs w:val="18"/>
          <w:lang w:eastAsia="en-AU"/>
        </w:rPr>
        <w:t xml:space="preserve"> </w:t>
      </w:r>
      <w:r w:rsidR="00EE3ADD">
        <w:rPr>
          <w:rFonts w:eastAsia="DengXian"/>
          <w:kern w:val="24"/>
          <w:szCs w:val="18"/>
          <w:lang w:eastAsia="en-AU"/>
        </w:rPr>
        <w:t xml:space="preserve">and </w:t>
      </w:r>
      <w:r w:rsidR="007146C6">
        <w:rPr>
          <w:rFonts w:eastAsia="DengXian"/>
          <w:kern w:val="24"/>
          <w:szCs w:val="18"/>
          <w:lang w:eastAsia="en-AU"/>
        </w:rPr>
        <w:t xml:space="preserve">millions of </w:t>
      </w:r>
      <w:r w:rsidR="00EE3ADD">
        <w:rPr>
          <w:rFonts w:eastAsia="DengXian"/>
          <w:kern w:val="24"/>
          <w:szCs w:val="18"/>
          <w:lang w:eastAsia="en-AU"/>
        </w:rPr>
        <w:t xml:space="preserve">downstream </w:t>
      </w:r>
      <w:r w:rsidR="008676E5">
        <w:rPr>
          <w:rFonts w:eastAsia="DengXian"/>
          <w:kern w:val="24"/>
          <w:szCs w:val="18"/>
          <w:lang w:eastAsia="en-AU"/>
        </w:rPr>
        <w:t>distributed resources</w:t>
      </w:r>
      <w:r w:rsidR="00A16FD7">
        <w:rPr>
          <w:rFonts w:eastAsia="DengXian"/>
          <w:kern w:val="24"/>
          <w:szCs w:val="18"/>
          <w:lang w:eastAsia="en-AU"/>
        </w:rPr>
        <w:t>.</w:t>
      </w:r>
      <w:r w:rsidR="002A40A0">
        <w:rPr>
          <w:rFonts w:eastAsia="DengXian"/>
          <w:kern w:val="24"/>
          <w:szCs w:val="18"/>
          <w:lang w:eastAsia="en-AU"/>
        </w:rPr>
        <w:t xml:space="preserve"> </w:t>
      </w:r>
    </w:p>
    <w:p w14:paraId="3D9B4AA7" w14:textId="77777777" w:rsidR="00124661" w:rsidRDefault="00757DD9" w:rsidP="00820F5E">
      <w:pPr>
        <w:snapToGrid w:val="0"/>
        <w:spacing w:before="120" w:after="120"/>
        <w:rPr>
          <w:rFonts w:eastAsia="DengXian"/>
          <w:kern w:val="24"/>
          <w:szCs w:val="18"/>
          <w:lang w:eastAsia="en-AU"/>
        </w:rPr>
      </w:pPr>
      <w:r>
        <w:rPr>
          <w:rFonts w:eastAsia="DengXian"/>
          <w:kern w:val="24"/>
          <w:szCs w:val="18"/>
          <w:lang w:eastAsia="en-AU"/>
        </w:rPr>
        <w:t>In this context</w:t>
      </w:r>
      <w:r w:rsidR="00CE0143">
        <w:rPr>
          <w:rFonts w:eastAsia="DengXian"/>
          <w:kern w:val="24"/>
          <w:szCs w:val="18"/>
          <w:lang w:eastAsia="en-AU"/>
        </w:rPr>
        <w:t>,</w:t>
      </w:r>
      <w:r w:rsidR="0025339F">
        <w:rPr>
          <w:rFonts w:eastAsia="DengXian"/>
          <w:kern w:val="24"/>
          <w:szCs w:val="18"/>
          <w:lang w:eastAsia="en-AU"/>
        </w:rPr>
        <w:t xml:space="preserve"> </w:t>
      </w:r>
      <w:r w:rsidR="00277400">
        <w:rPr>
          <w:rFonts w:eastAsia="DengXian"/>
          <w:kern w:val="24"/>
          <w:szCs w:val="18"/>
          <w:lang w:eastAsia="en-AU"/>
        </w:rPr>
        <w:t>the stable</w:t>
      </w:r>
      <w:r w:rsidR="00ED3BF6">
        <w:rPr>
          <w:rFonts w:eastAsia="DengXian"/>
          <w:kern w:val="24"/>
          <w:szCs w:val="18"/>
          <w:lang w:eastAsia="en-AU"/>
        </w:rPr>
        <w:t xml:space="preserve"> </w:t>
      </w:r>
      <w:r w:rsidR="00051B96">
        <w:rPr>
          <w:rFonts w:eastAsia="DengXian"/>
          <w:kern w:val="24"/>
          <w:szCs w:val="18"/>
          <w:lang w:eastAsia="en-AU"/>
        </w:rPr>
        <w:t xml:space="preserve">and efficient </w:t>
      </w:r>
      <w:r w:rsidR="002C4BD0">
        <w:rPr>
          <w:rFonts w:eastAsia="DengXian"/>
          <w:kern w:val="24"/>
          <w:szCs w:val="18"/>
          <w:lang w:eastAsia="en-AU"/>
        </w:rPr>
        <w:t xml:space="preserve">operation of </w:t>
      </w:r>
      <w:r w:rsidR="000F1DA2">
        <w:rPr>
          <w:rFonts w:eastAsia="DengXian"/>
          <w:kern w:val="24"/>
          <w:szCs w:val="18"/>
          <w:lang w:eastAsia="en-AU"/>
        </w:rPr>
        <w:t>GW-scale power systems</w:t>
      </w:r>
      <w:r w:rsidR="00051B96">
        <w:rPr>
          <w:rFonts w:eastAsia="DengXian"/>
          <w:kern w:val="24"/>
          <w:szCs w:val="18"/>
          <w:lang w:eastAsia="en-AU"/>
        </w:rPr>
        <w:t>,</w:t>
      </w:r>
      <w:r w:rsidR="000F1DA2">
        <w:rPr>
          <w:rFonts w:eastAsia="DengXian"/>
          <w:kern w:val="24"/>
          <w:szCs w:val="18"/>
          <w:lang w:eastAsia="en-AU"/>
        </w:rPr>
        <w:t xml:space="preserve"> </w:t>
      </w:r>
      <w:r w:rsidR="00FB5D01">
        <w:rPr>
          <w:rFonts w:eastAsia="DengXian"/>
          <w:kern w:val="24"/>
          <w:szCs w:val="18"/>
          <w:lang w:eastAsia="en-AU"/>
        </w:rPr>
        <w:t xml:space="preserve">including </w:t>
      </w:r>
      <w:r w:rsidR="00026B42">
        <w:rPr>
          <w:rFonts w:eastAsia="DengXian"/>
          <w:kern w:val="24"/>
          <w:szCs w:val="18"/>
          <w:lang w:eastAsia="en-AU"/>
        </w:rPr>
        <w:t xml:space="preserve">the critical function of instantaneous </w:t>
      </w:r>
      <w:r w:rsidR="00FB5D01">
        <w:rPr>
          <w:rFonts w:eastAsia="DengXian"/>
          <w:kern w:val="24"/>
          <w:szCs w:val="18"/>
          <w:lang w:eastAsia="en-AU"/>
        </w:rPr>
        <w:t xml:space="preserve">supply-demand balancing, </w:t>
      </w:r>
      <w:r w:rsidR="00F532DA">
        <w:rPr>
          <w:rFonts w:eastAsia="DengXian"/>
          <w:kern w:val="24"/>
          <w:szCs w:val="18"/>
          <w:lang w:eastAsia="en-AU"/>
        </w:rPr>
        <w:t xml:space="preserve">will </w:t>
      </w:r>
      <w:r w:rsidR="002F4919">
        <w:rPr>
          <w:rFonts w:eastAsia="DengXian"/>
          <w:kern w:val="24"/>
          <w:szCs w:val="18"/>
          <w:lang w:eastAsia="en-AU"/>
        </w:rPr>
        <w:t>require</w:t>
      </w:r>
      <w:r w:rsidR="00F3478F">
        <w:rPr>
          <w:rFonts w:eastAsia="DengXian"/>
          <w:kern w:val="24"/>
          <w:szCs w:val="18"/>
          <w:lang w:eastAsia="en-AU"/>
        </w:rPr>
        <w:t xml:space="preserve"> </w:t>
      </w:r>
      <w:r w:rsidR="002C4BD0">
        <w:rPr>
          <w:rFonts w:eastAsia="DengXian"/>
          <w:kern w:val="24"/>
          <w:szCs w:val="18"/>
          <w:lang w:eastAsia="en-AU"/>
        </w:rPr>
        <w:t xml:space="preserve">more formal </w:t>
      </w:r>
      <w:r w:rsidR="00B16694">
        <w:rPr>
          <w:rFonts w:eastAsia="DengXian"/>
          <w:kern w:val="24"/>
          <w:szCs w:val="18"/>
          <w:lang w:eastAsia="en-AU"/>
        </w:rPr>
        <w:t xml:space="preserve">models </w:t>
      </w:r>
      <w:r w:rsidR="002F4919">
        <w:rPr>
          <w:rFonts w:eastAsia="DengXian"/>
          <w:kern w:val="24"/>
          <w:szCs w:val="18"/>
          <w:lang w:eastAsia="en-AU"/>
        </w:rPr>
        <w:t>to</w:t>
      </w:r>
      <w:r w:rsidR="00B16694">
        <w:rPr>
          <w:rFonts w:eastAsia="DengXian"/>
          <w:kern w:val="24"/>
          <w:szCs w:val="18"/>
          <w:lang w:eastAsia="en-AU"/>
        </w:rPr>
        <w:t xml:space="preserve"> </w:t>
      </w:r>
      <w:r w:rsidR="002C4BD0">
        <w:rPr>
          <w:rFonts w:eastAsia="DengXian"/>
          <w:kern w:val="24"/>
          <w:szCs w:val="18"/>
          <w:lang w:eastAsia="en-AU"/>
        </w:rPr>
        <w:t>coordinat</w:t>
      </w:r>
      <w:r w:rsidR="002F4919">
        <w:rPr>
          <w:rFonts w:eastAsia="DengXian"/>
          <w:kern w:val="24"/>
          <w:szCs w:val="18"/>
          <w:lang w:eastAsia="en-AU"/>
        </w:rPr>
        <w:t>e</w:t>
      </w:r>
      <w:r w:rsidR="002C4BD0">
        <w:rPr>
          <w:rFonts w:eastAsia="DengXian"/>
          <w:kern w:val="24"/>
          <w:szCs w:val="18"/>
          <w:lang w:eastAsia="en-AU"/>
        </w:rPr>
        <w:t xml:space="preserve"> the </w:t>
      </w:r>
      <w:r w:rsidR="00B16694">
        <w:rPr>
          <w:rFonts w:eastAsia="DengXian"/>
          <w:kern w:val="24"/>
          <w:szCs w:val="18"/>
          <w:lang w:eastAsia="en-AU"/>
        </w:rPr>
        <w:t xml:space="preserve">increasingly </w:t>
      </w:r>
      <w:r w:rsidR="00F532DA">
        <w:rPr>
          <w:rFonts w:eastAsia="DengXian"/>
          <w:kern w:val="24"/>
          <w:szCs w:val="18"/>
          <w:lang w:eastAsia="en-AU"/>
        </w:rPr>
        <w:t>i</w:t>
      </w:r>
      <w:r w:rsidR="006244CA">
        <w:rPr>
          <w:rFonts w:eastAsia="DengXian"/>
          <w:kern w:val="24"/>
          <w:szCs w:val="18"/>
          <w:lang w:eastAsia="en-AU"/>
        </w:rPr>
        <w:t>nterdependen</w:t>
      </w:r>
      <w:r w:rsidR="00F532DA">
        <w:rPr>
          <w:rFonts w:eastAsia="DengXian"/>
          <w:kern w:val="24"/>
          <w:szCs w:val="18"/>
          <w:lang w:eastAsia="en-AU"/>
        </w:rPr>
        <w:t>t relationship</w:t>
      </w:r>
      <w:r w:rsidR="002C4BD0">
        <w:rPr>
          <w:rFonts w:eastAsia="DengXian"/>
          <w:kern w:val="24"/>
          <w:szCs w:val="18"/>
          <w:lang w:eastAsia="en-AU"/>
        </w:rPr>
        <w:t xml:space="preserve"> between </w:t>
      </w:r>
      <w:r w:rsidR="00FA0D70">
        <w:rPr>
          <w:rFonts w:eastAsia="DengXian"/>
          <w:kern w:val="24"/>
          <w:szCs w:val="18"/>
          <w:lang w:eastAsia="en-AU"/>
        </w:rPr>
        <w:t xml:space="preserve">the </w:t>
      </w:r>
      <w:r w:rsidR="00F532DA">
        <w:rPr>
          <w:rFonts w:eastAsia="DengXian"/>
          <w:kern w:val="24"/>
          <w:szCs w:val="18"/>
          <w:lang w:eastAsia="en-AU"/>
        </w:rPr>
        <w:t>bulk power/</w:t>
      </w:r>
      <w:r w:rsidR="00D67855">
        <w:rPr>
          <w:rFonts w:eastAsia="DengXian"/>
          <w:kern w:val="24"/>
          <w:szCs w:val="18"/>
          <w:lang w:eastAsia="en-AU"/>
        </w:rPr>
        <w:t>transmission and distribution</w:t>
      </w:r>
      <w:r w:rsidR="00FA0D70">
        <w:rPr>
          <w:rFonts w:eastAsia="DengXian"/>
          <w:kern w:val="24"/>
          <w:szCs w:val="18"/>
          <w:lang w:eastAsia="en-AU"/>
        </w:rPr>
        <w:t xml:space="preserve"> systems</w:t>
      </w:r>
      <w:r w:rsidR="00772EEE">
        <w:rPr>
          <w:rFonts w:eastAsia="DengXian"/>
          <w:kern w:val="24"/>
          <w:szCs w:val="18"/>
          <w:lang w:eastAsia="en-AU"/>
        </w:rPr>
        <w:t xml:space="preserve">. </w:t>
      </w:r>
      <w:r w:rsidR="00F532DA">
        <w:rPr>
          <w:rFonts w:eastAsia="DengXian"/>
          <w:kern w:val="24"/>
          <w:szCs w:val="18"/>
          <w:lang w:eastAsia="en-AU"/>
        </w:rPr>
        <w:t xml:space="preserve">Informed by Australia’s unique needs, </w:t>
      </w:r>
      <w:r w:rsidR="002A4857">
        <w:rPr>
          <w:rFonts w:eastAsia="DengXian"/>
          <w:kern w:val="24"/>
          <w:szCs w:val="18"/>
          <w:lang w:eastAsia="en-AU"/>
        </w:rPr>
        <w:t xml:space="preserve">therefore, </w:t>
      </w:r>
      <w:r w:rsidR="00F532DA">
        <w:rPr>
          <w:rFonts w:eastAsia="DengXian"/>
          <w:kern w:val="24"/>
          <w:szCs w:val="18"/>
          <w:lang w:eastAsia="en-AU"/>
        </w:rPr>
        <w:t>th</w:t>
      </w:r>
      <w:r w:rsidR="006244CA">
        <w:rPr>
          <w:rFonts w:eastAsia="DengXian"/>
          <w:kern w:val="24"/>
          <w:szCs w:val="18"/>
          <w:lang w:eastAsia="en-AU"/>
        </w:rPr>
        <w:t xml:space="preserve">e purpose of this report is to </w:t>
      </w:r>
      <w:r w:rsidR="00C071DD">
        <w:rPr>
          <w:rFonts w:eastAsia="DengXian"/>
          <w:kern w:val="24"/>
          <w:szCs w:val="18"/>
          <w:lang w:eastAsia="en-AU"/>
        </w:rPr>
        <w:t>examine</w:t>
      </w:r>
      <w:r w:rsidR="00AA6895">
        <w:rPr>
          <w:rFonts w:eastAsia="DengXian"/>
          <w:kern w:val="24"/>
          <w:szCs w:val="18"/>
          <w:lang w:eastAsia="en-AU"/>
        </w:rPr>
        <w:t xml:space="preserve">: </w:t>
      </w:r>
    </w:p>
    <w:tbl>
      <w:tblPr>
        <w:tblStyle w:val="TableGrid"/>
        <w:tblW w:w="0" w:type="auto"/>
        <w:tblLook w:val="04A0" w:firstRow="1" w:lastRow="0" w:firstColumn="1" w:lastColumn="0" w:noHBand="0" w:noVBand="1"/>
      </w:tblPr>
      <w:tblGrid>
        <w:gridCol w:w="8210"/>
      </w:tblGrid>
      <w:tr w:rsidR="00820F5E" w:rsidRPr="00D6257A" w14:paraId="62EE0CBB" w14:textId="77777777" w:rsidTr="007F51E3">
        <w:tc>
          <w:tcPr>
            <w:tcW w:w="8210" w:type="dxa"/>
            <w:shd w:val="clear" w:color="auto" w:fill="013C4C" w:themeFill="text1"/>
          </w:tcPr>
          <w:p w14:paraId="2E13EDE4" w14:textId="0F982710" w:rsidR="000106CC" w:rsidRDefault="00820F5E" w:rsidP="000106CC">
            <w:pPr>
              <w:snapToGrid w:val="0"/>
              <w:spacing w:before="120" w:after="120"/>
              <w:jc w:val="center"/>
              <w:rPr>
                <w:rFonts w:ascii="PP Mori SemiBold" w:eastAsia="DengXian" w:hAnsi="PP Mori SemiBold"/>
                <w:i/>
                <w:kern w:val="24"/>
                <w:szCs w:val="18"/>
                <w:lang w:eastAsia="en-AU"/>
              </w:rPr>
            </w:pPr>
            <w:r>
              <w:rPr>
                <w:rFonts w:ascii="PP Mori SemiBold" w:eastAsia="DengXian" w:hAnsi="PP Mori SemiBold"/>
                <w:i/>
                <w:kern w:val="24"/>
                <w:szCs w:val="18"/>
                <w:lang w:eastAsia="en-AU"/>
              </w:rPr>
              <w:t>What is Transmission</w:t>
            </w:r>
            <w:r w:rsidR="00876675">
              <w:rPr>
                <w:rFonts w:ascii="PP Mori SemiBold" w:eastAsia="DengXian" w:hAnsi="PP Mori SemiBold"/>
                <w:i/>
                <w:kern w:val="24"/>
                <w:szCs w:val="18"/>
                <w:lang w:eastAsia="en-AU"/>
              </w:rPr>
              <w:t>-Distribution Coordinatio</w:t>
            </w:r>
            <w:r w:rsidR="000106CC">
              <w:rPr>
                <w:rFonts w:ascii="PP Mori SemiBold" w:eastAsia="DengXian" w:hAnsi="PP Mori SemiBold"/>
                <w:i/>
                <w:kern w:val="24"/>
                <w:szCs w:val="18"/>
                <w:lang w:eastAsia="en-AU"/>
              </w:rPr>
              <w:t>n (TDC)</w:t>
            </w:r>
            <w:r w:rsidR="00876675">
              <w:rPr>
                <w:rFonts w:ascii="PP Mori SemiBold" w:eastAsia="DengXian" w:hAnsi="PP Mori SemiBold"/>
                <w:i/>
                <w:kern w:val="24"/>
                <w:szCs w:val="18"/>
                <w:lang w:eastAsia="en-AU"/>
              </w:rPr>
              <w:t xml:space="preserve">? </w:t>
            </w:r>
          </w:p>
          <w:p w14:paraId="1AC9EB70" w14:textId="4B52CB30" w:rsidR="00820F5E" w:rsidRDefault="00820F5E" w:rsidP="000106CC">
            <w:pPr>
              <w:snapToGrid w:val="0"/>
              <w:spacing w:before="120" w:after="120"/>
              <w:ind w:left="175" w:right="313"/>
              <w:jc w:val="center"/>
              <w:rPr>
                <w:rFonts w:ascii="PP Mori SemiBold" w:eastAsia="DengXian" w:hAnsi="PP Mori SemiBold"/>
                <w:i/>
                <w:kern w:val="24"/>
                <w:szCs w:val="18"/>
                <w:lang w:eastAsia="en-AU"/>
              </w:rPr>
            </w:pPr>
            <w:r w:rsidRPr="00124661">
              <w:rPr>
                <w:rFonts w:ascii="PP Mori SemiBold" w:eastAsia="DengXian" w:hAnsi="PP Mori SemiBold"/>
                <w:i/>
                <w:kern w:val="24"/>
                <w:szCs w:val="18"/>
                <w:lang w:eastAsia="en-AU"/>
              </w:rPr>
              <w:t xml:space="preserve">Why is </w:t>
            </w:r>
            <w:r w:rsidR="000106CC">
              <w:rPr>
                <w:rFonts w:ascii="PP Mori SemiBold" w:eastAsia="DengXian" w:hAnsi="PP Mori SemiBold"/>
                <w:i/>
                <w:kern w:val="24"/>
                <w:szCs w:val="18"/>
                <w:lang w:eastAsia="en-AU"/>
              </w:rPr>
              <w:t xml:space="preserve">TDC becoming more critical and how does it relate to the emergence of Distribution System Operator (DSO) models? </w:t>
            </w:r>
            <w:r>
              <w:rPr>
                <w:rFonts w:ascii="PP Mori SemiBold" w:eastAsia="DengXian" w:hAnsi="PP Mori SemiBold"/>
                <w:i/>
                <w:kern w:val="24"/>
                <w:szCs w:val="18"/>
                <w:lang w:eastAsia="en-AU"/>
              </w:rPr>
              <w:t xml:space="preserve">  </w:t>
            </w:r>
          </w:p>
          <w:p w14:paraId="2DBA6629" w14:textId="04ECCAB2" w:rsidR="00820F5E" w:rsidRPr="00D6257A" w:rsidRDefault="00820F5E" w:rsidP="000106CC">
            <w:pPr>
              <w:snapToGrid w:val="0"/>
              <w:spacing w:before="120" w:after="120"/>
              <w:ind w:left="317" w:right="172"/>
              <w:jc w:val="center"/>
              <w:rPr>
                <w:rFonts w:ascii="PP Mori SemiBold" w:eastAsia="DengXian" w:hAnsi="PP Mori SemiBold"/>
                <w:kern w:val="24"/>
                <w:szCs w:val="18"/>
                <w:lang w:eastAsia="en-AU"/>
              </w:rPr>
            </w:pPr>
            <w:r>
              <w:rPr>
                <w:rFonts w:ascii="PP Mori SemiBold" w:eastAsia="DengXian" w:hAnsi="PP Mori SemiBold"/>
                <w:i/>
                <w:kern w:val="24"/>
                <w:szCs w:val="18"/>
                <w:lang w:eastAsia="en-AU"/>
              </w:rPr>
              <w:t>H</w:t>
            </w:r>
            <w:r w:rsidRPr="00124661">
              <w:rPr>
                <w:rFonts w:ascii="PP Mori SemiBold" w:eastAsia="DengXian" w:hAnsi="PP Mori SemiBold"/>
                <w:i/>
                <w:kern w:val="24"/>
                <w:szCs w:val="18"/>
                <w:lang w:eastAsia="en-AU"/>
              </w:rPr>
              <w:t>ow is it being considered globally and what are key architectural and design considerations for success?”</w:t>
            </w:r>
          </w:p>
        </w:tc>
      </w:tr>
    </w:tbl>
    <w:p w14:paraId="23B4DB80" w14:textId="3B2E550F" w:rsidR="007F51E3" w:rsidRDefault="007F51E3" w:rsidP="007F51E3">
      <w:pPr>
        <w:spacing w:after="0"/>
      </w:pPr>
      <w:r w:rsidRPr="007F51E3">
        <w:t xml:space="preserve">Finally, given the breadth of matters relevant to the consideration of </w:t>
      </w:r>
      <w:r>
        <w:t>TDC</w:t>
      </w:r>
      <w:r w:rsidRPr="007F51E3">
        <w:t xml:space="preserve"> models, this report should be read in light of the development approach and limitations which are outlined in </w:t>
      </w:r>
      <w:r w:rsidR="003568C2">
        <w:t xml:space="preserve">        </w:t>
      </w:r>
      <w:r w:rsidRPr="007F51E3">
        <w:t xml:space="preserve"> </w:t>
      </w:r>
      <w:hyperlink w:anchor="S_2" w:history="1">
        <w:r w:rsidRPr="00E0019C">
          <w:rPr>
            <w:rStyle w:val="Hyperlink"/>
          </w:rPr>
          <w:t>Chapter 2</w:t>
        </w:r>
      </w:hyperlink>
      <w:r w:rsidRPr="007F51E3">
        <w:t xml:space="preserve"> below. </w:t>
      </w:r>
    </w:p>
    <w:p w14:paraId="0DE0D604" w14:textId="4B33431D" w:rsidR="00C65F53" w:rsidRPr="00887A8E" w:rsidRDefault="00FE3DDB" w:rsidP="00FE3DDB">
      <w:pPr>
        <w:pStyle w:val="Heading2"/>
        <w:spacing w:before="240"/>
        <w:ind w:left="709" w:hanging="709"/>
      </w:pPr>
      <w:bookmarkStart w:id="9" w:name="_Toc205532824"/>
      <w:r>
        <w:t xml:space="preserve">National </w:t>
      </w:r>
      <w:bookmarkStart w:id="10" w:name="_Toc191547142"/>
      <w:r w:rsidR="00C65F53" w:rsidRPr="00887A8E">
        <w:t>Context</w:t>
      </w:r>
      <w:bookmarkEnd w:id="9"/>
    </w:p>
    <w:p w14:paraId="6AF51471" w14:textId="77777777" w:rsidR="00875FCE" w:rsidRPr="00875FCE" w:rsidRDefault="00875FCE" w:rsidP="00875FCE">
      <w:pPr>
        <w:snapToGrid w:val="0"/>
        <w:spacing w:before="120" w:after="120"/>
        <w:rPr>
          <w:rFonts w:eastAsia="DengXian"/>
          <w:kern w:val="24"/>
          <w:szCs w:val="18"/>
          <w:lang w:eastAsia="en-AU"/>
        </w:rPr>
      </w:pPr>
      <w:r w:rsidRPr="00875FCE">
        <w:rPr>
          <w:rFonts w:eastAsia="DengXian"/>
          <w:kern w:val="24"/>
          <w:szCs w:val="18"/>
          <w:lang w:eastAsia="en-AU"/>
        </w:rPr>
        <w:t xml:space="preserve">Electricity systems are some of the largest and most complex systems ever created by humans. Following decades of comparatively slow change, these critical societal systems are now experiencing a scale of structural transformation not seen since the dawn of electrification. </w:t>
      </w:r>
    </w:p>
    <w:p w14:paraId="44818495" w14:textId="77777777" w:rsidR="00875FCE" w:rsidRDefault="00875FCE" w:rsidP="00875FCE">
      <w:pPr>
        <w:snapToGrid w:val="0"/>
        <w:spacing w:before="120" w:after="120"/>
        <w:rPr>
          <w:rFonts w:eastAsia="DengXian"/>
          <w:kern w:val="24"/>
          <w:szCs w:val="18"/>
          <w:lang w:eastAsia="en-AU"/>
        </w:rPr>
      </w:pPr>
      <w:r w:rsidRPr="00875FCE">
        <w:rPr>
          <w:rFonts w:eastAsia="DengXian"/>
          <w:kern w:val="24"/>
          <w:szCs w:val="18"/>
          <w:lang w:eastAsia="en-AU"/>
        </w:rPr>
        <w:lastRenderedPageBreak/>
        <w:t xml:space="preserve">On numerous metrics Australia’s NEM is leading the way in navigating this complex and multi-faceted transformation. In this context, several formal initiatives   are currently reviewing key elements of the ‘as built’ NEM and each of these processes are expected to add value within their respective remits in the near to medium-term. It is likely that the recommendations of each of these initiatives will also have near, medium and long-term structural or ‘architectural’ implications that may benefit from a common set of reference materials. </w:t>
      </w:r>
    </w:p>
    <w:p w14:paraId="461C7855" w14:textId="77777777" w:rsidR="00B35590" w:rsidRPr="00B35590" w:rsidRDefault="00B35590" w:rsidP="00B35590">
      <w:pPr>
        <w:snapToGrid w:val="0"/>
        <w:spacing w:before="180" w:after="120"/>
        <w:rPr>
          <w:rFonts w:eastAsia="DengXian"/>
          <w:kern w:val="24"/>
          <w:szCs w:val="18"/>
          <w:lang w:eastAsia="en-AU"/>
        </w:rPr>
      </w:pPr>
      <w:r w:rsidRPr="00B35590">
        <w:rPr>
          <w:rFonts w:eastAsia="DengXian"/>
          <w:kern w:val="24"/>
          <w:szCs w:val="18"/>
          <w:lang w:eastAsia="en-AU"/>
        </w:rPr>
        <w:t xml:space="preserve">To help support such a foundation, this document is part of an integrated set of five reports developed under the Australian Research – Power System Transformation (AR-PST) initiative sponsored by Australia’s national science agency CSIRO and in collaboration with the Australian Energy Market Operator (AEMO). This reference set consists of the following reports: </w:t>
      </w:r>
    </w:p>
    <w:p w14:paraId="4D412A85" w14:textId="77777777" w:rsidR="00B35590" w:rsidRPr="00B35590" w:rsidRDefault="00B35590" w:rsidP="009E656A">
      <w:pPr>
        <w:numPr>
          <w:ilvl w:val="0"/>
          <w:numId w:val="8"/>
        </w:numPr>
        <w:spacing w:before="180" w:after="120" w:line="252" w:lineRule="auto"/>
        <w:ind w:left="714" w:hanging="357"/>
        <w:rPr>
          <w:lang w:eastAsia="en-AU"/>
        </w:rPr>
      </w:pPr>
      <w:r w:rsidRPr="00B35590">
        <w:rPr>
          <w:rFonts w:ascii="PP Mori SemiBold" w:hAnsi="PP Mori SemiBold"/>
          <w:color w:val="013C4C" w:themeColor="text1"/>
          <w:lang w:eastAsia="en-AU"/>
        </w:rPr>
        <w:t>Report 1:</w:t>
      </w:r>
      <w:r w:rsidRPr="00B35590">
        <w:rPr>
          <w:color w:val="013C4C" w:themeColor="text1"/>
          <w:lang w:eastAsia="en-AU"/>
        </w:rPr>
        <w:t xml:space="preserve">  </w:t>
      </w:r>
      <w:r w:rsidRPr="00B35590">
        <w:rPr>
          <w:lang w:eastAsia="en-AU"/>
        </w:rPr>
        <w:t xml:space="preserve">Future Customer &amp; Societal Objectives </w:t>
      </w:r>
    </w:p>
    <w:p w14:paraId="580921C2" w14:textId="77777777" w:rsidR="00B35590" w:rsidRPr="00B35590" w:rsidRDefault="00B35590" w:rsidP="009E656A">
      <w:pPr>
        <w:numPr>
          <w:ilvl w:val="0"/>
          <w:numId w:val="8"/>
        </w:numPr>
        <w:spacing w:before="180" w:after="120" w:line="252" w:lineRule="auto"/>
        <w:ind w:left="714" w:hanging="357"/>
        <w:rPr>
          <w:lang w:eastAsia="en-AU"/>
        </w:rPr>
      </w:pPr>
      <w:r w:rsidRPr="00B35590">
        <w:rPr>
          <w:rFonts w:ascii="PP Mori SemiBold" w:hAnsi="PP Mori SemiBold"/>
          <w:color w:val="013C4C" w:themeColor="text1"/>
          <w:lang w:eastAsia="en-AU"/>
        </w:rPr>
        <w:t>Report 2:</w:t>
      </w:r>
      <w:r w:rsidRPr="00B35590">
        <w:rPr>
          <w:color w:val="013C4C" w:themeColor="text1"/>
          <w:lang w:eastAsia="en-AU"/>
        </w:rPr>
        <w:t xml:space="preserve">  </w:t>
      </w:r>
      <w:r w:rsidRPr="00B35590">
        <w:rPr>
          <w:lang w:eastAsia="en-AU"/>
        </w:rPr>
        <w:t xml:space="preserve">Emerging Trends Driving Transformation </w:t>
      </w:r>
    </w:p>
    <w:p w14:paraId="7160E976" w14:textId="77777777" w:rsidR="00B35590" w:rsidRPr="00B35590" w:rsidRDefault="00B35590" w:rsidP="009E656A">
      <w:pPr>
        <w:numPr>
          <w:ilvl w:val="0"/>
          <w:numId w:val="8"/>
        </w:numPr>
        <w:spacing w:before="180" w:after="120" w:line="252" w:lineRule="auto"/>
        <w:ind w:left="714" w:hanging="357"/>
        <w:rPr>
          <w:lang w:eastAsia="en-AU"/>
        </w:rPr>
      </w:pPr>
      <w:r w:rsidRPr="00B35590">
        <w:rPr>
          <w:rFonts w:ascii="PP Mori SemiBold" w:hAnsi="PP Mori SemiBold"/>
          <w:color w:val="013C4C" w:themeColor="text1"/>
          <w:lang w:eastAsia="en-AU"/>
        </w:rPr>
        <w:t>Report 3:</w:t>
      </w:r>
      <w:r w:rsidRPr="00B35590">
        <w:rPr>
          <w:color w:val="013C4C" w:themeColor="text1"/>
          <w:lang w:eastAsia="en-AU"/>
        </w:rPr>
        <w:t xml:space="preserve">  </w:t>
      </w:r>
      <w:r w:rsidRPr="00B35590">
        <w:rPr>
          <w:lang w:eastAsia="en-AU"/>
        </w:rPr>
        <w:t>Systemic Issues &amp; Transformation Risks</w:t>
      </w:r>
    </w:p>
    <w:p w14:paraId="2DE959D7" w14:textId="77777777" w:rsidR="00B35590" w:rsidRPr="00B35590" w:rsidRDefault="00B35590" w:rsidP="009E656A">
      <w:pPr>
        <w:numPr>
          <w:ilvl w:val="0"/>
          <w:numId w:val="8"/>
        </w:numPr>
        <w:spacing w:before="180" w:after="120" w:line="252" w:lineRule="auto"/>
        <w:ind w:left="714" w:hanging="357"/>
        <w:rPr>
          <w:lang w:eastAsia="en-AU"/>
        </w:rPr>
      </w:pPr>
      <w:r w:rsidRPr="00B35590">
        <w:rPr>
          <w:rFonts w:ascii="PP Mori SemiBold" w:hAnsi="PP Mori SemiBold"/>
          <w:color w:val="013C4C" w:themeColor="text1"/>
          <w:lang w:eastAsia="en-AU"/>
        </w:rPr>
        <w:t>Report 4:</w:t>
      </w:r>
      <w:r w:rsidRPr="00B35590">
        <w:rPr>
          <w:color w:val="013C4C" w:themeColor="text1"/>
          <w:lang w:eastAsia="en-AU"/>
        </w:rPr>
        <w:t xml:space="preserve">  </w:t>
      </w:r>
      <w:r w:rsidRPr="00B35590">
        <w:rPr>
          <w:lang w:eastAsia="en-AU"/>
        </w:rPr>
        <w:t xml:space="preserve">Distribution System Operator (DSO) Models </w:t>
      </w:r>
    </w:p>
    <w:p w14:paraId="6C285E40" w14:textId="77777777" w:rsidR="00B35590" w:rsidRPr="00B35590" w:rsidRDefault="00B35590" w:rsidP="009E656A">
      <w:pPr>
        <w:numPr>
          <w:ilvl w:val="0"/>
          <w:numId w:val="8"/>
        </w:numPr>
        <w:spacing w:before="180" w:after="0" w:line="252" w:lineRule="auto"/>
        <w:ind w:left="714" w:hanging="357"/>
        <w:rPr>
          <w:lang w:eastAsia="en-AU"/>
        </w:rPr>
      </w:pPr>
      <w:r w:rsidRPr="00B35590">
        <w:rPr>
          <w:rFonts w:ascii="PP Mori SemiBold" w:hAnsi="PP Mori SemiBold"/>
          <w:color w:val="013C4C" w:themeColor="text1"/>
          <w:lang w:eastAsia="en-AU"/>
        </w:rPr>
        <w:t>Report 5:</w:t>
      </w:r>
      <w:r w:rsidRPr="00B35590">
        <w:rPr>
          <w:color w:val="013C4C" w:themeColor="text1"/>
          <w:lang w:eastAsia="en-AU"/>
        </w:rPr>
        <w:t xml:space="preserve">  </w:t>
      </w:r>
      <w:r w:rsidRPr="00B35590">
        <w:rPr>
          <w:lang w:eastAsia="en-AU"/>
        </w:rPr>
        <w:t xml:space="preserve">Transmission-Distribution Coordination (TDC) </w:t>
      </w:r>
    </w:p>
    <w:p w14:paraId="4E0D41D7" w14:textId="40E2186F" w:rsidR="00856D20" w:rsidRPr="00E91535" w:rsidRDefault="003858AE" w:rsidP="00E91535">
      <w:bookmarkStart w:id="11" w:name="F_1"/>
      <w:r w:rsidRPr="00E91535">
        <w:rPr>
          <w:noProof/>
        </w:rPr>
        <w:drawing>
          <wp:inline distT="0" distB="0" distL="0" distR="0" wp14:anchorId="3CD0325E" wp14:editId="6560D222">
            <wp:extent cx="5219700" cy="2342515"/>
            <wp:effectExtent l="0" t="0" r="0" b="635"/>
            <wp:docPr id="1983607190"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07190" name="Picture 1" descr="A diagram of a system&#10;&#10;AI-generated content may be incorrect."/>
                    <pic:cNvPicPr/>
                  </pic:nvPicPr>
                  <pic:blipFill>
                    <a:blip r:embed="rId15"/>
                    <a:stretch>
                      <a:fillRect/>
                    </a:stretch>
                  </pic:blipFill>
                  <pic:spPr>
                    <a:xfrm>
                      <a:off x="0" y="0"/>
                      <a:ext cx="5219700" cy="2342515"/>
                    </a:xfrm>
                    <a:prstGeom prst="rect">
                      <a:avLst/>
                    </a:prstGeom>
                  </pic:spPr>
                </pic:pic>
              </a:graphicData>
            </a:graphic>
          </wp:inline>
        </w:drawing>
      </w:r>
      <w:bookmarkEnd w:id="11"/>
    </w:p>
    <w:p w14:paraId="20770FEB" w14:textId="3A996BE5" w:rsidR="009B3123" w:rsidRDefault="00856D20" w:rsidP="005E3236">
      <w:pPr>
        <w:pStyle w:val="Caption"/>
        <w:spacing w:before="120" w:after="240"/>
      </w:pPr>
      <w:bookmarkStart w:id="12" w:name="_Toc205377437"/>
      <w:r>
        <w:t xml:space="preserve">Figure </w:t>
      </w:r>
      <w:fldSimple w:instr=" SEQ Figure \* ARABIC ">
        <w:r w:rsidR="00CE6CF1">
          <w:rPr>
            <w:noProof/>
          </w:rPr>
          <w:t>1</w:t>
        </w:r>
      </w:fldSimple>
      <w:r w:rsidRPr="0090051A">
        <w:t>: The five reports are designed to support an integrative approach to grid transformation</w:t>
      </w:r>
      <w:bookmarkEnd w:id="12"/>
    </w:p>
    <w:p w14:paraId="3BA3AF51" w14:textId="77777777" w:rsidR="00B35590" w:rsidRPr="00B35590" w:rsidRDefault="00B35590" w:rsidP="00B35590">
      <w:pPr>
        <w:snapToGrid w:val="0"/>
        <w:spacing w:before="180" w:after="120"/>
        <w:rPr>
          <w:rFonts w:eastAsia="DengXian"/>
          <w:kern w:val="24"/>
          <w:szCs w:val="18"/>
          <w:lang w:eastAsia="en-AU"/>
        </w:rPr>
      </w:pPr>
      <w:r w:rsidRPr="00B35590">
        <w:rPr>
          <w:rFonts w:eastAsia="DengXian"/>
          <w:kern w:val="24"/>
          <w:szCs w:val="18"/>
          <w:lang w:eastAsia="en-AU"/>
        </w:rPr>
        <w:t xml:space="preserve">Informed by Design Thinking, the first of the five reports explored customer and societal objectives for our future power systems.  This directly informed the development of the entire reference set and encouraged an overarching perspective that placed human and societal interests at the centre of the development process.  While more can always be done, and it must, this constructively challenged the application of technical, structural and other analyses employed to constantly recalibrate against supporting the achievement of diverse human and societal interests. </w:t>
      </w:r>
    </w:p>
    <w:p w14:paraId="41F06C6B" w14:textId="5FDFF994" w:rsidR="00B7160A" w:rsidRDefault="009F27A0" w:rsidP="00C11C8C">
      <w:pPr>
        <w:pStyle w:val="Heading2"/>
        <w:spacing w:before="240"/>
        <w:ind w:left="709" w:hanging="709"/>
      </w:pPr>
      <w:bookmarkStart w:id="13" w:name="_Toc205532825"/>
      <w:r>
        <w:lastRenderedPageBreak/>
        <w:t xml:space="preserve">Practical </w:t>
      </w:r>
      <w:r w:rsidR="00C65F53">
        <w:t>Rationale</w:t>
      </w:r>
      <w:bookmarkEnd w:id="13"/>
    </w:p>
    <w:p w14:paraId="1CFAC0E9" w14:textId="77777777" w:rsidR="00274C74" w:rsidRDefault="00274C74" w:rsidP="00BB77BA">
      <w:pPr>
        <w:snapToGrid w:val="0"/>
        <w:spacing w:before="180" w:after="120"/>
        <w:ind w:left="-142"/>
        <w:rPr>
          <w:rFonts w:eastAsia="DengXian"/>
          <w:kern w:val="24"/>
          <w:szCs w:val="18"/>
          <w:lang w:eastAsia="en-AU"/>
        </w:rPr>
      </w:pPr>
      <w:r w:rsidRPr="00274C74">
        <w:rPr>
          <w:rFonts w:eastAsia="DengXian"/>
          <w:kern w:val="24"/>
          <w:szCs w:val="18"/>
          <w:lang w:eastAsia="en-AU"/>
        </w:rPr>
        <w:t xml:space="preserve">In providing structural insight for navigating </w:t>
      </w:r>
      <w:r w:rsidR="00B23FA3">
        <w:rPr>
          <w:rFonts w:eastAsia="DengXian"/>
          <w:kern w:val="24"/>
          <w:szCs w:val="18"/>
          <w:lang w:eastAsia="en-AU"/>
        </w:rPr>
        <w:t>Australia’s grid t</w:t>
      </w:r>
      <w:r w:rsidR="00E530FD" w:rsidRPr="00E530FD">
        <w:rPr>
          <w:rFonts w:eastAsia="DengXian"/>
          <w:kern w:val="24"/>
          <w:szCs w:val="18"/>
          <w:lang w:eastAsia="en-AU"/>
        </w:rPr>
        <w:t xml:space="preserve">ransformation </w:t>
      </w:r>
      <w:r w:rsidRPr="00274C74">
        <w:rPr>
          <w:rFonts w:eastAsia="DengXian"/>
          <w:kern w:val="24"/>
          <w:szCs w:val="18"/>
          <w:lang w:eastAsia="en-AU"/>
        </w:rPr>
        <w:t>to 2035 and beyond, a key aim of these reports is to support</w:t>
      </w:r>
      <w:r w:rsidR="00E530FD" w:rsidRPr="00E530FD">
        <w:rPr>
          <w:rFonts w:eastAsia="DengXian"/>
          <w:kern w:val="24"/>
          <w:szCs w:val="18"/>
          <w:lang w:eastAsia="en-AU"/>
        </w:rPr>
        <w:t xml:space="preserve"> the </w:t>
      </w:r>
      <w:r w:rsidRPr="00274C74">
        <w:rPr>
          <w:rFonts w:eastAsia="DengXian"/>
          <w:kern w:val="24"/>
          <w:szCs w:val="18"/>
          <w:lang w:eastAsia="en-AU"/>
        </w:rPr>
        <w:t>emergence of robust and future-scalable DSO models together with the related</w:t>
      </w:r>
      <w:r w:rsidR="00E530FD" w:rsidRPr="00E530FD">
        <w:rPr>
          <w:rFonts w:eastAsia="DengXian"/>
          <w:kern w:val="24"/>
          <w:szCs w:val="18"/>
          <w:lang w:eastAsia="en-AU"/>
        </w:rPr>
        <w:t xml:space="preserve"> Transmission-Distribution Coordination (TDC) </w:t>
      </w:r>
      <w:r w:rsidRPr="00274C74">
        <w:rPr>
          <w:rFonts w:eastAsia="DengXian"/>
          <w:kern w:val="24"/>
          <w:szCs w:val="18"/>
          <w:lang w:eastAsia="en-AU"/>
        </w:rPr>
        <w:t xml:space="preserve">capability. </w:t>
      </w:r>
    </w:p>
    <w:p w14:paraId="263EEE5A" w14:textId="43FD1CBB" w:rsidR="00534B79" w:rsidRDefault="00AB1377" w:rsidP="00AB1377">
      <w:pPr>
        <w:snapToGrid w:val="0"/>
        <w:spacing w:before="180" w:after="120"/>
        <w:ind w:left="-142"/>
        <w:rPr>
          <w:rFonts w:eastAsia="DengXian"/>
          <w:kern w:val="24"/>
          <w:szCs w:val="18"/>
          <w:lang w:eastAsia="en-AU"/>
        </w:rPr>
      </w:pPr>
      <w:r w:rsidRPr="00AB1377">
        <w:rPr>
          <w:rFonts w:eastAsia="DengXian"/>
          <w:kern w:val="24"/>
          <w:szCs w:val="18"/>
          <w:lang w:eastAsia="en-AU"/>
        </w:rPr>
        <w:t>As indicated previously, these capabilities are not an end in themselves. Rather, they are a necessary response to the profound forces of change now transforming how power systems like the NEM operate. While DSO and TDC models are themselves deeply transformative, it is the wide range of forces transforming our century old power systems that are driving their emergence as priorities.</w:t>
      </w:r>
      <w:r>
        <w:rPr>
          <w:rFonts w:eastAsia="DengXian"/>
          <w:kern w:val="24"/>
          <w:szCs w:val="18"/>
          <w:lang w:eastAsia="en-AU"/>
        </w:rPr>
        <w:t xml:space="preserve"> </w:t>
      </w:r>
      <w:r w:rsidR="004C42CF">
        <w:rPr>
          <w:rFonts w:eastAsia="DengXian"/>
          <w:kern w:val="24"/>
          <w:szCs w:val="18"/>
          <w:lang w:eastAsia="en-AU"/>
        </w:rPr>
        <w:t xml:space="preserve"> </w:t>
      </w:r>
      <w:r w:rsidR="00D20098" w:rsidRPr="00E530FD">
        <w:rPr>
          <w:rFonts w:eastAsia="DengXian"/>
          <w:kern w:val="24"/>
          <w:szCs w:val="18"/>
          <w:lang w:eastAsia="en-AU"/>
        </w:rPr>
        <w:t xml:space="preserve">This report focuses on </w:t>
      </w:r>
      <w:r w:rsidR="00D20098">
        <w:rPr>
          <w:rFonts w:eastAsia="DengXian"/>
          <w:kern w:val="24"/>
          <w:szCs w:val="18"/>
          <w:lang w:eastAsia="en-AU"/>
        </w:rPr>
        <w:t xml:space="preserve">TDC </w:t>
      </w:r>
      <w:r w:rsidR="00D20098" w:rsidRPr="00E530FD">
        <w:rPr>
          <w:rFonts w:eastAsia="DengXian"/>
          <w:kern w:val="24"/>
          <w:szCs w:val="18"/>
          <w:lang w:eastAsia="en-AU"/>
        </w:rPr>
        <w:t>as first and foremost a systems architecture and engineering challenge grounded in power system physics</w:t>
      </w:r>
      <w:r w:rsidR="00772EEE">
        <w:rPr>
          <w:rFonts w:eastAsia="DengXian"/>
          <w:kern w:val="24"/>
          <w:szCs w:val="18"/>
          <w:lang w:eastAsia="en-AU"/>
        </w:rPr>
        <w:t xml:space="preserve">. </w:t>
      </w:r>
    </w:p>
    <w:p w14:paraId="55AA3BD6" w14:textId="77777777" w:rsidR="009E2B63" w:rsidRPr="009E2B63" w:rsidRDefault="009E2B63" w:rsidP="009E2B63">
      <w:pPr>
        <w:snapToGrid w:val="0"/>
        <w:spacing w:before="180" w:after="120"/>
        <w:ind w:left="-142"/>
        <w:rPr>
          <w:rFonts w:eastAsia="DengXian"/>
          <w:kern w:val="24"/>
          <w:szCs w:val="18"/>
          <w:lang w:eastAsia="en-AU"/>
        </w:rPr>
      </w:pPr>
      <w:r w:rsidRPr="009E2B63">
        <w:rPr>
          <w:rFonts w:eastAsia="DengXian"/>
          <w:kern w:val="24"/>
          <w:szCs w:val="18"/>
          <w:lang w:eastAsia="en-AU"/>
        </w:rPr>
        <w:t>The global TDC literature is extensive often highly complex and jurisdiction specific. With that in view, this report has sought to extract the most useful summary insights from the global literature in a relatively succinct and navigable format.</w:t>
      </w:r>
      <w:r>
        <w:rPr>
          <w:rFonts w:eastAsia="DengXian"/>
          <w:kern w:val="24"/>
          <w:szCs w:val="18"/>
          <w:lang w:eastAsia="en-AU"/>
        </w:rPr>
        <w:t xml:space="preserve">  </w:t>
      </w:r>
      <w:r w:rsidRPr="009E2B63">
        <w:rPr>
          <w:rFonts w:eastAsia="DengXian"/>
          <w:kern w:val="24"/>
          <w:szCs w:val="18"/>
          <w:lang w:eastAsia="en-AU"/>
        </w:rPr>
        <w:t xml:space="preserve">Informed by the diverse global literature, the report seeks to distil the most relevant content in a structure that informs Australia’s power system transformation in general, and future architectural structures and transformation pathways in particular. </w:t>
      </w:r>
    </w:p>
    <w:p w14:paraId="485BFCBF" w14:textId="41EB74C2" w:rsidR="00CC6208" w:rsidRPr="00C53759" w:rsidRDefault="00D20098" w:rsidP="00BB77BA">
      <w:pPr>
        <w:snapToGrid w:val="0"/>
        <w:spacing w:before="180" w:after="120"/>
        <w:ind w:left="-142"/>
        <w:rPr>
          <w:rFonts w:eastAsia="DengXian"/>
          <w:kern w:val="24"/>
          <w:szCs w:val="18"/>
          <w:lang w:eastAsia="en-AU"/>
        </w:rPr>
      </w:pPr>
      <w:r>
        <w:rPr>
          <w:rFonts w:eastAsia="DengXian"/>
          <w:kern w:val="24"/>
          <w:szCs w:val="18"/>
          <w:lang w:eastAsia="en-AU"/>
        </w:rPr>
        <w:t xml:space="preserve">Importantly, </w:t>
      </w:r>
      <w:r w:rsidR="00DF0FE9">
        <w:rPr>
          <w:rFonts w:eastAsia="DengXian"/>
          <w:kern w:val="24"/>
          <w:szCs w:val="18"/>
          <w:lang w:eastAsia="en-AU"/>
        </w:rPr>
        <w:t xml:space="preserve">DSO and TDC are distinct but </w:t>
      </w:r>
      <w:r w:rsidR="00B55C45">
        <w:rPr>
          <w:rFonts w:eastAsia="DengXian"/>
          <w:kern w:val="24"/>
          <w:szCs w:val="18"/>
          <w:lang w:eastAsia="en-AU"/>
        </w:rPr>
        <w:t>highly complementary topics</w:t>
      </w:r>
      <w:r w:rsidR="00772EEE">
        <w:rPr>
          <w:rFonts w:eastAsia="DengXian"/>
          <w:kern w:val="24"/>
          <w:szCs w:val="18"/>
          <w:lang w:eastAsia="en-AU"/>
        </w:rPr>
        <w:t xml:space="preserve">. </w:t>
      </w:r>
      <w:r w:rsidR="001D1F70">
        <w:rPr>
          <w:rFonts w:eastAsia="DengXian"/>
          <w:kern w:val="24"/>
          <w:szCs w:val="18"/>
          <w:lang w:eastAsia="en-AU"/>
        </w:rPr>
        <w:t>B</w:t>
      </w:r>
      <w:r w:rsidR="00B13664">
        <w:rPr>
          <w:rFonts w:eastAsia="DengXian"/>
          <w:kern w:val="24"/>
          <w:szCs w:val="18"/>
          <w:lang w:eastAsia="en-AU"/>
        </w:rPr>
        <w:t xml:space="preserve">oth are </w:t>
      </w:r>
      <w:r w:rsidR="00B55C45">
        <w:rPr>
          <w:rFonts w:eastAsia="DengXian"/>
          <w:kern w:val="24"/>
          <w:szCs w:val="18"/>
          <w:lang w:eastAsia="en-AU"/>
        </w:rPr>
        <w:t xml:space="preserve">foundational </w:t>
      </w:r>
      <w:r w:rsidR="00E530FD" w:rsidRPr="00E530FD">
        <w:rPr>
          <w:rFonts w:eastAsia="DengXian"/>
          <w:kern w:val="24"/>
          <w:szCs w:val="18"/>
          <w:lang w:eastAsia="en-AU"/>
        </w:rPr>
        <w:t xml:space="preserve">structural interventions </w:t>
      </w:r>
      <w:r w:rsidR="00B55C45">
        <w:rPr>
          <w:rFonts w:eastAsia="DengXian"/>
          <w:kern w:val="24"/>
          <w:szCs w:val="18"/>
          <w:lang w:eastAsia="en-AU"/>
        </w:rPr>
        <w:t xml:space="preserve">needed to underpin </w:t>
      </w:r>
      <w:r w:rsidR="008B7EF9">
        <w:rPr>
          <w:rFonts w:eastAsia="DengXian"/>
          <w:kern w:val="24"/>
          <w:szCs w:val="18"/>
          <w:lang w:eastAsia="en-AU"/>
        </w:rPr>
        <w:t>a secure, cost-efficient</w:t>
      </w:r>
      <w:r w:rsidR="00DC4CEC">
        <w:rPr>
          <w:rFonts w:eastAsia="DengXian"/>
          <w:kern w:val="24"/>
          <w:szCs w:val="18"/>
          <w:lang w:eastAsia="en-AU"/>
        </w:rPr>
        <w:t xml:space="preserve">, decarbonised </w:t>
      </w:r>
      <w:r w:rsidR="00E530FD" w:rsidRPr="00E530FD">
        <w:rPr>
          <w:rFonts w:eastAsia="DengXian"/>
          <w:kern w:val="24"/>
          <w:szCs w:val="18"/>
          <w:lang w:eastAsia="en-AU"/>
        </w:rPr>
        <w:t>power system</w:t>
      </w:r>
      <w:r w:rsidR="005F53D4">
        <w:rPr>
          <w:rFonts w:eastAsia="DengXian"/>
          <w:kern w:val="24"/>
          <w:szCs w:val="18"/>
          <w:lang w:eastAsia="en-AU"/>
        </w:rPr>
        <w:t>.</w:t>
      </w:r>
      <w:r w:rsidR="00380ED9">
        <w:rPr>
          <w:rFonts w:eastAsia="DengXian"/>
          <w:kern w:val="24"/>
          <w:szCs w:val="18"/>
          <w:lang w:eastAsia="en-AU"/>
        </w:rPr>
        <w:t xml:space="preserve"> </w:t>
      </w:r>
      <w:r w:rsidR="00DE1CFC">
        <w:rPr>
          <w:rFonts w:eastAsia="DengXian"/>
          <w:kern w:val="24"/>
          <w:szCs w:val="18"/>
          <w:lang w:eastAsia="en-AU"/>
        </w:rPr>
        <w:t xml:space="preserve">Neither </w:t>
      </w:r>
      <w:r w:rsidR="001D1F70">
        <w:rPr>
          <w:rFonts w:eastAsia="DengXian"/>
          <w:kern w:val="24"/>
          <w:szCs w:val="18"/>
          <w:lang w:eastAsia="en-AU"/>
        </w:rPr>
        <w:t xml:space="preserve">topic </w:t>
      </w:r>
      <w:r w:rsidR="00DE1CFC">
        <w:rPr>
          <w:rFonts w:eastAsia="DengXian"/>
          <w:kern w:val="24"/>
          <w:szCs w:val="18"/>
          <w:lang w:eastAsia="en-AU"/>
        </w:rPr>
        <w:t xml:space="preserve">can </w:t>
      </w:r>
      <w:r w:rsidR="001D1F70">
        <w:rPr>
          <w:rFonts w:eastAsia="DengXian"/>
          <w:kern w:val="24"/>
          <w:szCs w:val="18"/>
          <w:lang w:eastAsia="en-AU"/>
        </w:rPr>
        <w:t xml:space="preserve">be adequately </w:t>
      </w:r>
      <w:r w:rsidR="00CF1029">
        <w:rPr>
          <w:rFonts w:eastAsia="DengXian"/>
          <w:kern w:val="24"/>
          <w:szCs w:val="18"/>
          <w:lang w:eastAsia="en-AU"/>
        </w:rPr>
        <w:t xml:space="preserve">considered </w:t>
      </w:r>
      <w:r w:rsidR="00CF1029" w:rsidRPr="00C53759">
        <w:rPr>
          <w:rFonts w:eastAsia="DengXian"/>
          <w:kern w:val="24"/>
          <w:szCs w:val="18"/>
          <w:lang w:eastAsia="en-AU"/>
        </w:rPr>
        <w:t xml:space="preserve">in isolation from </w:t>
      </w:r>
      <w:r w:rsidR="00262E99">
        <w:rPr>
          <w:rFonts w:eastAsia="DengXian"/>
          <w:kern w:val="24"/>
          <w:szCs w:val="18"/>
          <w:lang w:eastAsia="en-AU"/>
        </w:rPr>
        <w:t>the</w:t>
      </w:r>
      <w:r w:rsidR="00CF1029" w:rsidRPr="00C53759">
        <w:rPr>
          <w:rFonts w:eastAsia="DengXian"/>
          <w:kern w:val="24"/>
          <w:szCs w:val="18"/>
          <w:lang w:eastAsia="en-AU"/>
        </w:rPr>
        <w:t xml:space="preserve"> othe</w:t>
      </w:r>
      <w:r w:rsidR="001F17AC">
        <w:rPr>
          <w:rFonts w:eastAsia="DengXian"/>
          <w:kern w:val="24"/>
          <w:szCs w:val="18"/>
          <w:lang w:eastAsia="en-AU"/>
        </w:rPr>
        <w:t xml:space="preserve">r and, therefore, this </w:t>
      </w:r>
      <w:r w:rsidR="002B08F5">
        <w:rPr>
          <w:rFonts w:eastAsia="DengXian"/>
          <w:kern w:val="24"/>
          <w:szCs w:val="18"/>
          <w:lang w:eastAsia="en-AU"/>
        </w:rPr>
        <w:t>TDC r</w:t>
      </w:r>
      <w:r w:rsidR="00B7160A" w:rsidRPr="00C53759">
        <w:rPr>
          <w:rFonts w:eastAsia="DengXian"/>
          <w:kern w:val="24"/>
          <w:szCs w:val="18"/>
          <w:lang w:eastAsia="en-AU"/>
        </w:rPr>
        <w:t>eport</w:t>
      </w:r>
      <w:r w:rsidR="001F17AC">
        <w:rPr>
          <w:rFonts w:eastAsia="DengXian"/>
          <w:kern w:val="24"/>
          <w:szCs w:val="18"/>
          <w:lang w:eastAsia="en-AU"/>
        </w:rPr>
        <w:t xml:space="preserve"> </w:t>
      </w:r>
      <w:r w:rsidR="002B08F5">
        <w:rPr>
          <w:rFonts w:eastAsia="DengXian"/>
          <w:kern w:val="24"/>
          <w:szCs w:val="18"/>
          <w:lang w:eastAsia="en-AU"/>
        </w:rPr>
        <w:t xml:space="preserve">(Report 5) </w:t>
      </w:r>
      <w:r w:rsidR="0063726D" w:rsidRPr="00C53759">
        <w:rPr>
          <w:rFonts w:eastAsia="DengXian"/>
          <w:kern w:val="24"/>
          <w:szCs w:val="18"/>
          <w:lang w:eastAsia="en-AU"/>
        </w:rPr>
        <w:t xml:space="preserve">should be read </w:t>
      </w:r>
      <w:r w:rsidR="002B08F5">
        <w:rPr>
          <w:rFonts w:eastAsia="DengXian"/>
          <w:kern w:val="24"/>
          <w:szCs w:val="18"/>
          <w:lang w:eastAsia="en-AU"/>
        </w:rPr>
        <w:t xml:space="preserve">with its </w:t>
      </w:r>
      <w:r w:rsidR="00E34235" w:rsidRPr="00C53759">
        <w:rPr>
          <w:rFonts w:eastAsia="DengXian"/>
          <w:kern w:val="24"/>
          <w:szCs w:val="18"/>
          <w:lang w:eastAsia="en-AU"/>
        </w:rPr>
        <w:t xml:space="preserve">companion </w:t>
      </w:r>
      <w:r w:rsidR="002B08F5">
        <w:rPr>
          <w:rFonts w:eastAsia="DengXian"/>
          <w:kern w:val="24"/>
          <w:szCs w:val="18"/>
          <w:lang w:eastAsia="en-AU"/>
        </w:rPr>
        <w:t>DSO report (</w:t>
      </w:r>
      <w:r w:rsidR="00CC6208" w:rsidRPr="00C53759">
        <w:rPr>
          <w:rFonts w:eastAsia="DengXian"/>
          <w:kern w:val="24"/>
          <w:szCs w:val="18"/>
          <w:lang w:eastAsia="en-AU"/>
        </w:rPr>
        <w:t>Report 4)</w:t>
      </w:r>
      <w:r w:rsidR="00772EEE">
        <w:rPr>
          <w:rFonts w:eastAsia="DengXian"/>
          <w:kern w:val="24"/>
          <w:szCs w:val="18"/>
          <w:lang w:eastAsia="en-AU"/>
        </w:rPr>
        <w:t xml:space="preserve">. </w:t>
      </w:r>
    </w:p>
    <w:p w14:paraId="019761C4" w14:textId="77777777" w:rsidR="009E2B63" w:rsidRDefault="009E2B63" w:rsidP="009E2B63">
      <w:pPr>
        <w:spacing w:before="0" w:after="160" w:line="259" w:lineRule="auto"/>
        <w:rPr>
          <w:rFonts w:ascii="PP Mori SemiBold" w:eastAsiaTheme="majorEastAsia" w:hAnsi="PP Mori SemiBold" w:cstheme="majorBidi"/>
          <w:color w:val="013C4C" w:themeColor="text1"/>
          <w:sz w:val="32"/>
          <w:szCs w:val="40"/>
        </w:rPr>
      </w:pPr>
      <w:r>
        <w:br w:type="page"/>
      </w:r>
    </w:p>
    <w:p w14:paraId="1B41C0EB" w14:textId="5D34F79A" w:rsidR="00BB53A9" w:rsidRDefault="00BB53A9" w:rsidP="00CD52C2">
      <w:pPr>
        <w:snapToGrid w:val="0"/>
        <w:spacing w:before="120" w:after="120"/>
        <w:ind w:left="-142"/>
        <w:sectPr w:rsidR="00BB53A9" w:rsidSect="00C20AD9">
          <w:headerReference w:type="default" r:id="rId16"/>
          <w:footerReference w:type="default" r:id="rId17"/>
          <w:pgSz w:w="11906" w:h="16838"/>
          <w:pgMar w:top="2552" w:right="1134" w:bottom="851" w:left="2552" w:header="709" w:footer="709" w:gutter="0"/>
          <w:cols w:space="708"/>
          <w:docGrid w:linePitch="360"/>
        </w:sectPr>
      </w:pPr>
    </w:p>
    <w:p w14:paraId="78A6C00A" w14:textId="7EBC0607" w:rsidR="002942EB" w:rsidRDefault="002942EB" w:rsidP="002942EB">
      <w:pPr>
        <w:pStyle w:val="Caption"/>
        <w:keepNext/>
      </w:pPr>
      <w:bookmarkStart w:id="14" w:name="Table_1"/>
      <w:r>
        <w:lastRenderedPageBreak/>
        <w:t xml:space="preserve">Table </w:t>
      </w:r>
      <w:fldSimple w:instr=" SEQ Table \* ARABIC ">
        <w:r w:rsidR="00CE6CF1">
          <w:rPr>
            <w:noProof/>
          </w:rPr>
          <w:t>1</w:t>
        </w:r>
      </w:fldSimple>
      <w:r>
        <w:t xml:space="preserve">: </w:t>
      </w:r>
      <w:r w:rsidRPr="007B6A0B">
        <w:t>An illustrative comparison of the scale of change impacting many GW-scale power systems globally</w:t>
      </w:r>
    </w:p>
    <w:p w14:paraId="0A2CE916" w14:textId="0D7C2FC2" w:rsidR="005252CF" w:rsidRDefault="002F3C88" w:rsidP="007A36E7">
      <w:pPr>
        <w:snapToGrid w:val="0"/>
        <w:spacing w:before="120" w:after="120"/>
        <w:ind w:left="851"/>
        <w:jc w:val="center"/>
        <w:rPr>
          <w:rFonts w:ascii="PP Mori SemiBold" w:eastAsiaTheme="majorEastAsia" w:hAnsi="PP Mori SemiBold" w:cstheme="majorBidi"/>
          <w:color w:val="002C38" w:themeColor="accent1" w:themeShade="BF"/>
          <w:sz w:val="26"/>
          <w:szCs w:val="33"/>
        </w:rPr>
        <w:sectPr w:rsidR="005252CF" w:rsidSect="00BB53A9">
          <w:pgSz w:w="16838" w:h="11906" w:orient="landscape"/>
          <w:pgMar w:top="2552" w:right="2552" w:bottom="1134" w:left="851" w:header="709" w:footer="709" w:gutter="0"/>
          <w:cols w:space="708"/>
          <w:docGrid w:linePitch="360"/>
        </w:sectPr>
      </w:pPr>
      <w:r>
        <w:rPr>
          <w:rFonts w:eastAsia="DengXian"/>
          <w:noProof/>
          <w:kern w:val="24"/>
          <w:szCs w:val="18"/>
          <w:lang w:eastAsia="en-AU"/>
        </w:rPr>
        <w:drawing>
          <wp:inline distT="0" distB="0" distL="0" distR="0" wp14:anchorId="7040EA7C" wp14:editId="36C0AC29">
            <wp:extent cx="8326105" cy="4511615"/>
            <wp:effectExtent l="0" t="0" r="0" b="3810"/>
            <wp:docPr id="3322302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8108" cy="4518119"/>
                    </a:xfrm>
                    <a:prstGeom prst="rect">
                      <a:avLst/>
                    </a:prstGeom>
                    <a:noFill/>
                  </pic:spPr>
                </pic:pic>
              </a:graphicData>
            </a:graphic>
          </wp:inline>
        </w:drawing>
      </w:r>
      <w:bookmarkEnd w:id="14"/>
    </w:p>
    <w:p w14:paraId="4D282F7B" w14:textId="489B0ED3" w:rsidR="003625E3" w:rsidRDefault="003625E3" w:rsidP="003625E3">
      <w:pPr>
        <w:pStyle w:val="Heading1"/>
      </w:pPr>
      <w:bookmarkStart w:id="15" w:name="_Toc205532826"/>
      <w:bookmarkStart w:id="16" w:name="S_2"/>
      <w:r>
        <w:lastRenderedPageBreak/>
        <w:t>Report Development Approach</w:t>
      </w:r>
      <w:bookmarkEnd w:id="10"/>
      <w:bookmarkEnd w:id="15"/>
      <w:r>
        <w:t xml:space="preserve"> </w:t>
      </w:r>
    </w:p>
    <w:bookmarkEnd w:id="16"/>
    <w:p w14:paraId="24235FD4" w14:textId="43A80925" w:rsidR="00123690" w:rsidRDefault="00123690" w:rsidP="00970121">
      <w:pPr>
        <w:spacing w:before="180" w:after="0" w:line="288" w:lineRule="auto"/>
        <w:rPr>
          <w:rFonts w:cs="Calibri"/>
          <w:szCs w:val="18"/>
        </w:rPr>
      </w:pPr>
      <w:r w:rsidRPr="0089040F">
        <w:rPr>
          <w:rFonts w:cs="Calibri"/>
          <w:szCs w:val="18"/>
        </w:rPr>
        <w:t xml:space="preserve">As illustrated in </w:t>
      </w:r>
      <w:hyperlink w:anchor="F_1" w:history="1">
        <w:r w:rsidRPr="00F37573">
          <w:rPr>
            <w:rStyle w:val="Hyperlink"/>
            <w:rFonts w:cs="Calibri"/>
            <w:szCs w:val="18"/>
          </w:rPr>
          <w:t>Figure 1</w:t>
        </w:r>
      </w:hyperlink>
      <w:r w:rsidRPr="0089040F">
        <w:rPr>
          <w:rFonts w:cs="Calibri"/>
          <w:szCs w:val="18"/>
        </w:rPr>
        <w:t xml:space="preserve"> (above), </w:t>
      </w:r>
      <w:r w:rsidR="003617C5">
        <w:rPr>
          <w:rFonts w:cs="Calibri"/>
          <w:szCs w:val="18"/>
        </w:rPr>
        <w:t>this</w:t>
      </w:r>
      <w:r w:rsidR="003617C5" w:rsidRPr="00926866">
        <w:rPr>
          <w:rFonts w:cs="Calibri"/>
          <w:szCs w:val="18"/>
        </w:rPr>
        <w:t xml:space="preserve"> report focuses on TDC as </w:t>
      </w:r>
      <w:r w:rsidR="003617C5">
        <w:rPr>
          <w:rFonts w:cs="Calibri"/>
          <w:szCs w:val="18"/>
        </w:rPr>
        <w:t>pri</w:t>
      </w:r>
      <w:r w:rsidR="00DA2BA8">
        <w:rPr>
          <w:rFonts w:cs="Calibri"/>
          <w:szCs w:val="18"/>
        </w:rPr>
        <w:t xml:space="preserve">marily as a physics-based </w:t>
      </w:r>
      <w:r w:rsidR="003617C5" w:rsidRPr="00926866">
        <w:rPr>
          <w:rFonts w:cs="Calibri"/>
          <w:szCs w:val="18"/>
        </w:rPr>
        <w:t>engineering challenge</w:t>
      </w:r>
      <w:r w:rsidR="00DA2BA8">
        <w:rPr>
          <w:rFonts w:cs="Calibri"/>
          <w:szCs w:val="18"/>
        </w:rPr>
        <w:t xml:space="preserve"> </w:t>
      </w:r>
      <w:r w:rsidR="00D76B74">
        <w:rPr>
          <w:rFonts w:cs="Calibri"/>
          <w:szCs w:val="18"/>
        </w:rPr>
        <w:t xml:space="preserve">which, in a complex transforming system, </w:t>
      </w:r>
      <w:r w:rsidR="00014DBD">
        <w:rPr>
          <w:rFonts w:cs="Calibri"/>
          <w:szCs w:val="18"/>
        </w:rPr>
        <w:t xml:space="preserve">is best </w:t>
      </w:r>
      <w:r w:rsidR="00FB3195">
        <w:rPr>
          <w:rFonts w:cs="Calibri"/>
          <w:szCs w:val="18"/>
        </w:rPr>
        <w:t xml:space="preserve">approached from the wider </w:t>
      </w:r>
      <w:r w:rsidR="00D76B74">
        <w:rPr>
          <w:rFonts w:cs="Calibri"/>
          <w:szCs w:val="18"/>
        </w:rPr>
        <w:t>context provided by Systems Architecture disciplines</w:t>
      </w:r>
      <w:r w:rsidR="00772EEE">
        <w:rPr>
          <w:rFonts w:cs="Calibri"/>
          <w:szCs w:val="18"/>
        </w:rPr>
        <w:t xml:space="preserve">. </w:t>
      </w:r>
      <w:r w:rsidR="00B92559">
        <w:rPr>
          <w:rFonts w:cs="Calibri"/>
          <w:szCs w:val="18"/>
        </w:rPr>
        <w:t>Key aspects of the</w:t>
      </w:r>
      <w:r>
        <w:rPr>
          <w:rFonts w:cs="Calibri"/>
          <w:szCs w:val="18"/>
        </w:rPr>
        <w:t xml:space="preserve"> report development </w:t>
      </w:r>
      <w:r w:rsidR="00B92559">
        <w:rPr>
          <w:rFonts w:cs="Calibri"/>
          <w:szCs w:val="18"/>
        </w:rPr>
        <w:t xml:space="preserve">are </w:t>
      </w:r>
      <w:r>
        <w:rPr>
          <w:rFonts w:cs="Calibri"/>
          <w:szCs w:val="18"/>
        </w:rPr>
        <w:t xml:space="preserve">outlined </w:t>
      </w:r>
      <w:r w:rsidRPr="0089040F">
        <w:rPr>
          <w:rFonts w:cs="Calibri"/>
          <w:szCs w:val="18"/>
        </w:rPr>
        <w:t>below.</w:t>
      </w:r>
      <w:r w:rsidRPr="00123690">
        <w:rPr>
          <w:rFonts w:cs="Calibri"/>
          <w:szCs w:val="18"/>
        </w:rPr>
        <w:t xml:space="preserve"> </w:t>
      </w:r>
    </w:p>
    <w:p w14:paraId="7CD3C3EC" w14:textId="18FC6708" w:rsidR="00970121" w:rsidRPr="00970121" w:rsidRDefault="00970121" w:rsidP="00C11C8C">
      <w:pPr>
        <w:pStyle w:val="Heading2"/>
        <w:spacing w:before="240"/>
        <w:ind w:left="709" w:hanging="709"/>
        <w:rPr>
          <w:lang w:val="en-US" w:eastAsia="en-US" w:bidi="ar-SA"/>
        </w:rPr>
      </w:pPr>
      <w:bookmarkStart w:id="17" w:name="_Toc205357945"/>
      <w:bookmarkStart w:id="18" w:name="_Toc205532827"/>
      <w:r w:rsidRPr="00970121">
        <w:t>Philosophy</w:t>
      </w:r>
      <w:bookmarkEnd w:id="17"/>
      <w:bookmarkEnd w:id="18"/>
    </w:p>
    <w:p w14:paraId="631030F7" w14:textId="6B674A1B" w:rsidR="00970121" w:rsidRPr="00970121" w:rsidRDefault="00970121" w:rsidP="00970121">
      <w:pPr>
        <w:spacing w:before="120" w:after="120" w:line="252" w:lineRule="auto"/>
      </w:pPr>
      <w:r w:rsidRPr="00970121">
        <w:t xml:space="preserve">The set of reports has been developed through the lens of Design Thinking and underpinned by Systems Engineering, Systems Architecture and related disciplines.  In doing so, it attempts to take a longer view of whole-system transformation relevant to the NEM and the increasingly critical role of DSO models for achieving the key objective of the federal National CER Roadmap initiative </w:t>
      </w:r>
      <w:r w:rsidRPr="001A6EF8">
        <w:fldChar w:fldCharType="begin"/>
      </w:r>
      <w:r w:rsidRPr="001A6EF8">
        <w:instrText xml:space="preserve"> ADDIN ZOTERO_ITEM CSL_CITATION {"citationID":"a1j96m64us6","properties":{"formattedCitation":"[1]","plainCitation":"[1]","noteIndex":0},"citationItems":[{"id":655,"uris":["http://zotero.org/users/local/2mgdH29P/items/6LVNU7TB"],"itemData":{"id":655,"type":"report","event-place":"GPO Box 3090 Canberra ACT 2601","publisher-place":"GPO Box 3090 Canberra ACT 2601","title":"National Consumer Energy Resources Roadmap - Powering Decarbonised Homes and Communities","URL":"https://www.energy.gov.au/sites/default/files/2024-07/national-consumer-energy-resources-roadmap.pdf","author":[{"literal":"Department of Climate Change, Energy, the Environment and Water (DCCEEW)"}],"issued":{"date-parts":[["2024",7]]}}}],"schema":"https://github.com/citation-style-language/schema/raw/master/csl-citation.json"} </w:instrText>
      </w:r>
      <w:r w:rsidRPr="001A6EF8">
        <w:fldChar w:fldCharType="separate"/>
      </w:r>
      <w:r w:rsidRPr="001A6EF8">
        <w:rPr>
          <w:rFonts w:cs="Times New Roman"/>
          <w:kern w:val="0"/>
        </w:rPr>
        <w:t>[1]</w:t>
      </w:r>
      <w:r w:rsidRPr="001A6EF8">
        <w:fldChar w:fldCharType="end"/>
      </w:r>
      <w:r w:rsidRPr="00970121">
        <w:t xml:space="preserve">. </w:t>
      </w:r>
    </w:p>
    <w:p w14:paraId="7F3353DC" w14:textId="5488C656" w:rsidR="00970121" w:rsidRPr="00970121" w:rsidRDefault="00970121" w:rsidP="00970121">
      <w:pPr>
        <w:spacing w:before="0" w:after="0" w:line="252" w:lineRule="auto"/>
        <w:jc w:val="center"/>
        <w:rPr>
          <w:i/>
          <w:iCs/>
          <w:color w:val="013C4C" w:themeColor="text1"/>
          <w:szCs w:val="22"/>
        </w:rPr>
      </w:pPr>
      <w:bookmarkStart w:id="19" w:name="F_2"/>
      <w:bookmarkStart w:id="20" w:name="_Toc205377438"/>
      <w:r w:rsidRPr="00970121">
        <w:rPr>
          <w:noProof/>
        </w:rPr>
        <w:drawing>
          <wp:inline distT="0" distB="0" distL="0" distR="0" wp14:anchorId="432DE04D" wp14:editId="4CFF2137">
            <wp:extent cx="5399405" cy="2641854"/>
            <wp:effectExtent l="0" t="0" r="0" b="6350"/>
            <wp:docPr id="1739618245" name="Picture 25" descr="A diagram of a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18245" name="Picture 25" descr="A diagram of a problem&#10;&#10;AI-generated content may be incorrect."/>
                    <pic:cNvPicPr/>
                  </pic:nvPicPr>
                  <pic:blipFill rotWithShape="1">
                    <a:blip r:embed="rId19" cstate="print">
                      <a:extLst>
                        <a:ext uri="{28A0092B-C50C-407E-A947-70E740481C1C}">
                          <a14:useLocalDpi xmlns:a14="http://schemas.microsoft.com/office/drawing/2010/main" val="0"/>
                        </a:ext>
                      </a:extLst>
                    </a:blip>
                    <a:srcRect t="5854" b="7171"/>
                    <a:stretch/>
                  </pic:blipFill>
                  <pic:spPr bwMode="auto">
                    <a:xfrm>
                      <a:off x="0" y="0"/>
                      <a:ext cx="5399405" cy="2641854"/>
                    </a:xfrm>
                    <a:prstGeom prst="rect">
                      <a:avLst/>
                    </a:prstGeom>
                    <a:ln>
                      <a:noFill/>
                    </a:ln>
                    <a:extLst>
                      <a:ext uri="{53640926-AAD7-44D8-BBD7-CCE9431645EC}">
                        <a14:shadowObscured xmlns:a14="http://schemas.microsoft.com/office/drawing/2010/main"/>
                      </a:ext>
                    </a:extLst>
                  </pic:spPr>
                </pic:pic>
              </a:graphicData>
            </a:graphic>
          </wp:inline>
        </w:drawing>
      </w:r>
      <w:bookmarkEnd w:id="19"/>
      <w:r w:rsidRPr="00970121">
        <w:br/>
      </w:r>
      <w:bookmarkStart w:id="21" w:name="_Ref204848292"/>
      <w:bookmarkStart w:id="22" w:name="_Toc205313100"/>
      <w:r w:rsidRPr="00970121">
        <w:rPr>
          <w:i/>
          <w:iCs/>
          <w:color w:val="013C4C" w:themeColor="text1"/>
          <w:szCs w:val="22"/>
        </w:rPr>
        <w:t xml:space="preserve">Figure </w:t>
      </w:r>
      <w:r w:rsidRPr="00970121">
        <w:rPr>
          <w:i/>
          <w:iCs/>
          <w:color w:val="013C4C" w:themeColor="text1"/>
          <w:szCs w:val="22"/>
        </w:rPr>
        <w:fldChar w:fldCharType="begin"/>
      </w:r>
      <w:r w:rsidRPr="00970121">
        <w:rPr>
          <w:i/>
          <w:iCs/>
          <w:color w:val="013C4C" w:themeColor="text1"/>
          <w:szCs w:val="22"/>
        </w:rPr>
        <w:instrText xml:space="preserve"> SEQ Figure \* ARABIC </w:instrText>
      </w:r>
      <w:r w:rsidRPr="00970121">
        <w:rPr>
          <w:i/>
          <w:iCs/>
          <w:color w:val="013C4C" w:themeColor="text1"/>
          <w:szCs w:val="22"/>
        </w:rPr>
        <w:fldChar w:fldCharType="separate"/>
      </w:r>
      <w:r w:rsidR="00CE6CF1">
        <w:rPr>
          <w:i/>
          <w:iCs/>
          <w:noProof/>
          <w:color w:val="013C4C" w:themeColor="text1"/>
          <w:szCs w:val="22"/>
        </w:rPr>
        <w:t>2</w:t>
      </w:r>
      <w:r w:rsidRPr="00970121">
        <w:rPr>
          <w:i/>
          <w:iCs/>
          <w:color w:val="013C4C" w:themeColor="text1"/>
          <w:szCs w:val="22"/>
        </w:rPr>
        <w:fldChar w:fldCharType="end"/>
      </w:r>
      <w:bookmarkEnd w:id="21"/>
      <w:r w:rsidRPr="00970121">
        <w:rPr>
          <w:i/>
          <w:iCs/>
          <w:color w:val="013C4C" w:themeColor="text1"/>
          <w:szCs w:val="22"/>
        </w:rPr>
        <w:t>: The reference set of five reports applies a Design Thinking approach to whole-system transformation underpinned by Systems Engineering and related disciplines</w:t>
      </w:r>
      <w:bookmarkEnd w:id="20"/>
      <w:bookmarkEnd w:id="22"/>
    </w:p>
    <w:p w14:paraId="6F2520D8" w14:textId="6ABB2757" w:rsidR="00970121" w:rsidRPr="00970121" w:rsidRDefault="00970121" w:rsidP="00970121">
      <w:pPr>
        <w:snapToGrid w:val="0"/>
        <w:spacing w:after="120"/>
        <w:rPr>
          <w:rFonts w:eastAsia="DengXian"/>
          <w:kern w:val="24"/>
          <w:szCs w:val="18"/>
          <w:lang w:eastAsia="en-AU"/>
        </w:rPr>
      </w:pPr>
      <w:r w:rsidRPr="00970121">
        <w:rPr>
          <w:rFonts w:eastAsia="DengXian"/>
          <w:kern w:val="24"/>
          <w:szCs w:val="18"/>
          <w:lang w:eastAsia="en-AU"/>
        </w:rPr>
        <w:t xml:space="preserve">As noted previously, the reference set is designed to underpin a subsequent Detailed Architecture process that provides an integrated approach for navigating Australia’s timely and efficient deployment of DSO and TDC models (i.e. ‘solution space’). As illustrated in </w:t>
      </w:r>
      <w:hyperlink w:anchor="F_2" w:history="1">
        <w:r w:rsidRPr="001A6EF8">
          <w:rPr>
            <w:rStyle w:val="Hyperlink"/>
          </w:rPr>
          <w:t>Figure 2</w:t>
        </w:r>
      </w:hyperlink>
      <w:r w:rsidRPr="00970121">
        <w:rPr>
          <w:rFonts w:eastAsia="DengXian"/>
          <w:kern w:val="24"/>
          <w:szCs w:val="18"/>
          <w:lang w:eastAsia="en-AU"/>
        </w:rPr>
        <w:t xml:space="preserve">, the five reports developed in AR-PST Stage 4 evaluate the divergent global and Australian content relevant to each of the topics covered (i.e. ‘problem space’). This enables a rigorous, objective and traceable means for reporting and converging on the most critical issues that must be addressed to develop future-ready solutions enabled by constructive multi-stakeholder collaboration. </w:t>
      </w:r>
    </w:p>
    <w:p w14:paraId="33D2682B" w14:textId="77777777" w:rsidR="00970121" w:rsidRDefault="00970121">
      <w:pPr>
        <w:spacing w:before="0" w:after="160" w:line="259" w:lineRule="auto"/>
        <w:rPr>
          <w:rFonts w:ascii="PP Mori SemiBold" w:eastAsiaTheme="majorEastAsia" w:hAnsi="PP Mori SemiBold" w:cstheme="majorBidi"/>
          <w:color w:val="002C38" w:themeColor="accent1" w:themeShade="BF"/>
          <w:sz w:val="26"/>
          <w:szCs w:val="33"/>
          <w:lang w:val="en-US" w:eastAsia="en-US" w:bidi="ar-SA"/>
        </w:rPr>
      </w:pPr>
      <w:bookmarkStart w:id="23" w:name="_Toc205357946"/>
      <w:r>
        <w:rPr>
          <w:rFonts w:ascii="PP Mori SemiBold" w:eastAsiaTheme="majorEastAsia" w:hAnsi="PP Mori SemiBold" w:cstheme="majorBidi"/>
          <w:color w:val="002C38" w:themeColor="accent1" w:themeShade="BF"/>
          <w:sz w:val="26"/>
          <w:szCs w:val="33"/>
          <w:lang w:val="en-US" w:eastAsia="en-US" w:bidi="ar-SA"/>
        </w:rPr>
        <w:br w:type="page"/>
      </w:r>
    </w:p>
    <w:p w14:paraId="7E69FD78" w14:textId="547AE7FF" w:rsidR="00970121" w:rsidRPr="00970121" w:rsidRDefault="00970121" w:rsidP="00C11C8C">
      <w:pPr>
        <w:pStyle w:val="Heading2"/>
        <w:spacing w:before="240"/>
        <w:ind w:left="709" w:hanging="709"/>
        <w:rPr>
          <w:lang w:val="en-US" w:eastAsia="en-US" w:bidi="ar-SA"/>
        </w:rPr>
      </w:pPr>
      <w:r w:rsidRPr="00970121">
        <w:lastRenderedPageBreak/>
        <w:tab/>
      </w:r>
      <w:bookmarkStart w:id="24" w:name="S_2_2_Definition"/>
      <w:bookmarkStart w:id="25" w:name="_Toc205532828"/>
      <w:r w:rsidRPr="00970121">
        <w:t>Working Definition</w:t>
      </w:r>
      <w:bookmarkEnd w:id="23"/>
      <w:bookmarkEnd w:id="24"/>
      <w:bookmarkEnd w:id="25"/>
    </w:p>
    <w:p w14:paraId="3D87C8C1" w14:textId="1C1799D0" w:rsidR="00123690" w:rsidRPr="002A4857" w:rsidRDefault="00123690" w:rsidP="00123690">
      <w:pPr>
        <w:spacing w:before="180" w:after="120" w:line="288" w:lineRule="auto"/>
        <w:rPr>
          <w:rFonts w:cs="Calibri"/>
          <w:szCs w:val="18"/>
        </w:rPr>
      </w:pPr>
      <w:r w:rsidRPr="002A4857">
        <w:rPr>
          <w:rFonts w:cs="Calibri"/>
          <w:szCs w:val="18"/>
        </w:rPr>
        <w:t xml:space="preserve">In developing the report, the following definition of </w:t>
      </w:r>
      <w:r w:rsidR="002A4857" w:rsidRPr="002A4857">
        <w:rPr>
          <w:rFonts w:cs="Calibri"/>
          <w:szCs w:val="18"/>
        </w:rPr>
        <w:t xml:space="preserve">Transmission-Distribution Coordination </w:t>
      </w:r>
      <w:r w:rsidR="00092217">
        <w:rPr>
          <w:rFonts w:cs="Calibri"/>
          <w:szCs w:val="18"/>
        </w:rPr>
        <w:t>(TDC)</w:t>
      </w:r>
      <w:r>
        <w:rPr>
          <w:rFonts w:cs="Calibri"/>
          <w:szCs w:val="18"/>
        </w:rPr>
        <w:t xml:space="preserve"> </w:t>
      </w:r>
      <w:r w:rsidRPr="002A4857">
        <w:rPr>
          <w:rFonts w:cs="Calibri"/>
          <w:szCs w:val="18"/>
        </w:rPr>
        <w:t xml:space="preserve">was </w:t>
      </w:r>
      <w:r w:rsidR="002A4857" w:rsidRPr="002A4857">
        <w:rPr>
          <w:rFonts w:cs="Calibri"/>
          <w:szCs w:val="18"/>
        </w:rPr>
        <w:t>distilled</w:t>
      </w:r>
      <w:r w:rsidRPr="002A4857">
        <w:rPr>
          <w:rFonts w:cs="Calibri"/>
          <w:szCs w:val="18"/>
        </w:rPr>
        <w:t xml:space="preserve">: </w:t>
      </w:r>
    </w:p>
    <w:p w14:paraId="72517E1B" w14:textId="67548807" w:rsidR="00F8600C" w:rsidRDefault="00F8600C" w:rsidP="00C21CD6">
      <w:pPr>
        <w:spacing w:before="120" w:after="120"/>
        <w:ind w:left="284" w:right="96"/>
        <w:rPr>
          <w:i/>
          <w:iCs/>
        </w:rPr>
      </w:pPr>
      <w:r>
        <w:rPr>
          <w:i/>
          <w:iCs/>
        </w:rPr>
        <w:t xml:space="preserve">A </w:t>
      </w:r>
      <w:r w:rsidR="004F2440">
        <w:rPr>
          <w:i/>
          <w:iCs/>
        </w:rPr>
        <w:t>f</w:t>
      </w:r>
      <w:r>
        <w:rPr>
          <w:i/>
          <w:iCs/>
        </w:rPr>
        <w:t xml:space="preserve">ormalised and increasingly automated approach for aligning system </w:t>
      </w:r>
      <w:r w:rsidRPr="00785231">
        <w:rPr>
          <w:i/>
          <w:iCs/>
        </w:rPr>
        <w:t>planning</w:t>
      </w:r>
      <w:r>
        <w:rPr>
          <w:i/>
          <w:iCs/>
        </w:rPr>
        <w:t xml:space="preserve">, </w:t>
      </w:r>
      <w:r w:rsidRPr="00785231">
        <w:rPr>
          <w:i/>
          <w:iCs/>
        </w:rPr>
        <w:t>operation</w:t>
      </w:r>
      <w:r>
        <w:rPr>
          <w:i/>
          <w:iCs/>
        </w:rPr>
        <w:t xml:space="preserve">al and </w:t>
      </w:r>
      <w:r w:rsidRPr="00785231">
        <w:rPr>
          <w:i/>
          <w:iCs/>
        </w:rPr>
        <w:t>marke</w:t>
      </w:r>
      <w:r>
        <w:rPr>
          <w:i/>
          <w:iCs/>
        </w:rPr>
        <w:t xml:space="preserve">t </w:t>
      </w:r>
      <w:r w:rsidRPr="00785231">
        <w:rPr>
          <w:i/>
          <w:iCs/>
        </w:rPr>
        <w:t>interactions</w:t>
      </w:r>
      <w:r>
        <w:rPr>
          <w:i/>
          <w:iCs/>
        </w:rPr>
        <w:t xml:space="preserve"> and related data exchanges across the System Operator (AEMO), </w:t>
      </w:r>
      <w:r w:rsidRPr="00785231">
        <w:rPr>
          <w:i/>
          <w:iCs/>
        </w:rPr>
        <w:t>Transmission Network</w:t>
      </w:r>
      <w:r>
        <w:rPr>
          <w:i/>
          <w:iCs/>
        </w:rPr>
        <w:t>s</w:t>
      </w:r>
      <w:r w:rsidRPr="00785231">
        <w:rPr>
          <w:i/>
          <w:iCs/>
        </w:rPr>
        <w:t xml:space="preserve"> </w:t>
      </w:r>
      <w:r>
        <w:rPr>
          <w:i/>
          <w:iCs/>
        </w:rPr>
        <w:t xml:space="preserve">and emerging </w:t>
      </w:r>
      <w:r w:rsidRPr="00785231">
        <w:rPr>
          <w:i/>
          <w:iCs/>
        </w:rPr>
        <w:t>Distribution System Operators</w:t>
      </w:r>
      <w:r>
        <w:rPr>
          <w:i/>
          <w:iCs/>
        </w:rPr>
        <w:t xml:space="preserve"> (DSO) </w:t>
      </w:r>
      <w:r w:rsidR="00C0746F">
        <w:rPr>
          <w:i/>
          <w:iCs/>
        </w:rPr>
        <w:t>to enable</w:t>
      </w:r>
      <w:r>
        <w:rPr>
          <w:i/>
          <w:iCs/>
        </w:rPr>
        <w:t xml:space="preserve"> </w:t>
      </w:r>
      <w:r w:rsidR="00C0746F">
        <w:rPr>
          <w:i/>
          <w:iCs/>
        </w:rPr>
        <w:t>secure,</w:t>
      </w:r>
      <w:r w:rsidR="00E14727">
        <w:rPr>
          <w:i/>
          <w:iCs/>
        </w:rPr>
        <w:t xml:space="preserve"> scalable and </w:t>
      </w:r>
      <w:r w:rsidR="00C0746F">
        <w:rPr>
          <w:i/>
          <w:iCs/>
        </w:rPr>
        <w:t xml:space="preserve">cost-efficient operation </w:t>
      </w:r>
      <w:r w:rsidR="00E14727">
        <w:rPr>
          <w:i/>
          <w:iCs/>
        </w:rPr>
        <w:t xml:space="preserve">of a </w:t>
      </w:r>
      <w:r>
        <w:rPr>
          <w:i/>
          <w:iCs/>
        </w:rPr>
        <w:t>decarbonising power syste</w:t>
      </w:r>
      <w:r w:rsidR="00E14727">
        <w:rPr>
          <w:i/>
          <w:iCs/>
        </w:rPr>
        <w:t>m</w:t>
      </w:r>
      <w:r>
        <w:rPr>
          <w:i/>
          <w:iCs/>
        </w:rPr>
        <w:t>.</w:t>
      </w:r>
      <w:r w:rsidRPr="00025FB4">
        <w:rPr>
          <w:i/>
          <w:iCs/>
        </w:rPr>
        <w:t xml:space="preserve"> </w:t>
      </w:r>
    </w:p>
    <w:p w14:paraId="3B5FBBAF" w14:textId="5109E332" w:rsidR="00F8600C" w:rsidRDefault="00F8600C" w:rsidP="00C21CD6">
      <w:pPr>
        <w:spacing w:before="120" w:after="120"/>
        <w:ind w:left="284" w:right="99"/>
        <w:rPr>
          <w:i/>
          <w:iCs/>
        </w:rPr>
      </w:pPr>
      <w:r>
        <w:rPr>
          <w:i/>
          <w:iCs/>
        </w:rPr>
        <w:t>TDC</w:t>
      </w:r>
      <w:r w:rsidRPr="00A44D79">
        <w:rPr>
          <w:i/>
          <w:iCs/>
        </w:rPr>
        <w:t xml:space="preserve"> </w:t>
      </w:r>
      <w:r>
        <w:rPr>
          <w:i/>
          <w:iCs/>
        </w:rPr>
        <w:t xml:space="preserve">becomes necessary as </w:t>
      </w:r>
      <w:r w:rsidRPr="0031610C">
        <w:rPr>
          <w:i/>
          <w:iCs/>
        </w:rPr>
        <w:t>power systems decarbonise</w:t>
      </w:r>
      <w:r>
        <w:rPr>
          <w:i/>
          <w:iCs/>
        </w:rPr>
        <w:t xml:space="preserve">, </w:t>
      </w:r>
      <w:r w:rsidRPr="0031610C">
        <w:rPr>
          <w:i/>
          <w:iCs/>
        </w:rPr>
        <w:t>conventional sources of generation and flexibility are progressively withdrawn</w:t>
      </w:r>
      <w:r>
        <w:rPr>
          <w:i/>
          <w:iCs/>
        </w:rPr>
        <w:t xml:space="preserve">, and </w:t>
      </w:r>
      <w:r w:rsidRPr="0031610C">
        <w:rPr>
          <w:i/>
          <w:iCs/>
        </w:rPr>
        <w:t xml:space="preserve">significant new volumes of supply, flexibility, buffering and system services must be sourced </w:t>
      </w:r>
      <w:r>
        <w:rPr>
          <w:i/>
          <w:iCs/>
        </w:rPr>
        <w:t>both upstream and downstream</w:t>
      </w:r>
      <w:r w:rsidR="00772EEE">
        <w:rPr>
          <w:i/>
          <w:iCs/>
        </w:rPr>
        <w:t xml:space="preserve">. </w:t>
      </w:r>
      <w:r w:rsidRPr="0031610C">
        <w:rPr>
          <w:i/>
          <w:iCs/>
        </w:rPr>
        <w:t xml:space="preserve">Unlike conventional grids where services were largely provided by upstream merchant resources, the transforming landscape will require </w:t>
      </w:r>
      <w:r w:rsidR="007E7C9B">
        <w:rPr>
          <w:i/>
          <w:iCs/>
        </w:rPr>
        <w:t>generation capacity</w:t>
      </w:r>
      <w:r w:rsidR="008E07F5">
        <w:rPr>
          <w:i/>
          <w:iCs/>
        </w:rPr>
        <w:t xml:space="preserve"> and system </w:t>
      </w:r>
      <w:r>
        <w:rPr>
          <w:i/>
          <w:iCs/>
        </w:rPr>
        <w:t>services</w:t>
      </w:r>
      <w:r w:rsidRPr="0031610C">
        <w:rPr>
          <w:i/>
          <w:iCs/>
        </w:rPr>
        <w:t xml:space="preserve"> to be sourced from </w:t>
      </w:r>
      <w:r w:rsidR="000A04F7">
        <w:rPr>
          <w:i/>
          <w:iCs/>
        </w:rPr>
        <w:t>thousands</w:t>
      </w:r>
      <w:r w:rsidRPr="0031610C">
        <w:rPr>
          <w:i/>
          <w:iCs/>
        </w:rPr>
        <w:t xml:space="preserve"> of utility-scale and millions of distributed resources.</w:t>
      </w:r>
    </w:p>
    <w:p w14:paraId="62AFF560" w14:textId="7559D4BF" w:rsidR="00F8600C" w:rsidRDefault="00F8600C" w:rsidP="00C21CD6">
      <w:pPr>
        <w:spacing w:before="120" w:after="120"/>
        <w:ind w:left="284" w:right="99"/>
        <w:rPr>
          <w:i/>
          <w:iCs/>
        </w:rPr>
      </w:pPr>
      <w:r w:rsidRPr="00903491">
        <w:rPr>
          <w:i/>
          <w:iCs/>
        </w:rPr>
        <w:t xml:space="preserve">In this </w:t>
      </w:r>
      <w:r>
        <w:rPr>
          <w:i/>
          <w:iCs/>
        </w:rPr>
        <w:t>increasingly</w:t>
      </w:r>
      <w:r w:rsidRPr="00903491">
        <w:rPr>
          <w:i/>
          <w:iCs/>
        </w:rPr>
        <w:t xml:space="preserve"> dynamic </w:t>
      </w:r>
      <w:r>
        <w:rPr>
          <w:i/>
          <w:iCs/>
        </w:rPr>
        <w:t xml:space="preserve">environment, </w:t>
      </w:r>
      <w:r w:rsidRPr="00903491">
        <w:rPr>
          <w:i/>
          <w:iCs/>
        </w:rPr>
        <w:t>active</w:t>
      </w:r>
      <w:r>
        <w:rPr>
          <w:i/>
          <w:iCs/>
        </w:rPr>
        <w:t xml:space="preserve"> operational</w:t>
      </w:r>
      <w:r w:rsidRPr="00903491">
        <w:rPr>
          <w:i/>
          <w:iCs/>
        </w:rPr>
        <w:t xml:space="preserve"> interdependence </w:t>
      </w:r>
      <w:r>
        <w:rPr>
          <w:i/>
          <w:iCs/>
        </w:rPr>
        <w:t xml:space="preserve">between upstream and downstream entities, resources and systems becomes essential to efficiently source, coordinate and co-optimise these services with the spatial and temporal needs of the end-to-end system. </w:t>
      </w:r>
    </w:p>
    <w:p w14:paraId="136544AF" w14:textId="77777777" w:rsidR="00F8600C" w:rsidRDefault="00F8600C" w:rsidP="00C21CD6">
      <w:pPr>
        <w:spacing w:before="120" w:after="120"/>
        <w:ind w:left="284" w:right="99"/>
        <w:rPr>
          <w:i/>
          <w:iCs/>
        </w:rPr>
      </w:pPr>
      <w:r>
        <w:rPr>
          <w:i/>
          <w:iCs/>
        </w:rPr>
        <w:t xml:space="preserve">Priority </w:t>
      </w:r>
      <w:r w:rsidRPr="00850582">
        <w:rPr>
          <w:i/>
          <w:iCs/>
        </w:rPr>
        <w:t xml:space="preserve">areas of </w:t>
      </w:r>
      <w:r>
        <w:rPr>
          <w:i/>
          <w:iCs/>
        </w:rPr>
        <w:t xml:space="preserve">TDC design </w:t>
      </w:r>
      <w:r w:rsidRPr="00850582">
        <w:rPr>
          <w:i/>
          <w:iCs/>
        </w:rPr>
        <w:t xml:space="preserve">are expected to include enhanced, low latency data </w:t>
      </w:r>
      <w:r>
        <w:rPr>
          <w:i/>
          <w:iCs/>
        </w:rPr>
        <w:t xml:space="preserve">transformations and </w:t>
      </w:r>
      <w:r w:rsidRPr="00850582">
        <w:rPr>
          <w:i/>
          <w:iCs/>
        </w:rPr>
        <w:t xml:space="preserve">exchange relevant to the joint management of </w:t>
      </w:r>
      <w:r>
        <w:rPr>
          <w:i/>
          <w:iCs/>
        </w:rPr>
        <w:t>f</w:t>
      </w:r>
      <w:r w:rsidRPr="00850582">
        <w:rPr>
          <w:i/>
          <w:iCs/>
        </w:rPr>
        <w:t>requency,</w:t>
      </w:r>
      <w:r w:rsidRPr="00850582">
        <w:rPr>
          <w:rFonts w:ascii="Cambria Math" w:hAnsi="Cambria Math" w:cs="Cambria Math"/>
          <w:i/>
          <w:iCs/>
        </w:rPr>
        <w:t> </w:t>
      </w:r>
      <w:r>
        <w:rPr>
          <w:i/>
          <w:iCs/>
        </w:rPr>
        <w:t>v</w:t>
      </w:r>
      <w:r w:rsidRPr="00850582">
        <w:rPr>
          <w:i/>
          <w:iCs/>
        </w:rPr>
        <w:t xml:space="preserve">oltage, </w:t>
      </w:r>
      <w:r>
        <w:rPr>
          <w:i/>
          <w:iCs/>
        </w:rPr>
        <w:t>c</w:t>
      </w:r>
      <w:r w:rsidRPr="00850582">
        <w:rPr>
          <w:i/>
          <w:iCs/>
        </w:rPr>
        <w:t xml:space="preserve">ongestion, </w:t>
      </w:r>
      <w:r>
        <w:rPr>
          <w:i/>
          <w:iCs/>
        </w:rPr>
        <w:t>e</w:t>
      </w:r>
      <w:r w:rsidRPr="00850582">
        <w:rPr>
          <w:i/>
          <w:iCs/>
        </w:rPr>
        <w:t>nergy</w:t>
      </w:r>
      <w:r w:rsidRPr="00850582">
        <w:rPr>
          <w:rFonts w:ascii="Cambria Math" w:hAnsi="Cambria Math" w:cs="Cambria Math"/>
          <w:i/>
          <w:iCs/>
        </w:rPr>
        <w:t> </w:t>
      </w:r>
      <w:r>
        <w:rPr>
          <w:i/>
          <w:iCs/>
        </w:rPr>
        <w:t>f</w:t>
      </w:r>
      <w:r w:rsidRPr="00850582">
        <w:rPr>
          <w:i/>
          <w:iCs/>
        </w:rPr>
        <w:t xml:space="preserve">lows, </w:t>
      </w:r>
      <w:r>
        <w:rPr>
          <w:i/>
          <w:iCs/>
        </w:rPr>
        <w:t>e</w:t>
      </w:r>
      <w:r w:rsidRPr="00850582">
        <w:rPr>
          <w:i/>
          <w:iCs/>
        </w:rPr>
        <w:t xml:space="preserve">ssential </w:t>
      </w:r>
      <w:r>
        <w:rPr>
          <w:i/>
          <w:iCs/>
        </w:rPr>
        <w:t>s</w:t>
      </w:r>
      <w:r w:rsidRPr="00850582">
        <w:rPr>
          <w:i/>
          <w:iCs/>
        </w:rPr>
        <w:t xml:space="preserve">ystem </w:t>
      </w:r>
      <w:r>
        <w:rPr>
          <w:i/>
          <w:iCs/>
        </w:rPr>
        <w:t>s</w:t>
      </w:r>
      <w:r w:rsidRPr="00850582">
        <w:rPr>
          <w:i/>
          <w:iCs/>
        </w:rPr>
        <w:t xml:space="preserve">ervices (ESS) and </w:t>
      </w:r>
      <w:r>
        <w:rPr>
          <w:i/>
          <w:iCs/>
        </w:rPr>
        <w:t>s</w:t>
      </w:r>
      <w:r w:rsidRPr="00850582">
        <w:rPr>
          <w:i/>
          <w:iCs/>
        </w:rPr>
        <w:t>upply</w:t>
      </w:r>
      <w:r>
        <w:rPr>
          <w:i/>
          <w:iCs/>
        </w:rPr>
        <w:t>-d</w:t>
      </w:r>
      <w:r w:rsidRPr="00850582">
        <w:rPr>
          <w:i/>
          <w:iCs/>
        </w:rPr>
        <w:t xml:space="preserve">emand </w:t>
      </w:r>
      <w:r>
        <w:rPr>
          <w:i/>
          <w:iCs/>
        </w:rPr>
        <w:t>balancing underpinned by end-to-end v</w:t>
      </w:r>
      <w:r w:rsidRPr="00850582">
        <w:rPr>
          <w:i/>
          <w:iCs/>
        </w:rPr>
        <w:t>isibility</w:t>
      </w:r>
      <w:r>
        <w:rPr>
          <w:i/>
          <w:iCs/>
        </w:rPr>
        <w:t xml:space="preserve"> and o</w:t>
      </w:r>
      <w:r w:rsidRPr="00850582">
        <w:rPr>
          <w:i/>
          <w:iCs/>
        </w:rPr>
        <w:t xml:space="preserve">perational </w:t>
      </w:r>
      <w:r>
        <w:rPr>
          <w:i/>
          <w:iCs/>
        </w:rPr>
        <w:t>c</w:t>
      </w:r>
      <w:r w:rsidRPr="00850582">
        <w:rPr>
          <w:i/>
          <w:iCs/>
        </w:rPr>
        <w:t>oordination</w:t>
      </w:r>
      <w:r w:rsidRPr="00850582">
        <w:rPr>
          <w:rFonts w:ascii="Cambria Math" w:hAnsi="Cambria Math" w:cs="Cambria Math"/>
          <w:i/>
          <w:iCs/>
        </w:rPr>
        <w:t> </w:t>
      </w:r>
      <w:r>
        <w:rPr>
          <w:i/>
          <w:iCs/>
        </w:rPr>
        <w:t>models.</w:t>
      </w:r>
    </w:p>
    <w:p w14:paraId="46BEFB20" w14:textId="5FEE030E" w:rsidR="001F494D" w:rsidRDefault="00783B60" w:rsidP="00F01D5A">
      <w:pPr>
        <w:spacing w:before="120" w:after="0" w:line="288" w:lineRule="auto"/>
        <w:rPr>
          <w:rFonts w:cs="Calibri"/>
          <w:szCs w:val="18"/>
        </w:rPr>
      </w:pPr>
      <w:r>
        <w:rPr>
          <w:rFonts w:cs="Calibri"/>
          <w:szCs w:val="18"/>
        </w:rPr>
        <w:t xml:space="preserve">For clarity, </w:t>
      </w:r>
      <w:r w:rsidR="00C406ED">
        <w:rPr>
          <w:rFonts w:cs="Calibri"/>
          <w:szCs w:val="18"/>
        </w:rPr>
        <w:t xml:space="preserve">advanced forms of </w:t>
      </w:r>
      <w:r w:rsidR="003C13AE" w:rsidRPr="001E3360">
        <w:rPr>
          <w:rFonts w:cs="Calibri"/>
          <w:szCs w:val="18"/>
        </w:rPr>
        <w:t>coordination</w:t>
      </w:r>
      <w:r w:rsidR="00C406ED">
        <w:rPr>
          <w:rFonts w:cs="Calibri"/>
          <w:szCs w:val="18"/>
        </w:rPr>
        <w:t xml:space="preserve"> between the transmission and distribution systems </w:t>
      </w:r>
      <w:r w:rsidR="003C13AE" w:rsidRPr="001E3360">
        <w:rPr>
          <w:rFonts w:cs="Calibri"/>
          <w:szCs w:val="18"/>
        </w:rPr>
        <w:t xml:space="preserve">must be considered </w:t>
      </w:r>
      <w:r w:rsidR="001B03DC">
        <w:rPr>
          <w:rFonts w:cs="Calibri"/>
          <w:szCs w:val="18"/>
        </w:rPr>
        <w:t xml:space="preserve">simultaneously from a </w:t>
      </w:r>
      <w:r w:rsidR="003C13AE" w:rsidRPr="001E3360">
        <w:rPr>
          <w:rFonts w:cs="Calibri"/>
          <w:szCs w:val="18"/>
        </w:rPr>
        <w:t>top-down</w:t>
      </w:r>
      <w:r w:rsidR="007F0901">
        <w:rPr>
          <w:rFonts w:cs="Calibri"/>
          <w:szCs w:val="18"/>
        </w:rPr>
        <w:t xml:space="preserve"> strategic policy </w:t>
      </w:r>
      <w:r w:rsidR="003C13AE" w:rsidRPr="001E3360">
        <w:rPr>
          <w:rFonts w:cs="Calibri"/>
          <w:szCs w:val="18"/>
        </w:rPr>
        <w:t>perspective</w:t>
      </w:r>
      <w:r w:rsidR="00661771">
        <w:rPr>
          <w:rFonts w:cs="Calibri"/>
          <w:szCs w:val="18"/>
        </w:rPr>
        <w:t xml:space="preserve"> focused on outcomes and a</w:t>
      </w:r>
      <w:r w:rsidR="003C13AE" w:rsidRPr="001E3360">
        <w:rPr>
          <w:rFonts w:cs="Calibri"/>
          <w:szCs w:val="18"/>
        </w:rPr>
        <w:t xml:space="preserve"> bottom-up </w:t>
      </w:r>
      <w:r w:rsidR="00487463">
        <w:rPr>
          <w:rFonts w:cs="Calibri"/>
          <w:szCs w:val="18"/>
        </w:rPr>
        <w:t xml:space="preserve">cyber-physical engineering </w:t>
      </w:r>
      <w:r w:rsidR="003C13AE" w:rsidRPr="001E3360">
        <w:rPr>
          <w:rFonts w:cs="Calibri"/>
          <w:szCs w:val="18"/>
        </w:rPr>
        <w:t>perspective</w:t>
      </w:r>
      <w:r w:rsidR="001B03DC" w:rsidRPr="001B03DC">
        <w:rPr>
          <w:rFonts w:cs="Calibri"/>
          <w:szCs w:val="18"/>
        </w:rPr>
        <w:t xml:space="preserve"> </w:t>
      </w:r>
      <w:r w:rsidR="001B03DC">
        <w:rPr>
          <w:rFonts w:cs="Calibri"/>
          <w:szCs w:val="18"/>
        </w:rPr>
        <w:t xml:space="preserve">focused on </w:t>
      </w:r>
      <w:r w:rsidR="00661771">
        <w:rPr>
          <w:rFonts w:cs="Calibri"/>
          <w:szCs w:val="18"/>
        </w:rPr>
        <w:t xml:space="preserve">practical </w:t>
      </w:r>
      <w:r w:rsidR="001B03DC" w:rsidRPr="001E3360">
        <w:rPr>
          <w:rFonts w:cs="Calibri"/>
          <w:szCs w:val="18"/>
        </w:rPr>
        <w:t>implementation</w:t>
      </w:r>
      <w:r w:rsidR="003C13AE" w:rsidRPr="001E3360">
        <w:rPr>
          <w:rFonts w:cs="Calibri"/>
          <w:szCs w:val="18"/>
        </w:rPr>
        <w:t xml:space="preserve">. The former typically falls under the topic of Transmission-Distribution Coordination (TDC) models, and the later </w:t>
      </w:r>
      <w:r w:rsidR="001F494D">
        <w:rPr>
          <w:rFonts w:cs="Calibri"/>
          <w:szCs w:val="18"/>
        </w:rPr>
        <w:t xml:space="preserve">under </w:t>
      </w:r>
      <w:r w:rsidR="003C13AE" w:rsidRPr="001E3360">
        <w:rPr>
          <w:rFonts w:cs="Calibri"/>
          <w:szCs w:val="18"/>
        </w:rPr>
        <w:t xml:space="preserve">Transmission-Distribution Interface (TDI) design, </w:t>
      </w:r>
      <w:r w:rsidR="00487463">
        <w:rPr>
          <w:rFonts w:cs="Calibri"/>
          <w:szCs w:val="18"/>
        </w:rPr>
        <w:t>al</w:t>
      </w:r>
      <w:r w:rsidR="003C13AE" w:rsidRPr="001E3360">
        <w:rPr>
          <w:rFonts w:cs="Calibri"/>
          <w:szCs w:val="18"/>
        </w:rPr>
        <w:t>though these labels are often used interchangeably</w:t>
      </w:r>
      <w:r w:rsidR="00487463">
        <w:rPr>
          <w:rFonts w:cs="Calibri"/>
          <w:szCs w:val="18"/>
        </w:rPr>
        <w:t xml:space="preserve"> in the literature</w:t>
      </w:r>
      <w:r w:rsidR="003C13AE" w:rsidRPr="001E3360">
        <w:rPr>
          <w:rFonts w:cs="Calibri"/>
          <w:szCs w:val="18"/>
        </w:rPr>
        <w:t xml:space="preserve">. </w:t>
      </w:r>
    </w:p>
    <w:p w14:paraId="546C67FA" w14:textId="221020BB" w:rsidR="003C13AE" w:rsidRPr="003C13AE" w:rsidRDefault="003C13AE" w:rsidP="00F01D5A">
      <w:pPr>
        <w:spacing w:before="120" w:after="0" w:line="288" w:lineRule="auto"/>
        <w:rPr>
          <w:rFonts w:cs="Calibri"/>
          <w:szCs w:val="18"/>
        </w:rPr>
      </w:pPr>
      <w:r w:rsidRPr="001E3360">
        <w:rPr>
          <w:rFonts w:cs="Calibri"/>
          <w:szCs w:val="18"/>
        </w:rPr>
        <w:t>For clarity, whe</w:t>
      </w:r>
      <w:r w:rsidR="00487463">
        <w:rPr>
          <w:rFonts w:cs="Calibri"/>
          <w:szCs w:val="18"/>
        </w:rPr>
        <w:t xml:space="preserve">n referring to the concept of </w:t>
      </w:r>
      <w:r w:rsidR="00E748A1">
        <w:rPr>
          <w:rFonts w:cs="Calibri"/>
          <w:szCs w:val="18"/>
        </w:rPr>
        <w:t>TDC</w:t>
      </w:r>
      <w:r w:rsidR="00487463">
        <w:rPr>
          <w:rFonts w:cs="Calibri"/>
          <w:szCs w:val="18"/>
        </w:rPr>
        <w:t xml:space="preserve">, this report </w:t>
      </w:r>
      <w:r w:rsidR="00E748A1">
        <w:rPr>
          <w:rFonts w:cs="Calibri"/>
          <w:szCs w:val="18"/>
        </w:rPr>
        <w:t xml:space="preserve">assumes the combined </w:t>
      </w:r>
      <w:r w:rsidRPr="003C13AE">
        <w:rPr>
          <w:rFonts w:cs="Calibri"/>
          <w:szCs w:val="18"/>
        </w:rPr>
        <w:t>asp</w:t>
      </w:r>
      <w:r w:rsidRPr="001E3360">
        <w:rPr>
          <w:rFonts w:cs="Calibri"/>
          <w:szCs w:val="18"/>
        </w:rPr>
        <w:t xml:space="preserve">ects of </w:t>
      </w:r>
      <w:r w:rsidR="004D4C8E">
        <w:rPr>
          <w:rFonts w:cs="Calibri"/>
          <w:szCs w:val="18"/>
        </w:rPr>
        <w:t xml:space="preserve">both </w:t>
      </w:r>
      <w:r w:rsidRPr="001E3360">
        <w:rPr>
          <w:rFonts w:cs="Calibri"/>
          <w:szCs w:val="18"/>
        </w:rPr>
        <w:t>TDC and TDI</w:t>
      </w:r>
      <w:r w:rsidR="00E748A1">
        <w:rPr>
          <w:rFonts w:cs="Calibri"/>
          <w:szCs w:val="18"/>
        </w:rPr>
        <w:t xml:space="preserve"> unless stated otherwise. </w:t>
      </w:r>
    </w:p>
    <w:p w14:paraId="782DD170" w14:textId="2061E6DB" w:rsidR="009E2B63" w:rsidRPr="009E2B63" w:rsidRDefault="009E2B63" w:rsidP="00C11C8C">
      <w:pPr>
        <w:pStyle w:val="Heading2"/>
        <w:spacing w:before="240"/>
        <w:ind w:left="709" w:hanging="709"/>
        <w:rPr>
          <w:lang w:val="en-US" w:eastAsia="en-US" w:bidi="ar-SA"/>
        </w:rPr>
      </w:pPr>
      <w:bookmarkStart w:id="26" w:name="_Toc205357947"/>
      <w:bookmarkStart w:id="27" w:name="S_2_3_Develop_Methodology"/>
      <w:bookmarkStart w:id="28" w:name="_Toc205532829"/>
      <w:r w:rsidRPr="009E2B63">
        <w:t>Development Methodology</w:t>
      </w:r>
      <w:bookmarkEnd w:id="26"/>
      <w:bookmarkEnd w:id="27"/>
      <w:bookmarkEnd w:id="28"/>
    </w:p>
    <w:p w14:paraId="115B5FBE" w14:textId="63D80CE2" w:rsidR="00431C8D" w:rsidRPr="00C21647" w:rsidRDefault="00431C8D" w:rsidP="00F01D5A">
      <w:pPr>
        <w:spacing w:before="120" w:after="120" w:line="288" w:lineRule="auto"/>
        <w:rPr>
          <w:rFonts w:cs="Calibri"/>
          <w:szCs w:val="18"/>
        </w:rPr>
      </w:pPr>
      <w:r w:rsidRPr="00C21647">
        <w:rPr>
          <w:rFonts w:cs="Calibri"/>
          <w:szCs w:val="18"/>
        </w:rPr>
        <w:t xml:space="preserve">The global literature </w:t>
      </w:r>
      <w:r w:rsidR="00EC0781" w:rsidRPr="00C21647">
        <w:rPr>
          <w:rFonts w:cs="Calibri"/>
          <w:szCs w:val="18"/>
        </w:rPr>
        <w:t xml:space="preserve">relevant to TDC models is extensive, </w:t>
      </w:r>
      <w:r w:rsidR="00DF74E8" w:rsidRPr="00C21647">
        <w:rPr>
          <w:rFonts w:cs="Calibri"/>
          <w:szCs w:val="18"/>
        </w:rPr>
        <w:t xml:space="preserve">often </w:t>
      </w:r>
      <w:r w:rsidR="00EC0781" w:rsidRPr="00C21647">
        <w:rPr>
          <w:rFonts w:cs="Calibri"/>
          <w:szCs w:val="18"/>
        </w:rPr>
        <w:t xml:space="preserve">highly complex </w:t>
      </w:r>
      <w:r w:rsidR="00DF74E8" w:rsidRPr="00C21647">
        <w:rPr>
          <w:rFonts w:cs="Calibri"/>
          <w:szCs w:val="18"/>
        </w:rPr>
        <w:t>and jurisdiction specific</w:t>
      </w:r>
      <w:r w:rsidR="00772EEE">
        <w:rPr>
          <w:rFonts w:cs="Calibri"/>
          <w:szCs w:val="18"/>
        </w:rPr>
        <w:t xml:space="preserve">. </w:t>
      </w:r>
      <w:r w:rsidR="00010857" w:rsidRPr="00C21647">
        <w:rPr>
          <w:rFonts w:cs="Calibri"/>
          <w:szCs w:val="18"/>
        </w:rPr>
        <w:t xml:space="preserve">By </w:t>
      </w:r>
      <w:r w:rsidR="00B17910" w:rsidRPr="00C21647">
        <w:rPr>
          <w:rFonts w:cs="Calibri"/>
          <w:szCs w:val="18"/>
        </w:rPr>
        <w:t>nature,</w:t>
      </w:r>
      <w:r w:rsidR="00010857" w:rsidRPr="00C21647">
        <w:rPr>
          <w:rFonts w:cs="Calibri"/>
          <w:szCs w:val="18"/>
        </w:rPr>
        <w:t xml:space="preserve"> it is d</w:t>
      </w:r>
      <w:r w:rsidR="00EC0781" w:rsidRPr="00C21647">
        <w:rPr>
          <w:rFonts w:cs="Calibri"/>
          <w:szCs w:val="18"/>
        </w:rPr>
        <w:t xml:space="preserve">ifficult </w:t>
      </w:r>
      <w:r w:rsidR="00010857" w:rsidRPr="00C21647">
        <w:rPr>
          <w:rFonts w:cs="Calibri"/>
          <w:szCs w:val="18"/>
        </w:rPr>
        <w:t xml:space="preserve">for decision makers to </w:t>
      </w:r>
      <w:r w:rsidR="00EC0781" w:rsidRPr="00C21647">
        <w:rPr>
          <w:rFonts w:cs="Calibri"/>
          <w:szCs w:val="18"/>
        </w:rPr>
        <w:t>penetrate</w:t>
      </w:r>
      <w:r w:rsidR="00010857" w:rsidRPr="00C21647">
        <w:rPr>
          <w:rFonts w:cs="Calibri"/>
          <w:szCs w:val="18"/>
        </w:rPr>
        <w:t xml:space="preserve"> and apply</w:t>
      </w:r>
      <w:r w:rsidR="00083348" w:rsidRPr="00C21647">
        <w:rPr>
          <w:rFonts w:cs="Calibri"/>
          <w:szCs w:val="18"/>
        </w:rPr>
        <w:t>, particularly in another context such as Australia</w:t>
      </w:r>
      <w:r w:rsidR="005F53D4">
        <w:rPr>
          <w:rFonts w:cs="Calibri"/>
          <w:szCs w:val="18"/>
        </w:rPr>
        <w:t xml:space="preserve">. </w:t>
      </w:r>
    </w:p>
    <w:p w14:paraId="02DE512D" w14:textId="3F0F81DF" w:rsidR="00F40BDB" w:rsidRPr="006E338F" w:rsidRDefault="003C5D77" w:rsidP="00F01D5A">
      <w:pPr>
        <w:spacing w:before="120" w:after="120" w:line="288" w:lineRule="auto"/>
        <w:rPr>
          <w:rFonts w:cs="Calibri"/>
          <w:szCs w:val="18"/>
        </w:rPr>
      </w:pPr>
      <w:r>
        <w:rPr>
          <w:rFonts w:cs="Calibri"/>
          <w:szCs w:val="18"/>
        </w:rPr>
        <w:t xml:space="preserve">Guided by the principles and methodologies outlined in </w:t>
      </w:r>
      <w:hyperlink w:anchor="Appendix_A" w:history="1">
        <w:r w:rsidR="008574C0" w:rsidRPr="00B35AED">
          <w:rPr>
            <w:rStyle w:val="Hyperlink"/>
          </w:rPr>
          <w:t>Appendix A</w:t>
        </w:r>
      </w:hyperlink>
      <w:r>
        <w:t>,</w:t>
      </w:r>
      <w:r>
        <w:rPr>
          <w:rFonts w:cs="Calibri"/>
          <w:szCs w:val="18"/>
        </w:rPr>
        <w:t xml:space="preserve"> </w:t>
      </w:r>
      <w:r w:rsidR="008574C0">
        <w:rPr>
          <w:rFonts w:cs="Calibri"/>
          <w:szCs w:val="18"/>
        </w:rPr>
        <w:t xml:space="preserve">the </w:t>
      </w:r>
      <w:r w:rsidR="00761714" w:rsidRPr="00C21647">
        <w:rPr>
          <w:rFonts w:cs="Calibri"/>
          <w:szCs w:val="18"/>
        </w:rPr>
        <w:t xml:space="preserve">report </w:t>
      </w:r>
      <w:r w:rsidR="00123690" w:rsidRPr="00C21647">
        <w:rPr>
          <w:rFonts w:cs="Calibri"/>
          <w:szCs w:val="18"/>
        </w:rPr>
        <w:t xml:space="preserve">development </w:t>
      </w:r>
      <w:r w:rsidR="00761714" w:rsidRPr="00C21647">
        <w:rPr>
          <w:rFonts w:cs="Calibri"/>
          <w:szCs w:val="18"/>
        </w:rPr>
        <w:t xml:space="preserve">required </w:t>
      </w:r>
      <w:r w:rsidR="00123690" w:rsidRPr="00C21647">
        <w:rPr>
          <w:rFonts w:cs="Calibri"/>
          <w:szCs w:val="18"/>
        </w:rPr>
        <w:t>several iterative loops</w:t>
      </w:r>
      <w:r w:rsidR="00321C27" w:rsidRPr="00C21647">
        <w:rPr>
          <w:rFonts w:cs="Calibri"/>
          <w:szCs w:val="18"/>
        </w:rPr>
        <w:t>,</w:t>
      </w:r>
      <w:r w:rsidR="00123690" w:rsidRPr="00C21647">
        <w:rPr>
          <w:rFonts w:cs="Calibri"/>
          <w:szCs w:val="18"/>
        </w:rPr>
        <w:t xml:space="preserve"> </w:t>
      </w:r>
      <w:r w:rsidR="00321C27" w:rsidRPr="00C21647">
        <w:rPr>
          <w:rFonts w:cs="Calibri"/>
          <w:szCs w:val="18"/>
        </w:rPr>
        <w:t>i</w:t>
      </w:r>
      <w:r w:rsidR="00870722" w:rsidRPr="00C21647">
        <w:rPr>
          <w:rFonts w:cs="Calibri"/>
          <w:szCs w:val="18"/>
        </w:rPr>
        <w:t xml:space="preserve">n </w:t>
      </w:r>
      <w:r w:rsidR="00870722" w:rsidRPr="006E338F">
        <w:rPr>
          <w:rFonts w:cs="Calibri"/>
          <w:szCs w:val="18"/>
        </w:rPr>
        <w:t xml:space="preserve">consultation with </w:t>
      </w:r>
      <w:r w:rsidR="00321C27" w:rsidRPr="006E338F">
        <w:rPr>
          <w:rFonts w:cs="Calibri"/>
          <w:szCs w:val="18"/>
        </w:rPr>
        <w:t>several</w:t>
      </w:r>
      <w:r w:rsidR="00870722" w:rsidRPr="006E338F">
        <w:rPr>
          <w:rFonts w:cs="Calibri"/>
          <w:szCs w:val="18"/>
        </w:rPr>
        <w:t xml:space="preserve"> Australian industry stakeholders and policy </w:t>
      </w:r>
      <w:r w:rsidR="007E73FC" w:rsidRPr="006E338F">
        <w:rPr>
          <w:rFonts w:cs="Calibri"/>
          <w:szCs w:val="18"/>
        </w:rPr>
        <w:t>representatives</w:t>
      </w:r>
      <w:r w:rsidR="00321C27" w:rsidRPr="006E338F">
        <w:rPr>
          <w:rFonts w:cs="Calibri"/>
          <w:szCs w:val="18"/>
        </w:rPr>
        <w:t xml:space="preserve">, </w:t>
      </w:r>
      <w:r w:rsidR="00C21647" w:rsidRPr="006E338F">
        <w:rPr>
          <w:rFonts w:cs="Calibri"/>
          <w:szCs w:val="18"/>
        </w:rPr>
        <w:t xml:space="preserve">through the </w:t>
      </w:r>
      <w:r w:rsidR="00F40BDB" w:rsidRPr="006E338F">
        <w:rPr>
          <w:rFonts w:cs="Calibri"/>
          <w:szCs w:val="18"/>
        </w:rPr>
        <w:t>following steps:</w:t>
      </w:r>
    </w:p>
    <w:p w14:paraId="25DCDE3A" w14:textId="7BF8669C" w:rsidR="00F40BDB" w:rsidRPr="006E338F" w:rsidRDefault="00F40BDB" w:rsidP="00470C91">
      <w:pPr>
        <w:numPr>
          <w:ilvl w:val="0"/>
          <w:numId w:val="9"/>
        </w:numPr>
        <w:spacing w:before="120" w:after="120" w:line="288" w:lineRule="auto"/>
        <w:ind w:left="714" w:hanging="357"/>
        <w:rPr>
          <w:rFonts w:cs="Calibri"/>
          <w:szCs w:val="18"/>
        </w:rPr>
      </w:pPr>
      <w:r w:rsidRPr="006E338F">
        <w:rPr>
          <w:rFonts w:cs="Calibri"/>
          <w:szCs w:val="18"/>
        </w:rPr>
        <w:lastRenderedPageBreak/>
        <w:t>Clarify the scope and purpose</w:t>
      </w:r>
      <w:r w:rsidR="00C21647" w:rsidRPr="006E338F">
        <w:rPr>
          <w:rFonts w:cs="Calibri"/>
          <w:szCs w:val="18"/>
        </w:rPr>
        <w:t xml:space="preserve"> relevant to Australia </w:t>
      </w:r>
      <w:r w:rsidR="00B606D9" w:rsidRPr="006E338F">
        <w:rPr>
          <w:rFonts w:cs="Calibri"/>
          <w:szCs w:val="18"/>
        </w:rPr>
        <w:t xml:space="preserve">and </w:t>
      </w:r>
      <w:r w:rsidRPr="006E338F">
        <w:rPr>
          <w:rFonts w:cs="Calibri"/>
          <w:szCs w:val="18"/>
        </w:rPr>
        <w:t>synthesise into a working draft table of contents for</w:t>
      </w:r>
      <w:r w:rsidR="00B606D9" w:rsidRPr="006E338F">
        <w:rPr>
          <w:rFonts w:cs="Calibri"/>
          <w:szCs w:val="18"/>
        </w:rPr>
        <w:t xml:space="preserve"> stakeholder review and feedback</w:t>
      </w:r>
      <w:r w:rsidR="00D94276" w:rsidRPr="006E338F">
        <w:rPr>
          <w:rFonts w:cs="Calibri"/>
          <w:szCs w:val="18"/>
        </w:rPr>
        <w:t>.</w:t>
      </w:r>
    </w:p>
    <w:p w14:paraId="60D49E88" w14:textId="6E841CFE" w:rsidR="00D94276" w:rsidRPr="006E338F" w:rsidRDefault="00D94276" w:rsidP="00470C91">
      <w:pPr>
        <w:numPr>
          <w:ilvl w:val="0"/>
          <w:numId w:val="9"/>
        </w:numPr>
        <w:spacing w:before="120" w:after="120" w:line="288" w:lineRule="auto"/>
        <w:ind w:left="714" w:hanging="357"/>
        <w:rPr>
          <w:rFonts w:cs="Calibri"/>
          <w:szCs w:val="18"/>
        </w:rPr>
      </w:pPr>
      <w:r w:rsidRPr="006E338F">
        <w:rPr>
          <w:rFonts w:cs="Calibri"/>
          <w:szCs w:val="18"/>
        </w:rPr>
        <w:t xml:space="preserve">Update the report structure informed by feedback provided by </w:t>
      </w:r>
      <w:r w:rsidR="003519B9">
        <w:rPr>
          <w:rFonts w:cs="Calibri"/>
          <w:szCs w:val="18"/>
        </w:rPr>
        <w:t>CSIRO,</w:t>
      </w:r>
      <w:r w:rsidR="003519B9" w:rsidRPr="006E338F">
        <w:rPr>
          <w:rFonts w:cs="Calibri"/>
          <w:szCs w:val="18"/>
        </w:rPr>
        <w:t xml:space="preserve"> </w:t>
      </w:r>
      <w:r w:rsidRPr="006E338F">
        <w:rPr>
          <w:rFonts w:cs="Calibri"/>
          <w:szCs w:val="18"/>
        </w:rPr>
        <w:t xml:space="preserve">AEMO and DNSP staff. </w:t>
      </w:r>
    </w:p>
    <w:p w14:paraId="2546175D" w14:textId="51537558" w:rsidR="00F40BDB" w:rsidRPr="006E338F" w:rsidRDefault="00F40BDB" w:rsidP="00470C91">
      <w:pPr>
        <w:numPr>
          <w:ilvl w:val="0"/>
          <w:numId w:val="9"/>
        </w:numPr>
        <w:spacing w:before="120" w:after="120" w:line="288" w:lineRule="auto"/>
        <w:ind w:left="714" w:hanging="357"/>
        <w:rPr>
          <w:rFonts w:cs="Calibri"/>
          <w:szCs w:val="18"/>
        </w:rPr>
      </w:pPr>
      <w:r w:rsidRPr="006E338F">
        <w:rPr>
          <w:rFonts w:cs="Calibri"/>
          <w:szCs w:val="18"/>
        </w:rPr>
        <w:t>Identify the most relevant sources from the expansive global literature</w:t>
      </w:r>
      <w:r w:rsidR="00195AB7">
        <w:rPr>
          <w:rFonts w:cs="Calibri"/>
          <w:szCs w:val="18"/>
        </w:rPr>
        <w:t xml:space="preserve"> with a particular focus on</w:t>
      </w:r>
      <w:r w:rsidR="00CB4F99">
        <w:rPr>
          <w:rFonts w:cs="Calibri"/>
          <w:szCs w:val="18"/>
        </w:rPr>
        <w:t xml:space="preserve"> the </w:t>
      </w:r>
      <w:r w:rsidR="00195AB7" w:rsidRPr="00304D22">
        <w:rPr>
          <w:rFonts w:cs="Calibri"/>
          <w:szCs w:val="18"/>
        </w:rPr>
        <w:t>United Kingdom, the United States, the European Union and Australia</w:t>
      </w:r>
      <w:r w:rsidR="00CB4F99">
        <w:rPr>
          <w:rFonts w:cs="Calibri"/>
          <w:szCs w:val="18"/>
        </w:rPr>
        <w:t xml:space="preserve">. </w:t>
      </w:r>
    </w:p>
    <w:p w14:paraId="0CFB0F6C" w14:textId="099CBD15" w:rsidR="00F40BDB" w:rsidRPr="006E338F" w:rsidRDefault="00F40BDB" w:rsidP="00470C91">
      <w:pPr>
        <w:numPr>
          <w:ilvl w:val="0"/>
          <w:numId w:val="9"/>
        </w:numPr>
        <w:spacing w:before="120" w:after="120" w:line="288" w:lineRule="auto"/>
        <w:ind w:left="714" w:hanging="357"/>
        <w:rPr>
          <w:rFonts w:cs="Calibri"/>
          <w:szCs w:val="18"/>
        </w:rPr>
      </w:pPr>
      <w:r w:rsidRPr="006E338F">
        <w:rPr>
          <w:rFonts w:cs="Calibri"/>
          <w:szCs w:val="18"/>
        </w:rPr>
        <w:t>Interrogate literature, capture insights targeted to TDC and harmonise and converge findings where consensus emerges</w:t>
      </w:r>
      <w:r w:rsidR="002D41DF" w:rsidRPr="006E338F">
        <w:rPr>
          <w:rFonts w:cs="Calibri"/>
          <w:szCs w:val="18"/>
        </w:rPr>
        <w:t>.</w:t>
      </w:r>
    </w:p>
    <w:p w14:paraId="168B6466" w14:textId="1872F88B" w:rsidR="00F40BDB" w:rsidRPr="006E338F" w:rsidRDefault="002D41DF" w:rsidP="00470C91">
      <w:pPr>
        <w:numPr>
          <w:ilvl w:val="0"/>
          <w:numId w:val="9"/>
        </w:numPr>
        <w:spacing w:before="120" w:after="120" w:line="288" w:lineRule="auto"/>
        <w:ind w:left="714" w:hanging="357"/>
        <w:rPr>
          <w:rFonts w:cs="Calibri"/>
          <w:szCs w:val="18"/>
        </w:rPr>
      </w:pPr>
      <w:r w:rsidRPr="006E338F">
        <w:rPr>
          <w:rFonts w:cs="Calibri"/>
          <w:szCs w:val="18"/>
        </w:rPr>
        <w:t>Further i</w:t>
      </w:r>
      <w:r w:rsidR="00F40BDB" w:rsidRPr="006E338F">
        <w:rPr>
          <w:rFonts w:cs="Calibri"/>
          <w:szCs w:val="18"/>
        </w:rPr>
        <w:t xml:space="preserve">terate </w:t>
      </w:r>
      <w:r w:rsidRPr="006E338F">
        <w:rPr>
          <w:rFonts w:cs="Calibri"/>
          <w:szCs w:val="18"/>
        </w:rPr>
        <w:t xml:space="preserve">the </w:t>
      </w:r>
      <w:r w:rsidR="00F40BDB" w:rsidRPr="006E338F">
        <w:rPr>
          <w:rFonts w:cs="Calibri"/>
          <w:szCs w:val="18"/>
        </w:rPr>
        <w:t xml:space="preserve">report </w:t>
      </w:r>
      <w:r w:rsidRPr="006E338F">
        <w:rPr>
          <w:rFonts w:cs="Calibri"/>
          <w:szCs w:val="18"/>
        </w:rPr>
        <w:t xml:space="preserve">structure </w:t>
      </w:r>
      <w:r w:rsidR="00F40BDB" w:rsidRPr="006E338F">
        <w:rPr>
          <w:rFonts w:cs="Calibri"/>
          <w:szCs w:val="18"/>
        </w:rPr>
        <w:t>reflecting insights from the literature</w:t>
      </w:r>
      <w:r w:rsidR="0082433A" w:rsidRPr="006E338F">
        <w:rPr>
          <w:rFonts w:cs="Calibri"/>
          <w:szCs w:val="18"/>
        </w:rPr>
        <w:t xml:space="preserve"> review</w:t>
      </w:r>
      <w:r w:rsidRPr="006E338F">
        <w:rPr>
          <w:rFonts w:cs="Calibri"/>
          <w:szCs w:val="18"/>
        </w:rPr>
        <w:t>.</w:t>
      </w:r>
    </w:p>
    <w:p w14:paraId="56354957" w14:textId="402EE9AF" w:rsidR="00F40BDB" w:rsidRPr="006E338F" w:rsidRDefault="00F40BDB" w:rsidP="00470C91">
      <w:pPr>
        <w:numPr>
          <w:ilvl w:val="0"/>
          <w:numId w:val="9"/>
        </w:numPr>
        <w:spacing w:before="120" w:after="120" w:line="288" w:lineRule="auto"/>
        <w:ind w:left="714" w:hanging="357"/>
        <w:rPr>
          <w:rFonts w:cs="Calibri"/>
          <w:szCs w:val="18"/>
        </w:rPr>
      </w:pPr>
      <w:r w:rsidRPr="006E338F">
        <w:rPr>
          <w:rFonts w:cs="Calibri"/>
          <w:szCs w:val="18"/>
        </w:rPr>
        <w:t xml:space="preserve">Synthesise </w:t>
      </w:r>
      <w:r w:rsidR="0082433A" w:rsidRPr="006E338F">
        <w:rPr>
          <w:rFonts w:cs="Calibri"/>
          <w:szCs w:val="18"/>
        </w:rPr>
        <w:t xml:space="preserve">key findings </w:t>
      </w:r>
      <w:r w:rsidRPr="006E338F">
        <w:rPr>
          <w:rFonts w:cs="Calibri"/>
          <w:szCs w:val="18"/>
        </w:rPr>
        <w:t xml:space="preserve">into the corresponding </w:t>
      </w:r>
      <w:r w:rsidR="0082433A" w:rsidRPr="006E338F">
        <w:rPr>
          <w:rFonts w:cs="Calibri"/>
          <w:szCs w:val="18"/>
        </w:rPr>
        <w:t xml:space="preserve">report </w:t>
      </w:r>
      <w:r w:rsidRPr="006E338F">
        <w:rPr>
          <w:rFonts w:cs="Calibri"/>
          <w:szCs w:val="18"/>
        </w:rPr>
        <w:t>section</w:t>
      </w:r>
      <w:r w:rsidR="0082433A" w:rsidRPr="006E338F">
        <w:rPr>
          <w:rFonts w:cs="Calibri"/>
          <w:szCs w:val="18"/>
        </w:rPr>
        <w:t>s</w:t>
      </w:r>
      <w:r w:rsidR="003F296E" w:rsidRPr="006E338F">
        <w:rPr>
          <w:rFonts w:cs="Calibri"/>
          <w:szCs w:val="18"/>
        </w:rPr>
        <w:t xml:space="preserve"> and i</w:t>
      </w:r>
      <w:r w:rsidRPr="006E338F">
        <w:rPr>
          <w:rFonts w:cs="Calibri"/>
          <w:szCs w:val="18"/>
        </w:rPr>
        <w:t xml:space="preserve">dentify gaps </w:t>
      </w:r>
      <w:r w:rsidR="003F296E" w:rsidRPr="006E338F">
        <w:rPr>
          <w:rFonts w:cs="Calibri"/>
          <w:szCs w:val="18"/>
        </w:rPr>
        <w:t xml:space="preserve">requiring </w:t>
      </w:r>
      <w:r w:rsidRPr="006E338F">
        <w:rPr>
          <w:rFonts w:cs="Calibri"/>
          <w:szCs w:val="18"/>
        </w:rPr>
        <w:t>further analysis</w:t>
      </w:r>
      <w:r w:rsidR="003F296E" w:rsidRPr="006E338F">
        <w:rPr>
          <w:rFonts w:cs="Calibri"/>
          <w:szCs w:val="18"/>
        </w:rPr>
        <w:t xml:space="preserve"> and </w:t>
      </w:r>
      <w:r w:rsidR="00DB1971" w:rsidRPr="006E338F">
        <w:rPr>
          <w:rFonts w:cs="Calibri"/>
          <w:szCs w:val="18"/>
        </w:rPr>
        <w:t>treatment</w:t>
      </w:r>
      <w:r w:rsidR="00772EEE">
        <w:rPr>
          <w:rFonts w:cs="Calibri"/>
          <w:szCs w:val="18"/>
        </w:rPr>
        <w:t xml:space="preserve">. </w:t>
      </w:r>
    </w:p>
    <w:p w14:paraId="6511957F" w14:textId="77777777" w:rsidR="00F40BDB" w:rsidRPr="006E338F" w:rsidRDefault="0024588D" w:rsidP="00470C91">
      <w:pPr>
        <w:numPr>
          <w:ilvl w:val="0"/>
          <w:numId w:val="9"/>
        </w:numPr>
        <w:spacing w:before="120" w:after="120" w:line="288" w:lineRule="auto"/>
        <w:ind w:left="714" w:hanging="357"/>
        <w:rPr>
          <w:rFonts w:cs="Calibri"/>
          <w:szCs w:val="18"/>
        </w:rPr>
      </w:pPr>
      <w:r w:rsidRPr="006E338F">
        <w:rPr>
          <w:rFonts w:cs="Calibri"/>
          <w:szCs w:val="18"/>
        </w:rPr>
        <w:t xml:space="preserve">Undertake stakeholder review of the draft report, </w:t>
      </w:r>
      <w:r w:rsidR="006E338F" w:rsidRPr="006E338F">
        <w:rPr>
          <w:rFonts w:cs="Calibri"/>
          <w:szCs w:val="18"/>
        </w:rPr>
        <w:t xml:space="preserve">integrate </w:t>
      </w:r>
      <w:r w:rsidRPr="006E338F">
        <w:rPr>
          <w:rFonts w:cs="Calibri"/>
          <w:szCs w:val="18"/>
        </w:rPr>
        <w:t xml:space="preserve">feedback </w:t>
      </w:r>
      <w:r w:rsidR="006E338F" w:rsidRPr="006E338F">
        <w:rPr>
          <w:rFonts w:cs="Calibri"/>
          <w:szCs w:val="18"/>
        </w:rPr>
        <w:t xml:space="preserve">and finalise report. </w:t>
      </w:r>
    </w:p>
    <w:p w14:paraId="20FA914E" w14:textId="45256E5C" w:rsidR="00511F7E" w:rsidRPr="00511F7E" w:rsidRDefault="00511F7E" w:rsidP="00C11C8C">
      <w:pPr>
        <w:pStyle w:val="Heading2"/>
        <w:spacing w:before="240"/>
        <w:ind w:left="709" w:hanging="709"/>
        <w:rPr>
          <w:lang w:val="en-US" w:eastAsia="en-US" w:bidi="ar-SA"/>
        </w:rPr>
      </w:pPr>
      <w:bookmarkStart w:id="29" w:name="_Toc205357948"/>
      <w:bookmarkStart w:id="30" w:name="S_2_4_Inh_Lim_Constraints"/>
      <w:bookmarkStart w:id="31" w:name="_Toc205532830"/>
      <w:r w:rsidRPr="00511F7E">
        <w:t>Inherent Limitations &amp; Constraints</w:t>
      </w:r>
      <w:bookmarkEnd w:id="29"/>
      <w:bookmarkEnd w:id="30"/>
      <w:bookmarkEnd w:id="31"/>
    </w:p>
    <w:p w14:paraId="47A52C4F" w14:textId="77777777" w:rsidR="00511F7E" w:rsidRPr="00511F7E" w:rsidRDefault="00511F7E" w:rsidP="00511F7E">
      <w:pPr>
        <w:spacing w:before="0" w:after="120" w:line="252" w:lineRule="auto"/>
      </w:pPr>
      <w:r w:rsidRPr="00511F7E">
        <w:t xml:space="preserve">Given the wide-ranging nature of the reference set, the following points highlight limitations that are inherent to any such analysis.  They should therefore be noted in the interpretation and application of this report subject to the formal disclaimers provided above. </w:t>
      </w:r>
    </w:p>
    <w:p w14:paraId="26A1BDC6" w14:textId="77777777" w:rsidR="00511F7E" w:rsidRPr="00511F7E" w:rsidRDefault="00511F7E" w:rsidP="00470C91">
      <w:pPr>
        <w:numPr>
          <w:ilvl w:val="0"/>
          <w:numId w:val="9"/>
        </w:numPr>
        <w:spacing w:before="120" w:after="120" w:line="252" w:lineRule="auto"/>
      </w:pPr>
      <w:r w:rsidRPr="00511F7E">
        <w:t xml:space="preserve">The five reports have been developed as an integrated reference set which, by definition, covers an extremely wide range of complex topics.  This necessarily </w:t>
      </w:r>
      <w:r w:rsidRPr="00511F7E">
        <w:rPr>
          <w:rFonts w:cs="Calibri"/>
          <w:szCs w:val="18"/>
        </w:rPr>
        <w:t>means that none of these topics have been treated exhaustively.</w:t>
      </w:r>
    </w:p>
    <w:p w14:paraId="25FA1E10" w14:textId="77777777" w:rsidR="00511F7E" w:rsidRPr="00511F7E" w:rsidRDefault="00511F7E" w:rsidP="00470C91">
      <w:pPr>
        <w:numPr>
          <w:ilvl w:val="0"/>
          <w:numId w:val="9"/>
        </w:numPr>
        <w:spacing w:before="120" w:after="120" w:line="252" w:lineRule="auto"/>
      </w:pPr>
      <w:r w:rsidRPr="00511F7E">
        <w:t xml:space="preserve">As a reference set, it is anticipated that most readers will refer to particular content on an ‘as needs’ basis.  Therefore, each of the five reports is designed to stand alone which has required some repetition of key unifying themes and concepts. </w:t>
      </w:r>
    </w:p>
    <w:p w14:paraId="07600A15" w14:textId="3DF82272" w:rsidR="00511F7E" w:rsidRPr="00511F7E" w:rsidRDefault="00511F7E" w:rsidP="00470C91">
      <w:pPr>
        <w:numPr>
          <w:ilvl w:val="0"/>
          <w:numId w:val="9"/>
        </w:numPr>
        <w:spacing w:before="120" w:after="120" w:line="288" w:lineRule="auto"/>
        <w:ind w:left="714" w:hanging="357"/>
      </w:pPr>
      <w:r w:rsidRPr="00511F7E">
        <w:rPr>
          <w:rFonts w:cs="Calibri"/>
          <w:szCs w:val="18"/>
        </w:rPr>
        <w:t xml:space="preserve">While a modern GW-scale power system involves a complex overlay of technological, market, regulatory, economic and policy dimensions, the key principles and disciplinary perspectives applied in developing this series are outlined in </w:t>
      </w:r>
      <w:hyperlink w:anchor="Appendix_A" w:history="1">
        <w:r w:rsidRPr="00B35AED">
          <w:rPr>
            <w:rStyle w:val="Hyperlink"/>
          </w:rPr>
          <w:t xml:space="preserve">Appendix </w:t>
        </w:r>
        <w:r w:rsidR="007157D1" w:rsidRPr="00B35AED">
          <w:rPr>
            <w:rStyle w:val="Hyperlink"/>
          </w:rPr>
          <w:t>A</w:t>
        </w:r>
      </w:hyperlink>
      <w:r w:rsidRPr="00043420">
        <w:t>.</w:t>
      </w:r>
      <w:r w:rsidRPr="00511F7E">
        <w:t xml:space="preserve"> </w:t>
      </w:r>
    </w:p>
    <w:p w14:paraId="717F303A" w14:textId="7094ED74" w:rsidR="00511F7E" w:rsidRPr="00511F7E" w:rsidRDefault="00511F7E" w:rsidP="00470C91">
      <w:pPr>
        <w:numPr>
          <w:ilvl w:val="0"/>
          <w:numId w:val="9"/>
        </w:numPr>
        <w:spacing w:before="120" w:after="120" w:line="288" w:lineRule="auto"/>
        <w:ind w:left="714" w:hanging="357"/>
        <w:rPr>
          <w:rFonts w:cs="Calibri"/>
          <w:szCs w:val="18"/>
        </w:rPr>
      </w:pPr>
      <w:r w:rsidRPr="00511F7E">
        <w:t xml:space="preserve">Many of the topics covered by the reference set are inherently complex and some are hotly contested.  This is necessary and appropriate in an evolving sector but can often be less productive than it may otherwise be due to a lack of shared concepts and language. Therefore, the development team has firstly attempted to maintain an objective and evidence-based approach. Further, to support the most informed debate, a glossary of key terms is provided in </w:t>
      </w:r>
      <w:hyperlink w:anchor="Appendix_B" w:history="1">
        <w:r w:rsidRPr="00496389">
          <w:rPr>
            <w:rStyle w:val="Hyperlink"/>
          </w:rPr>
          <w:t xml:space="preserve">Appendix </w:t>
        </w:r>
        <w:r w:rsidR="007157D1" w:rsidRPr="00496389">
          <w:rPr>
            <w:rStyle w:val="Hyperlink"/>
          </w:rPr>
          <w:t>B</w:t>
        </w:r>
      </w:hyperlink>
      <w:r w:rsidRPr="00511F7E">
        <w:t xml:space="preserve"> and many report sections contain Key Concept breakouts designed to support clarity of communication.  </w:t>
      </w:r>
    </w:p>
    <w:p w14:paraId="376A253F" w14:textId="77777777" w:rsidR="00511F7E" w:rsidRPr="00511F7E" w:rsidRDefault="00511F7E" w:rsidP="00470C91">
      <w:pPr>
        <w:numPr>
          <w:ilvl w:val="0"/>
          <w:numId w:val="9"/>
        </w:numPr>
        <w:spacing w:before="120" w:after="120" w:line="288" w:lineRule="auto"/>
        <w:ind w:left="714" w:hanging="357"/>
        <w:rPr>
          <w:rFonts w:cs="Calibri"/>
          <w:szCs w:val="18"/>
        </w:rPr>
      </w:pPr>
      <w:r w:rsidRPr="00511F7E">
        <w:rPr>
          <w:rFonts w:cs="Calibri"/>
          <w:szCs w:val="18"/>
        </w:rPr>
        <w:t xml:space="preserve">The reference set focuses on several emerging areas of consideration and is designed to assist navigation of the ‘emerging future’ over the next decade and beyond.  It is therefore a consolidation of the development team’s understanding at the time of publishing and will likely benefit from a comprehensive update on at least a bi-annual basis. </w:t>
      </w:r>
    </w:p>
    <w:p w14:paraId="7E23A53E" w14:textId="77777777" w:rsidR="00511F7E" w:rsidRPr="00511F7E" w:rsidRDefault="00511F7E" w:rsidP="00470C91">
      <w:pPr>
        <w:numPr>
          <w:ilvl w:val="0"/>
          <w:numId w:val="9"/>
        </w:numPr>
        <w:spacing w:before="120" w:after="120" w:line="288" w:lineRule="auto"/>
        <w:ind w:left="714" w:hanging="357"/>
        <w:rPr>
          <w:rFonts w:cs="Calibri"/>
          <w:szCs w:val="18"/>
        </w:rPr>
      </w:pPr>
      <w:r w:rsidRPr="00511F7E">
        <w:rPr>
          <w:rFonts w:cs="Calibri"/>
          <w:szCs w:val="18"/>
        </w:rPr>
        <w:lastRenderedPageBreak/>
        <w:t xml:space="preserve">While a range of tools and models are employed as a basis for reasoning about how the power system and its wider societal context may evolve, it is recognised that reality is far more complex than any model or archetype can ultimately represent. </w:t>
      </w:r>
    </w:p>
    <w:p w14:paraId="3887470A" w14:textId="77777777" w:rsidR="00511F7E" w:rsidRPr="00511F7E" w:rsidRDefault="00511F7E" w:rsidP="00470C91">
      <w:pPr>
        <w:numPr>
          <w:ilvl w:val="0"/>
          <w:numId w:val="9"/>
        </w:numPr>
        <w:spacing w:before="120" w:after="120" w:line="288" w:lineRule="auto"/>
        <w:ind w:left="714" w:hanging="357"/>
        <w:rPr>
          <w:rFonts w:cs="Calibri"/>
          <w:szCs w:val="18"/>
        </w:rPr>
      </w:pPr>
      <w:r w:rsidRPr="00511F7E">
        <w:rPr>
          <w:rFonts w:cs="Calibri"/>
          <w:szCs w:val="18"/>
        </w:rPr>
        <w:t xml:space="preserve">Recognising the inherent complexity of the topics explored, the diversity of perspectives and terminology, and the many thousands of pages of global content that is more or less relevant, the following points should be noted: </w:t>
      </w:r>
    </w:p>
    <w:p w14:paraId="38BD2CDD" w14:textId="77777777" w:rsidR="00511F7E" w:rsidRPr="00511F7E" w:rsidRDefault="00511F7E" w:rsidP="00470C91">
      <w:pPr>
        <w:numPr>
          <w:ilvl w:val="1"/>
          <w:numId w:val="9"/>
        </w:numPr>
        <w:spacing w:before="120" w:after="120" w:line="288" w:lineRule="auto"/>
        <w:rPr>
          <w:rFonts w:cs="Calibri"/>
          <w:szCs w:val="18"/>
        </w:rPr>
      </w:pPr>
      <w:r w:rsidRPr="00511F7E">
        <w:rPr>
          <w:rFonts w:cs="Calibri"/>
          <w:szCs w:val="18"/>
        </w:rPr>
        <w:t xml:space="preserve">The reference set is inherently explorative and spans numerous overlapping topics and developments, many of which are yet to mature to a point of industry consensus, either in Australia or globally. </w:t>
      </w:r>
    </w:p>
    <w:p w14:paraId="4C6EF925" w14:textId="77777777" w:rsidR="00511F7E" w:rsidRPr="00511F7E" w:rsidRDefault="00511F7E" w:rsidP="00470C91">
      <w:pPr>
        <w:numPr>
          <w:ilvl w:val="1"/>
          <w:numId w:val="9"/>
        </w:numPr>
        <w:spacing w:before="120" w:after="120" w:line="288" w:lineRule="auto"/>
        <w:rPr>
          <w:rFonts w:cs="Calibri"/>
          <w:szCs w:val="18"/>
        </w:rPr>
      </w:pPr>
      <w:r w:rsidRPr="00511F7E">
        <w:rPr>
          <w:rFonts w:cs="Calibri"/>
          <w:szCs w:val="18"/>
        </w:rPr>
        <w:t xml:space="preserve">Therefore, it is inevitable, expected and healthy that different readers will draw different conclusions on some or several of the topics addressed. </w:t>
      </w:r>
    </w:p>
    <w:p w14:paraId="5858D8A1" w14:textId="77777777" w:rsidR="00511F7E" w:rsidRPr="00511F7E" w:rsidRDefault="00511F7E" w:rsidP="00470C91">
      <w:pPr>
        <w:numPr>
          <w:ilvl w:val="1"/>
          <w:numId w:val="9"/>
        </w:numPr>
        <w:spacing w:before="120" w:after="120" w:line="288" w:lineRule="auto"/>
        <w:rPr>
          <w:rFonts w:cs="Calibri"/>
          <w:szCs w:val="18"/>
        </w:rPr>
      </w:pPr>
      <w:r w:rsidRPr="00511F7E">
        <w:rPr>
          <w:rFonts w:eastAsia="Times New Roman"/>
        </w:rPr>
        <w:t xml:space="preserve">Particular content will mean more to some system actors and/or those with particular discipline expertise than others.  The standpoint of the reader and the time horizon they are primarily focused on will likely influence how the desirability or otherwise of particular content is evaluated. </w:t>
      </w:r>
    </w:p>
    <w:p w14:paraId="637B90AC" w14:textId="77777777" w:rsidR="00511F7E" w:rsidRPr="00511F7E" w:rsidRDefault="00511F7E" w:rsidP="00470C91">
      <w:pPr>
        <w:numPr>
          <w:ilvl w:val="1"/>
          <w:numId w:val="9"/>
        </w:numPr>
        <w:spacing w:before="120" w:after="120" w:line="288" w:lineRule="auto"/>
        <w:rPr>
          <w:rFonts w:cs="Calibri"/>
          <w:szCs w:val="18"/>
        </w:rPr>
      </w:pPr>
      <w:r w:rsidRPr="00511F7E">
        <w:rPr>
          <w:rFonts w:eastAsia="Times New Roman"/>
        </w:rPr>
        <w:t xml:space="preserve">Accurately predicting the future and/or foreseeing all eventualities is impossible.  Therefore, it is anticipated that some of the content contained in this reference set will prove to be incorrect.  For that reason, stakeholder feedback is strongly encouraged and a formal mechanism to do so is provided below. </w:t>
      </w:r>
    </w:p>
    <w:p w14:paraId="1669FDD0" w14:textId="77777777" w:rsidR="00511F7E" w:rsidRPr="00511F7E" w:rsidRDefault="00511F7E" w:rsidP="00470C91">
      <w:pPr>
        <w:numPr>
          <w:ilvl w:val="1"/>
          <w:numId w:val="9"/>
        </w:numPr>
        <w:spacing w:before="120" w:after="120" w:line="288" w:lineRule="auto"/>
        <w:rPr>
          <w:rFonts w:cs="Calibri"/>
          <w:szCs w:val="18"/>
        </w:rPr>
      </w:pPr>
      <w:r w:rsidRPr="00511F7E">
        <w:rPr>
          <w:szCs w:val="18"/>
        </w:rPr>
        <w:t>In summary, the information contained in the reference set comprises general statements based on research.  No claim to represent the official policy of CSIRO, AEMO or any other third party is made.</w:t>
      </w:r>
    </w:p>
    <w:p w14:paraId="7B3ADA8B" w14:textId="77777777" w:rsidR="00511F7E" w:rsidRPr="00511F7E" w:rsidRDefault="00511F7E" w:rsidP="00470C91">
      <w:pPr>
        <w:numPr>
          <w:ilvl w:val="0"/>
          <w:numId w:val="9"/>
        </w:numPr>
        <w:spacing w:before="120" w:after="120" w:line="288" w:lineRule="auto"/>
        <w:ind w:left="714" w:hanging="357"/>
        <w:rPr>
          <w:rFonts w:cs="Calibri"/>
          <w:szCs w:val="18"/>
        </w:rPr>
      </w:pPr>
      <w:r w:rsidRPr="00511F7E">
        <w:rPr>
          <w:rFonts w:cs="Calibri"/>
          <w:szCs w:val="18"/>
        </w:rPr>
        <w:t xml:space="preserve">Finally, while each of the five reports are designed to stand alone, they are best employed as an integrated set of reference material. Reports 3, 4 &amp; 5 in particular should be read with reference to each other. </w:t>
      </w:r>
    </w:p>
    <w:p w14:paraId="1BDEF95D" w14:textId="47F38479" w:rsidR="00511F7E" w:rsidRPr="00511F7E" w:rsidRDefault="00511F7E" w:rsidP="00C11C8C">
      <w:pPr>
        <w:pStyle w:val="Heading2"/>
        <w:spacing w:before="240"/>
        <w:ind w:left="709" w:hanging="709"/>
        <w:rPr>
          <w:lang w:val="en-US" w:eastAsia="en-US" w:bidi="ar-SA"/>
        </w:rPr>
      </w:pPr>
      <w:bookmarkStart w:id="32" w:name="_Toc205357949"/>
      <w:bookmarkStart w:id="33" w:name="_Toc205532831"/>
      <w:r w:rsidRPr="00511F7E">
        <w:t>Accessing the Reference Set &amp; Providing Feedback</w:t>
      </w:r>
      <w:bookmarkEnd w:id="32"/>
      <w:bookmarkEnd w:id="33"/>
      <w:r w:rsidRPr="00511F7E">
        <w:t xml:space="preserve"> </w:t>
      </w:r>
    </w:p>
    <w:p w14:paraId="541129CB" w14:textId="77777777" w:rsidR="00511F7E" w:rsidRDefault="00511F7E" w:rsidP="00511F7E">
      <w:pPr>
        <w:snapToGrid w:val="0"/>
        <w:spacing w:before="180" w:after="120"/>
        <w:rPr>
          <w:rFonts w:cs="Calibri"/>
          <w:szCs w:val="18"/>
        </w:rPr>
      </w:pPr>
      <w:r w:rsidRPr="00511F7E">
        <w:rPr>
          <w:rFonts w:cs="Calibri"/>
          <w:szCs w:val="18"/>
        </w:rPr>
        <w:t xml:space="preserve">The Energy Catalyst team deeply values excellence and humility.  We believe that true leaders in times of transformational change do not overestimate their own knowledge.  On the contrary, they foster and contribute to an ecosystem of diverse perspectives which enables shared understanding and mutual progress – even where differences remain. </w:t>
      </w:r>
    </w:p>
    <w:p w14:paraId="317D35C0" w14:textId="1DE7C26A" w:rsidR="00511F7E" w:rsidRDefault="00511F7E" w:rsidP="00511F7E">
      <w:pPr>
        <w:snapToGrid w:val="0"/>
        <w:spacing w:before="180" w:after="120"/>
        <w:rPr>
          <w:rFonts w:eastAsia="Times New Roman"/>
        </w:rPr>
      </w:pPr>
      <w:r w:rsidRPr="00511F7E">
        <w:rPr>
          <w:rFonts w:cs="Calibri"/>
          <w:szCs w:val="18"/>
        </w:rPr>
        <w:t>This reference set is developed from a perspective that values exploration, discovery and convergence based on shared learning.  Others will have important insights that the development team has not considered, and we would like to hear them.  As noted earlier, as realists we also anticipate that some o</w:t>
      </w:r>
      <w:r w:rsidRPr="00511F7E">
        <w:rPr>
          <w:rFonts w:eastAsia="Times New Roman"/>
        </w:rPr>
        <w:t xml:space="preserve">f the content contained will ultimately prove to be incorrect.  </w:t>
      </w:r>
    </w:p>
    <w:p w14:paraId="1DB0BF12" w14:textId="17ED2699" w:rsidR="009C0310" w:rsidRDefault="009C0310" w:rsidP="00511F7E">
      <w:pPr>
        <w:snapToGrid w:val="0"/>
        <w:spacing w:before="180" w:after="120"/>
        <w:rPr>
          <w:rFonts w:eastAsia="Times New Roman"/>
        </w:rPr>
      </w:pPr>
    </w:p>
    <w:p w14:paraId="44DF13A9" w14:textId="6C8F8A40" w:rsidR="008574C0" w:rsidRPr="00511F7E" w:rsidRDefault="008574C0" w:rsidP="00511F7E">
      <w:pPr>
        <w:snapToGrid w:val="0"/>
        <w:spacing w:before="180" w:after="120"/>
        <w:rPr>
          <w:rFonts w:eastAsia="Times New Roman"/>
        </w:rPr>
      </w:pPr>
    </w:p>
    <w:p w14:paraId="2B83DAE5" w14:textId="5A608504" w:rsidR="00511F7E" w:rsidRPr="00511F7E" w:rsidRDefault="00511F7E" w:rsidP="00511F7E">
      <w:pPr>
        <w:snapToGrid w:val="0"/>
        <w:spacing w:before="180" w:after="120"/>
      </w:pPr>
      <w:r w:rsidRPr="00511F7E">
        <w:rPr>
          <w:rFonts w:eastAsia="Times New Roman"/>
        </w:rPr>
        <w:lastRenderedPageBreak/>
        <w:t xml:space="preserve">The full reference set of reports is available free for download at </w:t>
      </w:r>
      <w:hyperlink r:id="rId20" w:history="1">
        <w:r w:rsidRPr="00511F7E">
          <w:rPr>
            <w:color w:val="F85C5D" w:themeColor="hyperlink"/>
            <w:u w:val="single"/>
            <w:lang w:eastAsia="en-US" w:bidi="ar-SA"/>
          </w:rPr>
          <w:t>energycatalyst.au/futuregrid</w:t>
        </w:r>
      </w:hyperlink>
      <w:r w:rsidRPr="00511F7E">
        <w:t xml:space="preserve"> or by scanning the following QR code.  </w:t>
      </w:r>
    </w:p>
    <w:p w14:paraId="7C715C5A" w14:textId="4A815A51" w:rsidR="00511F7E" w:rsidRPr="00511F7E" w:rsidRDefault="00511F7E" w:rsidP="00511F7E">
      <w:pPr>
        <w:snapToGrid w:val="0"/>
        <w:spacing w:before="180" w:after="120"/>
      </w:pPr>
      <w:r w:rsidRPr="00511F7E">
        <w:rPr>
          <w:rFonts w:eastAsia="Times New Roman"/>
        </w:rPr>
        <w:t xml:space="preserve">Constructive stakeholder feedback is also strongly encouraged, and a formal mechanism </w:t>
      </w:r>
      <w:r w:rsidRPr="00511F7E">
        <w:t xml:space="preserve">is also provided for each report at the same location.  Thank you in advance for your collaboration. </w:t>
      </w:r>
    </w:p>
    <w:p w14:paraId="0E4F506E" w14:textId="59B7BD33" w:rsidR="008574C0" w:rsidRDefault="009C0310">
      <w:pPr>
        <w:spacing w:before="0" w:after="160" w:line="259" w:lineRule="auto"/>
        <w:rPr>
          <w:rFonts w:ascii="PP Mori SemiBold" w:eastAsiaTheme="majorEastAsia" w:hAnsi="PP Mori SemiBold" w:cstheme="majorBidi"/>
          <w:color w:val="013C4C" w:themeColor="text1"/>
          <w:sz w:val="32"/>
          <w:szCs w:val="40"/>
        </w:rPr>
      </w:pPr>
      <w:bookmarkStart w:id="34" w:name="S_3"/>
      <w:r w:rsidRPr="00511F7E">
        <w:rPr>
          <w:i/>
          <w:iCs/>
          <w:noProof/>
          <w:color w:val="013C4C" w:themeColor="accent1"/>
          <w:szCs w:val="18"/>
        </w:rPr>
        <w:drawing>
          <wp:anchor distT="0" distB="0" distL="114300" distR="114300" simplePos="0" relativeHeight="251658249" behindDoc="0" locked="0" layoutInCell="1" allowOverlap="1" wp14:anchorId="6FEE9F2D" wp14:editId="747AAD71">
            <wp:simplePos x="0" y="0"/>
            <wp:positionH relativeFrom="margin">
              <wp:align>left</wp:align>
            </wp:positionH>
            <wp:positionV relativeFrom="paragraph">
              <wp:posOffset>59690</wp:posOffset>
            </wp:positionV>
            <wp:extent cx="1250950" cy="1250950"/>
            <wp:effectExtent l="0" t="0" r="6350" b="6350"/>
            <wp:wrapThrough wrapText="bothSides">
              <wp:wrapPolygon edited="0">
                <wp:start x="0" y="0"/>
                <wp:lineTo x="0" y="21381"/>
                <wp:lineTo x="21381" y="21381"/>
                <wp:lineTo x="21381" y="0"/>
                <wp:lineTo x="0" y="0"/>
              </wp:wrapPolygon>
            </wp:wrapThrough>
            <wp:docPr id="739541584" name="Picture 15"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1584" name="Picture 15" descr="A qr code with a white backgrou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0950" cy="1250950"/>
                    </a:xfrm>
                    <a:prstGeom prst="rect">
                      <a:avLst/>
                    </a:prstGeom>
                    <a:noFill/>
                    <a:ln>
                      <a:noFill/>
                    </a:ln>
                  </pic:spPr>
                </pic:pic>
              </a:graphicData>
            </a:graphic>
          </wp:anchor>
        </w:drawing>
      </w:r>
      <w:r w:rsidR="008574C0">
        <w:br w:type="page"/>
      </w:r>
    </w:p>
    <w:p w14:paraId="7B83D5A0" w14:textId="50F62752" w:rsidR="00167664" w:rsidRDefault="007F0F81" w:rsidP="00167664">
      <w:pPr>
        <w:pStyle w:val="Heading1"/>
      </w:pPr>
      <w:bookmarkStart w:id="35" w:name="_Toc205532832"/>
      <w:r w:rsidRPr="00887A8E">
        <w:lastRenderedPageBreak/>
        <w:t>Changing Grid Dynamics: The growing importance</w:t>
      </w:r>
      <w:r>
        <w:t xml:space="preserve"> of </w:t>
      </w:r>
      <w:r w:rsidR="002E104D">
        <w:t>TDC</w:t>
      </w:r>
      <w:r w:rsidR="00AF1B1F">
        <w:t xml:space="preserve"> </w:t>
      </w:r>
      <w:r w:rsidR="008656D7">
        <w:t>for whole-system planning and operations</w:t>
      </w:r>
      <w:bookmarkEnd w:id="35"/>
    </w:p>
    <w:bookmarkEnd w:id="34"/>
    <w:p w14:paraId="4F72FFA8" w14:textId="29DC6BA6" w:rsidR="00B2740E" w:rsidRDefault="00B2740E" w:rsidP="00AC4333">
      <w:pPr>
        <w:spacing w:before="120" w:after="120"/>
        <w:rPr>
          <w:rFonts w:cs="Calibri"/>
          <w:szCs w:val="18"/>
        </w:rPr>
      </w:pPr>
      <w:r>
        <w:rPr>
          <w:rFonts w:cs="Calibri"/>
          <w:szCs w:val="18"/>
        </w:rPr>
        <w:t>A basic form of transmission-distribution coordination has</w:t>
      </w:r>
      <w:r w:rsidR="00104A89">
        <w:rPr>
          <w:rFonts w:cs="Calibri"/>
          <w:szCs w:val="18"/>
        </w:rPr>
        <w:t xml:space="preserve"> </w:t>
      </w:r>
      <w:r w:rsidR="009A0960" w:rsidRPr="0050162C">
        <w:rPr>
          <w:rFonts w:cs="Calibri"/>
          <w:szCs w:val="18"/>
        </w:rPr>
        <w:t xml:space="preserve">been a feature of </w:t>
      </w:r>
      <w:r w:rsidR="004C1792" w:rsidRPr="0050162C">
        <w:rPr>
          <w:rFonts w:cs="Calibri"/>
          <w:szCs w:val="18"/>
        </w:rPr>
        <w:t xml:space="preserve">power systems since the </w:t>
      </w:r>
      <w:r w:rsidR="00031502">
        <w:rPr>
          <w:rFonts w:cs="Calibri"/>
          <w:szCs w:val="18"/>
        </w:rPr>
        <w:t>emergenc</w:t>
      </w:r>
      <w:r w:rsidR="00F61EDE">
        <w:rPr>
          <w:rFonts w:cs="Calibri"/>
          <w:szCs w:val="18"/>
        </w:rPr>
        <w:t>e</w:t>
      </w:r>
      <w:r w:rsidR="00031502">
        <w:rPr>
          <w:rFonts w:cs="Calibri"/>
          <w:szCs w:val="18"/>
        </w:rPr>
        <w:t xml:space="preserve"> of </w:t>
      </w:r>
      <w:r w:rsidR="00F61EDE">
        <w:rPr>
          <w:rFonts w:cs="Calibri"/>
          <w:szCs w:val="18"/>
        </w:rPr>
        <w:t>large,</w:t>
      </w:r>
      <w:r w:rsidR="004C1792">
        <w:rPr>
          <w:rFonts w:cs="Calibri"/>
          <w:szCs w:val="18"/>
        </w:rPr>
        <w:t xml:space="preserve"> interconnected</w:t>
      </w:r>
      <w:r w:rsidR="00DB1DFE">
        <w:rPr>
          <w:rFonts w:cs="Calibri"/>
          <w:szCs w:val="18"/>
        </w:rPr>
        <w:t xml:space="preserve"> </w:t>
      </w:r>
      <w:r w:rsidR="00F61EDE">
        <w:rPr>
          <w:rFonts w:cs="Calibri"/>
          <w:szCs w:val="18"/>
        </w:rPr>
        <w:t>grids</w:t>
      </w:r>
      <w:r w:rsidR="00DB1DFE" w:rsidRPr="0050162C">
        <w:rPr>
          <w:rFonts w:cs="Calibri"/>
          <w:szCs w:val="18"/>
        </w:rPr>
        <w:t xml:space="preserve">. </w:t>
      </w:r>
      <w:r w:rsidR="00A12B1C" w:rsidRPr="0050162C">
        <w:rPr>
          <w:rFonts w:cs="Calibri"/>
          <w:szCs w:val="18"/>
        </w:rPr>
        <w:t>I</w:t>
      </w:r>
      <w:r w:rsidR="001578BF" w:rsidRPr="0050162C">
        <w:rPr>
          <w:rFonts w:cs="Calibri"/>
          <w:szCs w:val="18"/>
        </w:rPr>
        <w:t xml:space="preserve">nformation </w:t>
      </w:r>
      <w:r w:rsidR="00A12B1C" w:rsidRPr="0050162C">
        <w:rPr>
          <w:rFonts w:cs="Calibri"/>
          <w:szCs w:val="18"/>
        </w:rPr>
        <w:t xml:space="preserve">and coordination signals </w:t>
      </w:r>
      <w:r w:rsidR="00050D3D" w:rsidRPr="0050162C">
        <w:rPr>
          <w:rFonts w:cs="Calibri"/>
          <w:szCs w:val="18"/>
        </w:rPr>
        <w:t xml:space="preserve">have </w:t>
      </w:r>
      <w:r w:rsidR="00B55FEB" w:rsidRPr="0050162C">
        <w:rPr>
          <w:rFonts w:cs="Calibri"/>
          <w:szCs w:val="18"/>
        </w:rPr>
        <w:t xml:space="preserve">always been </w:t>
      </w:r>
      <w:r w:rsidR="001578BF" w:rsidRPr="0050162C">
        <w:rPr>
          <w:rFonts w:cs="Calibri"/>
          <w:szCs w:val="18"/>
        </w:rPr>
        <w:t>exchange</w:t>
      </w:r>
      <w:r w:rsidR="00050D3D" w:rsidRPr="0050162C">
        <w:rPr>
          <w:rFonts w:cs="Calibri"/>
          <w:szCs w:val="18"/>
        </w:rPr>
        <w:t xml:space="preserve">d between </w:t>
      </w:r>
      <w:r w:rsidR="00DE1946" w:rsidRPr="0050162C">
        <w:rPr>
          <w:rFonts w:cs="Calibri"/>
          <w:szCs w:val="18"/>
        </w:rPr>
        <w:t xml:space="preserve">transmission and distribution </w:t>
      </w:r>
      <w:r w:rsidR="00A54BF2" w:rsidRPr="0050162C">
        <w:rPr>
          <w:rFonts w:cs="Calibri"/>
          <w:szCs w:val="18"/>
        </w:rPr>
        <w:t>operators</w:t>
      </w:r>
      <w:r w:rsidR="00176599">
        <w:rPr>
          <w:rFonts w:cs="Calibri"/>
          <w:szCs w:val="18"/>
        </w:rPr>
        <w:t xml:space="preserve"> although, h</w:t>
      </w:r>
      <w:r w:rsidR="00F013DD" w:rsidRPr="0050162C">
        <w:rPr>
          <w:rFonts w:cs="Calibri"/>
          <w:szCs w:val="18"/>
        </w:rPr>
        <w:t xml:space="preserve">istorically, </w:t>
      </w:r>
      <w:r w:rsidR="0019252E" w:rsidRPr="0050162C">
        <w:rPr>
          <w:rFonts w:cs="Calibri"/>
          <w:szCs w:val="18"/>
        </w:rPr>
        <w:t xml:space="preserve">these </w:t>
      </w:r>
      <w:r w:rsidR="00176599">
        <w:rPr>
          <w:rFonts w:cs="Calibri"/>
          <w:szCs w:val="18"/>
        </w:rPr>
        <w:t>primarily</w:t>
      </w:r>
      <w:r w:rsidR="001F2625" w:rsidRPr="0050162C">
        <w:rPr>
          <w:rFonts w:cs="Calibri"/>
          <w:szCs w:val="18"/>
        </w:rPr>
        <w:t xml:space="preserve"> concerned </w:t>
      </w:r>
      <w:r w:rsidR="00176599">
        <w:rPr>
          <w:rFonts w:cs="Calibri"/>
          <w:szCs w:val="18"/>
        </w:rPr>
        <w:t>one-way</w:t>
      </w:r>
      <w:r w:rsidR="001F2625">
        <w:rPr>
          <w:rFonts w:cs="Calibri"/>
          <w:szCs w:val="18"/>
        </w:rPr>
        <w:t xml:space="preserve"> </w:t>
      </w:r>
      <w:r w:rsidR="001F2625" w:rsidRPr="0050162C">
        <w:rPr>
          <w:rFonts w:cs="Calibri"/>
          <w:szCs w:val="18"/>
        </w:rPr>
        <w:t>power flows</w:t>
      </w:r>
      <w:r w:rsidR="005F1DAF" w:rsidRPr="0050162C">
        <w:rPr>
          <w:rFonts w:cs="Calibri"/>
          <w:szCs w:val="18"/>
        </w:rPr>
        <w:t xml:space="preserve"> and </w:t>
      </w:r>
      <w:r w:rsidR="00AA1986" w:rsidRPr="0050162C">
        <w:rPr>
          <w:rFonts w:cs="Calibri"/>
          <w:szCs w:val="18"/>
        </w:rPr>
        <w:t>us</w:t>
      </w:r>
      <w:r w:rsidR="005F1DAF" w:rsidRPr="0050162C">
        <w:rPr>
          <w:rFonts w:cs="Calibri"/>
          <w:szCs w:val="18"/>
        </w:rPr>
        <w:t>ed</w:t>
      </w:r>
      <w:r w:rsidR="00AA1986" w:rsidRPr="0050162C">
        <w:rPr>
          <w:rFonts w:cs="Calibri"/>
          <w:szCs w:val="18"/>
        </w:rPr>
        <w:t xml:space="preserve"> telemetry and industrial protocols </w:t>
      </w:r>
      <w:r w:rsidR="00F70946" w:rsidRPr="0050162C">
        <w:rPr>
          <w:rFonts w:cs="Calibri"/>
          <w:szCs w:val="18"/>
        </w:rPr>
        <w:t>to share</w:t>
      </w:r>
      <w:r w:rsidR="00211C1D" w:rsidRPr="0050162C">
        <w:rPr>
          <w:rFonts w:cs="Calibri"/>
          <w:szCs w:val="18"/>
        </w:rPr>
        <w:t xml:space="preserve"> a limited set of</w:t>
      </w:r>
      <w:r w:rsidR="00F70946" w:rsidRPr="0050162C">
        <w:rPr>
          <w:rFonts w:cs="Calibri"/>
          <w:szCs w:val="18"/>
        </w:rPr>
        <w:t xml:space="preserve"> relevant information</w:t>
      </w:r>
      <w:r w:rsidR="00FC0082" w:rsidRPr="0050162C">
        <w:rPr>
          <w:rFonts w:cs="Calibri"/>
          <w:szCs w:val="18"/>
        </w:rPr>
        <w:t xml:space="preserve">. </w:t>
      </w:r>
      <w:r w:rsidR="003E355D" w:rsidRPr="0050162C">
        <w:rPr>
          <w:rFonts w:cs="Calibri"/>
          <w:szCs w:val="18"/>
        </w:rPr>
        <w:t>In many cases, a</w:t>
      </w:r>
      <w:r w:rsidR="0084403C" w:rsidRPr="0050162C">
        <w:rPr>
          <w:rFonts w:cs="Calibri"/>
          <w:szCs w:val="18"/>
        </w:rPr>
        <w:t>nomalies</w:t>
      </w:r>
      <w:r w:rsidR="00F44613" w:rsidRPr="0050162C">
        <w:rPr>
          <w:rFonts w:cs="Calibri"/>
          <w:szCs w:val="18"/>
        </w:rPr>
        <w:t xml:space="preserve"> </w:t>
      </w:r>
      <w:r w:rsidR="00DE779B" w:rsidRPr="0050162C">
        <w:rPr>
          <w:rFonts w:cs="Calibri"/>
          <w:szCs w:val="18"/>
        </w:rPr>
        <w:t>were</w:t>
      </w:r>
      <w:r w:rsidR="007302B2" w:rsidRPr="0050162C">
        <w:rPr>
          <w:rFonts w:cs="Calibri"/>
          <w:szCs w:val="18"/>
        </w:rPr>
        <w:t xml:space="preserve"> able to be resolved with a</w:t>
      </w:r>
      <w:r w:rsidR="00AD147F" w:rsidRPr="0050162C">
        <w:rPr>
          <w:rFonts w:cs="Calibri"/>
          <w:szCs w:val="18"/>
        </w:rPr>
        <w:t xml:space="preserve"> </w:t>
      </w:r>
      <w:r w:rsidR="00811D32" w:rsidRPr="0050162C">
        <w:rPr>
          <w:rFonts w:cs="Calibri"/>
          <w:szCs w:val="18"/>
        </w:rPr>
        <w:t>simple phone call</w:t>
      </w:r>
      <w:r w:rsidR="00AD147F" w:rsidRPr="0050162C">
        <w:rPr>
          <w:rFonts w:cs="Calibri"/>
          <w:szCs w:val="18"/>
        </w:rPr>
        <w:t xml:space="preserve"> between control rooms.</w:t>
      </w:r>
      <w:r w:rsidR="001F2625" w:rsidRPr="0050162C">
        <w:rPr>
          <w:rFonts w:cs="Calibri"/>
          <w:szCs w:val="18"/>
        </w:rPr>
        <w:t xml:space="preserve"> </w:t>
      </w:r>
    </w:p>
    <w:p w14:paraId="66DEC896" w14:textId="266A0ADF" w:rsidR="00971D31" w:rsidRPr="0050162C" w:rsidRDefault="00D61CEE" w:rsidP="00AC4333">
      <w:pPr>
        <w:spacing w:before="120" w:after="120"/>
        <w:rPr>
          <w:rFonts w:cs="Calibri"/>
          <w:szCs w:val="18"/>
        </w:rPr>
      </w:pPr>
      <w:r w:rsidRPr="0050162C">
        <w:rPr>
          <w:rFonts w:cs="Calibri"/>
          <w:szCs w:val="18"/>
        </w:rPr>
        <w:t xml:space="preserve">By contrast, </w:t>
      </w:r>
      <w:r w:rsidR="00654176" w:rsidRPr="0050162C">
        <w:rPr>
          <w:rFonts w:cs="Calibri"/>
          <w:szCs w:val="18"/>
        </w:rPr>
        <w:t xml:space="preserve">the </w:t>
      </w:r>
      <w:r w:rsidR="009605BA" w:rsidRPr="0050162C">
        <w:rPr>
          <w:rFonts w:cs="Calibri"/>
          <w:szCs w:val="18"/>
        </w:rPr>
        <w:t>scope</w:t>
      </w:r>
      <w:r w:rsidR="002E1372" w:rsidRPr="0050162C">
        <w:rPr>
          <w:rFonts w:cs="Calibri"/>
          <w:szCs w:val="18"/>
        </w:rPr>
        <w:t>,</w:t>
      </w:r>
      <w:r w:rsidR="009605BA" w:rsidRPr="0050162C">
        <w:rPr>
          <w:rFonts w:cs="Calibri"/>
          <w:szCs w:val="18"/>
        </w:rPr>
        <w:t xml:space="preserve"> </w:t>
      </w:r>
      <w:r w:rsidR="00654176" w:rsidRPr="0050162C">
        <w:rPr>
          <w:rFonts w:cs="Calibri"/>
          <w:szCs w:val="18"/>
        </w:rPr>
        <w:t>frequency</w:t>
      </w:r>
      <w:r w:rsidR="006825A2" w:rsidRPr="0050162C">
        <w:rPr>
          <w:rFonts w:cs="Calibri"/>
          <w:szCs w:val="18"/>
        </w:rPr>
        <w:t>, fidelity</w:t>
      </w:r>
      <w:r w:rsidR="008E05EF" w:rsidRPr="0050162C">
        <w:rPr>
          <w:rFonts w:cs="Calibri"/>
          <w:szCs w:val="18"/>
        </w:rPr>
        <w:t>, volume</w:t>
      </w:r>
      <w:r w:rsidR="00654176" w:rsidRPr="0050162C">
        <w:rPr>
          <w:rFonts w:cs="Calibri"/>
          <w:szCs w:val="18"/>
        </w:rPr>
        <w:t xml:space="preserve"> and variety of </w:t>
      </w:r>
      <w:r w:rsidR="002E1372" w:rsidRPr="0050162C">
        <w:rPr>
          <w:rFonts w:cs="Calibri"/>
          <w:szCs w:val="18"/>
        </w:rPr>
        <w:t xml:space="preserve">coordination signals </w:t>
      </w:r>
      <w:r w:rsidR="00D0232D" w:rsidRPr="0050162C">
        <w:rPr>
          <w:rFonts w:cs="Calibri"/>
          <w:szCs w:val="18"/>
        </w:rPr>
        <w:t xml:space="preserve">and </w:t>
      </w:r>
      <w:r w:rsidR="00654176" w:rsidRPr="0050162C">
        <w:rPr>
          <w:rFonts w:cs="Calibri"/>
          <w:szCs w:val="18"/>
        </w:rPr>
        <w:t xml:space="preserve">information </w:t>
      </w:r>
      <w:r w:rsidR="00D0232D" w:rsidRPr="0050162C">
        <w:rPr>
          <w:rFonts w:cs="Calibri"/>
          <w:szCs w:val="18"/>
        </w:rPr>
        <w:t xml:space="preserve">sharing </w:t>
      </w:r>
      <w:r w:rsidR="00654176" w:rsidRPr="0050162C">
        <w:rPr>
          <w:rFonts w:cs="Calibri"/>
          <w:szCs w:val="18"/>
        </w:rPr>
        <w:t>required</w:t>
      </w:r>
      <w:r w:rsidR="008E05EF" w:rsidRPr="0050162C">
        <w:rPr>
          <w:rFonts w:cs="Calibri"/>
          <w:szCs w:val="18"/>
        </w:rPr>
        <w:t xml:space="preserve"> to securely operate </w:t>
      </w:r>
      <w:r w:rsidR="00B04056" w:rsidRPr="0050162C">
        <w:rPr>
          <w:rFonts w:cs="Calibri"/>
          <w:szCs w:val="18"/>
        </w:rPr>
        <w:t>modern power systems</w:t>
      </w:r>
      <w:r w:rsidR="008E05EF" w:rsidRPr="0050162C">
        <w:rPr>
          <w:rFonts w:cs="Calibri"/>
          <w:szCs w:val="18"/>
        </w:rPr>
        <w:t xml:space="preserve"> is proliferating and</w:t>
      </w:r>
      <w:r w:rsidR="006825A2" w:rsidRPr="0050162C">
        <w:rPr>
          <w:rFonts w:cs="Calibri"/>
          <w:szCs w:val="18"/>
        </w:rPr>
        <w:t xml:space="preserve"> will continue to do so</w:t>
      </w:r>
      <w:r w:rsidR="00772EEE">
        <w:rPr>
          <w:rFonts w:cs="Calibri"/>
          <w:szCs w:val="18"/>
        </w:rPr>
        <w:t xml:space="preserve">. </w:t>
      </w:r>
      <w:r w:rsidR="00F01D78" w:rsidRPr="0050162C">
        <w:rPr>
          <w:rFonts w:cs="Calibri"/>
          <w:szCs w:val="18"/>
        </w:rPr>
        <w:t>This is due to:</w:t>
      </w:r>
    </w:p>
    <w:p w14:paraId="07FF09C0" w14:textId="782FE54E" w:rsidR="00A67391" w:rsidRDefault="00A67391" w:rsidP="00470C91">
      <w:pPr>
        <w:pStyle w:val="ListParagraph"/>
        <w:numPr>
          <w:ilvl w:val="0"/>
          <w:numId w:val="4"/>
        </w:numPr>
        <w:spacing w:line="264" w:lineRule="auto"/>
      </w:pPr>
      <w:r w:rsidRPr="00151D50">
        <w:rPr>
          <w:rFonts w:ascii="PP Mori SemiBold" w:hAnsi="PP Mori SemiBold"/>
        </w:rPr>
        <w:t xml:space="preserve">Increasingly </w:t>
      </w:r>
      <w:r>
        <w:rPr>
          <w:rFonts w:ascii="PP Mori SemiBold" w:hAnsi="PP Mori SemiBold"/>
        </w:rPr>
        <w:t xml:space="preserve">volatile, </w:t>
      </w:r>
      <w:r w:rsidRPr="00151D50">
        <w:rPr>
          <w:rFonts w:ascii="PP Mori SemiBold" w:hAnsi="PP Mori SemiBold"/>
        </w:rPr>
        <w:t xml:space="preserve">atypical power flows </w:t>
      </w:r>
      <w:r w:rsidRPr="008D3184">
        <w:t>at T</w:t>
      </w:r>
      <w:r w:rsidR="008C6E4B">
        <w:t>ransmission</w:t>
      </w:r>
      <w:r w:rsidRPr="008D3184">
        <w:t>-D</w:t>
      </w:r>
      <w:r w:rsidR="008C6E4B">
        <w:t>istribution Interface</w:t>
      </w:r>
      <w:r w:rsidR="00953257">
        <w:t>s</w:t>
      </w:r>
      <w:r w:rsidR="008C6E4B">
        <w:t xml:space="preserve"> (TDI)</w:t>
      </w:r>
      <w:r w:rsidRPr="008D3184">
        <w:t xml:space="preserve"> due to </w:t>
      </w:r>
      <w:r w:rsidR="00953257">
        <w:t>the mass deployment</w:t>
      </w:r>
      <w:r w:rsidR="00533325">
        <w:t xml:space="preserve"> of </w:t>
      </w:r>
      <w:r w:rsidR="00953257">
        <w:t xml:space="preserve">large and small-scale Variable Renewable Energy (VRE). </w:t>
      </w:r>
      <w:r>
        <w:t xml:space="preserve">This is exposing the need for more advanced cooperation on both sides of the </w:t>
      </w:r>
      <w:r w:rsidR="001B5625">
        <w:t>TDI</w:t>
      </w:r>
      <w:r>
        <w:t xml:space="preserve"> to enhance real-time congestion management, align planning and modernisation strategies, and introduce flexibility/buffering to manage system dynamics.</w:t>
      </w:r>
    </w:p>
    <w:p w14:paraId="3070427F" w14:textId="0B6DC502" w:rsidR="00A67391" w:rsidRDefault="00A67391" w:rsidP="00470C91">
      <w:pPr>
        <w:pStyle w:val="ListParagraph"/>
        <w:numPr>
          <w:ilvl w:val="0"/>
          <w:numId w:val="4"/>
        </w:numPr>
        <w:spacing w:line="264" w:lineRule="auto"/>
      </w:pPr>
      <w:r w:rsidRPr="00151D50">
        <w:rPr>
          <w:rFonts w:ascii="PP Mori SemiBold" w:hAnsi="PP Mori SemiBold"/>
        </w:rPr>
        <w:t>A</w:t>
      </w:r>
      <w:r>
        <w:rPr>
          <w:rFonts w:ascii="PP Mori SemiBold" w:hAnsi="PP Mori SemiBold"/>
        </w:rPr>
        <w:t xml:space="preserve">n </w:t>
      </w:r>
      <w:r w:rsidR="00E70D56">
        <w:rPr>
          <w:rFonts w:ascii="PP Mori SemiBold" w:hAnsi="PP Mori SemiBold"/>
        </w:rPr>
        <w:t xml:space="preserve">increasingly hybridised </w:t>
      </w:r>
      <w:r w:rsidRPr="00151D50">
        <w:rPr>
          <w:rFonts w:ascii="PP Mori SemiBold" w:hAnsi="PP Mori SemiBold"/>
        </w:rPr>
        <w:t xml:space="preserve">power system </w:t>
      </w:r>
      <w:r w:rsidRPr="008D3184">
        <w:t xml:space="preserve">requiring new mechanisms to </w:t>
      </w:r>
      <w:r w:rsidR="00E70D56">
        <w:t xml:space="preserve">enable </w:t>
      </w:r>
      <w:r w:rsidRPr="008D3184">
        <w:t xml:space="preserve">the </w:t>
      </w:r>
      <w:r w:rsidR="00011C56">
        <w:t xml:space="preserve">secure and efficient </w:t>
      </w:r>
      <w:r w:rsidRPr="008D3184">
        <w:t xml:space="preserve">participation of </w:t>
      </w:r>
      <w:r w:rsidR="000F432E">
        <w:t xml:space="preserve">both utility-scale VRE and </w:t>
      </w:r>
      <w:r w:rsidR="000F432E" w:rsidRPr="008D3184">
        <w:t xml:space="preserve">millions </w:t>
      </w:r>
      <w:r w:rsidR="00533325" w:rsidRPr="008D3184">
        <w:t>CER/DER</w:t>
      </w:r>
      <w:r w:rsidR="00EE0E2B">
        <w:t>, manage</w:t>
      </w:r>
      <w:r w:rsidR="00011C56" w:rsidRPr="008D3184">
        <w:t xml:space="preserve"> supply/demand balanc</w:t>
      </w:r>
      <w:r w:rsidR="00EE0E2B">
        <w:t>ing and operate within relevant</w:t>
      </w:r>
      <w:r w:rsidRPr="008D3184">
        <w:t xml:space="preserve"> network constraints</w:t>
      </w:r>
      <w:r>
        <w:t>. For example, enhanced shared T-D forecasting capabilities provide aggregated visibility and predictability of CER/DER to the bulk power system.</w:t>
      </w:r>
    </w:p>
    <w:p w14:paraId="29DEC693" w14:textId="62870A02" w:rsidR="00533325" w:rsidRDefault="00EE0E2B" w:rsidP="00470C91">
      <w:pPr>
        <w:pStyle w:val="ListParagraph"/>
        <w:numPr>
          <w:ilvl w:val="0"/>
          <w:numId w:val="4"/>
        </w:numPr>
        <w:spacing w:line="264" w:lineRule="auto"/>
      </w:pPr>
      <w:r>
        <w:rPr>
          <w:rFonts w:ascii="PP Mori SemiBold" w:hAnsi="PP Mori SemiBold"/>
        </w:rPr>
        <w:t xml:space="preserve">World-leading levels of </w:t>
      </w:r>
      <w:r w:rsidR="003A5766" w:rsidRPr="00151D50">
        <w:rPr>
          <w:rFonts w:ascii="PP Mori SemiBold" w:hAnsi="PP Mori SemiBold"/>
        </w:rPr>
        <w:t>distribution</w:t>
      </w:r>
      <w:r w:rsidR="00FC0C94">
        <w:rPr>
          <w:rFonts w:ascii="PP Mori SemiBold" w:hAnsi="PP Mori SemiBold"/>
        </w:rPr>
        <w:t xml:space="preserve">-connected </w:t>
      </w:r>
      <w:r w:rsidR="00533325" w:rsidRPr="00151D50">
        <w:rPr>
          <w:rFonts w:ascii="PP Mori SemiBold" w:hAnsi="PP Mori SemiBold"/>
        </w:rPr>
        <w:t>CER/DER</w:t>
      </w:r>
      <w:r w:rsidR="00316831" w:rsidRPr="00151D50">
        <w:rPr>
          <w:rFonts w:ascii="PP Mori SemiBold" w:hAnsi="PP Mori SemiBold"/>
        </w:rPr>
        <w:t xml:space="preserve"> </w:t>
      </w:r>
      <w:r w:rsidR="00FC0C94">
        <w:t xml:space="preserve">driving </w:t>
      </w:r>
      <w:r w:rsidR="00A558AB" w:rsidRPr="00EE0E2B">
        <w:t>material</w:t>
      </w:r>
      <w:r w:rsidR="00A558AB">
        <w:t xml:space="preserve"> </w:t>
      </w:r>
      <w:r w:rsidR="00FC0C94">
        <w:t>operational</w:t>
      </w:r>
      <w:r w:rsidR="00A558AB" w:rsidRPr="00EE0E2B">
        <w:t xml:space="preserve"> </w:t>
      </w:r>
      <w:r w:rsidR="00A558AB">
        <w:t xml:space="preserve">impacts </w:t>
      </w:r>
      <w:r w:rsidR="00FC0C94">
        <w:t>on</w:t>
      </w:r>
      <w:r w:rsidR="00A558AB">
        <w:t xml:space="preserve"> the </w:t>
      </w:r>
      <w:r w:rsidR="00FC0C94">
        <w:t>end-to-end</w:t>
      </w:r>
      <w:r w:rsidR="00A558AB">
        <w:t xml:space="preserve"> </w:t>
      </w:r>
      <w:r w:rsidR="00A558AB" w:rsidRPr="00EE0E2B">
        <w:t>power system.</w:t>
      </w:r>
      <w:r w:rsidR="00C151F3">
        <w:t xml:space="preserve"> In Australia, this has required DNSPs </w:t>
      </w:r>
      <w:r w:rsidR="00DB5FFC">
        <w:t xml:space="preserve">to rapidly </w:t>
      </w:r>
      <w:r w:rsidR="000B7888">
        <w:t>build capability to become more active system operators rather than passive network managers</w:t>
      </w:r>
      <w:r w:rsidR="00A538F1" w:rsidRPr="00A538F1">
        <w:t xml:space="preserve"> </w:t>
      </w:r>
      <w:r w:rsidR="00A538F1">
        <w:t>as in the historical paradigm</w:t>
      </w:r>
      <w:r w:rsidR="000B7888">
        <w:t>.</w:t>
      </w:r>
      <w:r w:rsidR="00DB5FFC">
        <w:t xml:space="preserve"> </w:t>
      </w:r>
      <w:r w:rsidR="003D5543">
        <w:t>Currently, t</w:t>
      </w:r>
      <w:r w:rsidR="00DB5FFC">
        <w:t>his</w:t>
      </w:r>
      <w:r w:rsidR="00643128">
        <w:t xml:space="preserve"> requirement</w:t>
      </w:r>
      <w:r w:rsidR="00DB5FFC">
        <w:t xml:space="preserve"> </w:t>
      </w:r>
      <w:r w:rsidR="000A7FC3">
        <w:t>is</w:t>
      </w:r>
      <w:r w:rsidR="00DB5FFC">
        <w:t xml:space="preserve"> most pronounced </w:t>
      </w:r>
      <w:r w:rsidR="00926585">
        <w:t>cases</w:t>
      </w:r>
      <w:r w:rsidR="00241C71">
        <w:t xml:space="preserve"> of Minimum System Load, where </w:t>
      </w:r>
      <w:r w:rsidR="00516F21">
        <w:t>mostly unmanaged DPV</w:t>
      </w:r>
      <w:r w:rsidR="000B7888">
        <w:t xml:space="preserve"> </w:t>
      </w:r>
      <w:r w:rsidR="00A32787">
        <w:t xml:space="preserve">generation </w:t>
      </w:r>
      <w:r w:rsidR="00516F21">
        <w:t xml:space="preserve">in the middle of the day </w:t>
      </w:r>
      <w:r w:rsidR="009D500E">
        <w:t>displaces</w:t>
      </w:r>
      <w:r w:rsidR="00516F21">
        <w:t xml:space="preserve"> </w:t>
      </w:r>
      <w:r w:rsidR="00811D32">
        <w:t xml:space="preserve">synchronous generators </w:t>
      </w:r>
      <w:r w:rsidR="00643128">
        <w:t xml:space="preserve">that would otherwise provide </w:t>
      </w:r>
      <w:r w:rsidR="00811D32">
        <w:t>system inertia</w:t>
      </w:r>
      <w:r w:rsidR="00643128">
        <w:t>, a situation</w:t>
      </w:r>
      <w:r w:rsidR="00811D32">
        <w:t xml:space="preserve"> leading to insecure operation of the power system.</w:t>
      </w:r>
    </w:p>
    <w:p w14:paraId="5E600A15" w14:textId="662CEC48" w:rsidR="006E0319" w:rsidRDefault="00B618D2" w:rsidP="00470C91">
      <w:pPr>
        <w:pStyle w:val="ListParagraph"/>
        <w:numPr>
          <w:ilvl w:val="0"/>
          <w:numId w:val="4"/>
        </w:numPr>
        <w:spacing w:line="264" w:lineRule="auto"/>
      </w:pPr>
      <w:r w:rsidRPr="00151D50">
        <w:rPr>
          <w:rFonts w:ascii="PP Mori SemiBold" w:hAnsi="PP Mori SemiBold"/>
        </w:rPr>
        <w:t xml:space="preserve">Network and system operations are </w:t>
      </w:r>
      <w:r w:rsidR="003715FC" w:rsidRPr="00151D50">
        <w:rPr>
          <w:rFonts w:ascii="PP Mori SemiBold" w:hAnsi="PP Mori SemiBold"/>
        </w:rPr>
        <w:t>becoming more d</w:t>
      </w:r>
      <w:r w:rsidR="00ED1930" w:rsidRPr="00151D50">
        <w:rPr>
          <w:rFonts w:ascii="PP Mori SemiBold" w:hAnsi="PP Mori SemiBold"/>
        </w:rPr>
        <w:t>igitalis</w:t>
      </w:r>
      <w:r w:rsidR="003715FC" w:rsidRPr="00151D50">
        <w:rPr>
          <w:rFonts w:ascii="PP Mori SemiBold" w:hAnsi="PP Mori SemiBold"/>
        </w:rPr>
        <w:t>ed</w:t>
      </w:r>
      <w:r w:rsidR="00BA0F34">
        <w:t xml:space="preserve">. </w:t>
      </w:r>
      <w:r w:rsidR="00C27A89">
        <w:t xml:space="preserve">Specifically, </w:t>
      </w:r>
      <w:r w:rsidR="00BA0F34">
        <w:t xml:space="preserve">DNSPs </w:t>
      </w:r>
      <w:r w:rsidR="00C27A89">
        <w:t>are</w:t>
      </w:r>
      <w:r w:rsidR="00BA0F34">
        <w:t xml:space="preserve"> increasingly relying on cloud-based</w:t>
      </w:r>
      <w:r w:rsidR="006E0319">
        <w:t xml:space="preserve"> digital platforms and APIs to interact with </w:t>
      </w:r>
      <w:r w:rsidR="002F33E6">
        <w:t xml:space="preserve">CER/DER. This is opening up </w:t>
      </w:r>
      <w:r w:rsidR="00C27A89">
        <w:t>new avenues for</w:t>
      </w:r>
      <w:r w:rsidR="002F33E6">
        <w:t xml:space="preserve"> enhanced coordination across the </w:t>
      </w:r>
      <w:r w:rsidR="001B5625">
        <w:t>TDI</w:t>
      </w:r>
      <w:r w:rsidR="002F33E6">
        <w:t xml:space="preserve"> – but also introduces </w:t>
      </w:r>
      <w:r w:rsidR="00D050F6">
        <w:t>communication, cyber-security</w:t>
      </w:r>
      <w:r w:rsidR="000E0420">
        <w:t>,</w:t>
      </w:r>
      <w:r w:rsidR="00D050F6">
        <w:t xml:space="preserve"> and </w:t>
      </w:r>
      <w:r w:rsidR="00C27A89">
        <w:t>interoperability challenges</w:t>
      </w:r>
      <w:r w:rsidR="002F33E6">
        <w:t>.</w:t>
      </w:r>
    </w:p>
    <w:p w14:paraId="47A05A33" w14:textId="40C3B5DC" w:rsidR="00D268BD" w:rsidRPr="00AC4333" w:rsidRDefault="00D268BD" w:rsidP="00470C91">
      <w:pPr>
        <w:pStyle w:val="ListParagraph"/>
        <w:numPr>
          <w:ilvl w:val="0"/>
          <w:numId w:val="4"/>
        </w:numPr>
        <w:spacing w:before="0" w:after="0" w:line="264" w:lineRule="auto"/>
        <w:rPr>
          <w:rFonts w:cs="Calibri"/>
          <w:szCs w:val="18"/>
        </w:rPr>
      </w:pPr>
      <w:r w:rsidRPr="00151D50">
        <w:rPr>
          <w:rFonts w:ascii="PP Mori SemiBold" w:hAnsi="PP Mori SemiBold"/>
        </w:rPr>
        <w:t>Regulatory and policy</w:t>
      </w:r>
      <w:r w:rsidR="005A4A03" w:rsidRPr="00151D50">
        <w:rPr>
          <w:rFonts w:ascii="PP Mori SemiBold" w:hAnsi="PP Mori SemiBold"/>
        </w:rPr>
        <w:t>-led initiatives</w:t>
      </w:r>
      <w:r w:rsidR="005F5456" w:rsidRPr="00151D50">
        <w:rPr>
          <w:rFonts w:ascii="PP Mori SemiBold" w:hAnsi="PP Mori SemiBold"/>
        </w:rPr>
        <w:t xml:space="preserve"> that impact operational and market frameworks</w:t>
      </w:r>
      <w:r w:rsidR="005F5456">
        <w:t>, roles and responsibilities, and strategic objectives for networks and system operators</w:t>
      </w:r>
      <w:r w:rsidR="00DE622F">
        <w:t xml:space="preserve">, driven </w:t>
      </w:r>
      <w:r w:rsidR="00AB38F5">
        <w:t xml:space="preserve">by a focus on consumers and </w:t>
      </w:r>
      <w:r w:rsidR="00DE622F">
        <w:t>decarbonisation goals</w:t>
      </w:r>
      <w:r w:rsidR="00772EEE">
        <w:t xml:space="preserve">. </w:t>
      </w:r>
    </w:p>
    <w:p w14:paraId="5D31ED81" w14:textId="77777777" w:rsidR="00D0232D" w:rsidRDefault="00D0232D" w:rsidP="00AC4333">
      <w:pPr>
        <w:spacing w:before="0" w:after="0"/>
        <w:rPr>
          <w:rFonts w:cs="Calibri"/>
          <w:szCs w:val="18"/>
        </w:rPr>
      </w:pPr>
    </w:p>
    <w:p w14:paraId="7C00BAB5" w14:textId="0EFF619B" w:rsidR="001F2625" w:rsidRPr="00AB5E88" w:rsidRDefault="00971D31" w:rsidP="00AC4333">
      <w:pPr>
        <w:spacing w:before="0" w:after="0"/>
        <w:rPr>
          <w:rFonts w:cs="Calibri"/>
          <w:szCs w:val="18"/>
        </w:rPr>
      </w:pPr>
      <w:r w:rsidRPr="00AB5E88">
        <w:rPr>
          <w:rFonts w:cs="Calibri"/>
          <w:szCs w:val="18"/>
        </w:rPr>
        <w:t>In this environment, l</w:t>
      </w:r>
      <w:r w:rsidR="000566B7" w:rsidRPr="00AB5E88">
        <w:rPr>
          <w:rFonts w:cs="Calibri"/>
          <w:szCs w:val="18"/>
        </w:rPr>
        <w:t>egacy approaches to</w:t>
      </w:r>
      <w:r w:rsidR="009A0E75" w:rsidRPr="00AB5E88">
        <w:rPr>
          <w:rFonts w:cs="Calibri"/>
          <w:szCs w:val="18"/>
        </w:rPr>
        <w:t xml:space="preserve"> </w:t>
      </w:r>
      <w:r w:rsidR="003E0120" w:rsidRPr="00AB5E88">
        <w:rPr>
          <w:rFonts w:cs="Calibri"/>
          <w:szCs w:val="18"/>
        </w:rPr>
        <w:t>T</w:t>
      </w:r>
      <w:r w:rsidR="00342F2F">
        <w:rPr>
          <w:rFonts w:cs="Calibri"/>
          <w:szCs w:val="18"/>
        </w:rPr>
        <w:t>-</w:t>
      </w:r>
      <w:r w:rsidR="003E0120" w:rsidRPr="00AB5E88">
        <w:rPr>
          <w:rFonts w:cs="Calibri"/>
          <w:szCs w:val="18"/>
        </w:rPr>
        <w:t>D</w:t>
      </w:r>
      <w:r w:rsidR="00342F2F">
        <w:rPr>
          <w:rFonts w:cs="Calibri"/>
          <w:szCs w:val="18"/>
        </w:rPr>
        <w:t xml:space="preserve"> </w:t>
      </w:r>
      <w:r w:rsidR="003E0120" w:rsidRPr="00AB5E88">
        <w:rPr>
          <w:rFonts w:cs="Calibri"/>
          <w:szCs w:val="18"/>
        </w:rPr>
        <w:t>C</w:t>
      </w:r>
      <w:r w:rsidR="00342F2F">
        <w:rPr>
          <w:rFonts w:cs="Calibri"/>
          <w:szCs w:val="18"/>
        </w:rPr>
        <w:t>oordination</w:t>
      </w:r>
      <w:r w:rsidR="00F9523C" w:rsidRPr="00AB5E88">
        <w:rPr>
          <w:rFonts w:cs="Calibri"/>
          <w:szCs w:val="18"/>
        </w:rPr>
        <w:t xml:space="preserve"> across the T-D </w:t>
      </w:r>
      <w:r w:rsidR="00EE01EB">
        <w:rPr>
          <w:rFonts w:cs="Calibri"/>
          <w:szCs w:val="18"/>
        </w:rPr>
        <w:t>I</w:t>
      </w:r>
      <w:r w:rsidR="00F9523C" w:rsidRPr="00AB5E88">
        <w:rPr>
          <w:rFonts w:cs="Calibri"/>
          <w:szCs w:val="18"/>
        </w:rPr>
        <w:t>nterface</w:t>
      </w:r>
      <w:r w:rsidR="009A0E75" w:rsidRPr="00AB5E88">
        <w:rPr>
          <w:rFonts w:cs="Calibri"/>
          <w:szCs w:val="18"/>
        </w:rPr>
        <w:t xml:space="preserve"> are no long</w:t>
      </w:r>
      <w:r w:rsidR="000C7ECC" w:rsidRPr="00AB5E88">
        <w:rPr>
          <w:rFonts w:cs="Calibri"/>
          <w:szCs w:val="18"/>
        </w:rPr>
        <w:t>er</w:t>
      </w:r>
      <w:r w:rsidR="009A0E75" w:rsidRPr="00AB5E88">
        <w:rPr>
          <w:rFonts w:cs="Calibri"/>
          <w:szCs w:val="18"/>
        </w:rPr>
        <w:t xml:space="preserve"> fit for purpose. </w:t>
      </w:r>
      <w:r w:rsidR="00356AE5" w:rsidRPr="00AB5E88">
        <w:rPr>
          <w:rFonts w:cs="Calibri"/>
          <w:szCs w:val="18"/>
        </w:rPr>
        <w:t xml:space="preserve">In response, </w:t>
      </w:r>
      <w:r w:rsidR="007D4517" w:rsidRPr="00AB5E88">
        <w:rPr>
          <w:rFonts w:cs="Calibri"/>
          <w:szCs w:val="18"/>
        </w:rPr>
        <w:t xml:space="preserve">system operators and networks </w:t>
      </w:r>
      <w:r w:rsidR="00356AE5" w:rsidRPr="00AB5E88">
        <w:rPr>
          <w:rFonts w:cs="Calibri"/>
          <w:szCs w:val="18"/>
        </w:rPr>
        <w:t xml:space="preserve">globally </w:t>
      </w:r>
      <w:r w:rsidR="007D4517" w:rsidRPr="00AB5E88">
        <w:rPr>
          <w:rFonts w:cs="Calibri"/>
          <w:szCs w:val="18"/>
        </w:rPr>
        <w:t xml:space="preserve">are </w:t>
      </w:r>
      <w:r w:rsidR="003F04F5" w:rsidRPr="00AB5E88">
        <w:rPr>
          <w:rFonts w:cs="Calibri"/>
          <w:szCs w:val="18"/>
        </w:rPr>
        <w:t xml:space="preserve">acknowledging the growing importance of </w:t>
      </w:r>
      <w:r w:rsidR="002C3F1B" w:rsidRPr="00AB5E88">
        <w:rPr>
          <w:rFonts w:cs="Calibri"/>
          <w:szCs w:val="18"/>
        </w:rPr>
        <w:t xml:space="preserve">enhanced TDC </w:t>
      </w:r>
      <w:r w:rsidR="00FE0652" w:rsidRPr="00AB5E88">
        <w:rPr>
          <w:rFonts w:cs="Calibri"/>
          <w:szCs w:val="18"/>
        </w:rPr>
        <w:t>for whole-system planning and operations</w:t>
      </w:r>
      <w:r w:rsidR="002C3F1B" w:rsidRPr="00AB5E88">
        <w:rPr>
          <w:rFonts w:cs="Calibri"/>
          <w:szCs w:val="18"/>
        </w:rPr>
        <w:t>.</w:t>
      </w:r>
      <w:r w:rsidR="00E9444D" w:rsidRPr="00AB5E88">
        <w:rPr>
          <w:rFonts w:cs="Calibri"/>
          <w:szCs w:val="18"/>
        </w:rPr>
        <w:t xml:space="preserve"> </w:t>
      </w:r>
    </w:p>
    <w:p w14:paraId="282488E8" w14:textId="69984DE5" w:rsidR="00091111" w:rsidRPr="00091111" w:rsidRDefault="00091111" w:rsidP="00AD0BC9">
      <w:pPr>
        <w:pStyle w:val="Heading1"/>
      </w:pPr>
      <w:bookmarkStart w:id="36" w:name="_Toc191547147"/>
      <w:bookmarkStart w:id="37" w:name="_Toc205532833"/>
      <w:bookmarkStart w:id="38" w:name="S_4"/>
      <w:r w:rsidRPr="00091111">
        <w:lastRenderedPageBreak/>
        <w:t xml:space="preserve">Future Grid Enabler: </w:t>
      </w:r>
      <w:r w:rsidR="002A1BBC">
        <w:t>T</w:t>
      </w:r>
      <w:r w:rsidR="00764BD7">
        <w:t>DC</w:t>
      </w:r>
      <w:r w:rsidR="002A1BBC">
        <w:t xml:space="preserve"> is a </w:t>
      </w:r>
      <w:r w:rsidRPr="00091111">
        <w:t xml:space="preserve">key structural enabler of </w:t>
      </w:r>
      <w:r w:rsidR="0039331C">
        <w:t>low carbon</w:t>
      </w:r>
      <w:r w:rsidRPr="00091111">
        <w:t xml:space="preserve"> power systems</w:t>
      </w:r>
      <w:bookmarkEnd w:id="36"/>
      <w:bookmarkEnd w:id="37"/>
      <w:r w:rsidRPr="00091111">
        <w:t xml:space="preserve"> </w:t>
      </w:r>
    </w:p>
    <w:p w14:paraId="7AC63DEE" w14:textId="78847E2C" w:rsidR="00751E08" w:rsidRPr="00B61DC2" w:rsidRDefault="00751E08" w:rsidP="00564074">
      <w:pPr>
        <w:pStyle w:val="Heading2"/>
        <w:spacing w:before="240"/>
        <w:ind w:left="578" w:hanging="578"/>
      </w:pPr>
      <w:bookmarkStart w:id="39" w:name="_Toc191547148"/>
      <w:bookmarkStart w:id="40" w:name="_Toc205532834"/>
      <w:bookmarkEnd w:id="38"/>
      <w:r w:rsidRPr="00B61DC2">
        <w:t>How T</w:t>
      </w:r>
      <w:r w:rsidR="00FC0C94">
        <w:t>DC</w:t>
      </w:r>
      <w:r w:rsidRPr="00B61DC2">
        <w:t xml:space="preserve"> is characterised globally</w:t>
      </w:r>
      <w:bookmarkEnd w:id="39"/>
      <w:bookmarkEnd w:id="40"/>
    </w:p>
    <w:p w14:paraId="3B5DA6D6" w14:textId="29CE6CA0" w:rsidR="000E69D4" w:rsidRPr="0050162C" w:rsidRDefault="00532AA6" w:rsidP="0050162C">
      <w:pPr>
        <w:spacing w:before="180" w:after="120" w:line="288" w:lineRule="auto"/>
        <w:rPr>
          <w:rFonts w:cs="Calibri"/>
          <w:szCs w:val="18"/>
        </w:rPr>
      </w:pPr>
      <w:r w:rsidRPr="0050162C">
        <w:rPr>
          <w:rFonts w:cs="Calibri"/>
          <w:szCs w:val="18"/>
        </w:rPr>
        <w:t>In recognition of</w:t>
      </w:r>
      <w:r w:rsidR="00607DA7" w:rsidRPr="0050162C">
        <w:rPr>
          <w:rFonts w:cs="Calibri"/>
          <w:szCs w:val="18"/>
        </w:rPr>
        <w:t xml:space="preserve"> </w:t>
      </w:r>
      <w:r w:rsidR="005C4E43" w:rsidRPr="0050162C">
        <w:rPr>
          <w:rFonts w:cs="Calibri"/>
          <w:szCs w:val="18"/>
        </w:rPr>
        <w:t>fast-approaching</w:t>
      </w:r>
      <w:r w:rsidR="0047373B" w:rsidRPr="0050162C">
        <w:rPr>
          <w:rFonts w:cs="Calibri"/>
          <w:szCs w:val="18"/>
        </w:rPr>
        <w:t xml:space="preserve"> </w:t>
      </w:r>
      <w:r w:rsidR="00607DA7" w:rsidRPr="0050162C">
        <w:rPr>
          <w:rFonts w:cs="Calibri"/>
          <w:szCs w:val="18"/>
        </w:rPr>
        <w:t xml:space="preserve">operational challenges, </w:t>
      </w:r>
      <w:r w:rsidR="00165896" w:rsidRPr="0050162C">
        <w:rPr>
          <w:rFonts w:cs="Calibri"/>
          <w:szCs w:val="18"/>
        </w:rPr>
        <w:t>T-D Coordination</w:t>
      </w:r>
      <w:r w:rsidR="00607DA7" w:rsidRPr="0050162C">
        <w:rPr>
          <w:rFonts w:cs="Calibri"/>
          <w:szCs w:val="18"/>
        </w:rPr>
        <w:t xml:space="preserve"> </w:t>
      </w:r>
      <w:r w:rsidR="00872795" w:rsidRPr="0050162C">
        <w:rPr>
          <w:rFonts w:cs="Calibri"/>
          <w:szCs w:val="18"/>
        </w:rPr>
        <w:t>is</w:t>
      </w:r>
      <w:r w:rsidR="00165896" w:rsidRPr="0050162C">
        <w:rPr>
          <w:rFonts w:cs="Calibri"/>
          <w:szCs w:val="18"/>
        </w:rPr>
        <w:t xml:space="preserve"> receiving significant and urgent attention </w:t>
      </w:r>
      <w:r w:rsidR="009F7F48" w:rsidRPr="0050162C">
        <w:rPr>
          <w:rFonts w:cs="Calibri"/>
          <w:szCs w:val="18"/>
        </w:rPr>
        <w:t xml:space="preserve">across the globe. </w:t>
      </w:r>
      <w:r w:rsidR="007C5A1D" w:rsidRPr="0050162C">
        <w:rPr>
          <w:rFonts w:cs="Calibri"/>
          <w:szCs w:val="18"/>
        </w:rPr>
        <w:t xml:space="preserve">Many jurisdictions have </w:t>
      </w:r>
      <w:r w:rsidR="002B0D5F" w:rsidRPr="0050162C">
        <w:rPr>
          <w:rFonts w:cs="Calibri"/>
          <w:szCs w:val="18"/>
        </w:rPr>
        <w:t xml:space="preserve">stood up </w:t>
      </w:r>
      <w:r w:rsidR="00265B51" w:rsidRPr="0050162C">
        <w:rPr>
          <w:rFonts w:cs="Calibri"/>
          <w:szCs w:val="18"/>
        </w:rPr>
        <w:t xml:space="preserve">whole-system </w:t>
      </w:r>
      <w:r w:rsidR="007C5A1D" w:rsidRPr="0050162C">
        <w:rPr>
          <w:rFonts w:cs="Calibri"/>
          <w:szCs w:val="18"/>
        </w:rPr>
        <w:t xml:space="preserve">initiatives </w:t>
      </w:r>
      <w:r w:rsidR="0026738D" w:rsidRPr="0050162C">
        <w:rPr>
          <w:rFonts w:cs="Calibri"/>
          <w:szCs w:val="18"/>
        </w:rPr>
        <w:t>to</w:t>
      </w:r>
      <w:r w:rsidR="00265B51" w:rsidRPr="0050162C">
        <w:rPr>
          <w:rFonts w:cs="Calibri"/>
          <w:szCs w:val="18"/>
        </w:rPr>
        <w:t xml:space="preserve"> collaboratively</w:t>
      </w:r>
      <w:r w:rsidR="0026738D" w:rsidRPr="0050162C">
        <w:rPr>
          <w:rFonts w:cs="Calibri"/>
          <w:szCs w:val="18"/>
        </w:rPr>
        <w:t xml:space="preserve"> advance</w:t>
      </w:r>
      <w:r w:rsidR="00265B51" w:rsidRPr="0050162C">
        <w:rPr>
          <w:rFonts w:cs="Calibri"/>
          <w:szCs w:val="18"/>
        </w:rPr>
        <w:t xml:space="preserve"> </w:t>
      </w:r>
      <w:r w:rsidR="00196596" w:rsidRPr="0050162C">
        <w:rPr>
          <w:rFonts w:cs="Calibri"/>
          <w:szCs w:val="18"/>
        </w:rPr>
        <w:t xml:space="preserve">needed reforms to enable effective T-D Coordination. </w:t>
      </w:r>
      <w:r w:rsidR="00AC3778" w:rsidRPr="0050162C">
        <w:rPr>
          <w:rFonts w:cs="Calibri"/>
          <w:szCs w:val="18"/>
        </w:rPr>
        <w:t xml:space="preserve">This section provides a </w:t>
      </w:r>
      <w:r w:rsidR="00345B80" w:rsidRPr="0050162C">
        <w:rPr>
          <w:rFonts w:cs="Calibri"/>
          <w:szCs w:val="18"/>
        </w:rPr>
        <w:t xml:space="preserve">brief snapshot of </w:t>
      </w:r>
      <w:r w:rsidR="00FD2C2C" w:rsidRPr="0050162C">
        <w:rPr>
          <w:rFonts w:cs="Calibri"/>
          <w:szCs w:val="18"/>
        </w:rPr>
        <w:t>current developments</w:t>
      </w:r>
      <w:r w:rsidR="00844D9C" w:rsidRPr="0050162C">
        <w:rPr>
          <w:rFonts w:cs="Calibri"/>
          <w:szCs w:val="18"/>
        </w:rPr>
        <w:t xml:space="preserve"> and a </w:t>
      </w:r>
      <w:r w:rsidR="00AC3778" w:rsidRPr="0050162C">
        <w:rPr>
          <w:rFonts w:cs="Calibri"/>
          <w:szCs w:val="18"/>
        </w:rPr>
        <w:t xml:space="preserve">guide to </w:t>
      </w:r>
      <w:r w:rsidR="00345B80" w:rsidRPr="0050162C">
        <w:rPr>
          <w:rFonts w:cs="Calibri"/>
          <w:szCs w:val="18"/>
        </w:rPr>
        <w:t xml:space="preserve">the key </w:t>
      </w:r>
      <w:r w:rsidR="00CA15FC" w:rsidRPr="0050162C">
        <w:rPr>
          <w:rFonts w:cs="Calibri"/>
          <w:szCs w:val="18"/>
        </w:rPr>
        <w:t xml:space="preserve">programs </w:t>
      </w:r>
      <w:r w:rsidR="00345B80" w:rsidRPr="0050162C">
        <w:rPr>
          <w:rFonts w:cs="Calibri"/>
          <w:szCs w:val="18"/>
        </w:rPr>
        <w:t xml:space="preserve">of work </w:t>
      </w:r>
      <w:r w:rsidR="00844D9C" w:rsidRPr="0050162C">
        <w:rPr>
          <w:rFonts w:cs="Calibri"/>
          <w:szCs w:val="18"/>
        </w:rPr>
        <w:t xml:space="preserve">for the United Kingdom, European Union, United States, and </w:t>
      </w:r>
      <w:r w:rsidR="008B68FA" w:rsidRPr="0050162C">
        <w:rPr>
          <w:rFonts w:cs="Calibri"/>
          <w:szCs w:val="18"/>
        </w:rPr>
        <w:t>Canada</w:t>
      </w:r>
      <w:r w:rsidR="00772EEE">
        <w:rPr>
          <w:rFonts w:cs="Calibri"/>
          <w:szCs w:val="18"/>
        </w:rPr>
        <w:t xml:space="preserve">. </w:t>
      </w:r>
    </w:p>
    <w:p w14:paraId="7E673025" w14:textId="1B7CD4CF" w:rsidR="004E6F1A" w:rsidRDefault="004E6F1A" w:rsidP="0029357B">
      <w:pPr>
        <w:pStyle w:val="Heading3"/>
      </w:pPr>
      <w:bookmarkStart w:id="41" w:name="_Toc205532835"/>
      <w:r>
        <w:t>United K</w:t>
      </w:r>
      <w:r w:rsidR="00F85412">
        <w:t>i</w:t>
      </w:r>
      <w:r>
        <w:t>ngdom</w:t>
      </w:r>
      <w:bookmarkEnd w:id="41"/>
    </w:p>
    <w:p w14:paraId="384B5D26" w14:textId="38748DC7" w:rsidR="00E7216B" w:rsidRPr="0050162C" w:rsidRDefault="002C598E" w:rsidP="0050162C">
      <w:pPr>
        <w:spacing w:before="180" w:after="120" w:line="288" w:lineRule="auto"/>
        <w:rPr>
          <w:rFonts w:cs="Calibri"/>
          <w:szCs w:val="18"/>
        </w:rPr>
      </w:pPr>
      <w:r>
        <w:rPr>
          <w:rFonts w:cs="Calibri"/>
          <w:szCs w:val="18"/>
        </w:rPr>
        <w:t xml:space="preserve">The </w:t>
      </w:r>
      <w:r w:rsidR="00764BD7">
        <w:rPr>
          <w:rFonts w:cs="Calibri"/>
          <w:szCs w:val="18"/>
        </w:rPr>
        <w:t>United Kingdom</w:t>
      </w:r>
      <w:r>
        <w:rPr>
          <w:rFonts w:cs="Calibri"/>
          <w:szCs w:val="18"/>
        </w:rPr>
        <w:t xml:space="preserve"> has been advancing</w:t>
      </w:r>
      <w:r w:rsidR="00B445D1">
        <w:rPr>
          <w:rFonts w:cs="Calibri"/>
          <w:szCs w:val="18"/>
        </w:rPr>
        <w:t xml:space="preserve"> </w:t>
      </w:r>
      <w:r w:rsidR="00B8128D">
        <w:rPr>
          <w:rFonts w:cs="Calibri"/>
          <w:szCs w:val="18"/>
        </w:rPr>
        <w:t xml:space="preserve">the </w:t>
      </w:r>
      <w:r w:rsidR="00B445D1">
        <w:rPr>
          <w:rFonts w:cs="Calibri"/>
          <w:szCs w:val="18"/>
        </w:rPr>
        <w:t xml:space="preserve">development of a whole-system approach to </w:t>
      </w:r>
      <w:r w:rsidR="00950307">
        <w:rPr>
          <w:rFonts w:cs="Calibri"/>
          <w:szCs w:val="18"/>
        </w:rPr>
        <w:t>the planning and operation of the grid coordinated by the recently established National Energy System Operator (NESO)</w:t>
      </w:r>
      <w:r w:rsidR="00772EEE">
        <w:rPr>
          <w:rFonts w:cs="Calibri"/>
          <w:szCs w:val="18"/>
        </w:rPr>
        <w:t xml:space="preserve">. </w:t>
      </w:r>
      <w:r w:rsidR="00826B72">
        <w:rPr>
          <w:rFonts w:cs="Calibri"/>
          <w:szCs w:val="18"/>
        </w:rPr>
        <w:t>In this context</w:t>
      </w:r>
      <w:r w:rsidR="00AC07F4">
        <w:rPr>
          <w:rFonts w:cs="Calibri"/>
          <w:szCs w:val="18"/>
        </w:rPr>
        <w:t xml:space="preserve">, </w:t>
      </w:r>
      <w:r w:rsidR="00F84E12" w:rsidRPr="0050162C">
        <w:rPr>
          <w:rFonts w:cs="Calibri"/>
          <w:szCs w:val="18"/>
        </w:rPr>
        <w:t xml:space="preserve">Ofgem </w:t>
      </w:r>
      <w:r w:rsidR="003E20B3">
        <w:rPr>
          <w:rFonts w:cs="Calibri"/>
          <w:szCs w:val="18"/>
        </w:rPr>
        <w:t xml:space="preserve">(the government regulator for UK electricity and gas markets) </w:t>
      </w:r>
      <w:r w:rsidR="00F84E12" w:rsidRPr="0050162C">
        <w:rPr>
          <w:rFonts w:cs="Calibri"/>
          <w:szCs w:val="18"/>
        </w:rPr>
        <w:t xml:space="preserve">has been actively shaping regulatory policies to enhance </w:t>
      </w:r>
      <w:r w:rsidR="004068B6">
        <w:rPr>
          <w:rFonts w:cs="Calibri"/>
          <w:szCs w:val="18"/>
        </w:rPr>
        <w:t>N</w:t>
      </w:r>
      <w:r w:rsidR="00F84E12" w:rsidRPr="0050162C">
        <w:rPr>
          <w:rFonts w:cs="Calibri"/>
          <w:szCs w:val="18"/>
        </w:rPr>
        <w:t xml:space="preserve">ESO-DSO </w:t>
      </w:r>
      <w:r w:rsidR="0080147B" w:rsidRPr="0050162C">
        <w:rPr>
          <w:rFonts w:cs="Calibri"/>
          <w:szCs w:val="18"/>
        </w:rPr>
        <w:t>coordination</w:t>
      </w:r>
      <w:r w:rsidR="00E7216B" w:rsidRPr="0050162C">
        <w:rPr>
          <w:rFonts w:cs="Calibri"/>
          <w:szCs w:val="18"/>
        </w:rPr>
        <w:t>. Their initiatives aim to:</w:t>
      </w:r>
    </w:p>
    <w:p w14:paraId="01E6A835" w14:textId="453BA9F9" w:rsidR="00E7216B" w:rsidRDefault="00162A69" w:rsidP="00470C91">
      <w:pPr>
        <w:pStyle w:val="ListParagraph"/>
        <w:numPr>
          <w:ilvl w:val="0"/>
          <w:numId w:val="5"/>
        </w:numPr>
      </w:pPr>
      <w:r>
        <w:t>E</w:t>
      </w:r>
      <w:r w:rsidR="00F84E12" w:rsidRPr="00BE06FB">
        <w:t>ncourage standardised data-sharing platforms between</w:t>
      </w:r>
      <w:r w:rsidR="00F84E12" w:rsidRPr="00F84E12">
        <w:t xml:space="preserve"> </w:t>
      </w:r>
      <w:r w:rsidR="001B2C75">
        <w:t xml:space="preserve">the </w:t>
      </w:r>
      <w:r w:rsidR="004068B6">
        <w:t>N</w:t>
      </w:r>
      <w:r w:rsidR="00F84E12" w:rsidRPr="00F84E12">
        <w:t>ESO and DSOs to improve real-time grid operations</w:t>
      </w:r>
    </w:p>
    <w:p w14:paraId="192176F6" w14:textId="0CB82806" w:rsidR="00E7216B" w:rsidRDefault="00162A69" w:rsidP="00470C91">
      <w:pPr>
        <w:pStyle w:val="ListParagraph"/>
        <w:numPr>
          <w:ilvl w:val="0"/>
          <w:numId w:val="5"/>
        </w:numPr>
      </w:pPr>
      <w:r>
        <w:t>R</w:t>
      </w:r>
      <w:r w:rsidR="009549FA">
        <w:t xml:space="preserve">equire </w:t>
      </w:r>
      <w:r w:rsidR="004F335E" w:rsidRPr="004F335E">
        <w:t>DSOs to actively manage distributed energy resources (DERs)</w:t>
      </w:r>
      <w:r w:rsidR="00EB1E63">
        <w:t>,</w:t>
      </w:r>
      <w:r w:rsidR="00C71E1E">
        <w:t xml:space="preserve"> and</w:t>
      </w:r>
    </w:p>
    <w:p w14:paraId="134189B2" w14:textId="72F394A6" w:rsidR="00C71E1E" w:rsidRDefault="00162A69" w:rsidP="00470C91">
      <w:pPr>
        <w:pStyle w:val="ListParagraph"/>
        <w:numPr>
          <w:ilvl w:val="0"/>
          <w:numId w:val="5"/>
        </w:numPr>
      </w:pPr>
      <w:r>
        <w:t>R</w:t>
      </w:r>
      <w:r w:rsidR="00C71E1E">
        <w:t>equire DSOs to</w:t>
      </w:r>
      <w:r w:rsidR="004F335E" w:rsidRPr="004F335E">
        <w:t xml:space="preserve"> share data with </w:t>
      </w:r>
      <w:r w:rsidR="004068B6">
        <w:t>N</w:t>
      </w:r>
      <w:r w:rsidR="004F335E" w:rsidRPr="004F335E">
        <w:t>ESO for better system operation</w:t>
      </w:r>
      <w:r w:rsidR="009549FA">
        <w:t>.</w:t>
      </w:r>
    </w:p>
    <w:p w14:paraId="12740997" w14:textId="45528E0B" w:rsidR="00B8128D" w:rsidRPr="0050162C" w:rsidRDefault="00F85412" w:rsidP="0050162C">
      <w:pPr>
        <w:spacing w:before="180" w:after="120" w:line="288" w:lineRule="auto"/>
        <w:rPr>
          <w:rFonts w:cs="Calibri"/>
          <w:szCs w:val="18"/>
        </w:rPr>
      </w:pPr>
      <w:r w:rsidRPr="0050162C">
        <w:rPr>
          <w:rFonts w:cs="Calibri"/>
          <w:szCs w:val="18"/>
        </w:rPr>
        <w:t>Much of t</w:t>
      </w:r>
      <w:r w:rsidR="005916D3" w:rsidRPr="0050162C">
        <w:rPr>
          <w:rFonts w:cs="Calibri"/>
          <w:szCs w:val="18"/>
        </w:rPr>
        <w:t xml:space="preserve">his work has </w:t>
      </w:r>
      <w:r w:rsidR="008A2E47" w:rsidRPr="0050162C">
        <w:rPr>
          <w:rFonts w:cs="Calibri"/>
          <w:szCs w:val="18"/>
        </w:rPr>
        <w:t>had its genesis in</w:t>
      </w:r>
      <w:r w:rsidR="005916D3" w:rsidRPr="0050162C">
        <w:rPr>
          <w:rFonts w:cs="Calibri"/>
          <w:szCs w:val="18"/>
        </w:rPr>
        <w:t xml:space="preserve"> the </w:t>
      </w:r>
      <w:r w:rsidR="00C9771D" w:rsidRPr="0050162C">
        <w:rPr>
          <w:rFonts w:cs="Calibri"/>
          <w:szCs w:val="18"/>
        </w:rPr>
        <w:t>‘</w:t>
      </w:r>
      <w:r w:rsidR="00F2592B" w:rsidRPr="0050162C">
        <w:rPr>
          <w:rFonts w:cs="Calibri"/>
          <w:szCs w:val="18"/>
        </w:rPr>
        <w:t>Future System Operator (FSO) Proposal</w:t>
      </w:r>
      <w:r w:rsidR="00C9771D" w:rsidRPr="0050162C">
        <w:rPr>
          <w:rFonts w:cs="Calibri"/>
          <w:szCs w:val="18"/>
        </w:rPr>
        <w:t>’</w:t>
      </w:r>
      <w:r w:rsidR="00F2592B" w:rsidRPr="0050162C">
        <w:rPr>
          <w:rFonts w:cs="Calibri"/>
          <w:szCs w:val="18"/>
        </w:rPr>
        <w:t xml:space="preserve"> body of work.</w:t>
      </w:r>
    </w:p>
    <w:tbl>
      <w:tblPr>
        <w:tblStyle w:val="TableGrid"/>
        <w:tblW w:w="0" w:type="auto"/>
        <w:tblInd w:w="-5" w:type="dxa"/>
        <w:tblLook w:val="04A0" w:firstRow="1" w:lastRow="0" w:firstColumn="1" w:lastColumn="0" w:noHBand="0" w:noVBand="1"/>
      </w:tblPr>
      <w:tblGrid>
        <w:gridCol w:w="8215"/>
      </w:tblGrid>
      <w:tr w:rsidR="00C9771D" w14:paraId="620C45CE" w14:textId="77777777" w:rsidTr="00ED5BCF">
        <w:trPr>
          <w:trHeight w:val="525"/>
        </w:trPr>
        <w:tc>
          <w:tcPr>
            <w:tcW w:w="8215" w:type="dxa"/>
            <w:shd w:val="clear" w:color="auto" w:fill="013C4C" w:themeFill="text1"/>
          </w:tcPr>
          <w:p w14:paraId="4C473014" w14:textId="0DC1E275" w:rsidR="00C9771D" w:rsidRDefault="0087663D" w:rsidP="00C71E1E">
            <w:pPr>
              <w:spacing w:line="276" w:lineRule="auto"/>
            </w:pPr>
            <w:r>
              <w:t xml:space="preserve">Excerpt from Ofgem’s </w:t>
            </w:r>
            <w:r w:rsidRPr="0087663D">
              <w:t>Future Systems and Network Regulation: Framework</w:t>
            </w:r>
          </w:p>
        </w:tc>
      </w:tr>
      <w:tr w:rsidR="00C9771D" w14:paraId="017DAEE3" w14:textId="77777777" w:rsidTr="00ED5BCF">
        <w:tc>
          <w:tcPr>
            <w:tcW w:w="8215" w:type="dxa"/>
          </w:tcPr>
          <w:p w14:paraId="0BDEE82D" w14:textId="1E86A6BC" w:rsidR="00C9771D" w:rsidRDefault="00C9771D" w:rsidP="00870C1B">
            <w:pPr>
              <w:spacing w:line="276" w:lineRule="auto"/>
              <w:ind w:left="426"/>
            </w:pPr>
            <w:r w:rsidRPr="008A30A4">
              <w:rPr>
                <w:b/>
                <w:bCs/>
                <w:i/>
                <w:iCs/>
              </w:rPr>
              <w:t>Effective ESO-DSO coordination is central to unlocking the value of distributed flexibility, supporting decarboni</w:t>
            </w:r>
            <w:r>
              <w:rPr>
                <w:b/>
                <w:bCs/>
                <w:i/>
                <w:iCs/>
              </w:rPr>
              <w:t>s</w:t>
            </w:r>
            <w:r w:rsidRPr="008A30A4">
              <w:rPr>
                <w:b/>
                <w:bCs/>
                <w:i/>
                <w:iCs/>
              </w:rPr>
              <w:t>ation, and enhancing the resilience of Great Britain’s electricity system</w:t>
            </w:r>
            <w:r w:rsidR="00265009" w:rsidRPr="00265009">
              <w:rPr>
                <w:b/>
                <w:bCs/>
                <w:i/>
                <w:iCs/>
                <w:noProof/>
                <w:lang w:val="en-GB"/>
              </w:rPr>
              <w:t xml:space="preserve"> </w:t>
            </w:r>
            <w:r w:rsidR="00265009" w:rsidRPr="009F6100">
              <w:rPr>
                <w:noProof/>
                <w:lang w:val="en-GB"/>
              </w:rPr>
              <w:t>[1]</w:t>
            </w:r>
            <w:r w:rsidRPr="008A30A4">
              <w:rPr>
                <w:b/>
                <w:bCs/>
                <w:i/>
                <w:iCs/>
              </w:rPr>
              <w:t>.</w:t>
            </w:r>
            <w:r>
              <w:rPr>
                <w:i/>
                <w:iCs/>
              </w:rPr>
              <w:t xml:space="preserve"> </w:t>
            </w:r>
          </w:p>
        </w:tc>
      </w:tr>
    </w:tbl>
    <w:p w14:paraId="4F246A76" w14:textId="39DD0977" w:rsidR="0059156B" w:rsidRPr="0050162C" w:rsidRDefault="0059156B" w:rsidP="00AC4333">
      <w:pPr>
        <w:spacing w:after="120" w:line="288" w:lineRule="auto"/>
        <w:rPr>
          <w:rFonts w:cs="Calibri"/>
          <w:szCs w:val="18"/>
        </w:rPr>
      </w:pPr>
      <w:r w:rsidRPr="0050162C">
        <w:rPr>
          <w:rFonts w:cs="Calibri"/>
          <w:szCs w:val="18"/>
        </w:rPr>
        <w:t xml:space="preserve">Other </w:t>
      </w:r>
      <w:r w:rsidR="008A2E47" w:rsidRPr="0050162C">
        <w:rPr>
          <w:rFonts w:cs="Calibri"/>
          <w:szCs w:val="18"/>
        </w:rPr>
        <w:t xml:space="preserve">notable </w:t>
      </w:r>
      <w:r w:rsidRPr="0050162C">
        <w:rPr>
          <w:rFonts w:cs="Calibri"/>
          <w:szCs w:val="18"/>
        </w:rPr>
        <w:t xml:space="preserve">current or recent </w:t>
      </w:r>
      <w:r w:rsidR="00A44D66" w:rsidRPr="0050162C">
        <w:rPr>
          <w:rFonts w:cs="Calibri"/>
          <w:szCs w:val="18"/>
        </w:rPr>
        <w:t>initiatives</w:t>
      </w:r>
      <w:r w:rsidRPr="0050162C">
        <w:rPr>
          <w:rFonts w:cs="Calibri"/>
          <w:szCs w:val="18"/>
        </w:rPr>
        <w:t xml:space="preserve"> include:</w:t>
      </w:r>
    </w:p>
    <w:p w14:paraId="7D92253A" w14:textId="492CC66C" w:rsidR="0059156B" w:rsidRPr="0073057F" w:rsidRDefault="0085597C" w:rsidP="00470C91">
      <w:pPr>
        <w:pStyle w:val="ListParagraph"/>
        <w:numPr>
          <w:ilvl w:val="0"/>
          <w:numId w:val="5"/>
        </w:numPr>
      </w:pPr>
      <w:r w:rsidRPr="0073057F">
        <w:t>National Grid ESO - "Future of ESO-DSO Coordination", including the "DSO Implementation Plan" focuse</w:t>
      </w:r>
      <w:r w:rsidR="004E78A2" w:rsidRPr="0073057F">
        <w:t>d</w:t>
      </w:r>
      <w:r w:rsidRPr="0073057F">
        <w:t xml:space="preserve"> on market-based approaches to flexibility services, data sharing, and operational coordination </w:t>
      </w:r>
    </w:p>
    <w:p w14:paraId="0191F6B5" w14:textId="53015B76" w:rsidR="004E78A2" w:rsidRPr="0073057F" w:rsidRDefault="00110A65" w:rsidP="00470C91">
      <w:pPr>
        <w:pStyle w:val="ListParagraph"/>
        <w:numPr>
          <w:ilvl w:val="0"/>
          <w:numId w:val="5"/>
        </w:numPr>
      </w:pPr>
      <w:r>
        <w:t xml:space="preserve">The UK’s </w:t>
      </w:r>
      <w:r w:rsidR="004E78A2" w:rsidRPr="0073057F">
        <w:t xml:space="preserve">Energy Networks Association (ENA) – </w:t>
      </w:r>
      <w:r w:rsidR="001C739C" w:rsidRPr="0073057F">
        <w:t>“</w:t>
      </w:r>
      <w:r w:rsidR="004E78A2" w:rsidRPr="0073057F">
        <w:t>Open Networks Project</w:t>
      </w:r>
      <w:r w:rsidR="001C739C" w:rsidRPr="0073057F">
        <w:t>”</w:t>
      </w:r>
      <w:r w:rsidR="00C94C31" w:rsidRPr="0073057F">
        <w:t>, which includes work on developing common standards for data sharing between ESO and DSOs.</w:t>
      </w:r>
    </w:p>
    <w:p w14:paraId="583EF792" w14:textId="731004CE" w:rsidR="004E78A2" w:rsidRPr="0073057F" w:rsidRDefault="00F14356" w:rsidP="00470C91">
      <w:pPr>
        <w:pStyle w:val="ListParagraph"/>
        <w:numPr>
          <w:ilvl w:val="0"/>
          <w:numId w:val="5"/>
        </w:numPr>
      </w:pPr>
      <w:r w:rsidRPr="0073057F">
        <w:lastRenderedPageBreak/>
        <w:t xml:space="preserve">UK Government </w:t>
      </w:r>
      <w:r w:rsidR="001C739C" w:rsidRPr="0073057F">
        <w:t>–</w:t>
      </w:r>
      <w:r w:rsidRPr="0073057F">
        <w:t xml:space="preserve"> </w:t>
      </w:r>
      <w:r w:rsidR="001C739C" w:rsidRPr="0073057F">
        <w:t>“</w:t>
      </w:r>
      <w:r w:rsidRPr="0073057F">
        <w:t>Smart Systems and Flexibility Plan</w:t>
      </w:r>
      <w:r w:rsidR="001C739C" w:rsidRPr="0073057F">
        <w:t>”</w:t>
      </w:r>
      <w:r w:rsidR="001F50E6" w:rsidRPr="0073057F">
        <w:t xml:space="preserve"> (published with Ofgem): outlines how ESO-DSO coordination can support </w:t>
      </w:r>
      <w:r w:rsidR="002011D9" w:rsidRPr="0073057F">
        <w:t>smart, flexible, decarbonised energy system</w:t>
      </w:r>
      <w:r w:rsidR="001F50E6" w:rsidRPr="0073057F">
        <w:t>.</w:t>
      </w:r>
    </w:p>
    <w:p w14:paraId="7349F3A4" w14:textId="68DBFE7D" w:rsidR="00A44D66" w:rsidRPr="0073057F" w:rsidRDefault="00A44D66" w:rsidP="00470C91">
      <w:pPr>
        <w:pStyle w:val="ListParagraph"/>
        <w:numPr>
          <w:ilvl w:val="0"/>
          <w:numId w:val="5"/>
        </w:numPr>
      </w:pPr>
      <w:r w:rsidRPr="0073057F">
        <w:t xml:space="preserve">Carbon Trust </w:t>
      </w:r>
      <w:r w:rsidR="001C739C" w:rsidRPr="0073057F">
        <w:t>–</w:t>
      </w:r>
      <w:r w:rsidRPr="0073057F">
        <w:t xml:space="preserve"> </w:t>
      </w:r>
      <w:r w:rsidR="001C739C" w:rsidRPr="0073057F">
        <w:t>“</w:t>
      </w:r>
      <w:r w:rsidRPr="0073057F">
        <w:t>Flexibility in Energy Systems</w:t>
      </w:r>
      <w:r w:rsidR="001C739C" w:rsidRPr="0073057F">
        <w:t>”: a</w:t>
      </w:r>
      <w:r w:rsidR="005906A1" w:rsidRPr="0073057F">
        <w:t xml:space="preserve"> collaboration with </w:t>
      </w:r>
      <w:r w:rsidR="00860200">
        <w:t>N</w:t>
      </w:r>
      <w:r w:rsidR="005906A1" w:rsidRPr="0073057F">
        <w:t>ESO and DSOs, has been leading research on flexibility and ESO-DSO coordination</w:t>
      </w:r>
      <w:r w:rsidR="00176C80" w:rsidRPr="0073057F">
        <w:t>. T</w:t>
      </w:r>
      <w:r w:rsidR="005906A1" w:rsidRPr="0073057F">
        <w:t>heir work includes studies on how digitali</w:t>
      </w:r>
      <w:r w:rsidR="00176C80" w:rsidRPr="0073057F">
        <w:t>s</w:t>
      </w:r>
      <w:r w:rsidR="005906A1" w:rsidRPr="0073057F">
        <w:t>ation and smart grid technologies can enhance transmission-distribution interactions.</w:t>
      </w:r>
    </w:p>
    <w:p w14:paraId="78A4A370" w14:textId="1062C6B1" w:rsidR="00A44D66" w:rsidRPr="0073057F" w:rsidRDefault="00A44D66" w:rsidP="00470C91">
      <w:pPr>
        <w:pStyle w:val="ListParagraph"/>
        <w:numPr>
          <w:ilvl w:val="0"/>
          <w:numId w:val="5"/>
        </w:numPr>
      </w:pPr>
      <w:r w:rsidRPr="0073057F">
        <w:t>Regional DSO Pilot Projects</w:t>
      </w:r>
    </w:p>
    <w:p w14:paraId="20D39B1E" w14:textId="525DD659" w:rsidR="00A44D66" w:rsidRPr="00A44D66" w:rsidRDefault="00A44D66" w:rsidP="00470C91">
      <w:pPr>
        <w:pStyle w:val="ListParagraph"/>
        <w:numPr>
          <w:ilvl w:val="1"/>
          <w:numId w:val="5"/>
        </w:numPr>
      </w:pPr>
      <w:r w:rsidRPr="00A44D66">
        <w:t xml:space="preserve">UK Power Networks’ "Flexibility First" project: Testing local energy markets for ESO-DSO coordination. </w:t>
      </w:r>
    </w:p>
    <w:p w14:paraId="0254007E" w14:textId="1CA0BB8B" w:rsidR="00A44D66" w:rsidRPr="0073057F" w:rsidRDefault="00A44D66" w:rsidP="00470C91">
      <w:pPr>
        <w:pStyle w:val="ListParagraph"/>
        <w:numPr>
          <w:ilvl w:val="1"/>
          <w:numId w:val="5"/>
        </w:numPr>
      </w:pPr>
      <w:r w:rsidRPr="0073057F">
        <w:t>Scottish Power Energy Networks’ "Smart System Flexibility" trials: Investigating how DSOs can manage grid constraints.</w:t>
      </w:r>
    </w:p>
    <w:p w14:paraId="20025D99" w14:textId="574F8078" w:rsidR="00E421F8" w:rsidRDefault="00E421F8" w:rsidP="00E421F8">
      <w:pPr>
        <w:pStyle w:val="Heading3"/>
      </w:pPr>
      <w:bookmarkStart w:id="42" w:name="_Toc205532836"/>
      <w:r>
        <w:t>United States</w:t>
      </w:r>
      <w:bookmarkEnd w:id="42"/>
    </w:p>
    <w:p w14:paraId="49E57D75" w14:textId="4D199987" w:rsidR="00E421F8" w:rsidRPr="0050162C" w:rsidRDefault="00E421F8" w:rsidP="0050162C">
      <w:pPr>
        <w:spacing w:before="180" w:after="120" w:line="288" w:lineRule="auto"/>
        <w:rPr>
          <w:rFonts w:cs="Calibri"/>
          <w:szCs w:val="18"/>
        </w:rPr>
      </w:pPr>
      <w:r w:rsidRPr="0050162C">
        <w:rPr>
          <w:rFonts w:cs="Calibri"/>
          <w:szCs w:val="18"/>
        </w:rPr>
        <w:t xml:space="preserve">In the </w:t>
      </w:r>
      <w:r w:rsidR="00826B72">
        <w:rPr>
          <w:rFonts w:cs="Calibri"/>
          <w:szCs w:val="18"/>
        </w:rPr>
        <w:t>United States</w:t>
      </w:r>
      <w:r w:rsidRPr="0050162C">
        <w:rPr>
          <w:rFonts w:cs="Calibri"/>
          <w:szCs w:val="18"/>
        </w:rPr>
        <w:t xml:space="preserve">, </w:t>
      </w:r>
      <w:r w:rsidR="0062740E" w:rsidRPr="0050162C">
        <w:rPr>
          <w:rFonts w:cs="Calibri"/>
          <w:szCs w:val="18"/>
        </w:rPr>
        <w:t>the Federal Energy Regulatory Commission (FERC), regional Independent System Operators (ISOs) and Regional Transmission Organi</w:t>
      </w:r>
      <w:r w:rsidR="0030211E">
        <w:rPr>
          <w:rFonts w:cs="Calibri"/>
          <w:szCs w:val="18"/>
        </w:rPr>
        <w:t>s</w:t>
      </w:r>
      <w:r w:rsidR="0062740E" w:rsidRPr="0050162C">
        <w:rPr>
          <w:rFonts w:cs="Calibri"/>
          <w:szCs w:val="18"/>
        </w:rPr>
        <w:t xml:space="preserve">ations (RTOs), and industry bodies like EPRI (Electric Power Research Institute) are working on frameworks to </w:t>
      </w:r>
      <w:r w:rsidR="00735677">
        <w:rPr>
          <w:rFonts w:cs="Calibri"/>
          <w:szCs w:val="18"/>
        </w:rPr>
        <w:t>support the level of</w:t>
      </w:r>
      <w:r w:rsidR="0062740E">
        <w:rPr>
          <w:rFonts w:cs="Calibri"/>
          <w:szCs w:val="18"/>
        </w:rPr>
        <w:t xml:space="preserve"> </w:t>
      </w:r>
      <w:r w:rsidR="00AE04B1" w:rsidRPr="0050162C">
        <w:rPr>
          <w:rFonts w:cs="Calibri"/>
          <w:szCs w:val="18"/>
        </w:rPr>
        <w:t>T-D</w:t>
      </w:r>
      <w:r w:rsidR="0062740E" w:rsidRPr="0050162C">
        <w:rPr>
          <w:rFonts w:cs="Calibri"/>
          <w:szCs w:val="18"/>
        </w:rPr>
        <w:t xml:space="preserve"> coordination</w:t>
      </w:r>
      <w:r w:rsidR="00CD5A98">
        <w:rPr>
          <w:rFonts w:cs="Calibri"/>
          <w:szCs w:val="18"/>
        </w:rPr>
        <w:t xml:space="preserve"> </w:t>
      </w:r>
      <w:r w:rsidR="00735677">
        <w:rPr>
          <w:rFonts w:cs="Calibri"/>
          <w:szCs w:val="18"/>
        </w:rPr>
        <w:t xml:space="preserve">possible within </w:t>
      </w:r>
      <w:r w:rsidR="00CD5A98">
        <w:rPr>
          <w:rFonts w:cs="Calibri"/>
          <w:szCs w:val="18"/>
        </w:rPr>
        <w:t>the legacy</w:t>
      </w:r>
      <w:r w:rsidR="00735677">
        <w:rPr>
          <w:rFonts w:cs="Calibri"/>
          <w:szCs w:val="18"/>
        </w:rPr>
        <w:t xml:space="preserve"> ‘</w:t>
      </w:r>
      <w:r w:rsidR="00CD5A98">
        <w:rPr>
          <w:rFonts w:cs="Calibri"/>
          <w:szCs w:val="18"/>
        </w:rPr>
        <w:t>as-built</w:t>
      </w:r>
      <w:r w:rsidR="00735677">
        <w:rPr>
          <w:rFonts w:cs="Calibri"/>
          <w:szCs w:val="18"/>
        </w:rPr>
        <w:t>’</w:t>
      </w:r>
      <w:r w:rsidR="00CD5A98">
        <w:rPr>
          <w:rFonts w:cs="Calibri"/>
          <w:szCs w:val="18"/>
        </w:rPr>
        <w:t xml:space="preserve"> </w:t>
      </w:r>
      <w:r w:rsidR="00735677">
        <w:rPr>
          <w:rFonts w:cs="Calibri"/>
          <w:szCs w:val="18"/>
        </w:rPr>
        <w:t>grid</w:t>
      </w:r>
      <w:r w:rsidR="00CD5A98">
        <w:rPr>
          <w:rFonts w:cs="Calibri"/>
          <w:szCs w:val="18"/>
        </w:rPr>
        <w:t xml:space="preserve"> structures. </w:t>
      </w:r>
    </w:p>
    <w:tbl>
      <w:tblPr>
        <w:tblStyle w:val="TableGrid"/>
        <w:tblW w:w="0" w:type="auto"/>
        <w:tblInd w:w="-5" w:type="dxa"/>
        <w:tblLook w:val="04A0" w:firstRow="1" w:lastRow="0" w:firstColumn="1" w:lastColumn="0" w:noHBand="0" w:noVBand="1"/>
      </w:tblPr>
      <w:tblGrid>
        <w:gridCol w:w="8215"/>
      </w:tblGrid>
      <w:tr w:rsidR="00F90016" w14:paraId="7B7D5CB7" w14:textId="77777777" w:rsidTr="00ED5BCF">
        <w:trPr>
          <w:trHeight w:val="525"/>
        </w:trPr>
        <w:tc>
          <w:tcPr>
            <w:tcW w:w="8215" w:type="dxa"/>
            <w:shd w:val="clear" w:color="auto" w:fill="013C4C" w:themeFill="accent1"/>
          </w:tcPr>
          <w:p w14:paraId="470DE7AB" w14:textId="52EBD416" w:rsidR="00F90016" w:rsidRDefault="00F90016">
            <w:pPr>
              <w:spacing w:line="276" w:lineRule="auto"/>
            </w:pPr>
            <w:r>
              <w:t xml:space="preserve">Excerpt </w:t>
            </w:r>
            <w:r w:rsidR="004E0580">
              <w:t>from EPRI</w:t>
            </w:r>
            <w:r w:rsidR="00667655">
              <w:t xml:space="preserve">’s </w:t>
            </w:r>
            <w:r w:rsidR="003411BD" w:rsidRPr="003411BD">
              <w:t>TSO-DSO Coordination Frameworks for DER Services</w:t>
            </w:r>
          </w:p>
        </w:tc>
      </w:tr>
      <w:tr w:rsidR="00F90016" w14:paraId="1E1AF00D" w14:textId="77777777" w:rsidTr="00ED5BCF">
        <w:tc>
          <w:tcPr>
            <w:tcW w:w="8215" w:type="dxa"/>
          </w:tcPr>
          <w:p w14:paraId="135AD145" w14:textId="63E06E31" w:rsidR="00F90016" w:rsidRDefault="00F90016">
            <w:pPr>
              <w:spacing w:line="276" w:lineRule="auto"/>
              <w:ind w:left="426"/>
            </w:pPr>
            <w:r>
              <w:rPr>
                <w:b/>
                <w:bCs/>
                <w:i/>
                <w:iCs/>
              </w:rPr>
              <w:t>“</w:t>
            </w:r>
            <w:r w:rsidRPr="00AE04B1">
              <w:rPr>
                <w:b/>
                <w:bCs/>
                <w:i/>
                <w:iCs/>
              </w:rPr>
              <w:t>As distributed energy resources grow, the need for enhanced coordination between transmission and distribution operators becomes essential for ensuring real-time visibility, system reliability, and efficient market participation.</w:t>
            </w:r>
            <w:r>
              <w:rPr>
                <w:b/>
                <w:bCs/>
                <w:i/>
                <w:iCs/>
              </w:rPr>
              <w:t>”</w:t>
            </w:r>
            <w:r w:rsidR="006D04A7" w:rsidRPr="00265009">
              <w:rPr>
                <w:b/>
                <w:bCs/>
                <w:i/>
                <w:iCs/>
                <w:noProof/>
              </w:rPr>
              <w:t xml:space="preserve"> </w:t>
            </w:r>
            <w:hyperlink w:anchor="Ref_2" w:history="1">
              <w:r w:rsidR="006D04A7" w:rsidRPr="006D04A7">
                <w:rPr>
                  <w:rStyle w:val="Hyperlink"/>
                  <w:noProof/>
                </w:rPr>
                <w:t>[2]</w:t>
              </w:r>
            </w:hyperlink>
          </w:p>
        </w:tc>
      </w:tr>
      <w:tr w:rsidR="00BD3904" w14:paraId="4BD2A8BF" w14:textId="77777777" w:rsidTr="00ED5BCF">
        <w:trPr>
          <w:trHeight w:val="525"/>
        </w:trPr>
        <w:tc>
          <w:tcPr>
            <w:tcW w:w="8215" w:type="dxa"/>
            <w:shd w:val="clear" w:color="auto" w:fill="013C4C" w:themeFill="accent1"/>
          </w:tcPr>
          <w:p w14:paraId="64FFFE7B" w14:textId="16C51DA5" w:rsidR="00BD3904" w:rsidRDefault="00AE5A9E">
            <w:pPr>
              <w:spacing w:line="276" w:lineRule="auto"/>
            </w:pPr>
            <w:r>
              <w:t>Excerpt from Grid Moderni</w:t>
            </w:r>
            <w:r w:rsidR="005B12B7">
              <w:t>s</w:t>
            </w:r>
            <w:r>
              <w:t>ation Initiative’s Grid Moderni</w:t>
            </w:r>
            <w:r w:rsidR="0030211E">
              <w:t>s</w:t>
            </w:r>
            <w:r>
              <w:t>ation Strategy</w:t>
            </w:r>
            <w:r w:rsidR="00132E56">
              <w:t xml:space="preserve"> 2024: </w:t>
            </w:r>
          </w:p>
        </w:tc>
      </w:tr>
      <w:tr w:rsidR="00BD3904" w14:paraId="099E27D2" w14:textId="77777777" w:rsidTr="00ED5BCF">
        <w:tc>
          <w:tcPr>
            <w:tcW w:w="8215" w:type="dxa"/>
          </w:tcPr>
          <w:p w14:paraId="6BA08F16" w14:textId="49184ECD" w:rsidR="00BD3904" w:rsidRPr="00870C1B" w:rsidRDefault="00BD3904" w:rsidP="00132E56">
            <w:pPr>
              <w:spacing w:line="276" w:lineRule="auto"/>
              <w:ind w:left="426"/>
              <w:rPr>
                <w:b/>
                <w:bCs/>
                <w:i/>
                <w:iCs/>
              </w:rPr>
            </w:pPr>
            <w:r>
              <w:rPr>
                <w:b/>
                <w:bCs/>
                <w:i/>
                <w:iCs/>
              </w:rPr>
              <w:t>“</w:t>
            </w:r>
            <w:r w:rsidR="00AE5A9E" w:rsidRPr="00AE5A9E">
              <w:rPr>
                <w:b/>
                <w:bCs/>
                <w:i/>
                <w:iCs/>
              </w:rPr>
              <w:t>Wide area control and operation for seamless Transmission and Distribution Integration are an important research area</w:t>
            </w:r>
            <w:r w:rsidR="00AE5A9E" w:rsidRPr="00C43ACE">
              <w:rPr>
                <w:b/>
                <w:bCs/>
                <w:i/>
                <w:iCs/>
              </w:rPr>
              <w:t>.</w:t>
            </w:r>
            <w:r w:rsidRPr="00C43ACE">
              <w:rPr>
                <w:b/>
                <w:bCs/>
                <w:i/>
                <w:iCs/>
              </w:rPr>
              <w:t xml:space="preserve">” </w:t>
            </w:r>
            <w:r w:rsidR="004C42CF" w:rsidRPr="009F6100">
              <w:rPr>
                <w:noProof/>
                <w:lang w:val="en-GB"/>
              </w:rPr>
              <w:t>[3]</w:t>
            </w:r>
          </w:p>
        </w:tc>
      </w:tr>
    </w:tbl>
    <w:p w14:paraId="68F7538D" w14:textId="681764D7" w:rsidR="00F53CE4" w:rsidRPr="0050162C" w:rsidRDefault="00F53CE4" w:rsidP="0050162C">
      <w:pPr>
        <w:spacing w:before="180" w:after="120" w:line="288" w:lineRule="auto"/>
        <w:rPr>
          <w:rFonts w:cs="Calibri"/>
          <w:szCs w:val="18"/>
        </w:rPr>
      </w:pPr>
      <w:r w:rsidRPr="0050162C">
        <w:rPr>
          <w:rFonts w:cs="Calibri"/>
          <w:szCs w:val="18"/>
        </w:rPr>
        <w:t>Notable current or recent initiatives include:</w:t>
      </w:r>
    </w:p>
    <w:p w14:paraId="7309C89C" w14:textId="54DE4FBD" w:rsidR="00E94757" w:rsidRPr="00870C1B" w:rsidRDefault="007C25F8" w:rsidP="00470C91">
      <w:pPr>
        <w:pStyle w:val="ListParagraph"/>
        <w:numPr>
          <w:ilvl w:val="0"/>
          <w:numId w:val="5"/>
        </w:numPr>
      </w:pPr>
      <w:r w:rsidRPr="00870C1B">
        <w:t>EPRI</w:t>
      </w:r>
      <w:r w:rsidR="0073057F" w:rsidRPr="00870C1B">
        <w:t>’s</w:t>
      </w:r>
      <w:r w:rsidR="00C02020" w:rsidRPr="00870C1B">
        <w:t xml:space="preserve"> </w:t>
      </w:r>
      <w:r w:rsidRPr="00870C1B">
        <w:t>"TSO-DSO Coordination for Grid Moderni</w:t>
      </w:r>
      <w:r w:rsidR="0030211E">
        <w:t>s</w:t>
      </w:r>
      <w:r w:rsidRPr="00870C1B">
        <w:t xml:space="preserve">ation" Initiative </w:t>
      </w:r>
      <w:r w:rsidR="00E94757" w:rsidRPr="00870C1B">
        <w:t>focus</w:t>
      </w:r>
      <w:r w:rsidR="00CA399A" w:rsidRPr="00870C1B">
        <w:t>es</w:t>
      </w:r>
      <w:r w:rsidR="00E94757" w:rsidRPr="00870C1B">
        <w:t xml:space="preserve"> on examining how TSOs and DSOs can better share data, improve real-time operations, and integrate DERs.</w:t>
      </w:r>
    </w:p>
    <w:p w14:paraId="21FA9381" w14:textId="5ABEFB51" w:rsidR="007C25F8" w:rsidRPr="00870C1B" w:rsidRDefault="007C25F8" w:rsidP="00470C91">
      <w:pPr>
        <w:pStyle w:val="ListParagraph"/>
        <w:numPr>
          <w:ilvl w:val="0"/>
          <w:numId w:val="5"/>
        </w:numPr>
      </w:pPr>
      <w:r w:rsidRPr="00870C1B">
        <w:t>FERC</w:t>
      </w:r>
      <w:r w:rsidR="00C02020" w:rsidRPr="00870C1B">
        <w:t xml:space="preserve"> - </w:t>
      </w:r>
      <w:r w:rsidRPr="00870C1B">
        <w:t xml:space="preserve">Implementation of </w:t>
      </w:r>
      <w:r w:rsidR="00347562">
        <w:t xml:space="preserve">FERC’s </w:t>
      </w:r>
      <w:r w:rsidRPr="00870C1B">
        <w:t>Order 2222</w:t>
      </w:r>
      <w:r w:rsidR="00D11FBF" w:rsidRPr="00870C1B">
        <w:t xml:space="preserve"> </w:t>
      </w:r>
      <w:r w:rsidR="00DC1770" w:rsidRPr="00870C1B">
        <w:t xml:space="preserve">includes </w:t>
      </w:r>
      <w:r w:rsidR="00911008" w:rsidRPr="00870C1B">
        <w:t>requirements</w:t>
      </w:r>
      <w:r w:rsidR="00DC1770" w:rsidRPr="00870C1B">
        <w:t xml:space="preserve"> for TSOs and DSOs to establish new coordination protocols to manage DER aggregation.</w:t>
      </w:r>
      <w:r w:rsidR="00911008" w:rsidRPr="00870C1B">
        <w:t xml:space="preserve"> </w:t>
      </w:r>
    </w:p>
    <w:p w14:paraId="4F3DE245" w14:textId="386F68F5" w:rsidR="00412F05" w:rsidRDefault="00412F05" w:rsidP="00470C91">
      <w:pPr>
        <w:pStyle w:val="ListParagraph"/>
        <w:numPr>
          <w:ilvl w:val="0"/>
          <w:numId w:val="5"/>
        </w:numPr>
      </w:pPr>
      <w:r w:rsidRPr="00870C1B">
        <w:lastRenderedPageBreak/>
        <w:t>Grid Moderni</w:t>
      </w:r>
      <w:r w:rsidR="003A5B99">
        <w:t>s</w:t>
      </w:r>
      <w:r w:rsidRPr="00870C1B">
        <w:t>ation Lab Consortium</w:t>
      </w:r>
      <w:r w:rsidR="00A751AA" w:rsidRPr="00870C1B">
        <w:t>’s</w:t>
      </w:r>
      <w:r w:rsidRPr="00870C1B">
        <w:t xml:space="preserve"> (GMLC)</w:t>
      </w:r>
      <w:r w:rsidR="00A751AA" w:rsidRPr="00870C1B">
        <w:t xml:space="preserve"> work on improving grid resilience through better T-D coordination, including cyber-security concerns</w:t>
      </w:r>
    </w:p>
    <w:p w14:paraId="42CDF836" w14:textId="7EB2696E" w:rsidR="00554AAC" w:rsidRPr="00870C1B" w:rsidRDefault="00554AAC" w:rsidP="00470C91">
      <w:pPr>
        <w:pStyle w:val="ListParagraph"/>
        <w:numPr>
          <w:ilvl w:val="0"/>
          <w:numId w:val="5"/>
        </w:numPr>
      </w:pPr>
      <w:r w:rsidRPr="00870C1B">
        <w:t>Grid Moderni</w:t>
      </w:r>
      <w:r w:rsidR="003A5B99">
        <w:t>s</w:t>
      </w:r>
      <w:r w:rsidRPr="00870C1B">
        <w:t>ation Lab Consortium’s (GMLC) work on</w:t>
      </w:r>
      <w:r>
        <w:t xml:space="preserve"> layered decomposition and Laminar Coordination frameworks for distributed grid asset coordination at all levels</w:t>
      </w:r>
    </w:p>
    <w:p w14:paraId="09A82AE9" w14:textId="3EC78DFF" w:rsidR="00E63508" w:rsidRDefault="00BD6AFC" w:rsidP="00E63508">
      <w:pPr>
        <w:pStyle w:val="Heading3"/>
      </w:pPr>
      <w:bookmarkStart w:id="43" w:name="_Toc198909573"/>
      <w:bookmarkStart w:id="44" w:name="_Toc205532837"/>
      <w:bookmarkEnd w:id="43"/>
      <w:r>
        <w:t>European Union (EU)</w:t>
      </w:r>
      <w:bookmarkEnd w:id="44"/>
    </w:p>
    <w:p w14:paraId="5FD06557" w14:textId="352E7BAE" w:rsidR="000E69D4" w:rsidRPr="0050162C" w:rsidRDefault="00BD6AFC" w:rsidP="0050162C">
      <w:pPr>
        <w:spacing w:before="180" w:after="120" w:line="288" w:lineRule="auto"/>
        <w:rPr>
          <w:rFonts w:cs="Calibri"/>
          <w:szCs w:val="18"/>
        </w:rPr>
      </w:pPr>
      <w:r w:rsidRPr="0050162C">
        <w:rPr>
          <w:rFonts w:cs="Calibri"/>
          <w:szCs w:val="18"/>
        </w:rPr>
        <w:t xml:space="preserve">In the </w:t>
      </w:r>
      <w:r w:rsidR="00826B72">
        <w:rPr>
          <w:rFonts w:cs="Calibri"/>
          <w:szCs w:val="18"/>
        </w:rPr>
        <w:t>European Union</w:t>
      </w:r>
      <w:r w:rsidRPr="0050162C">
        <w:rPr>
          <w:rFonts w:cs="Calibri"/>
          <w:szCs w:val="18"/>
        </w:rPr>
        <w:t>, t</w:t>
      </w:r>
      <w:r w:rsidR="000E69D4" w:rsidRPr="0050162C">
        <w:rPr>
          <w:rFonts w:cs="Calibri"/>
          <w:szCs w:val="18"/>
        </w:rPr>
        <w:t xml:space="preserve">he primary </w:t>
      </w:r>
      <w:r w:rsidRPr="0050162C">
        <w:rPr>
          <w:rFonts w:cs="Calibri"/>
          <w:szCs w:val="18"/>
        </w:rPr>
        <w:t>focus</w:t>
      </w:r>
      <w:r w:rsidR="000E69D4" w:rsidRPr="0050162C">
        <w:rPr>
          <w:rFonts w:cs="Calibri"/>
          <w:szCs w:val="18"/>
        </w:rPr>
        <w:t xml:space="preserve"> of TSO-DSO coordination </w:t>
      </w:r>
      <w:r w:rsidRPr="0050162C">
        <w:rPr>
          <w:rFonts w:cs="Calibri"/>
          <w:szCs w:val="18"/>
        </w:rPr>
        <w:t xml:space="preserve">initiatives </w:t>
      </w:r>
      <w:r w:rsidR="000E69D4" w:rsidRPr="0050162C">
        <w:rPr>
          <w:rFonts w:cs="Calibri"/>
          <w:szCs w:val="18"/>
        </w:rPr>
        <w:t>include</w:t>
      </w:r>
      <w:r w:rsidR="00AF1C82">
        <w:rPr>
          <w:rFonts w:cs="Calibri"/>
          <w:szCs w:val="18"/>
        </w:rPr>
        <w:t>s</w:t>
      </w:r>
      <w:r w:rsidR="000E69D4" w:rsidRPr="0050162C">
        <w:rPr>
          <w:rFonts w:cs="Calibri"/>
          <w:szCs w:val="18"/>
        </w:rPr>
        <w:t xml:space="preserve"> congestion management</w:t>
      </w:r>
      <w:r w:rsidR="0030433F">
        <w:rPr>
          <w:rFonts w:cs="Calibri"/>
          <w:szCs w:val="18"/>
        </w:rPr>
        <w:t>;</w:t>
      </w:r>
      <w:r w:rsidR="0030433F" w:rsidRPr="0050162C">
        <w:rPr>
          <w:rFonts w:cs="Calibri"/>
          <w:szCs w:val="18"/>
        </w:rPr>
        <w:t xml:space="preserve"> </w:t>
      </w:r>
      <w:r w:rsidR="00602C0D" w:rsidRPr="0050162C">
        <w:rPr>
          <w:rFonts w:cs="Calibri"/>
          <w:szCs w:val="18"/>
        </w:rPr>
        <w:t xml:space="preserve">allocation </w:t>
      </w:r>
      <w:r w:rsidR="00602C0D">
        <w:rPr>
          <w:rFonts w:cs="Calibri"/>
          <w:szCs w:val="18"/>
        </w:rPr>
        <w:t xml:space="preserve">of </w:t>
      </w:r>
      <w:r w:rsidR="00602C0D" w:rsidRPr="0050162C">
        <w:rPr>
          <w:rFonts w:cs="Calibri"/>
          <w:szCs w:val="18"/>
        </w:rPr>
        <w:t xml:space="preserve">responsibility </w:t>
      </w:r>
      <w:r w:rsidR="00602C0D">
        <w:rPr>
          <w:rFonts w:cs="Calibri"/>
          <w:szCs w:val="18"/>
        </w:rPr>
        <w:t xml:space="preserve">for </w:t>
      </w:r>
      <w:r w:rsidR="000E69D4" w:rsidRPr="0050162C">
        <w:rPr>
          <w:rFonts w:cs="Calibri"/>
          <w:szCs w:val="18"/>
        </w:rPr>
        <w:t>balancing</w:t>
      </w:r>
      <w:r w:rsidR="0030433F">
        <w:rPr>
          <w:rFonts w:cs="Calibri"/>
          <w:szCs w:val="18"/>
        </w:rPr>
        <w:t>;</w:t>
      </w:r>
      <w:r w:rsidR="0030433F" w:rsidRPr="0050162C">
        <w:rPr>
          <w:rFonts w:cs="Calibri"/>
          <w:szCs w:val="18"/>
        </w:rPr>
        <w:t xml:space="preserve"> </w:t>
      </w:r>
      <w:r w:rsidR="000E69D4" w:rsidRPr="0050162C">
        <w:rPr>
          <w:rFonts w:cs="Calibri"/>
          <w:szCs w:val="18"/>
        </w:rPr>
        <w:t>reactive power and voltage control</w:t>
      </w:r>
      <w:r w:rsidR="0030433F">
        <w:rPr>
          <w:rFonts w:cs="Calibri"/>
          <w:szCs w:val="18"/>
        </w:rPr>
        <w:t>;</w:t>
      </w:r>
      <w:r w:rsidR="0030433F" w:rsidRPr="0050162C">
        <w:rPr>
          <w:rFonts w:cs="Calibri"/>
          <w:szCs w:val="18"/>
        </w:rPr>
        <w:t xml:space="preserve"> </w:t>
      </w:r>
      <w:r w:rsidR="00EA581B" w:rsidRPr="0050162C">
        <w:rPr>
          <w:rFonts w:cs="Calibri"/>
          <w:szCs w:val="18"/>
        </w:rPr>
        <w:t xml:space="preserve">enabling </w:t>
      </w:r>
      <w:r w:rsidR="000E69D4" w:rsidRPr="0050162C">
        <w:rPr>
          <w:rFonts w:cs="Calibri"/>
          <w:szCs w:val="18"/>
        </w:rPr>
        <w:t>market-based procurement of flexibility services</w:t>
      </w:r>
      <w:r w:rsidR="0030433F">
        <w:rPr>
          <w:rFonts w:cs="Calibri"/>
          <w:szCs w:val="18"/>
        </w:rPr>
        <w:t>;</w:t>
      </w:r>
      <w:r w:rsidR="0030433F" w:rsidRPr="0050162C">
        <w:rPr>
          <w:rFonts w:cs="Calibri"/>
          <w:szCs w:val="18"/>
        </w:rPr>
        <w:t xml:space="preserve"> </w:t>
      </w:r>
      <w:r w:rsidR="00056919" w:rsidRPr="0050162C">
        <w:rPr>
          <w:rFonts w:cs="Calibri"/>
          <w:szCs w:val="18"/>
        </w:rPr>
        <w:t>and</w:t>
      </w:r>
      <w:r w:rsidR="000E69D4" w:rsidRPr="0050162C">
        <w:rPr>
          <w:rFonts w:cs="Calibri"/>
          <w:szCs w:val="18"/>
        </w:rPr>
        <w:t xml:space="preserve"> real-time information exchange to ensure overall grid stability.</w:t>
      </w:r>
    </w:p>
    <w:tbl>
      <w:tblPr>
        <w:tblStyle w:val="TableGrid"/>
        <w:tblW w:w="0" w:type="auto"/>
        <w:tblInd w:w="-5" w:type="dxa"/>
        <w:tblLook w:val="04A0" w:firstRow="1" w:lastRow="0" w:firstColumn="1" w:lastColumn="0" w:noHBand="0" w:noVBand="1"/>
      </w:tblPr>
      <w:tblGrid>
        <w:gridCol w:w="8215"/>
      </w:tblGrid>
      <w:tr w:rsidR="00414FEB" w14:paraId="78E73FF2" w14:textId="77777777" w:rsidTr="00ED5BCF">
        <w:trPr>
          <w:trHeight w:val="525"/>
        </w:trPr>
        <w:tc>
          <w:tcPr>
            <w:tcW w:w="8215" w:type="dxa"/>
            <w:shd w:val="clear" w:color="auto" w:fill="013C4C" w:themeFill="text1"/>
          </w:tcPr>
          <w:p w14:paraId="72B081FD" w14:textId="05DF7EE0" w:rsidR="00414FEB" w:rsidRDefault="004F0A0B">
            <w:pPr>
              <w:spacing w:line="276" w:lineRule="auto"/>
            </w:pPr>
            <w:r>
              <w:t>Excerpt from ENT</w:t>
            </w:r>
            <w:r w:rsidR="00A76DB7">
              <w:t>SO-</w:t>
            </w:r>
            <w:r>
              <w:t xml:space="preserve">E’s </w:t>
            </w:r>
            <w:r w:rsidRPr="004F0A0B">
              <w:t>TSO-DSO Data Management Report</w:t>
            </w:r>
          </w:p>
        </w:tc>
      </w:tr>
      <w:tr w:rsidR="00414FEB" w14:paraId="03851457" w14:textId="77777777" w:rsidTr="00ED5BCF">
        <w:tc>
          <w:tcPr>
            <w:tcW w:w="8215" w:type="dxa"/>
          </w:tcPr>
          <w:p w14:paraId="25387FA1" w14:textId="786C806E" w:rsidR="00414FEB" w:rsidRDefault="00D03BAB">
            <w:pPr>
              <w:spacing w:line="276" w:lineRule="auto"/>
              <w:ind w:left="426"/>
            </w:pPr>
            <w:r>
              <w:rPr>
                <w:b/>
                <w:bCs/>
              </w:rPr>
              <w:t>“</w:t>
            </w:r>
            <w:r w:rsidR="00414FEB" w:rsidRPr="00EA581B">
              <w:rPr>
                <w:b/>
                <w:bCs/>
              </w:rPr>
              <w:t>Strengthening cooperation between transmission and distribution system operators is fundamental for achieving an efficient and integrated electricity market while ensuring security of supply.</w:t>
            </w:r>
            <w:r>
              <w:rPr>
                <w:b/>
                <w:bCs/>
              </w:rPr>
              <w:t>”</w:t>
            </w:r>
            <w:r w:rsidR="0039546E">
              <w:rPr>
                <w:b/>
                <w:bCs/>
              </w:rPr>
              <w:t xml:space="preserve"> </w:t>
            </w:r>
            <w:r w:rsidR="00056919" w:rsidRPr="009F6100">
              <w:rPr>
                <w:noProof/>
                <w:lang w:val="en-GB"/>
              </w:rPr>
              <w:t>[4]</w:t>
            </w:r>
          </w:p>
        </w:tc>
      </w:tr>
      <w:tr w:rsidR="00414FEB" w14:paraId="34A9F4F3" w14:textId="77777777" w:rsidTr="00ED5BCF">
        <w:trPr>
          <w:trHeight w:val="525"/>
        </w:trPr>
        <w:tc>
          <w:tcPr>
            <w:tcW w:w="8215" w:type="dxa"/>
            <w:shd w:val="clear" w:color="auto" w:fill="013C4C" w:themeFill="text1"/>
          </w:tcPr>
          <w:p w14:paraId="236A00B5" w14:textId="20CF7B4E" w:rsidR="00414FEB" w:rsidRDefault="00494655">
            <w:pPr>
              <w:spacing w:line="276" w:lineRule="auto"/>
            </w:pPr>
            <w:r>
              <w:t xml:space="preserve">Key </w:t>
            </w:r>
            <w:r w:rsidR="00B121F0">
              <w:t>Recommendation from</w:t>
            </w:r>
            <w:r w:rsidR="00335F60">
              <w:t xml:space="preserve"> joint TSO, DSO report on </w:t>
            </w:r>
            <w:r>
              <w:t>an I</w:t>
            </w:r>
            <w:r w:rsidRPr="004543BC">
              <w:t xml:space="preserve">ntegrated </w:t>
            </w:r>
            <w:r>
              <w:t>A</w:t>
            </w:r>
            <w:r w:rsidRPr="004543BC">
              <w:t xml:space="preserve">pproach to </w:t>
            </w:r>
            <w:r>
              <w:t>A</w:t>
            </w:r>
            <w:r w:rsidRPr="004543BC">
              <w:t xml:space="preserve">ctive </w:t>
            </w:r>
            <w:r>
              <w:t>S</w:t>
            </w:r>
            <w:r w:rsidRPr="004543BC">
              <w:t xml:space="preserve">ystem </w:t>
            </w:r>
            <w:r>
              <w:t>M</w:t>
            </w:r>
            <w:r w:rsidRPr="004543BC">
              <w:t>anagement</w:t>
            </w:r>
          </w:p>
        </w:tc>
      </w:tr>
      <w:tr w:rsidR="00414FEB" w14:paraId="27E91800" w14:textId="77777777" w:rsidTr="00ED5BCF">
        <w:tc>
          <w:tcPr>
            <w:tcW w:w="8215" w:type="dxa"/>
          </w:tcPr>
          <w:p w14:paraId="7726D5E8" w14:textId="7D23C61A" w:rsidR="00414FEB" w:rsidRPr="00870C1B" w:rsidRDefault="00D03BAB" w:rsidP="00D03BAB">
            <w:pPr>
              <w:spacing w:line="276" w:lineRule="auto"/>
              <w:ind w:left="426"/>
              <w:rPr>
                <w:b/>
                <w:bCs/>
                <w:i/>
                <w:iCs/>
              </w:rPr>
            </w:pPr>
            <w:r>
              <w:rPr>
                <w:b/>
                <w:bCs/>
                <w:i/>
                <w:iCs/>
              </w:rPr>
              <w:t>“</w:t>
            </w:r>
            <w:r w:rsidR="00B1673E" w:rsidRPr="00B1673E">
              <w:rPr>
                <w:b/>
                <w:bCs/>
                <w:i/>
                <w:iCs/>
              </w:rPr>
              <w:t>TSOs and DSOs should pursue an integrated system a</w:t>
            </w:r>
            <w:r w:rsidR="006E3D03">
              <w:rPr>
                <w:b/>
                <w:bCs/>
                <w:i/>
                <w:iCs/>
              </w:rPr>
              <w:t>p</w:t>
            </w:r>
            <w:r w:rsidR="00B1673E" w:rsidRPr="00B1673E">
              <w:rPr>
                <w:b/>
                <w:bCs/>
                <w:i/>
                <w:iCs/>
              </w:rPr>
              <w:t>proach when developing new solutions and should avoid any isolated solution.</w:t>
            </w:r>
            <w:r>
              <w:rPr>
                <w:b/>
                <w:bCs/>
                <w:i/>
                <w:iCs/>
              </w:rPr>
              <w:t>”</w:t>
            </w:r>
            <w:r w:rsidR="0039546E">
              <w:rPr>
                <w:b/>
                <w:bCs/>
                <w:i/>
                <w:iCs/>
              </w:rPr>
              <w:t xml:space="preserve"> </w:t>
            </w:r>
            <w:r w:rsidR="00056919" w:rsidRPr="009F6100">
              <w:rPr>
                <w:noProof/>
                <w:lang w:val="en-GB"/>
              </w:rPr>
              <w:t>[5]</w:t>
            </w:r>
          </w:p>
        </w:tc>
      </w:tr>
    </w:tbl>
    <w:p w14:paraId="3B8B2912" w14:textId="53CC0A5C" w:rsidR="00353030" w:rsidRPr="0050162C" w:rsidRDefault="00353030" w:rsidP="0050162C">
      <w:pPr>
        <w:spacing w:after="120" w:line="288" w:lineRule="auto"/>
        <w:rPr>
          <w:rFonts w:cs="Calibri"/>
          <w:szCs w:val="18"/>
        </w:rPr>
      </w:pPr>
      <w:r w:rsidRPr="0050162C">
        <w:rPr>
          <w:rFonts w:cs="Calibri"/>
          <w:szCs w:val="18"/>
        </w:rPr>
        <w:t>Notable current or recent initiatives include:</w:t>
      </w:r>
    </w:p>
    <w:p w14:paraId="138430C7" w14:textId="052F01F4" w:rsidR="009F56C4" w:rsidRDefault="00665179" w:rsidP="00470C91">
      <w:pPr>
        <w:pStyle w:val="ListParagraph"/>
        <w:numPr>
          <w:ilvl w:val="0"/>
          <w:numId w:val="5"/>
        </w:numPr>
      </w:pPr>
      <w:r>
        <w:t>T</w:t>
      </w:r>
      <w:r w:rsidR="009F56C4">
        <w:t xml:space="preserve">he European Network of Transmission System Operators for Electricity (ENTSO-E) and the DSO Entity </w:t>
      </w:r>
      <w:r w:rsidR="000F3400">
        <w:t xml:space="preserve">(an industry association for European DSO’s) </w:t>
      </w:r>
      <w:r w:rsidR="009F56C4">
        <w:t>published a collaborative report titled "TSO-DSO Challenges &amp; Opportunities for the Digital EU Electricity System"</w:t>
      </w:r>
      <w:r w:rsidR="0084421E">
        <w:t xml:space="preserve">. </w:t>
      </w:r>
      <w:r w:rsidR="009F56C4">
        <w:t>This report emphasi</w:t>
      </w:r>
      <w:r w:rsidR="0001770A">
        <w:t>s</w:t>
      </w:r>
      <w:r w:rsidR="009F56C4">
        <w:t>es the critical role of digitali</w:t>
      </w:r>
      <w:r w:rsidR="00C85F3B">
        <w:t>s</w:t>
      </w:r>
      <w:r w:rsidR="009F56C4">
        <w:t>ation in improving grid operations, planning, and customer integration</w:t>
      </w:r>
      <w:r>
        <w:t>.</w:t>
      </w:r>
      <w:r w:rsidR="009F56C4">
        <w:t xml:space="preserve"> </w:t>
      </w:r>
      <w:r w:rsidR="00AB2BB6">
        <w:t xml:space="preserve">It recommends </w:t>
      </w:r>
      <w:r w:rsidR="00FB5790">
        <w:t xml:space="preserve">implementing Digital Twins </w:t>
      </w:r>
      <w:r w:rsidR="00353EAD">
        <w:t xml:space="preserve">of the energy system </w:t>
      </w:r>
      <w:r w:rsidR="00FB5790">
        <w:t>to help solve major challenges and exploit opportunities.</w:t>
      </w:r>
    </w:p>
    <w:p w14:paraId="3373D98F" w14:textId="15465B46" w:rsidR="009F56C4" w:rsidRDefault="009F56C4" w:rsidP="00470C91">
      <w:pPr>
        <w:pStyle w:val="ListParagraph"/>
        <w:numPr>
          <w:ilvl w:val="0"/>
          <w:numId w:val="5"/>
        </w:numPr>
      </w:pPr>
      <w:r>
        <w:t xml:space="preserve">BRIDGE Initiative's TSO-DSO Coordination Report (2020): The BRIDGE initiative, under the European Commission, </w:t>
      </w:r>
      <w:r w:rsidR="00771170">
        <w:t>explored</w:t>
      </w:r>
      <w:r>
        <w:t xml:space="preserve"> interactions between TSOs and DSOs</w:t>
      </w:r>
      <w:r w:rsidR="00EA2AFE">
        <w:t xml:space="preserve"> and how best to map them</w:t>
      </w:r>
      <w:r>
        <w:t xml:space="preserve">. The focus lies on market design and data exchange between </w:t>
      </w:r>
      <w:r w:rsidR="00EA2AFE">
        <w:t>TSO and DSO</w:t>
      </w:r>
      <w:r>
        <w:t xml:space="preserve"> entities, providing insights into the challenges and recommendations for effective coordination. </w:t>
      </w:r>
      <w:r w:rsidRPr="00353030">
        <w:rPr>
          <w:rFonts w:ascii="Cambria Math" w:hAnsi="Cambria Math" w:cs="Cambria Math"/>
        </w:rPr>
        <w:t>​</w:t>
      </w:r>
    </w:p>
    <w:p w14:paraId="3561A9C4" w14:textId="066F37AA" w:rsidR="009F56C4" w:rsidRDefault="009F56C4" w:rsidP="00470C91">
      <w:pPr>
        <w:pStyle w:val="ListParagraph"/>
        <w:numPr>
          <w:ilvl w:val="0"/>
          <w:numId w:val="5"/>
        </w:numPr>
      </w:pPr>
      <w:r>
        <w:t>CoordiNet Project (2019-2022): Funded under the Horizon 2020 program</w:t>
      </w:r>
      <w:r w:rsidR="004B687C">
        <w:t xml:space="preserve"> for research </w:t>
      </w:r>
      <w:r w:rsidR="000D2EAD">
        <w:t>and</w:t>
      </w:r>
      <w:r w:rsidR="004B687C">
        <w:t xml:space="preserve"> innovation (by the European Union)</w:t>
      </w:r>
      <w:r>
        <w:t xml:space="preserve">, the CoordiNet project conducted large-scale </w:t>
      </w:r>
      <w:r>
        <w:lastRenderedPageBreak/>
        <w:t xml:space="preserve">demonstrations to showcase how TSOs and DSOs can coordinate to procure grid services efficiently. The project concluded in June 2022, providing valuable insights into coordinated grid management. </w:t>
      </w:r>
      <w:r w:rsidRPr="00353030">
        <w:rPr>
          <w:rFonts w:ascii="Cambria Math" w:hAnsi="Cambria Math" w:cs="Cambria Math"/>
        </w:rPr>
        <w:t>​</w:t>
      </w:r>
    </w:p>
    <w:p w14:paraId="42ECE7B5" w14:textId="7A4899CF" w:rsidR="009F56C4" w:rsidRDefault="009F56C4" w:rsidP="00470C91">
      <w:pPr>
        <w:pStyle w:val="ListParagraph"/>
        <w:numPr>
          <w:ilvl w:val="0"/>
          <w:numId w:val="5"/>
        </w:numPr>
      </w:pPr>
      <w:r>
        <w:t xml:space="preserve">SmartNet Project (2018): This project developed a simulation platform to compare </w:t>
      </w:r>
      <w:r w:rsidR="005569B8">
        <w:t xml:space="preserve">alternative </w:t>
      </w:r>
      <w:r>
        <w:t>TSO-DSO coordination schemes, enabling the participation of distribution network resources in ancillary services markets. It also conducted technological pilots to experiment with solutions that facilitate ancillary services provision from distribution networks.</w:t>
      </w:r>
    </w:p>
    <w:p w14:paraId="2DFA0897" w14:textId="37B2FCFB" w:rsidR="004B7703" w:rsidRDefault="004B7703" w:rsidP="00D3548F">
      <w:pPr>
        <w:pStyle w:val="Heading3"/>
      </w:pPr>
      <w:bookmarkStart w:id="45" w:name="_Toc205532838"/>
      <w:r>
        <w:t>Canada</w:t>
      </w:r>
      <w:bookmarkEnd w:id="45"/>
    </w:p>
    <w:p w14:paraId="0BE83B5A" w14:textId="3A8C6FE2" w:rsidR="006B6143" w:rsidRPr="0050162C" w:rsidRDefault="002A6021" w:rsidP="0050162C">
      <w:pPr>
        <w:spacing w:before="180" w:after="120" w:line="288" w:lineRule="auto"/>
        <w:rPr>
          <w:rFonts w:cs="Calibri"/>
          <w:szCs w:val="18"/>
        </w:rPr>
      </w:pPr>
      <w:r w:rsidRPr="0050162C">
        <w:rPr>
          <w:rFonts w:ascii="Cambria Math" w:hAnsi="Cambria Math" w:cs="Cambria Math"/>
          <w:szCs w:val="18"/>
        </w:rPr>
        <w:t>​</w:t>
      </w:r>
      <w:r w:rsidR="006B6143" w:rsidRPr="0050162C">
        <w:rPr>
          <w:rFonts w:cs="Calibri"/>
          <w:szCs w:val="18"/>
        </w:rPr>
        <w:t xml:space="preserve">In recent years, </w:t>
      </w:r>
      <w:r w:rsidR="00C64F5F" w:rsidRPr="0050162C">
        <w:rPr>
          <w:rFonts w:cs="Calibri"/>
          <w:szCs w:val="18"/>
        </w:rPr>
        <w:t>Canada has prioritised enhancing the coordination between TSOs and DSO</w:t>
      </w:r>
      <w:r w:rsidR="00622303" w:rsidRPr="0050162C">
        <w:rPr>
          <w:rFonts w:cs="Calibri"/>
          <w:szCs w:val="18"/>
        </w:rPr>
        <w:t>s</w:t>
      </w:r>
      <w:r w:rsidR="00C64F5F" w:rsidRPr="0050162C">
        <w:rPr>
          <w:rFonts w:cs="Calibri"/>
          <w:szCs w:val="18"/>
        </w:rPr>
        <w:t>, headlined by Ont</w:t>
      </w:r>
      <w:r w:rsidR="008C4949" w:rsidRPr="0050162C">
        <w:rPr>
          <w:rFonts w:cs="Calibri"/>
          <w:szCs w:val="18"/>
        </w:rPr>
        <w:t xml:space="preserve">ario’s </w:t>
      </w:r>
      <w:r w:rsidR="00C64F5F" w:rsidRPr="0050162C">
        <w:rPr>
          <w:rFonts w:cs="Calibri"/>
          <w:szCs w:val="18"/>
        </w:rPr>
        <w:t>Independent Electricity System Operator (IESO)</w:t>
      </w:r>
      <w:r w:rsidR="00622303" w:rsidRPr="0050162C">
        <w:rPr>
          <w:rFonts w:cs="Calibri"/>
          <w:szCs w:val="18"/>
        </w:rPr>
        <w:t xml:space="preserve"> establishment of a Transmission-Distribution Coordination Working Group (TDWG)</w:t>
      </w:r>
      <w:r w:rsidR="008C4949" w:rsidRPr="0050162C">
        <w:rPr>
          <w:rFonts w:cs="Calibri"/>
          <w:szCs w:val="18"/>
        </w:rPr>
        <w:t xml:space="preserve">. </w:t>
      </w:r>
      <w:r w:rsidR="000D3B72" w:rsidRPr="0050162C">
        <w:rPr>
          <w:rFonts w:cs="Calibri"/>
          <w:szCs w:val="18"/>
        </w:rPr>
        <w:t>The TDWG aims to develop conceptual coordination protocols that delineate communication processes among the IESO, Local Distribution Companies (LDCs), and DER participants, ensuring reliable and efficient system operations.</w:t>
      </w:r>
    </w:p>
    <w:tbl>
      <w:tblPr>
        <w:tblStyle w:val="TableGrid"/>
        <w:tblW w:w="0" w:type="auto"/>
        <w:tblInd w:w="-5" w:type="dxa"/>
        <w:tblLook w:val="04A0" w:firstRow="1" w:lastRow="0" w:firstColumn="1" w:lastColumn="0" w:noHBand="0" w:noVBand="1"/>
      </w:tblPr>
      <w:tblGrid>
        <w:gridCol w:w="8215"/>
      </w:tblGrid>
      <w:tr w:rsidR="006B6143" w14:paraId="61DD55F9" w14:textId="77777777" w:rsidTr="00ED5BCF">
        <w:trPr>
          <w:trHeight w:val="525"/>
        </w:trPr>
        <w:tc>
          <w:tcPr>
            <w:tcW w:w="8215" w:type="dxa"/>
            <w:shd w:val="clear" w:color="auto" w:fill="013C4C" w:themeFill="accent1"/>
          </w:tcPr>
          <w:p w14:paraId="04B9AAE2" w14:textId="17674BFC" w:rsidR="006B6143" w:rsidRDefault="00E43EE1">
            <w:pPr>
              <w:spacing w:line="276" w:lineRule="auto"/>
            </w:pPr>
            <w:r w:rsidRPr="00E43EE1">
              <w:t>E</w:t>
            </w:r>
            <w:r>
              <w:t xml:space="preserve">xcerpt from </w:t>
            </w:r>
            <w:r w:rsidR="00075002">
              <w:t xml:space="preserve">‘Development of </w:t>
            </w:r>
            <w:r w:rsidRPr="00E43EE1">
              <w:t>a Transmission-Distribution Interoperability Framework</w:t>
            </w:r>
            <w:r w:rsidR="00EF2F3F">
              <w:t xml:space="preserve">’ compiled for </w:t>
            </w:r>
            <w:r w:rsidRPr="00E43EE1">
              <w:t>IESO</w:t>
            </w:r>
          </w:p>
        </w:tc>
      </w:tr>
      <w:tr w:rsidR="006B6143" w14:paraId="1B88AC95" w14:textId="77777777" w:rsidTr="00ED5BCF">
        <w:tc>
          <w:tcPr>
            <w:tcW w:w="8215" w:type="dxa"/>
          </w:tcPr>
          <w:p w14:paraId="0338224E" w14:textId="55DEE0CF" w:rsidR="006B6143" w:rsidRPr="00E43EE1" w:rsidRDefault="006B6143">
            <w:pPr>
              <w:spacing w:line="276" w:lineRule="auto"/>
              <w:ind w:left="426"/>
              <w:rPr>
                <w:b/>
                <w:bCs/>
                <w:i/>
                <w:iCs/>
              </w:rPr>
            </w:pPr>
            <w:r w:rsidRPr="00E43EE1">
              <w:rPr>
                <w:b/>
                <w:bCs/>
                <w:i/>
                <w:iCs/>
              </w:rPr>
              <w:t>“</w:t>
            </w:r>
            <w:r w:rsidR="006E3D03" w:rsidRPr="00E43EE1">
              <w:rPr>
                <w:b/>
                <w:bCs/>
                <w:i/>
                <w:iCs/>
              </w:rPr>
              <w:t>Enhanced operational coordination between the distribution and transmission systems will be required to preserve safe and reliable operation, while enabling DER value and cost-effective electricity services</w:t>
            </w:r>
            <w:r w:rsidR="006E3D03" w:rsidRPr="0039546E">
              <w:rPr>
                <w:b/>
                <w:bCs/>
                <w:i/>
                <w:iCs/>
              </w:rPr>
              <w:t>.</w:t>
            </w:r>
            <w:r w:rsidRPr="0039546E">
              <w:rPr>
                <w:b/>
                <w:bCs/>
                <w:i/>
                <w:iCs/>
              </w:rPr>
              <w:t>”</w:t>
            </w:r>
            <w:r w:rsidR="004A5AF2" w:rsidRPr="0039546E">
              <w:rPr>
                <w:b/>
                <w:bCs/>
                <w:i/>
                <w:iCs/>
              </w:rPr>
              <w:t xml:space="preserve"> </w:t>
            </w:r>
            <w:r w:rsidR="0039546E" w:rsidRPr="009F6100">
              <w:rPr>
                <w:noProof/>
                <w:lang w:val="en-GB"/>
              </w:rPr>
              <w:t>[6]</w:t>
            </w:r>
            <w:r w:rsidRPr="00E43EE1">
              <w:rPr>
                <w:b/>
                <w:bCs/>
                <w:i/>
                <w:iCs/>
              </w:rPr>
              <w:t xml:space="preserve"> </w:t>
            </w:r>
          </w:p>
        </w:tc>
      </w:tr>
    </w:tbl>
    <w:p w14:paraId="0399E1ED" w14:textId="5E496F45" w:rsidR="002A6021" w:rsidRPr="0050162C" w:rsidRDefault="000D3B72" w:rsidP="0050162C">
      <w:pPr>
        <w:spacing w:after="120" w:line="288" w:lineRule="auto"/>
        <w:rPr>
          <w:rFonts w:cs="Calibri"/>
          <w:szCs w:val="18"/>
        </w:rPr>
      </w:pPr>
      <w:r w:rsidRPr="0050162C">
        <w:rPr>
          <w:rFonts w:cs="Calibri"/>
          <w:szCs w:val="18"/>
        </w:rPr>
        <w:t>Other n</w:t>
      </w:r>
      <w:r w:rsidR="006B6143" w:rsidRPr="0050162C">
        <w:rPr>
          <w:rFonts w:cs="Calibri"/>
          <w:szCs w:val="18"/>
        </w:rPr>
        <w:t>otable current or recent initiatives include:</w:t>
      </w:r>
      <w:r w:rsidR="002A6021" w:rsidRPr="0050162C">
        <w:rPr>
          <w:rFonts w:ascii="Cambria Math" w:hAnsi="Cambria Math" w:cs="Cambria Math"/>
          <w:szCs w:val="18"/>
        </w:rPr>
        <w:t>​</w:t>
      </w:r>
    </w:p>
    <w:p w14:paraId="6FCB5393" w14:textId="17FFAB92" w:rsidR="002A6021" w:rsidRPr="007B0F2B" w:rsidRDefault="002A6021" w:rsidP="00470C91">
      <w:pPr>
        <w:pStyle w:val="ListParagraph"/>
        <w:numPr>
          <w:ilvl w:val="0"/>
          <w:numId w:val="5"/>
        </w:numPr>
      </w:pPr>
      <w:r w:rsidRPr="007B0F2B">
        <w:t>Ontario Energy Association</w:t>
      </w:r>
      <w:r w:rsidR="000022C8">
        <w:t>’s</w:t>
      </w:r>
      <w:r w:rsidRPr="007B0F2B">
        <w:t xml:space="preserve"> (OEA) DSO Study (December 2023): This study examines the impact of TSO-DSO coordination on integrating Distributed Energy Resources (DERs) and leveraging their flexibility for a more efficient system. It highlights the potential for cost reductions and improved efficiency through enhanced coordination</w:t>
      </w:r>
      <w:r w:rsidR="005D3F0B">
        <w:t xml:space="preserve"> </w:t>
      </w:r>
      <w:r w:rsidR="0039546E" w:rsidRPr="009F6100">
        <w:rPr>
          <w:noProof/>
        </w:rPr>
        <w:t>[7]</w:t>
      </w:r>
      <w:r w:rsidRPr="007B0F2B">
        <w:t xml:space="preserve">. </w:t>
      </w:r>
      <w:r w:rsidRPr="007B0F2B">
        <w:rPr>
          <w:rFonts w:ascii="Cambria Math" w:hAnsi="Cambria Math" w:cs="Cambria Math"/>
        </w:rPr>
        <w:t>​</w:t>
      </w:r>
      <w:r w:rsidR="00D94F07" w:rsidRPr="007B0F2B">
        <w:t xml:space="preserve"> </w:t>
      </w:r>
    </w:p>
    <w:p w14:paraId="004F9D61" w14:textId="4781F6AB" w:rsidR="002A6021" w:rsidRPr="007B0F2B" w:rsidRDefault="002A6021" w:rsidP="00470C91">
      <w:pPr>
        <w:pStyle w:val="ListParagraph"/>
        <w:numPr>
          <w:ilvl w:val="0"/>
          <w:numId w:val="5"/>
        </w:numPr>
      </w:pPr>
      <w:r w:rsidRPr="007B0F2B">
        <w:t>Independent Electricity System Operator (IESO)</w:t>
      </w:r>
      <w:r w:rsidR="00E4761C">
        <w:t>’s</w:t>
      </w:r>
      <w:r w:rsidRPr="007B0F2B">
        <w:t xml:space="preserve"> </w:t>
      </w:r>
      <w:r w:rsidR="00BD3CAE" w:rsidRPr="00BD3CAE">
        <w:t xml:space="preserve">Development of a Transmission- Distribution Interoperability Framework </w:t>
      </w:r>
      <w:r w:rsidRPr="007B0F2B">
        <w:t>(</w:t>
      </w:r>
      <w:r w:rsidR="00BD3CAE" w:rsidRPr="007B0F2B">
        <w:t>202</w:t>
      </w:r>
      <w:r w:rsidR="00BD3CAE">
        <w:t>0</w:t>
      </w:r>
      <w:r w:rsidRPr="007B0F2B">
        <w:t xml:space="preserve">): The IESO released a framework to guide </w:t>
      </w:r>
      <w:r w:rsidR="00761B30">
        <w:t xml:space="preserve">the province of </w:t>
      </w:r>
      <w:r w:rsidRPr="007B0F2B">
        <w:t>Ontario in designing a transmission-distribution interoperability model. This framework aims to facilitate effective coordination between TSOs and DSOs, ensuring reliable and efficient grid operations amidst increasing DER integration</w:t>
      </w:r>
      <w:r w:rsidR="005D3F0B" w:rsidRPr="005D3F0B">
        <w:rPr>
          <w:noProof/>
        </w:rPr>
        <w:t xml:space="preserve"> </w:t>
      </w:r>
      <w:r w:rsidR="005D3F0B" w:rsidRPr="009F6100">
        <w:rPr>
          <w:noProof/>
        </w:rPr>
        <w:t>[6]</w:t>
      </w:r>
      <w:r w:rsidR="00B24B79">
        <w:t>.</w:t>
      </w:r>
      <w:r w:rsidR="005F0B7A" w:rsidRPr="007B0F2B">
        <w:t xml:space="preserve"> </w:t>
      </w:r>
    </w:p>
    <w:p w14:paraId="744EB6EB" w14:textId="4E28FCCA" w:rsidR="000E69D4" w:rsidRDefault="00E40AB2" w:rsidP="00470C91">
      <w:pPr>
        <w:pStyle w:val="ListParagraph"/>
        <w:numPr>
          <w:ilvl w:val="0"/>
          <w:numId w:val="5"/>
        </w:numPr>
      </w:pPr>
      <w:r>
        <w:t>EPRI</w:t>
      </w:r>
      <w:r w:rsidR="00A44973">
        <w:t xml:space="preserve"> authored</w:t>
      </w:r>
      <w:r>
        <w:t xml:space="preserve"> </w:t>
      </w:r>
      <w:r w:rsidR="00FF01C4">
        <w:t>‘</w:t>
      </w:r>
      <w:r w:rsidR="002A6021" w:rsidRPr="007B0F2B">
        <w:t>Technical Brief on Procuring Services from DERs (</w:t>
      </w:r>
      <w:r w:rsidR="00A44973">
        <w:t>2020</w:t>
      </w:r>
      <w:r w:rsidR="002A6021" w:rsidRPr="007B0F2B">
        <w:t>)</w:t>
      </w:r>
      <w:r w:rsidR="00FF01C4">
        <w:t>’</w:t>
      </w:r>
      <w:r w:rsidR="002A6021" w:rsidRPr="007B0F2B">
        <w:t>: This technical brief discusses the coordination between Independent System Operators (ISOs), DSOs, and DERs. It adopts a hierarchical structure to describe coordination needs and emphasi</w:t>
      </w:r>
      <w:r w:rsidR="00A44973">
        <w:t>s</w:t>
      </w:r>
      <w:r w:rsidR="002A6021" w:rsidRPr="007B0F2B">
        <w:t>es the importance of aligning operations across different system levels to effectively integrate</w:t>
      </w:r>
      <w:r w:rsidR="00FA272B">
        <w:t xml:space="preserve"> aggregations of flexible distribution-connect resources</w:t>
      </w:r>
      <w:r w:rsidR="005D3F0B">
        <w:t xml:space="preserve"> </w:t>
      </w:r>
      <w:r w:rsidR="005D3F0B" w:rsidRPr="009F6100">
        <w:rPr>
          <w:noProof/>
        </w:rPr>
        <w:t>[8]</w:t>
      </w:r>
      <w:r w:rsidR="002A6021" w:rsidRPr="007B0F2B">
        <w:t xml:space="preserve">. </w:t>
      </w:r>
      <w:r w:rsidR="002A6021" w:rsidRPr="00A44973">
        <w:rPr>
          <w:rFonts w:ascii="Cambria Math" w:hAnsi="Cambria Math" w:cs="Cambria Math"/>
        </w:rPr>
        <w:t>​</w:t>
      </w:r>
    </w:p>
    <w:p w14:paraId="2242D23E" w14:textId="3F267059" w:rsidR="00751E08" w:rsidRDefault="00751E08" w:rsidP="00564074">
      <w:pPr>
        <w:pStyle w:val="Heading2"/>
        <w:spacing w:before="240"/>
        <w:ind w:left="578" w:hanging="578"/>
      </w:pPr>
      <w:bookmarkStart w:id="46" w:name="_Toc191547149"/>
      <w:bookmarkStart w:id="47" w:name="_Toc205532839"/>
      <w:r w:rsidRPr="00751E08">
        <w:lastRenderedPageBreak/>
        <w:t xml:space="preserve">Problem definition underpinning the need for </w:t>
      </w:r>
      <w:bookmarkEnd w:id="46"/>
      <w:r w:rsidR="004E72BF">
        <w:t>TDC</w:t>
      </w:r>
      <w:bookmarkEnd w:id="47"/>
    </w:p>
    <w:p w14:paraId="7A6CC575" w14:textId="4DB70796" w:rsidR="004A244E" w:rsidRDefault="00FD72F5" w:rsidP="00A36DCC">
      <w:pPr>
        <w:spacing w:before="180" w:after="120" w:line="288" w:lineRule="auto"/>
        <w:rPr>
          <w:rFonts w:cs="Calibri"/>
          <w:szCs w:val="18"/>
        </w:rPr>
      </w:pPr>
      <w:r w:rsidRPr="0050162C">
        <w:rPr>
          <w:rFonts w:cs="Calibri"/>
          <w:szCs w:val="18"/>
        </w:rPr>
        <w:t xml:space="preserve">Australia’s electricity system is undergoing a rapid transition driven by the rise of </w:t>
      </w:r>
      <w:r w:rsidR="00572FFC" w:rsidRPr="0050162C">
        <w:rPr>
          <w:rFonts w:cs="Calibri"/>
          <w:szCs w:val="18"/>
        </w:rPr>
        <w:t>CER/</w:t>
      </w:r>
      <w:r w:rsidRPr="0050162C">
        <w:rPr>
          <w:rFonts w:cs="Calibri"/>
          <w:szCs w:val="18"/>
        </w:rPr>
        <w:t xml:space="preserve">DER, including rooftop solar, batteries, </w:t>
      </w:r>
      <w:r w:rsidR="001530E8" w:rsidRPr="0050162C">
        <w:rPr>
          <w:rFonts w:cs="Calibri"/>
          <w:szCs w:val="18"/>
        </w:rPr>
        <w:t xml:space="preserve">and </w:t>
      </w:r>
      <w:r w:rsidRPr="0050162C">
        <w:rPr>
          <w:rFonts w:cs="Calibri"/>
          <w:szCs w:val="18"/>
        </w:rPr>
        <w:t>electric vehicles (EVs)</w:t>
      </w:r>
      <w:r w:rsidR="000D1DFF" w:rsidRPr="0050162C">
        <w:rPr>
          <w:rFonts w:cs="Calibri"/>
          <w:szCs w:val="18"/>
        </w:rPr>
        <w:t xml:space="preserve">, </w:t>
      </w:r>
      <w:r w:rsidR="001530E8" w:rsidRPr="0050162C">
        <w:rPr>
          <w:rFonts w:cs="Calibri"/>
          <w:szCs w:val="18"/>
        </w:rPr>
        <w:t>combined with</w:t>
      </w:r>
      <w:r w:rsidR="000D1DFF" w:rsidRPr="0050162C">
        <w:rPr>
          <w:rFonts w:cs="Calibri"/>
          <w:szCs w:val="18"/>
        </w:rPr>
        <w:t xml:space="preserve"> decarbonisation goals</w:t>
      </w:r>
      <w:r w:rsidR="00C270D3" w:rsidRPr="0050162C">
        <w:rPr>
          <w:rFonts w:cs="Calibri"/>
          <w:szCs w:val="18"/>
        </w:rPr>
        <w:t xml:space="preserve"> </w:t>
      </w:r>
      <w:r w:rsidR="00EA7D7C" w:rsidRPr="0050162C">
        <w:rPr>
          <w:rFonts w:cs="Calibri"/>
          <w:szCs w:val="18"/>
        </w:rPr>
        <w:t xml:space="preserve">and correlated </w:t>
      </w:r>
      <w:r w:rsidR="00C270D3" w:rsidRPr="0050162C">
        <w:rPr>
          <w:rFonts w:cs="Calibri"/>
          <w:szCs w:val="18"/>
        </w:rPr>
        <w:t>deployment of utility-scale VRE</w:t>
      </w:r>
      <w:r w:rsidRPr="0050162C">
        <w:rPr>
          <w:rFonts w:cs="Calibri"/>
          <w:szCs w:val="18"/>
        </w:rPr>
        <w:t xml:space="preserve">. This shift is fundamentally changing the way </w:t>
      </w:r>
      <w:r w:rsidR="000C6A29">
        <w:rPr>
          <w:rFonts w:cs="Calibri"/>
          <w:szCs w:val="18"/>
        </w:rPr>
        <w:t xml:space="preserve">that </w:t>
      </w:r>
      <w:r w:rsidR="0021129A" w:rsidRPr="0050162C">
        <w:rPr>
          <w:rFonts w:cs="Calibri"/>
          <w:szCs w:val="18"/>
        </w:rPr>
        <w:t>energy</w:t>
      </w:r>
      <w:r w:rsidR="004C4CFA" w:rsidRPr="0050162C">
        <w:rPr>
          <w:rFonts w:cs="Calibri"/>
          <w:szCs w:val="18"/>
        </w:rPr>
        <w:t xml:space="preserve"> </w:t>
      </w:r>
      <w:r w:rsidRPr="0050162C">
        <w:rPr>
          <w:rFonts w:cs="Calibri"/>
          <w:szCs w:val="18"/>
        </w:rPr>
        <w:t xml:space="preserve">flows through the </w:t>
      </w:r>
      <w:r w:rsidR="003E09E2" w:rsidRPr="0050162C">
        <w:rPr>
          <w:rFonts w:cs="Calibri"/>
          <w:szCs w:val="18"/>
        </w:rPr>
        <w:t>power system</w:t>
      </w:r>
      <w:r w:rsidR="00270959">
        <w:rPr>
          <w:rFonts w:cs="Calibri"/>
          <w:szCs w:val="18"/>
        </w:rPr>
        <w:t>,</w:t>
      </w:r>
      <w:r w:rsidRPr="0050162C">
        <w:rPr>
          <w:rFonts w:cs="Calibri"/>
          <w:szCs w:val="18"/>
        </w:rPr>
        <w:t xml:space="preserve"> </w:t>
      </w:r>
      <w:r w:rsidR="00A664FC" w:rsidRPr="0050162C">
        <w:rPr>
          <w:rFonts w:cs="Calibri"/>
          <w:szCs w:val="18"/>
        </w:rPr>
        <w:t xml:space="preserve">which </w:t>
      </w:r>
      <w:r w:rsidR="000A4853">
        <w:rPr>
          <w:rFonts w:cs="Calibri"/>
          <w:szCs w:val="18"/>
        </w:rPr>
        <w:t xml:space="preserve">is creating </w:t>
      </w:r>
      <w:r w:rsidRPr="0050162C">
        <w:rPr>
          <w:rFonts w:cs="Calibri"/>
          <w:szCs w:val="18"/>
        </w:rPr>
        <w:t>operational, market, and reliability challenges</w:t>
      </w:r>
      <w:r w:rsidR="006575DE" w:rsidRPr="0050162C">
        <w:rPr>
          <w:rFonts w:cs="Calibri"/>
          <w:szCs w:val="18"/>
        </w:rPr>
        <w:t xml:space="preserve"> </w:t>
      </w:r>
      <w:r w:rsidR="001C6708">
        <w:rPr>
          <w:rFonts w:cs="Calibri"/>
          <w:szCs w:val="18"/>
        </w:rPr>
        <w:t>that</w:t>
      </w:r>
      <w:r w:rsidR="001C6708" w:rsidRPr="0050162C">
        <w:rPr>
          <w:rFonts w:cs="Calibri"/>
          <w:szCs w:val="18"/>
        </w:rPr>
        <w:t xml:space="preserve"> </w:t>
      </w:r>
      <w:r w:rsidR="00FB5D38">
        <w:rPr>
          <w:rFonts w:cs="Calibri"/>
          <w:szCs w:val="18"/>
        </w:rPr>
        <w:t>require</w:t>
      </w:r>
      <w:r w:rsidR="004A244E">
        <w:rPr>
          <w:rFonts w:cs="Calibri"/>
          <w:szCs w:val="18"/>
        </w:rPr>
        <w:t xml:space="preserve"> </w:t>
      </w:r>
      <w:r w:rsidR="000C2EF4" w:rsidRPr="0050162C">
        <w:rPr>
          <w:rFonts w:cs="Calibri"/>
          <w:szCs w:val="18"/>
        </w:rPr>
        <w:t>enhanced coordination</w:t>
      </w:r>
      <w:r w:rsidR="00E94D41" w:rsidRPr="0050162C">
        <w:rPr>
          <w:rFonts w:cs="Calibri"/>
          <w:szCs w:val="18"/>
        </w:rPr>
        <w:t xml:space="preserve"> between the </w:t>
      </w:r>
      <w:r w:rsidR="00AB4E9E">
        <w:rPr>
          <w:rFonts w:cs="Calibri"/>
          <w:szCs w:val="18"/>
        </w:rPr>
        <w:t>Bulk Power System (</w:t>
      </w:r>
      <w:r w:rsidR="00E94D41" w:rsidRPr="0050162C">
        <w:rPr>
          <w:rFonts w:cs="Calibri"/>
          <w:szCs w:val="18"/>
        </w:rPr>
        <w:t>BPS</w:t>
      </w:r>
      <w:r w:rsidR="00AB4E9E">
        <w:rPr>
          <w:rFonts w:cs="Calibri"/>
          <w:szCs w:val="18"/>
        </w:rPr>
        <w:t>)</w:t>
      </w:r>
      <w:r w:rsidR="00E94D41" w:rsidRPr="0050162C">
        <w:rPr>
          <w:rFonts w:cs="Calibri"/>
          <w:szCs w:val="18"/>
        </w:rPr>
        <w:t xml:space="preserve"> and </w:t>
      </w:r>
      <w:r w:rsidR="004A244E">
        <w:rPr>
          <w:rFonts w:cs="Calibri"/>
          <w:szCs w:val="18"/>
        </w:rPr>
        <w:t>downstream</w:t>
      </w:r>
      <w:r w:rsidR="004A244E" w:rsidRPr="0050162C">
        <w:rPr>
          <w:rFonts w:cs="Calibri"/>
          <w:szCs w:val="18"/>
        </w:rPr>
        <w:t xml:space="preserve"> </w:t>
      </w:r>
      <w:r w:rsidR="000A11E7" w:rsidRPr="0050162C">
        <w:rPr>
          <w:rFonts w:cs="Calibri"/>
          <w:szCs w:val="18"/>
        </w:rPr>
        <w:t xml:space="preserve">distribution networks. </w:t>
      </w:r>
    </w:p>
    <w:p w14:paraId="19592737" w14:textId="07642DD1" w:rsidR="000A4D08" w:rsidRDefault="00335AFE" w:rsidP="00A36DCC">
      <w:pPr>
        <w:spacing w:before="180" w:after="120" w:line="288" w:lineRule="auto"/>
        <w:rPr>
          <w:rFonts w:cs="Calibri"/>
          <w:szCs w:val="18"/>
        </w:rPr>
      </w:pPr>
      <w:r w:rsidRPr="0050162C">
        <w:rPr>
          <w:rFonts w:cs="Calibri"/>
          <w:szCs w:val="18"/>
        </w:rPr>
        <w:t xml:space="preserve">This is </w:t>
      </w:r>
      <w:r w:rsidR="006B1876" w:rsidRPr="0050162C">
        <w:rPr>
          <w:rFonts w:cs="Calibri"/>
          <w:szCs w:val="18"/>
        </w:rPr>
        <w:t xml:space="preserve">largely </w:t>
      </w:r>
      <w:r w:rsidR="004F4115" w:rsidRPr="0050162C">
        <w:rPr>
          <w:rFonts w:cs="Calibri"/>
          <w:szCs w:val="18"/>
        </w:rPr>
        <w:t>due to the variability</w:t>
      </w:r>
      <w:r w:rsidR="005C692D" w:rsidRPr="0050162C">
        <w:rPr>
          <w:rFonts w:cs="Calibri"/>
          <w:szCs w:val="18"/>
        </w:rPr>
        <w:t xml:space="preserve"> </w:t>
      </w:r>
      <w:r w:rsidR="00003D9E" w:rsidRPr="0050162C">
        <w:rPr>
          <w:rFonts w:cs="Calibri"/>
          <w:szCs w:val="18"/>
        </w:rPr>
        <w:t xml:space="preserve">in the instantaneous </w:t>
      </w:r>
      <w:r w:rsidR="00036477" w:rsidRPr="0050162C">
        <w:rPr>
          <w:rFonts w:cs="Calibri"/>
          <w:szCs w:val="18"/>
        </w:rPr>
        <w:t>temporal</w:t>
      </w:r>
      <w:r w:rsidR="00003D9E" w:rsidRPr="0050162C">
        <w:rPr>
          <w:rFonts w:cs="Calibri"/>
          <w:szCs w:val="18"/>
        </w:rPr>
        <w:t xml:space="preserve"> and locational make-up of </w:t>
      </w:r>
      <w:r w:rsidR="004F4115" w:rsidRPr="0050162C">
        <w:rPr>
          <w:rFonts w:cs="Calibri"/>
          <w:szCs w:val="18"/>
        </w:rPr>
        <w:t>the fleet</w:t>
      </w:r>
      <w:r w:rsidR="004A244E">
        <w:rPr>
          <w:rFonts w:cs="Calibri"/>
          <w:szCs w:val="18"/>
        </w:rPr>
        <w:t xml:space="preserve"> of resources impacting and able to be</w:t>
      </w:r>
      <w:r w:rsidR="00A90769">
        <w:rPr>
          <w:rFonts w:cs="Calibri"/>
          <w:szCs w:val="18"/>
        </w:rPr>
        <w:t xml:space="preserve"> </w:t>
      </w:r>
      <w:r w:rsidR="00B506EE">
        <w:rPr>
          <w:rFonts w:cs="Calibri"/>
          <w:szCs w:val="18"/>
        </w:rPr>
        <w:t xml:space="preserve">effectively </w:t>
      </w:r>
      <w:r w:rsidR="00A90769">
        <w:rPr>
          <w:rFonts w:cs="Calibri"/>
          <w:szCs w:val="18"/>
        </w:rPr>
        <w:t>managed in the supp</w:t>
      </w:r>
      <w:r w:rsidR="00B506EE">
        <w:rPr>
          <w:rFonts w:cs="Calibri"/>
          <w:szCs w:val="18"/>
        </w:rPr>
        <w:t>l</w:t>
      </w:r>
      <w:r w:rsidR="00A90769">
        <w:rPr>
          <w:rFonts w:cs="Calibri"/>
          <w:szCs w:val="18"/>
        </w:rPr>
        <w:t>y-demand balancing process</w:t>
      </w:r>
      <w:r w:rsidR="00036477" w:rsidRPr="0050162C">
        <w:rPr>
          <w:rFonts w:cs="Calibri"/>
          <w:szCs w:val="18"/>
        </w:rPr>
        <w:t xml:space="preserve">. </w:t>
      </w:r>
      <w:r w:rsidR="00BF3B44">
        <w:rPr>
          <w:rFonts w:cs="Calibri"/>
          <w:szCs w:val="18"/>
        </w:rPr>
        <w:t>T</w:t>
      </w:r>
      <w:r w:rsidR="00A36DCC" w:rsidRPr="00A36DCC">
        <w:rPr>
          <w:rFonts w:cs="Calibri"/>
          <w:szCs w:val="18"/>
        </w:rPr>
        <w:t xml:space="preserve">he need for formalised Transmission-Distribution Coordination (TDC) arises directly from </w:t>
      </w:r>
      <w:r w:rsidR="007A3627">
        <w:rPr>
          <w:rFonts w:cs="Calibri"/>
          <w:szCs w:val="18"/>
        </w:rPr>
        <w:t xml:space="preserve">the </w:t>
      </w:r>
      <w:r w:rsidR="000A4D08">
        <w:rPr>
          <w:rFonts w:cs="Calibri"/>
          <w:szCs w:val="18"/>
        </w:rPr>
        <w:t>resulting</w:t>
      </w:r>
      <w:r w:rsidR="00A36DCC" w:rsidRPr="00A36DCC">
        <w:rPr>
          <w:rFonts w:cs="Calibri"/>
          <w:szCs w:val="18"/>
        </w:rPr>
        <w:t xml:space="preserve"> mismatch between the system’s legacy design and the realities of Australia’s transforming power sector. </w:t>
      </w:r>
    </w:p>
    <w:p w14:paraId="1AC2649D" w14:textId="676CB7F3" w:rsidR="00A36DCC" w:rsidRPr="00372A63" w:rsidRDefault="000A4D08" w:rsidP="00372A63">
      <w:pPr>
        <w:spacing w:before="180" w:after="120" w:line="288" w:lineRule="auto"/>
        <w:rPr>
          <w:rFonts w:cs="Calibri"/>
          <w:szCs w:val="18"/>
        </w:rPr>
      </w:pPr>
      <w:r>
        <w:rPr>
          <w:rFonts w:cs="Calibri"/>
          <w:szCs w:val="18"/>
        </w:rPr>
        <w:t>From a strategic perspective</w:t>
      </w:r>
      <w:r w:rsidR="00A36DCC" w:rsidRPr="00A36DCC">
        <w:rPr>
          <w:rFonts w:cs="Calibri"/>
          <w:szCs w:val="18"/>
        </w:rPr>
        <w:t>, the absence of effective TDC</w:t>
      </w:r>
      <w:r w:rsidR="00372A63">
        <w:rPr>
          <w:rFonts w:cs="Calibri"/>
          <w:szCs w:val="18"/>
        </w:rPr>
        <w:t xml:space="preserve"> </w:t>
      </w:r>
      <w:r w:rsidR="00186155" w:rsidRPr="00372A63">
        <w:rPr>
          <w:rFonts w:cs="Calibri"/>
          <w:szCs w:val="18"/>
        </w:rPr>
        <w:t xml:space="preserve">constrains </w:t>
      </w:r>
      <w:r w:rsidR="008C058C" w:rsidRPr="00372A63">
        <w:rPr>
          <w:rFonts w:cs="Calibri"/>
          <w:szCs w:val="18"/>
        </w:rPr>
        <w:t xml:space="preserve">the </w:t>
      </w:r>
      <w:r w:rsidR="00D13D46" w:rsidRPr="00372A63">
        <w:rPr>
          <w:rFonts w:cs="Calibri"/>
          <w:szCs w:val="18"/>
        </w:rPr>
        <w:t>systemic</w:t>
      </w:r>
      <w:r w:rsidR="008C058C" w:rsidRPr="00372A63">
        <w:rPr>
          <w:rFonts w:cs="Calibri"/>
          <w:szCs w:val="18"/>
        </w:rPr>
        <w:t xml:space="preserve"> ability to meet </w:t>
      </w:r>
      <w:r w:rsidR="00186155" w:rsidRPr="00372A63">
        <w:rPr>
          <w:rFonts w:cs="Calibri"/>
          <w:szCs w:val="18"/>
        </w:rPr>
        <w:t>customer and societal objectives</w:t>
      </w:r>
      <w:r w:rsidR="00241D94" w:rsidRPr="00372A63">
        <w:rPr>
          <w:rFonts w:cs="Calibri"/>
          <w:szCs w:val="18"/>
        </w:rPr>
        <w:t xml:space="preserve"> (Report 1)</w:t>
      </w:r>
      <w:r w:rsidR="00252908" w:rsidRPr="00372A63">
        <w:rPr>
          <w:rFonts w:cs="Calibri"/>
          <w:szCs w:val="18"/>
        </w:rPr>
        <w:t>,</w:t>
      </w:r>
      <w:r w:rsidR="00186155" w:rsidRPr="00372A63">
        <w:rPr>
          <w:rFonts w:cs="Calibri"/>
          <w:szCs w:val="18"/>
        </w:rPr>
        <w:t xml:space="preserve"> </w:t>
      </w:r>
      <w:r w:rsidR="00D13D46" w:rsidRPr="00372A63">
        <w:rPr>
          <w:rFonts w:cs="Calibri"/>
          <w:szCs w:val="18"/>
        </w:rPr>
        <w:t xml:space="preserve">increases </w:t>
      </w:r>
      <w:r w:rsidR="009A07BD" w:rsidRPr="00372A63">
        <w:rPr>
          <w:rFonts w:cs="Calibri"/>
          <w:szCs w:val="18"/>
        </w:rPr>
        <w:t xml:space="preserve">whole-system vulnerability to </w:t>
      </w:r>
      <w:r w:rsidR="00DE0462" w:rsidRPr="00372A63">
        <w:rPr>
          <w:rFonts w:cs="Calibri"/>
          <w:szCs w:val="18"/>
        </w:rPr>
        <w:t>many of the</w:t>
      </w:r>
      <w:r w:rsidR="00E13617" w:rsidRPr="00372A63">
        <w:rPr>
          <w:rFonts w:cs="Calibri"/>
          <w:szCs w:val="18"/>
        </w:rPr>
        <w:t xml:space="preserve"> emerging trends impacting power systems</w:t>
      </w:r>
      <w:r w:rsidR="007F1F0D" w:rsidRPr="00372A63">
        <w:rPr>
          <w:rFonts w:cs="Calibri"/>
          <w:szCs w:val="18"/>
        </w:rPr>
        <w:t xml:space="preserve"> (Report 2)</w:t>
      </w:r>
      <w:r w:rsidR="00E13617" w:rsidRPr="00372A63">
        <w:rPr>
          <w:rFonts w:cs="Calibri"/>
          <w:szCs w:val="18"/>
        </w:rPr>
        <w:t xml:space="preserve">, </w:t>
      </w:r>
      <w:r w:rsidR="007F1F0D" w:rsidRPr="00372A63">
        <w:rPr>
          <w:rFonts w:cs="Calibri"/>
          <w:szCs w:val="18"/>
        </w:rPr>
        <w:t xml:space="preserve">and </w:t>
      </w:r>
      <w:r w:rsidR="00A36DCC" w:rsidRPr="00372A63">
        <w:rPr>
          <w:rFonts w:cs="Calibri"/>
          <w:szCs w:val="18"/>
        </w:rPr>
        <w:t>exacerbates multiple systemic issues</w:t>
      </w:r>
      <w:r w:rsidR="00252908" w:rsidRPr="00372A63">
        <w:rPr>
          <w:rFonts w:cs="Calibri"/>
          <w:szCs w:val="18"/>
        </w:rPr>
        <w:t xml:space="preserve"> (Report 3)</w:t>
      </w:r>
      <w:r w:rsidR="007F1F0D" w:rsidRPr="00372A63">
        <w:rPr>
          <w:rFonts w:cs="Calibri"/>
          <w:szCs w:val="18"/>
        </w:rPr>
        <w:t>.</w:t>
      </w:r>
    </w:p>
    <w:p w14:paraId="1F8C46BD" w14:textId="7D1D2E3C" w:rsidR="00264495" w:rsidRDefault="00907D65" w:rsidP="00907D65">
      <w:pPr>
        <w:spacing w:before="180" w:line="288" w:lineRule="auto"/>
        <w:rPr>
          <w:rFonts w:cs="Calibri"/>
          <w:szCs w:val="18"/>
        </w:rPr>
      </w:pPr>
      <w:r>
        <w:rPr>
          <w:rFonts w:cs="Calibri"/>
          <w:szCs w:val="18"/>
        </w:rPr>
        <w:t xml:space="preserve">Collectively, this </w:t>
      </w:r>
      <w:r w:rsidR="007D3CC7">
        <w:rPr>
          <w:rFonts w:cs="Calibri"/>
          <w:szCs w:val="18"/>
        </w:rPr>
        <w:t xml:space="preserve">emphasises the importance and </w:t>
      </w:r>
      <w:r w:rsidR="007A3627">
        <w:rPr>
          <w:rFonts w:cs="Calibri"/>
          <w:szCs w:val="18"/>
        </w:rPr>
        <w:t>criticality</w:t>
      </w:r>
      <w:r w:rsidR="007D3CC7">
        <w:rPr>
          <w:rFonts w:cs="Calibri"/>
          <w:szCs w:val="18"/>
        </w:rPr>
        <w:t xml:space="preserve"> of effective and robust T</w:t>
      </w:r>
      <w:r w:rsidR="00DC6004">
        <w:rPr>
          <w:rFonts w:cs="Calibri"/>
          <w:szCs w:val="18"/>
        </w:rPr>
        <w:t>DC for</w:t>
      </w:r>
      <w:r w:rsidR="00264495">
        <w:rPr>
          <w:rFonts w:cs="Calibri"/>
          <w:szCs w:val="18"/>
        </w:rPr>
        <w:t>:</w:t>
      </w:r>
    </w:p>
    <w:p w14:paraId="5C639F9B" w14:textId="3BFB5C39" w:rsidR="007D3CC7" w:rsidRDefault="006104B2" w:rsidP="00470C91">
      <w:pPr>
        <w:pStyle w:val="ListParagraph"/>
        <w:numPr>
          <w:ilvl w:val="0"/>
          <w:numId w:val="15"/>
        </w:numPr>
        <w:spacing w:before="180" w:line="288" w:lineRule="auto"/>
        <w:rPr>
          <w:rFonts w:cs="Calibri"/>
          <w:szCs w:val="18"/>
        </w:rPr>
      </w:pPr>
      <w:r>
        <w:rPr>
          <w:rFonts w:cs="Calibri"/>
          <w:szCs w:val="18"/>
        </w:rPr>
        <w:t>A</w:t>
      </w:r>
      <w:r w:rsidR="00DC6004" w:rsidRPr="00264495">
        <w:rPr>
          <w:rFonts w:cs="Calibri"/>
          <w:szCs w:val="18"/>
        </w:rPr>
        <w:t>ddressing near-term system security</w:t>
      </w:r>
      <w:r w:rsidR="00AF7B08">
        <w:rPr>
          <w:rFonts w:cs="Calibri"/>
          <w:szCs w:val="18"/>
        </w:rPr>
        <w:t xml:space="preserve"> and reliability </w:t>
      </w:r>
      <w:r w:rsidR="00DC6004" w:rsidRPr="00264495">
        <w:rPr>
          <w:rFonts w:cs="Calibri"/>
          <w:szCs w:val="18"/>
        </w:rPr>
        <w:t>challenges associated with the increasing aggregate impact of rooftop solar in Australia’s energy systems,</w:t>
      </w:r>
      <w:r w:rsidR="006957F4">
        <w:rPr>
          <w:rFonts w:cs="Calibri"/>
          <w:szCs w:val="18"/>
        </w:rPr>
        <w:t xml:space="preserve"> and the resulting implications for system operability</w:t>
      </w:r>
    </w:p>
    <w:p w14:paraId="72670374" w14:textId="6CB8EB88" w:rsidR="00264495" w:rsidRPr="00264495" w:rsidRDefault="006104B2" w:rsidP="00470C91">
      <w:pPr>
        <w:pStyle w:val="ListParagraph"/>
        <w:numPr>
          <w:ilvl w:val="0"/>
          <w:numId w:val="15"/>
        </w:numPr>
        <w:spacing w:before="180" w:line="288" w:lineRule="auto"/>
        <w:rPr>
          <w:rFonts w:cs="Calibri"/>
          <w:szCs w:val="18"/>
        </w:rPr>
      </w:pPr>
      <w:r>
        <w:rPr>
          <w:rFonts w:cs="Calibri"/>
          <w:szCs w:val="18"/>
        </w:rPr>
        <w:t>E</w:t>
      </w:r>
      <w:r w:rsidR="00264495">
        <w:rPr>
          <w:rFonts w:cs="Calibri"/>
          <w:szCs w:val="18"/>
        </w:rPr>
        <w:t>stablishing the foundations for the operational coo</w:t>
      </w:r>
      <w:r w:rsidR="00BD52F9">
        <w:rPr>
          <w:rFonts w:cs="Calibri"/>
          <w:szCs w:val="18"/>
        </w:rPr>
        <w:t>r</w:t>
      </w:r>
      <w:r w:rsidR="00264495">
        <w:rPr>
          <w:rFonts w:cs="Calibri"/>
          <w:szCs w:val="18"/>
        </w:rPr>
        <w:t xml:space="preserve">dination </w:t>
      </w:r>
      <w:r w:rsidR="00BD52F9">
        <w:rPr>
          <w:rFonts w:cs="Calibri"/>
          <w:szCs w:val="18"/>
        </w:rPr>
        <w:t>required to enable a truly ‘two-sided’ energy system,</w:t>
      </w:r>
      <w:r w:rsidR="009B35EA">
        <w:rPr>
          <w:rFonts w:cs="Calibri"/>
          <w:szCs w:val="18"/>
        </w:rPr>
        <w:t xml:space="preserve"> enabling DER</w:t>
      </w:r>
      <w:r w:rsidR="007C50B8">
        <w:rPr>
          <w:rFonts w:cs="Calibri"/>
          <w:szCs w:val="18"/>
        </w:rPr>
        <w:t xml:space="preserve"> aggregation, and</w:t>
      </w:r>
      <w:r w:rsidR="00642015">
        <w:rPr>
          <w:rFonts w:cs="Calibri"/>
          <w:szCs w:val="18"/>
        </w:rPr>
        <w:t xml:space="preserve"> capitalising on the flexibility available within the distribution system.</w:t>
      </w:r>
    </w:p>
    <w:p w14:paraId="1BD2A5BF" w14:textId="6F263952" w:rsidR="00E433DA" w:rsidRDefault="00C11609" w:rsidP="00DE3589">
      <w:pPr>
        <w:pStyle w:val="Heading3TextOnly"/>
      </w:pPr>
      <w:bookmarkStart w:id="48" w:name="_Toc201823508"/>
      <w:bookmarkStart w:id="49" w:name="_Toc205532840"/>
      <w:r>
        <w:t xml:space="preserve">TDC and </w:t>
      </w:r>
      <w:r w:rsidR="001760D4">
        <w:t xml:space="preserve">System </w:t>
      </w:r>
      <w:r w:rsidR="00621B47">
        <w:t>Objectives</w:t>
      </w:r>
      <w:r w:rsidR="0077518D">
        <w:t xml:space="preserve"> (Report 1)</w:t>
      </w:r>
      <w:bookmarkEnd w:id="48"/>
      <w:bookmarkEnd w:id="49"/>
    </w:p>
    <w:p w14:paraId="12F102CC" w14:textId="1F2F56E4" w:rsidR="00EC5E1C" w:rsidRPr="00A36DCC" w:rsidRDefault="0074224D" w:rsidP="00EC5E1C">
      <w:pPr>
        <w:spacing w:before="180" w:after="120" w:line="288" w:lineRule="auto"/>
        <w:rPr>
          <w:rFonts w:cs="Calibri"/>
          <w:szCs w:val="18"/>
        </w:rPr>
      </w:pPr>
      <w:r>
        <w:rPr>
          <w:rFonts w:cs="Calibri"/>
          <w:szCs w:val="18"/>
        </w:rPr>
        <w:t>I</w:t>
      </w:r>
      <w:r w:rsidR="00EC5E1C" w:rsidRPr="00A36DCC">
        <w:rPr>
          <w:rFonts w:cs="Calibri"/>
          <w:szCs w:val="18"/>
        </w:rPr>
        <w:t xml:space="preserve">nsufficient </w:t>
      </w:r>
      <w:r w:rsidR="00556EDA">
        <w:rPr>
          <w:rFonts w:cs="Calibri"/>
          <w:szCs w:val="18"/>
        </w:rPr>
        <w:t xml:space="preserve">or ineffective </w:t>
      </w:r>
      <w:r w:rsidR="00EC5E1C" w:rsidRPr="00A36DCC">
        <w:rPr>
          <w:rFonts w:cs="Calibri"/>
          <w:szCs w:val="18"/>
        </w:rPr>
        <w:t xml:space="preserve">TDC directly undermines the system’s ability to deliver against the </w:t>
      </w:r>
      <w:r w:rsidR="00EF65F7">
        <w:rPr>
          <w:rFonts w:cs="Calibri"/>
          <w:szCs w:val="18"/>
        </w:rPr>
        <w:t>f</w:t>
      </w:r>
      <w:r w:rsidR="00EC5E1C" w:rsidRPr="00A36DCC">
        <w:rPr>
          <w:rFonts w:cs="Calibri"/>
          <w:szCs w:val="18"/>
        </w:rPr>
        <w:t xml:space="preserve">uture Customer &amp; Societal Objectives set out in Report 1. Secure TDC structures are critical to ensuring that customer and societal expectations—dependability, affordability, sustainability, equity, empowerment, expandability, adaptability, and public benefit—can be practically delivered in a grid increasingly shaped by active consumer participation. In the absence of </w:t>
      </w:r>
      <w:r w:rsidR="006104B2">
        <w:rPr>
          <w:rFonts w:cs="Calibri"/>
          <w:szCs w:val="18"/>
        </w:rPr>
        <w:t>well-implemented</w:t>
      </w:r>
      <w:r w:rsidR="00E56C15">
        <w:rPr>
          <w:rFonts w:cs="Calibri"/>
          <w:szCs w:val="18"/>
        </w:rPr>
        <w:t xml:space="preserve"> </w:t>
      </w:r>
      <w:r w:rsidR="00EC5E1C" w:rsidRPr="00A36DCC">
        <w:rPr>
          <w:rFonts w:cs="Calibri"/>
          <w:szCs w:val="18"/>
        </w:rPr>
        <w:t>TDC, customer investments</w:t>
      </w:r>
      <w:r w:rsidR="00383D25">
        <w:rPr>
          <w:rFonts w:cs="Calibri"/>
          <w:szCs w:val="18"/>
        </w:rPr>
        <w:t xml:space="preserve"> in the distribution system</w:t>
      </w:r>
      <w:r w:rsidR="00EC5E1C" w:rsidRPr="00A36DCC">
        <w:rPr>
          <w:rFonts w:cs="Calibri"/>
          <w:szCs w:val="18"/>
        </w:rPr>
        <w:t xml:space="preserve"> </w:t>
      </w:r>
      <w:r w:rsidR="000B3357">
        <w:rPr>
          <w:rFonts w:cs="Calibri"/>
          <w:szCs w:val="18"/>
        </w:rPr>
        <w:t>are likely to</w:t>
      </w:r>
      <w:r w:rsidR="00EC5E1C" w:rsidRPr="00A36DCC">
        <w:rPr>
          <w:rFonts w:cs="Calibri"/>
          <w:szCs w:val="18"/>
        </w:rPr>
        <w:t xml:space="preserve"> </w:t>
      </w:r>
      <w:r w:rsidR="00A86EB1">
        <w:rPr>
          <w:rFonts w:cs="Calibri"/>
          <w:szCs w:val="18"/>
        </w:rPr>
        <w:t>be</w:t>
      </w:r>
      <w:r w:rsidR="00EC5E1C" w:rsidRPr="00A36DCC">
        <w:rPr>
          <w:rFonts w:cs="Calibri"/>
          <w:szCs w:val="18"/>
        </w:rPr>
        <w:t xml:space="preserve"> </w:t>
      </w:r>
      <w:r w:rsidR="00E56C15">
        <w:rPr>
          <w:rFonts w:cs="Calibri"/>
          <w:szCs w:val="18"/>
        </w:rPr>
        <w:t>under-utilised</w:t>
      </w:r>
      <w:r w:rsidR="00EC5E1C" w:rsidRPr="00A36DCC">
        <w:rPr>
          <w:rFonts w:cs="Calibri"/>
          <w:szCs w:val="18"/>
        </w:rPr>
        <w:t xml:space="preserve">, </w:t>
      </w:r>
      <w:r w:rsidR="00B85D85">
        <w:rPr>
          <w:rFonts w:cs="Calibri"/>
          <w:szCs w:val="18"/>
        </w:rPr>
        <w:t xml:space="preserve">optionality for systemic </w:t>
      </w:r>
      <w:r w:rsidR="00EC5E1C" w:rsidRPr="00A36DCC">
        <w:rPr>
          <w:rFonts w:cs="Calibri"/>
          <w:szCs w:val="18"/>
        </w:rPr>
        <w:t xml:space="preserve">resilience </w:t>
      </w:r>
      <w:r w:rsidR="00D556E6">
        <w:rPr>
          <w:rFonts w:cs="Calibri"/>
          <w:szCs w:val="18"/>
        </w:rPr>
        <w:t xml:space="preserve">will </w:t>
      </w:r>
      <w:r w:rsidR="00EC5E1C" w:rsidRPr="00A36DCC">
        <w:rPr>
          <w:rFonts w:cs="Calibri"/>
          <w:szCs w:val="18"/>
        </w:rPr>
        <w:t>decline, and the system’s adaptability to new business models and technologies may be impaired.</w:t>
      </w:r>
    </w:p>
    <w:p w14:paraId="51DC3AE0" w14:textId="175C8ACB" w:rsidR="00012667" w:rsidRDefault="00012667" w:rsidP="00012667">
      <w:pPr>
        <w:pStyle w:val="Heading3TextOnly"/>
      </w:pPr>
      <w:bookmarkStart w:id="50" w:name="_Toc201823509"/>
      <w:bookmarkStart w:id="51" w:name="_Toc205532841"/>
      <w:r>
        <w:lastRenderedPageBreak/>
        <w:t xml:space="preserve">TDC and </w:t>
      </w:r>
      <w:r w:rsidR="0077518D">
        <w:t>Emerging Trends (Report 2)</w:t>
      </w:r>
      <w:bookmarkEnd w:id="50"/>
      <w:bookmarkEnd w:id="51"/>
    </w:p>
    <w:p w14:paraId="754F390A" w14:textId="2F1A948F" w:rsidR="00EC5E1C" w:rsidRDefault="004139C1" w:rsidP="00EC5E1C">
      <w:pPr>
        <w:spacing w:before="180" w:after="120" w:line="288" w:lineRule="auto"/>
        <w:rPr>
          <w:rFonts w:cs="Calibri"/>
          <w:szCs w:val="18"/>
        </w:rPr>
      </w:pPr>
      <w:r>
        <w:rPr>
          <w:rFonts w:cs="Calibri"/>
          <w:szCs w:val="18"/>
        </w:rPr>
        <w:t>E</w:t>
      </w:r>
      <w:r w:rsidR="00EC5E1C" w:rsidRPr="00A36DCC">
        <w:rPr>
          <w:rFonts w:cs="Calibri"/>
          <w:szCs w:val="18"/>
        </w:rPr>
        <w:t>merging trends catalogued in Report 2 further amplify the</w:t>
      </w:r>
      <w:r>
        <w:rPr>
          <w:rFonts w:cs="Calibri"/>
          <w:szCs w:val="18"/>
        </w:rPr>
        <w:t xml:space="preserve"> </w:t>
      </w:r>
      <w:r w:rsidR="00EC5E1C" w:rsidRPr="00A36DCC">
        <w:rPr>
          <w:rFonts w:cs="Calibri"/>
          <w:szCs w:val="18"/>
        </w:rPr>
        <w:t>risks</w:t>
      </w:r>
      <w:r w:rsidR="00B660BF">
        <w:rPr>
          <w:rFonts w:cs="Calibri"/>
          <w:szCs w:val="18"/>
        </w:rPr>
        <w:t xml:space="preserve"> associated with poor o</w:t>
      </w:r>
      <w:r w:rsidR="00FD4DC0">
        <w:rPr>
          <w:rFonts w:cs="Calibri"/>
          <w:szCs w:val="18"/>
        </w:rPr>
        <w:t>r</w:t>
      </w:r>
      <w:r w:rsidR="00B660BF">
        <w:rPr>
          <w:rFonts w:cs="Calibri"/>
          <w:szCs w:val="18"/>
        </w:rPr>
        <w:t xml:space="preserve"> insufficient TDC</w:t>
      </w:r>
      <w:r w:rsidR="00EC5E1C" w:rsidRPr="00A36DCC">
        <w:rPr>
          <w:rFonts w:cs="Calibri"/>
          <w:szCs w:val="18"/>
        </w:rPr>
        <w:t xml:space="preserve">. </w:t>
      </w:r>
      <w:r w:rsidR="00546EB0">
        <w:rPr>
          <w:rFonts w:cs="Calibri"/>
          <w:szCs w:val="18"/>
        </w:rPr>
        <w:t xml:space="preserve">As the report intimates, </w:t>
      </w:r>
      <w:r w:rsidR="00EC5E1C" w:rsidRPr="00A36DCC">
        <w:rPr>
          <w:rFonts w:cs="Calibri"/>
          <w:szCs w:val="18"/>
        </w:rPr>
        <w:t>Australia’s grid transformation is characterised by rapid growth in inverter-based renewables, CER</w:t>
      </w:r>
      <w:r w:rsidR="00D87EF4">
        <w:rPr>
          <w:rFonts w:cs="Calibri"/>
          <w:szCs w:val="18"/>
        </w:rPr>
        <w:t>/DER</w:t>
      </w:r>
      <w:r w:rsidR="00EC5E1C" w:rsidRPr="00A36DCC">
        <w:rPr>
          <w:rFonts w:cs="Calibri"/>
          <w:szCs w:val="18"/>
        </w:rPr>
        <w:t xml:space="preserve"> participation, bi-directional power flows, sector-coupling, and real-time operational complexity. The increasing diversity of actors—including aggregators, </w:t>
      </w:r>
      <w:r w:rsidR="00D12604">
        <w:rPr>
          <w:rFonts w:cs="Calibri"/>
          <w:szCs w:val="18"/>
        </w:rPr>
        <w:t>CER/</w:t>
      </w:r>
      <w:r w:rsidR="00EC5E1C" w:rsidRPr="00A36DCC">
        <w:rPr>
          <w:rFonts w:cs="Calibri"/>
          <w:szCs w:val="18"/>
        </w:rPr>
        <w:t>DER service providers, and multi-sector players</w:t>
      </w:r>
      <w:r w:rsidR="00A42CE6">
        <w:rPr>
          <w:rFonts w:cs="Calibri"/>
          <w:szCs w:val="18"/>
        </w:rPr>
        <w:t xml:space="preserve"> (</w:t>
      </w:r>
      <w:r w:rsidR="00B250DF">
        <w:rPr>
          <w:rFonts w:cs="Calibri"/>
          <w:szCs w:val="18"/>
        </w:rPr>
        <w:t xml:space="preserve">i.e. </w:t>
      </w:r>
      <w:r w:rsidR="00A42CE6">
        <w:rPr>
          <w:rFonts w:cs="Calibri"/>
          <w:szCs w:val="18"/>
        </w:rPr>
        <w:t xml:space="preserve">EV </w:t>
      </w:r>
      <w:r w:rsidR="002F6A00">
        <w:rPr>
          <w:rFonts w:cs="Calibri"/>
          <w:szCs w:val="18"/>
        </w:rPr>
        <w:t>m</w:t>
      </w:r>
      <w:r w:rsidR="00B250DF">
        <w:rPr>
          <w:rFonts w:cs="Calibri"/>
          <w:szCs w:val="18"/>
        </w:rPr>
        <w:t xml:space="preserve">anufacturers) </w:t>
      </w:r>
      <w:r w:rsidR="00EC5E1C" w:rsidRPr="00A36DCC">
        <w:rPr>
          <w:rFonts w:cs="Calibri"/>
          <w:szCs w:val="18"/>
        </w:rPr>
        <w:t>—</w:t>
      </w:r>
      <w:r w:rsidR="00A50E47">
        <w:rPr>
          <w:rFonts w:cs="Calibri"/>
          <w:szCs w:val="18"/>
        </w:rPr>
        <w:t xml:space="preserve">will </w:t>
      </w:r>
      <w:r w:rsidR="00EC5E1C" w:rsidRPr="00A36DCC">
        <w:rPr>
          <w:rFonts w:cs="Calibri"/>
          <w:szCs w:val="18"/>
        </w:rPr>
        <w:t>exert growing influence across both operational and market layers</w:t>
      </w:r>
      <w:r w:rsidR="00ED11C1">
        <w:rPr>
          <w:rFonts w:cs="Calibri"/>
          <w:szCs w:val="18"/>
        </w:rPr>
        <w:t xml:space="preserve">, </w:t>
      </w:r>
      <w:r w:rsidR="00EC5E1C" w:rsidRPr="00A36DCC">
        <w:rPr>
          <w:rFonts w:cs="Calibri"/>
          <w:szCs w:val="18"/>
        </w:rPr>
        <w:t xml:space="preserve">without </w:t>
      </w:r>
      <w:r w:rsidR="00F4177F">
        <w:rPr>
          <w:rFonts w:cs="Calibri"/>
          <w:szCs w:val="18"/>
        </w:rPr>
        <w:t xml:space="preserve">any obligation </w:t>
      </w:r>
      <w:r w:rsidR="0016512D">
        <w:rPr>
          <w:rFonts w:cs="Calibri"/>
          <w:szCs w:val="18"/>
        </w:rPr>
        <w:t>or accountability for</w:t>
      </w:r>
      <w:r w:rsidR="00C15945">
        <w:rPr>
          <w:rFonts w:cs="Calibri"/>
          <w:szCs w:val="18"/>
        </w:rPr>
        <w:t xml:space="preserve"> </w:t>
      </w:r>
      <w:r w:rsidR="0016512D">
        <w:rPr>
          <w:rFonts w:cs="Calibri"/>
          <w:szCs w:val="18"/>
        </w:rPr>
        <w:t>system security</w:t>
      </w:r>
      <w:r w:rsidR="00A02F3C">
        <w:rPr>
          <w:rFonts w:cs="Calibri"/>
          <w:szCs w:val="18"/>
        </w:rPr>
        <w:t xml:space="preserve"> unless </w:t>
      </w:r>
      <w:r w:rsidR="00BB58AF">
        <w:rPr>
          <w:rFonts w:cs="Calibri"/>
          <w:szCs w:val="18"/>
        </w:rPr>
        <w:t>orchestrated with the support of TDC</w:t>
      </w:r>
      <w:r w:rsidR="00EC5E1C" w:rsidRPr="00A36DCC">
        <w:rPr>
          <w:rFonts w:cs="Calibri"/>
          <w:szCs w:val="18"/>
        </w:rPr>
        <w:t>. Without deliberate coordination frameworks, these trends create unpredictable interactions, fragmented resource optimisation, and new systemic vulnerabilities across both transmission and distribution domains.</w:t>
      </w:r>
    </w:p>
    <w:p w14:paraId="0695B733" w14:textId="39C7A207" w:rsidR="0077518D" w:rsidRDefault="0077518D" w:rsidP="0077518D">
      <w:pPr>
        <w:pStyle w:val="Heading3TextOnly"/>
      </w:pPr>
      <w:bookmarkStart w:id="52" w:name="_Toc201823510"/>
      <w:bookmarkStart w:id="53" w:name="_Toc205532842"/>
      <w:r>
        <w:t xml:space="preserve">TDC and </w:t>
      </w:r>
      <w:r w:rsidR="00DD5D5A">
        <w:t>Systemic Issues</w:t>
      </w:r>
      <w:r>
        <w:t xml:space="preserve"> (Report 3)</w:t>
      </w:r>
      <w:bookmarkEnd w:id="52"/>
      <w:bookmarkEnd w:id="53"/>
    </w:p>
    <w:p w14:paraId="7DC6C1D0" w14:textId="0E88D74A" w:rsidR="00A36DCC" w:rsidRPr="00A36DCC" w:rsidRDefault="0077518D" w:rsidP="00A36DCC">
      <w:pPr>
        <w:spacing w:before="180" w:after="120" w:line="288" w:lineRule="auto"/>
        <w:rPr>
          <w:rFonts w:cs="Calibri"/>
          <w:szCs w:val="18"/>
        </w:rPr>
      </w:pPr>
      <w:r>
        <w:rPr>
          <w:rFonts w:cs="Calibri"/>
          <w:szCs w:val="18"/>
        </w:rPr>
        <w:t>M</w:t>
      </w:r>
      <w:r w:rsidR="00A36DCC" w:rsidRPr="00A36DCC">
        <w:rPr>
          <w:rFonts w:cs="Calibri"/>
          <w:szCs w:val="18"/>
        </w:rPr>
        <w:t xml:space="preserve">any of the Systemic Issues and Transformation Risks identified in Report 3 stem from the growing operational interdependence between the Bulk Power System (BPS) and distribution systems. Without TDC, critical problems emerge across structural operability (such as balancing risks, system visibility gaps, and coordination failures), digital scalability (including data sharing, solution scalability, and cyber-security vulnerabilities), and sectoral alignment (including unclear roles, responsibility gaps, and conflicting aggregator behaviours). </w:t>
      </w:r>
      <w:r w:rsidR="00A45D56">
        <w:rPr>
          <w:rFonts w:cs="Calibri"/>
          <w:szCs w:val="18"/>
        </w:rPr>
        <w:t>Where inadequate TDC leaves these issues</w:t>
      </w:r>
      <w:r w:rsidR="00A36DCC" w:rsidRPr="00A36DCC">
        <w:rPr>
          <w:rFonts w:cs="Calibri"/>
          <w:szCs w:val="18"/>
        </w:rPr>
        <w:t xml:space="preserve"> unresolved, these structural weaknesses limit the system’s ability to operate securely, efficiently, and predictably as </w:t>
      </w:r>
      <w:r w:rsidR="005147E3">
        <w:rPr>
          <w:rFonts w:cs="Calibri"/>
          <w:szCs w:val="18"/>
        </w:rPr>
        <w:t>participation</w:t>
      </w:r>
      <w:r w:rsidR="009316C0" w:rsidRPr="00A36DCC">
        <w:rPr>
          <w:rFonts w:cs="Calibri"/>
          <w:szCs w:val="18"/>
        </w:rPr>
        <w:t xml:space="preserve"> scale</w:t>
      </w:r>
      <w:r w:rsidR="005147E3">
        <w:rPr>
          <w:rFonts w:cs="Calibri"/>
          <w:szCs w:val="18"/>
        </w:rPr>
        <w:t>s</w:t>
      </w:r>
      <w:r w:rsidR="00A36DCC" w:rsidRPr="00A36DCC">
        <w:rPr>
          <w:rFonts w:cs="Calibri"/>
          <w:szCs w:val="18"/>
        </w:rPr>
        <w:t>.</w:t>
      </w:r>
    </w:p>
    <w:p w14:paraId="1606FF70" w14:textId="46699EF0" w:rsidR="00A36DCC" w:rsidRPr="00A36DCC" w:rsidRDefault="00A36DCC" w:rsidP="00A36DCC">
      <w:pPr>
        <w:spacing w:before="180" w:after="120" w:line="288" w:lineRule="auto"/>
        <w:rPr>
          <w:rFonts w:cs="Calibri"/>
          <w:szCs w:val="18"/>
        </w:rPr>
      </w:pPr>
      <w:r w:rsidRPr="00A36DCC">
        <w:rPr>
          <w:rFonts w:cs="Calibri"/>
          <w:szCs w:val="18"/>
        </w:rPr>
        <w:t>In summary, without proactive and scalable TDC frameworks, the power system will face growing fragility precisely at the time when its operational complexity and societal importance are both rapidly intensifying. Formalising TDC is thus not simply a</w:t>
      </w:r>
      <w:r w:rsidR="00737FB6">
        <w:rPr>
          <w:rFonts w:cs="Calibri"/>
          <w:szCs w:val="18"/>
        </w:rPr>
        <w:t>n</w:t>
      </w:r>
      <w:r w:rsidRPr="00A36DCC">
        <w:rPr>
          <w:rFonts w:cs="Calibri"/>
          <w:szCs w:val="18"/>
        </w:rPr>
        <w:t xml:space="preserve"> incremental policy adjustment—it is a structural necessity for safely integrating the emerging generation mix, preserving system coherence, and securing equitable customer and societal outcomes as the system evolves.</w:t>
      </w:r>
    </w:p>
    <w:p w14:paraId="5DDD0D7C" w14:textId="7EE9A163" w:rsidR="00C914E7" w:rsidRDefault="00A36F0A" w:rsidP="00A066C1">
      <w:pPr>
        <w:spacing w:before="180" w:after="120" w:line="288" w:lineRule="auto"/>
      </w:pPr>
      <w:r>
        <w:rPr>
          <w:rFonts w:cs="Calibri"/>
          <w:szCs w:val="18"/>
        </w:rPr>
        <w:t>From a functional perspective</w:t>
      </w:r>
      <w:r w:rsidR="00877F53">
        <w:rPr>
          <w:rFonts w:cs="Calibri"/>
          <w:szCs w:val="18"/>
        </w:rPr>
        <w:t>, i</w:t>
      </w:r>
      <w:r w:rsidR="00962E3C" w:rsidRPr="0050162C">
        <w:rPr>
          <w:rFonts w:cs="Calibri"/>
          <w:szCs w:val="18"/>
        </w:rPr>
        <w:t xml:space="preserve">n contrast to </w:t>
      </w:r>
      <w:r w:rsidR="00A1041E" w:rsidRPr="0050162C">
        <w:rPr>
          <w:rFonts w:cs="Calibri"/>
          <w:szCs w:val="18"/>
        </w:rPr>
        <w:t xml:space="preserve">historical operational philosophies, </w:t>
      </w:r>
      <w:r w:rsidR="0037447A">
        <w:rPr>
          <w:rFonts w:cs="Calibri"/>
          <w:szCs w:val="18"/>
        </w:rPr>
        <w:t>expanding</w:t>
      </w:r>
      <w:r>
        <w:rPr>
          <w:rFonts w:cs="Calibri"/>
          <w:szCs w:val="18"/>
        </w:rPr>
        <w:t xml:space="preserve"> system </w:t>
      </w:r>
      <w:r w:rsidR="0037447A">
        <w:rPr>
          <w:rFonts w:cs="Calibri"/>
          <w:szCs w:val="18"/>
        </w:rPr>
        <w:t xml:space="preserve">volatility </w:t>
      </w:r>
      <w:r w:rsidR="00DB1A93">
        <w:rPr>
          <w:rFonts w:cs="Calibri"/>
          <w:szCs w:val="18"/>
        </w:rPr>
        <w:t xml:space="preserve">and bidirectionality </w:t>
      </w:r>
      <w:r w:rsidR="008940F4" w:rsidRPr="0050162C">
        <w:rPr>
          <w:rFonts w:cs="Calibri"/>
          <w:szCs w:val="18"/>
        </w:rPr>
        <w:t xml:space="preserve">requires that </w:t>
      </w:r>
      <w:r w:rsidR="00A1041E" w:rsidRPr="0050162C">
        <w:rPr>
          <w:rFonts w:cs="Calibri"/>
          <w:szCs w:val="18"/>
        </w:rPr>
        <w:t>the p</w:t>
      </w:r>
      <w:r w:rsidR="008940F4" w:rsidRPr="0050162C">
        <w:rPr>
          <w:rFonts w:cs="Calibri"/>
          <w:szCs w:val="18"/>
        </w:rPr>
        <w:t xml:space="preserve">ower system </w:t>
      </w:r>
      <w:r w:rsidR="00DB1A93">
        <w:rPr>
          <w:rFonts w:cs="Calibri"/>
          <w:szCs w:val="18"/>
        </w:rPr>
        <w:t>is</w:t>
      </w:r>
      <w:r w:rsidR="008940F4" w:rsidRPr="0050162C">
        <w:rPr>
          <w:rFonts w:cs="Calibri"/>
          <w:szCs w:val="18"/>
        </w:rPr>
        <w:t xml:space="preserve"> </w:t>
      </w:r>
      <w:r w:rsidR="00D44114" w:rsidRPr="0050162C">
        <w:rPr>
          <w:rFonts w:cs="Calibri"/>
          <w:szCs w:val="18"/>
        </w:rPr>
        <w:t>coordinated</w:t>
      </w:r>
      <w:r w:rsidR="008940F4" w:rsidRPr="0050162C">
        <w:rPr>
          <w:rFonts w:cs="Calibri"/>
          <w:szCs w:val="18"/>
        </w:rPr>
        <w:t xml:space="preserve"> from both a </w:t>
      </w:r>
      <w:r w:rsidR="00DB1A93">
        <w:rPr>
          <w:rFonts w:cs="Calibri"/>
          <w:szCs w:val="18"/>
        </w:rPr>
        <w:t>SO</w:t>
      </w:r>
      <w:r w:rsidR="008940F4" w:rsidRPr="0050162C">
        <w:rPr>
          <w:rFonts w:cs="Calibri"/>
          <w:szCs w:val="18"/>
        </w:rPr>
        <w:t xml:space="preserve">-down and DSO-up orientation simultaneously. </w:t>
      </w:r>
      <w:r w:rsidR="00A656A4" w:rsidRPr="0050162C">
        <w:rPr>
          <w:rFonts w:cs="Calibri"/>
          <w:szCs w:val="18"/>
        </w:rPr>
        <w:t xml:space="preserve">In the absence of </w:t>
      </w:r>
      <w:r w:rsidR="00D44C7F" w:rsidRPr="0050162C">
        <w:rPr>
          <w:rFonts w:cs="Calibri"/>
          <w:szCs w:val="18"/>
        </w:rPr>
        <w:t xml:space="preserve">such an approach, several whole-system vulnerabilities </w:t>
      </w:r>
      <w:r w:rsidR="006B1D92" w:rsidRPr="0050162C">
        <w:rPr>
          <w:rFonts w:cs="Calibri"/>
          <w:szCs w:val="18"/>
        </w:rPr>
        <w:t xml:space="preserve">will arise. </w:t>
      </w:r>
      <w:r w:rsidR="0082185B">
        <w:rPr>
          <w:rFonts w:cs="Calibri"/>
          <w:szCs w:val="18"/>
        </w:rPr>
        <w:t xml:space="preserve">This can result in </w:t>
      </w:r>
      <w:r w:rsidR="000A303F" w:rsidRPr="0050162C">
        <w:rPr>
          <w:rFonts w:cs="Calibri"/>
          <w:szCs w:val="18"/>
        </w:rPr>
        <w:t>uncoordinated or</w:t>
      </w:r>
      <w:r w:rsidR="00073224">
        <w:rPr>
          <w:rFonts w:cs="Calibri"/>
          <w:szCs w:val="18"/>
        </w:rPr>
        <w:t xml:space="preserve"> </w:t>
      </w:r>
      <w:r w:rsidR="00332D8C" w:rsidRPr="0050162C">
        <w:rPr>
          <w:rFonts w:cs="Calibri"/>
          <w:szCs w:val="18"/>
        </w:rPr>
        <w:t xml:space="preserve">insufficiently coordinated actions </w:t>
      </w:r>
      <w:r w:rsidR="00F10204">
        <w:rPr>
          <w:rFonts w:cs="Calibri"/>
          <w:szCs w:val="18"/>
        </w:rPr>
        <w:t xml:space="preserve">across the </w:t>
      </w:r>
      <w:r w:rsidR="00A42A78">
        <w:rPr>
          <w:rFonts w:cs="Calibri"/>
          <w:szCs w:val="18"/>
        </w:rPr>
        <w:t xml:space="preserve">end-to-end system. </w:t>
      </w:r>
      <w:r w:rsidR="00743969" w:rsidRPr="0050162C">
        <w:rPr>
          <w:rFonts w:cs="Calibri"/>
          <w:szCs w:val="18"/>
        </w:rPr>
        <w:fldChar w:fldCharType="begin"/>
      </w:r>
      <w:r w:rsidR="00743969" w:rsidRPr="0050162C">
        <w:rPr>
          <w:rFonts w:cs="Calibri"/>
          <w:szCs w:val="18"/>
        </w:rPr>
        <w:instrText xml:space="preserve"> REF _Ref192751733 \h </w:instrText>
      </w:r>
      <w:r w:rsidR="0050162C">
        <w:rPr>
          <w:rFonts w:cs="Calibri"/>
          <w:szCs w:val="18"/>
        </w:rPr>
        <w:instrText xml:space="preserve"> \* MERGEFORMAT </w:instrText>
      </w:r>
      <w:r w:rsidR="00743969" w:rsidRPr="0050162C">
        <w:rPr>
          <w:rFonts w:cs="Calibri"/>
          <w:szCs w:val="18"/>
        </w:rPr>
        <w:fldChar w:fldCharType="separate"/>
      </w:r>
      <w:r w:rsidR="00CE6CF1">
        <w:rPr>
          <w:rFonts w:cs="Calibri"/>
          <w:b/>
          <w:bCs/>
          <w:szCs w:val="18"/>
          <w:lang w:val="en-US"/>
        </w:rPr>
        <w:t>Err</w:t>
      </w:r>
      <w:r w:rsidR="00CE6CF1">
        <w:rPr>
          <w:rFonts w:cs="Calibri"/>
          <w:b/>
          <w:bCs/>
          <w:szCs w:val="18"/>
          <w:lang w:val="en-US"/>
        </w:rPr>
        <w:lastRenderedPageBreak/>
        <w:t>or! Reference source not found.</w:t>
      </w:r>
      <w:r w:rsidR="00743969" w:rsidRPr="0050162C">
        <w:rPr>
          <w:rFonts w:cs="Calibri"/>
          <w:szCs w:val="18"/>
        </w:rPr>
        <w:fldChar w:fldCharType="end"/>
      </w:r>
    </w:p>
    <w:p w14:paraId="5C15561C" w14:textId="418E522B" w:rsidR="00514734" w:rsidRDefault="00514734" w:rsidP="00514734">
      <w:pPr>
        <w:pStyle w:val="Caption"/>
        <w:keepNext/>
      </w:pPr>
      <w:r>
        <w:t xml:space="preserve">Table </w:t>
      </w:r>
      <w:fldSimple w:instr=" SEQ Table \* ARABIC ">
        <w:r w:rsidR="00CE6CF1">
          <w:rPr>
            <w:noProof/>
          </w:rPr>
          <w:t>2</w:t>
        </w:r>
      </w:fldSimple>
      <w:r>
        <w:t xml:space="preserve">: </w:t>
      </w:r>
      <w:r w:rsidRPr="00521FB3">
        <w:t>Impacts of uncoordinated actions of the Bulk Power System and the Distribution System</w:t>
      </w:r>
    </w:p>
    <w:tbl>
      <w:tblPr>
        <w:tblStyle w:val="TableGrid"/>
        <w:tblW w:w="8140" w:type="dxa"/>
        <w:tblInd w:w="-5" w:type="dxa"/>
        <w:tblLook w:val="04A0" w:firstRow="1" w:lastRow="0" w:firstColumn="1" w:lastColumn="0" w:noHBand="0" w:noVBand="1"/>
      </w:tblPr>
      <w:tblGrid>
        <w:gridCol w:w="1701"/>
        <w:gridCol w:w="3219"/>
        <w:gridCol w:w="3220"/>
      </w:tblGrid>
      <w:tr w:rsidR="002635AC" w:rsidRPr="00DC5CC2" w14:paraId="78687C40" w14:textId="77777777" w:rsidTr="00ED5BCF">
        <w:trPr>
          <w:trHeight w:val="691"/>
        </w:trPr>
        <w:tc>
          <w:tcPr>
            <w:tcW w:w="1701" w:type="dxa"/>
            <w:shd w:val="clear" w:color="auto" w:fill="013C4C" w:themeFill="text1"/>
            <w:noWrap/>
            <w:vAlign w:val="center"/>
          </w:tcPr>
          <w:p w14:paraId="00BC2438" w14:textId="6A079F62" w:rsidR="002635AC" w:rsidRPr="00F14453" w:rsidRDefault="00B75519" w:rsidP="00E2139C">
            <w:pPr>
              <w:spacing w:before="120" w:after="120"/>
              <w:jc w:val="center"/>
              <w:rPr>
                <w:color w:val="FAFAFA" w:themeColor="background1"/>
              </w:rPr>
            </w:pPr>
            <w:bookmarkStart w:id="54" w:name="Table_2"/>
            <w:r w:rsidRPr="00F14453">
              <w:rPr>
                <w:color w:val="FAFAFA" w:themeColor="background1"/>
              </w:rPr>
              <w:t>Action</w:t>
            </w:r>
          </w:p>
        </w:tc>
        <w:tc>
          <w:tcPr>
            <w:tcW w:w="3219" w:type="dxa"/>
            <w:shd w:val="clear" w:color="auto" w:fill="013C4C" w:themeFill="text1"/>
          </w:tcPr>
          <w:p w14:paraId="3EB9BA15" w14:textId="165F4149" w:rsidR="002635AC" w:rsidRPr="00870C1B" w:rsidRDefault="003943A4" w:rsidP="00E2139C">
            <w:pPr>
              <w:spacing w:before="120" w:after="120"/>
              <w:jc w:val="center"/>
            </w:pPr>
            <w:r w:rsidRPr="00870C1B">
              <w:t>Uncoordinated</w:t>
            </w:r>
            <w:r w:rsidR="00C7192E">
              <w:t xml:space="preserve"> Market</w:t>
            </w:r>
            <w:r w:rsidR="00FE1BD8">
              <w:t>/</w:t>
            </w:r>
            <w:r w:rsidRPr="00870C1B">
              <w:t xml:space="preserve">BPS Actions that </w:t>
            </w:r>
            <w:r w:rsidR="002635AC" w:rsidRPr="00870C1B">
              <w:t xml:space="preserve">Impact </w:t>
            </w:r>
            <w:r w:rsidR="00B678B9" w:rsidRPr="00870C1B">
              <w:t>Distribution System</w:t>
            </w:r>
            <w:r w:rsidR="00A06633" w:rsidRPr="00870C1B">
              <w:t xml:space="preserve"> or Require DSO intervention</w:t>
            </w:r>
          </w:p>
        </w:tc>
        <w:tc>
          <w:tcPr>
            <w:tcW w:w="3220" w:type="dxa"/>
            <w:shd w:val="clear" w:color="auto" w:fill="013C4C" w:themeFill="text1"/>
            <w:noWrap/>
          </w:tcPr>
          <w:p w14:paraId="4CC62D2B" w14:textId="1056D471" w:rsidR="002635AC" w:rsidRPr="00870C1B" w:rsidRDefault="003943A4" w:rsidP="00E2139C">
            <w:pPr>
              <w:spacing w:before="120" w:after="120"/>
              <w:jc w:val="center"/>
            </w:pPr>
            <w:r w:rsidRPr="00870C1B">
              <w:t>Uncoordinated DSO Actions that I</w:t>
            </w:r>
            <w:r w:rsidR="002635AC" w:rsidRPr="00870C1B">
              <w:t>mpact BPS</w:t>
            </w:r>
            <w:r w:rsidR="00A06633" w:rsidRPr="00870C1B">
              <w:t xml:space="preserve"> or Require </w:t>
            </w:r>
            <w:r w:rsidR="000B11FE" w:rsidRPr="00870C1B">
              <w:t>SO</w:t>
            </w:r>
            <w:r w:rsidR="00A06633" w:rsidRPr="00870C1B">
              <w:t xml:space="preserve"> intervention</w:t>
            </w:r>
          </w:p>
        </w:tc>
      </w:tr>
      <w:tr w:rsidR="002635AC" w:rsidRPr="00DC5CC2" w14:paraId="13B7A332" w14:textId="77777777" w:rsidTr="00ED5BCF">
        <w:trPr>
          <w:trHeight w:val="300"/>
        </w:trPr>
        <w:tc>
          <w:tcPr>
            <w:tcW w:w="1701" w:type="dxa"/>
            <w:shd w:val="clear" w:color="auto" w:fill="067296" w:themeFill="text2"/>
            <w:noWrap/>
            <w:vAlign w:val="center"/>
            <w:hideMark/>
          </w:tcPr>
          <w:p w14:paraId="42C0308D" w14:textId="0C959CC3" w:rsidR="002635AC" w:rsidRPr="00F14453" w:rsidRDefault="002635AC" w:rsidP="00E2139C">
            <w:pPr>
              <w:spacing w:before="120" w:after="120"/>
              <w:jc w:val="center"/>
              <w:rPr>
                <w:color w:val="FAFAFA" w:themeColor="background1"/>
                <w:lang w:eastAsia="en-AU" w:bidi="ar-SA"/>
              </w:rPr>
            </w:pPr>
            <w:r w:rsidRPr="00F14453">
              <w:rPr>
                <w:color w:val="FAFAFA" w:themeColor="background1"/>
              </w:rPr>
              <w:t xml:space="preserve">Uncoordinated DER </w:t>
            </w:r>
            <w:r w:rsidR="007F218A">
              <w:rPr>
                <w:color w:val="FAFAFA" w:themeColor="background1"/>
              </w:rPr>
              <w:t xml:space="preserve">Output, </w:t>
            </w:r>
            <w:r w:rsidRPr="00F14453">
              <w:rPr>
                <w:color w:val="FAFAFA" w:themeColor="background1"/>
              </w:rPr>
              <w:t>Dispatch</w:t>
            </w:r>
            <w:r w:rsidR="000B7F2D" w:rsidRPr="00F14453">
              <w:rPr>
                <w:color w:val="FAFAFA" w:themeColor="background1"/>
              </w:rPr>
              <w:t xml:space="preserve"> or </w:t>
            </w:r>
            <w:r w:rsidR="00E4383F" w:rsidRPr="00F14453">
              <w:rPr>
                <w:color w:val="FAFAFA" w:themeColor="background1"/>
              </w:rPr>
              <w:t>Curtailment</w:t>
            </w:r>
          </w:p>
        </w:tc>
        <w:tc>
          <w:tcPr>
            <w:tcW w:w="3219" w:type="dxa"/>
          </w:tcPr>
          <w:p w14:paraId="48939C6B" w14:textId="6F04FDF8" w:rsidR="002635AC" w:rsidRPr="00870C1B" w:rsidRDefault="0006321B" w:rsidP="00E2139C">
            <w:pPr>
              <w:spacing w:before="120" w:after="120"/>
              <w:rPr>
                <w:lang w:val="en-GB"/>
              </w:rPr>
            </w:pPr>
            <w:r>
              <w:t xml:space="preserve">Market dispatch of </w:t>
            </w:r>
            <w:r w:rsidR="00FE1BD8">
              <w:t>aggregations</w:t>
            </w:r>
            <w:r w:rsidR="002635AC" w:rsidRPr="00870C1B">
              <w:t xml:space="preserve"> or curtail</w:t>
            </w:r>
            <w:r w:rsidR="00C61D4C">
              <w:t>ment of</w:t>
            </w:r>
            <w:r w:rsidR="002635AC" w:rsidRPr="00870C1B">
              <w:t xml:space="preserve"> DER without considering </w:t>
            </w:r>
            <w:r w:rsidR="00A77921">
              <w:t>limits in the distribution operating zone</w:t>
            </w:r>
            <w:r w:rsidR="000C5886">
              <w:t>, causing,</w:t>
            </w:r>
            <w:r w:rsidR="00A77921">
              <w:t xml:space="preserve"> e.g.</w:t>
            </w:r>
            <w:r w:rsidR="002635AC" w:rsidRPr="00870C1B">
              <w:t xml:space="preserve"> voltage fluctuations, tripping of protection devices, </w:t>
            </w:r>
            <w:r w:rsidR="00E4383F">
              <w:t>or</w:t>
            </w:r>
            <w:r w:rsidR="002635AC" w:rsidRPr="00870C1B">
              <w:t xml:space="preserve"> damage to network assets.</w:t>
            </w:r>
          </w:p>
        </w:tc>
        <w:tc>
          <w:tcPr>
            <w:tcW w:w="3220" w:type="dxa"/>
            <w:noWrap/>
            <w:hideMark/>
          </w:tcPr>
          <w:p w14:paraId="6213575B" w14:textId="640A1AD5" w:rsidR="002635AC" w:rsidRPr="00870C1B" w:rsidRDefault="002635AC" w:rsidP="00E2139C">
            <w:pPr>
              <w:spacing w:before="120" w:after="120"/>
              <w:rPr>
                <w:lang w:eastAsia="en-AU" w:bidi="ar-SA"/>
              </w:rPr>
            </w:pPr>
            <w:r w:rsidRPr="00870C1B">
              <w:t xml:space="preserve">DSO </w:t>
            </w:r>
            <w:r w:rsidR="003E30EA">
              <w:t xml:space="preserve">permits </w:t>
            </w:r>
            <w:r w:rsidR="004A0A98">
              <w:t>aggregate</w:t>
            </w:r>
            <w:r w:rsidR="002A4782">
              <w:t xml:space="preserve"> </w:t>
            </w:r>
            <w:r w:rsidRPr="00870C1B">
              <w:t>DER injection</w:t>
            </w:r>
            <w:r w:rsidR="004A0A98">
              <w:t xml:space="preserve">s </w:t>
            </w:r>
            <w:r w:rsidR="002A4782">
              <w:t>within their operating zone, exceeding secure levels at the BPS level</w:t>
            </w:r>
            <w:r w:rsidR="000C5886">
              <w:t>,</w:t>
            </w:r>
            <w:r w:rsidRPr="00870C1B">
              <w:t xml:space="preserve"> leading to</w:t>
            </w:r>
            <w:r w:rsidR="002A4782">
              <w:t xml:space="preserve"> e.g.</w:t>
            </w:r>
            <w:r w:rsidRPr="00870C1B">
              <w:t xml:space="preserve"> insufficient </w:t>
            </w:r>
            <w:r w:rsidR="00DB5518">
              <w:t>loading for synchronous generating units required for stability,</w:t>
            </w:r>
            <w:r w:rsidR="005C342A">
              <w:t xml:space="preserve"> </w:t>
            </w:r>
            <w:r w:rsidR="00B13639">
              <w:t>ramping/</w:t>
            </w:r>
            <w:r w:rsidR="00590C9A">
              <w:t xml:space="preserve">volatility </w:t>
            </w:r>
            <w:r w:rsidR="00B13639">
              <w:t xml:space="preserve">unable to be managed in the </w:t>
            </w:r>
            <w:r w:rsidRPr="00870C1B">
              <w:t>supply</w:t>
            </w:r>
            <w:r w:rsidR="00B13639">
              <w:t>-</w:t>
            </w:r>
            <w:r w:rsidRPr="00870C1B">
              <w:t>demand imbalance.</w:t>
            </w:r>
          </w:p>
        </w:tc>
      </w:tr>
      <w:tr w:rsidR="00AE45A3" w:rsidRPr="00DC5CC2" w14:paraId="04F68607" w14:textId="77777777" w:rsidTr="00ED5BCF">
        <w:trPr>
          <w:trHeight w:val="300"/>
        </w:trPr>
        <w:tc>
          <w:tcPr>
            <w:tcW w:w="1701" w:type="dxa"/>
            <w:shd w:val="clear" w:color="auto" w:fill="067296" w:themeFill="text2"/>
            <w:noWrap/>
            <w:vAlign w:val="center"/>
          </w:tcPr>
          <w:p w14:paraId="540F82D1" w14:textId="28DBFFF9" w:rsidR="00AE45A3" w:rsidRPr="00AE45A3" w:rsidRDefault="00AE45A3" w:rsidP="00E2139C">
            <w:pPr>
              <w:spacing w:before="120" w:after="120"/>
              <w:jc w:val="center"/>
              <w:rPr>
                <w:color w:val="FAFAFA" w:themeColor="background1"/>
              </w:rPr>
            </w:pPr>
            <w:r w:rsidRPr="00A64B77">
              <w:rPr>
                <w:color w:val="FAFAFA" w:themeColor="background1"/>
              </w:rPr>
              <w:t>Inaccurate Load and Generation Forecasting</w:t>
            </w:r>
          </w:p>
        </w:tc>
        <w:tc>
          <w:tcPr>
            <w:tcW w:w="3219" w:type="dxa"/>
          </w:tcPr>
          <w:p w14:paraId="721A7B91" w14:textId="1AF7C608" w:rsidR="00AE45A3" w:rsidRDefault="00AE45A3" w:rsidP="00E2139C">
            <w:pPr>
              <w:spacing w:before="120" w:after="120"/>
            </w:pPr>
            <w:r w:rsidRPr="00870C1B">
              <w:t>BPS forecasting do</w:t>
            </w:r>
            <w:r>
              <w:t xml:space="preserve">es not appropriately account for </w:t>
            </w:r>
            <w:r w:rsidRPr="00870C1B">
              <w:t xml:space="preserve">CER/DER variability, leading to </w:t>
            </w:r>
            <w:r>
              <w:t xml:space="preserve">forecasting errors impacting </w:t>
            </w:r>
            <w:r w:rsidRPr="00870C1B">
              <w:t>scheduling and dispatch</w:t>
            </w:r>
            <w:r>
              <w:t>, requiring additional active power reserves to manage.</w:t>
            </w:r>
          </w:p>
        </w:tc>
        <w:tc>
          <w:tcPr>
            <w:tcW w:w="3220" w:type="dxa"/>
            <w:noWrap/>
          </w:tcPr>
          <w:p w14:paraId="7D035C3D" w14:textId="2E74DAD4" w:rsidR="00AE45A3" w:rsidRPr="00870C1B" w:rsidRDefault="00AE45A3" w:rsidP="00E2139C">
            <w:pPr>
              <w:spacing w:before="120" w:after="120"/>
            </w:pPr>
            <w:r>
              <w:t>DSO activities impacting net load at the T-D interface which the Market/BPS is unaware of or unable to take into account, including active management of DER and load control</w:t>
            </w:r>
            <w:r w:rsidRPr="00870C1B">
              <w:t>.</w:t>
            </w:r>
          </w:p>
        </w:tc>
      </w:tr>
      <w:tr w:rsidR="00AE45A3" w:rsidRPr="00DC5CC2" w14:paraId="42FD6CD8" w14:textId="77777777" w:rsidTr="00ED5BCF">
        <w:trPr>
          <w:trHeight w:val="300"/>
        </w:trPr>
        <w:tc>
          <w:tcPr>
            <w:tcW w:w="1701" w:type="dxa"/>
            <w:shd w:val="clear" w:color="auto" w:fill="067296" w:themeFill="text2"/>
            <w:noWrap/>
            <w:vAlign w:val="center"/>
          </w:tcPr>
          <w:p w14:paraId="17A230AF" w14:textId="53FBBA27" w:rsidR="00AE45A3" w:rsidRPr="00AE45A3" w:rsidRDefault="00AE45A3" w:rsidP="00E2139C">
            <w:pPr>
              <w:spacing w:before="120" w:after="120"/>
              <w:jc w:val="center"/>
              <w:rPr>
                <w:color w:val="FAFAFA" w:themeColor="background1"/>
              </w:rPr>
            </w:pPr>
            <w:r w:rsidRPr="00A64B77">
              <w:rPr>
                <w:color w:val="FAFAFA" w:themeColor="background1"/>
              </w:rPr>
              <w:t xml:space="preserve">Conflicting </w:t>
            </w:r>
            <w:r>
              <w:rPr>
                <w:color w:val="FAFAFA" w:themeColor="background1"/>
              </w:rPr>
              <w:t>Grid Support and Stability Management</w:t>
            </w:r>
            <w:r w:rsidRPr="00A64B77">
              <w:rPr>
                <w:color w:val="FAFAFA" w:themeColor="background1"/>
              </w:rPr>
              <w:t xml:space="preserve"> Actions</w:t>
            </w:r>
          </w:p>
        </w:tc>
        <w:tc>
          <w:tcPr>
            <w:tcW w:w="3219" w:type="dxa"/>
          </w:tcPr>
          <w:p w14:paraId="443278A0" w14:textId="7B213A6A" w:rsidR="00AE45A3" w:rsidRDefault="00AE45A3" w:rsidP="00E2139C">
            <w:pPr>
              <w:spacing w:before="120" w:after="120"/>
            </w:pPr>
            <w:r>
              <w:t>CER providing frequency support for the BPS results in local active power injection/withdrawal resulting in adverse impacts in the distribution network, e.g. customer voltage violations or interference with distribution feeder overcurrent relays, resulting in increased vulnerability to arcing high impedance faults.</w:t>
            </w:r>
          </w:p>
        </w:tc>
        <w:tc>
          <w:tcPr>
            <w:tcW w:w="3220" w:type="dxa"/>
            <w:noWrap/>
          </w:tcPr>
          <w:p w14:paraId="5F4A5DCD" w14:textId="44CAE2F4" w:rsidR="00AE45A3" w:rsidRPr="00870C1B" w:rsidRDefault="00AE45A3" w:rsidP="00E2139C">
            <w:pPr>
              <w:spacing w:before="120" w:after="120"/>
            </w:pPr>
            <w:r w:rsidRPr="00870C1B">
              <w:t xml:space="preserve">DSOs implement voltage regulation </w:t>
            </w:r>
            <w:r>
              <w:t xml:space="preserve">actions </w:t>
            </w:r>
            <w:r w:rsidRPr="00870C1B">
              <w:t>conflict with BPS-level reactive power management, causing instability.</w:t>
            </w:r>
            <w:r>
              <w:t xml:space="preserve"> DSOs deactivate sets of CERs due to local real time circuit conditions on short time scales, thus removing them from anticipated (BPS forecasted) availability.</w:t>
            </w:r>
          </w:p>
        </w:tc>
      </w:tr>
      <w:tr w:rsidR="00AE45A3" w:rsidRPr="00DC5CC2" w14:paraId="1697D26E" w14:textId="77777777" w:rsidTr="00ED5BCF">
        <w:trPr>
          <w:trHeight w:val="300"/>
        </w:trPr>
        <w:tc>
          <w:tcPr>
            <w:tcW w:w="1701" w:type="dxa"/>
            <w:shd w:val="clear" w:color="auto" w:fill="067296" w:themeFill="text2"/>
            <w:noWrap/>
            <w:vAlign w:val="center"/>
          </w:tcPr>
          <w:p w14:paraId="58C87787" w14:textId="6ACDC6B9" w:rsidR="00AE45A3" w:rsidRPr="00AE45A3" w:rsidRDefault="00AE45A3" w:rsidP="00E2139C">
            <w:pPr>
              <w:spacing w:before="120" w:after="120"/>
              <w:jc w:val="center"/>
              <w:rPr>
                <w:color w:val="FAFAFA" w:themeColor="background1"/>
              </w:rPr>
            </w:pPr>
            <w:r w:rsidRPr="00A64B77">
              <w:rPr>
                <w:color w:val="FAFAFA" w:themeColor="background1"/>
              </w:rPr>
              <w:t>Inefficient Congestion Management</w:t>
            </w:r>
          </w:p>
        </w:tc>
        <w:tc>
          <w:tcPr>
            <w:tcW w:w="3219" w:type="dxa"/>
          </w:tcPr>
          <w:p w14:paraId="1D9E6BE8" w14:textId="3A78C56D" w:rsidR="00AE45A3" w:rsidRDefault="00AE45A3" w:rsidP="00E2139C">
            <w:pPr>
              <w:spacing w:before="120" w:after="120"/>
            </w:pPr>
            <w:r>
              <w:t xml:space="preserve">Insufficient VRE curtailment at the Market/BPS level causes excessive CER curtailment at the distribution level. Over planning timeframes, overinvestment in network capacity, de-valuing contributions from CER/DER. </w:t>
            </w:r>
          </w:p>
        </w:tc>
        <w:tc>
          <w:tcPr>
            <w:tcW w:w="3220" w:type="dxa"/>
            <w:noWrap/>
          </w:tcPr>
          <w:p w14:paraId="619E7267" w14:textId="463AC6E1" w:rsidR="00AE45A3" w:rsidRPr="00870C1B" w:rsidRDefault="00AE45A3" w:rsidP="00E2139C">
            <w:pPr>
              <w:spacing w:before="120" w:after="120"/>
            </w:pPr>
            <w:r w:rsidRPr="00870C1B">
              <w:t xml:space="preserve">DSO unprepared and unable to offset oversupply of DPV with FTM storage headroom when BPS </w:t>
            </w:r>
            <w:r>
              <w:t xml:space="preserve">is </w:t>
            </w:r>
            <w:r w:rsidRPr="00870C1B">
              <w:t>under minimum load conditions</w:t>
            </w:r>
            <w:r>
              <w:t>. Over planning timeframes, DSO underinvests in capability leading to unnecessary investment in HV transmission infrastructure.</w:t>
            </w:r>
          </w:p>
        </w:tc>
      </w:tr>
      <w:bookmarkEnd w:id="54"/>
    </w:tbl>
    <w:p w14:paraId="3BB23E5F" w14:textId="77777777" w:rsidR="00E2139C" w:rsidRDefault="00E2139C">
      <w:r>
        <w:br w:type="page"/>
      </w:r>
    </w:p>
    <w:tbl>
      <w:tblPr>
        <w:tblStyle w:val="TableGrid"/>
        <w:tblW w:w="8140" w:type="dxa"/>
        <w:tblInd w:w="-5" w:type="dxa"/>
        <w:tblLook w:val="04A0" w:firstRow="1" w:lastRow="0" w:firstColumn="1" w:lastColumn="0" w:noHBand="0" w:noVBand="1"/>
      </w:tblPr>
      <w:tblGrid>
        <w:gridCol w:w="1701"/>
        <w:gridCol w:w="3219"/>
        <w:gridCol w:w="3220"/>
      </w:tblGrid>
      <w:tr w:rsidR="00AE45A3" w:rsidRPr="00DC5CC2" w14:paraId="007DEA6D" w14:textId="77777777" w:rsidTr="00ED5BCF">
        <w:trPr>
          <w:trHeight w:val="300"/>
        </w:trPr>
        <w:tc>
          <w:tcPr>
            <w:tcW w:w="1701" w:type="dxa"/>
            <w:shd w:val="clear" w:color="auto" w:fill="067296" w:themeFill="text2"/>
            <w:noWrap/>
            <w:vAlign w:val="center"/>
          </w:tcPr>
          <w:p w14:paraId="268C424F" w14:textId="3BAECB18" w:rsidR="00AE45A3" w:rsidRPr="00AE45A3" w:rsidRDefault="00AE45A3" w:rsidP="00E2139C">
            <w:pPr>
              <w:spacing w:before="120" w:after="120"/>
              <w:jc w:val="center"/>
              <w:rPr>
                <w:color w:val="FAFAFA" w:themeColor="background1"/>
              </w:rPr>
            </w:pPr>
            <w:r w:rsidRPr="00A64B77">
              <w:rPr>
                <w:color w:val="FAFAFA" w:themeColor="background1"/>
              </w:rPr>
              <w:lastRenderedPageBreak/>
              <w:t xml:space="preserve">Uncoordinated Network Switching and </w:t>
            </w:r>
            <w:r>
              <w:rPr>
                <w:color w:val="FAFAFA" w:themeColor="background1"/>
              </w:rPr>
              <w:t>Topology Changes</w:t>
            </w:r>
          </w:p>
        </w:tc>
        <w:tc>
          <w:tcPr>
            <w:tcW w:w="3219" w:type="dxa"/>
          </w:tcPr>
          <w:p w14:paraId="6DD88BAA" w14:textId="293FE769" w:rsidR="00AE45A3" w:rsidRDefault="00AE45A3" w:rsidP="00E2139C">
            <w:pPr>
              <w:spacing w:before="120" w:after="120"/>
            </w:pPr>
            <w:r>
              <w:t xml:space="preserve">BPS/TNSP changes electrical settings at T-D interconnection points at </w:t>
            </w:r>
            <w:r w:rsidRPr="008B01BD">
              <w:t xml:space="preserve">short notice (for load balancing/congestion management or fault management), changing the relationships of CER/DER to the grid, and changing conditions that the </w:t>
            </w:r>
            <w:r>
              <w:t>DSO</w:t>
            </w:r>
            <w:r w:rsidRPr="008B01BD">
              <w:t xml:space="preserve"> has used or is using.</w:t>
            </w:r>
          </w:p>
        </w:tc>
        <w:tc>
          <w:tcPr>
            <w:tcW w:w="3220" w:type="dxa"/>
            <w:noWrap/>
          </w:tcPr>
          <w:p w14:paraId="2772F717" w14:textId="139D6F3B" w:rsidR="00AE45A3" w:rsidRPr="00870C1B" w:rsidRDefault="00AE45A3" w:rsidP="00E2139C">
            <w:pPr>
              <w:spacing w:before="120" w:after="120"/>
            </w:pPr>
            <w:r w:rsidRPr="00033225">
              <w:t>D</w:t>
            </w:r>
            <w:r>
              <w:t>SO/D</w:t>
            </w:r>
            <w:r w:rsidRPr="00033225">
              <w:t>NSP switch</w:t>
            </w:r>
            <w:r>
              <w:t>es</w:t>
            </w:r>
            <w:r w:rsidRPr="00033225">
              <w:t xml:space="preserve"> circuit sections on short notice (for load balancing/congestion management or fault management), changing the relationships of CER</w:t>
            </w:r>
            <w:r>
              <w:t>/DER</w:t>
            </w:r>
            <w:r w:rsidRPr="00033225">
              <w:t xml:space="preserve"> to the grid, and changing conditions that the </w:t>
            </w:r>
            <w:r>
              <w:t>BPS has</w:t>
            </w:r>
            <w:r w:rsidRPr="00033225">
              <w:t xml:space="preserve"> used or is using.</w:t>
            </w:r>
          </w:p>
        </w:tc>
      </w:tr>
      <w:tr w:rsidR="00AE45A3" w:rsidRPr="00DC5CC2" w14:paraId="0FB1FDD7" w14:textId="77777777" w:rsidTr="00ED5BCF">
        <w:trPr>
          <w:trHeight w:val="300"/>
        </w:trPr>
        <w:tc>
          <w:tcPr>
            <w:tcW w:w="1701" w:type="dxa"/>
            <w:shd w:val="clear" w:color="auto" w:fill="067296" w:themeFill="text2"/>
            <w:noWrap/>
            <w:vAlign w:val="center"/>
          </w:tcPr>
          <w:p w14:paraId="47CEFE05" w14:textId="19C0D3DF" w:rsidR="00AE45A3" w:rsidRPr="00AE45A3" w:rsidRDefault="00AE45A3" w:rsidP="00E2139C">
            <w:pPr>
              <w:spacing w:before="120" w:after="120"/>
              <w:jc w:val="center"/>
              <w:rPr>
                <w:color w:val="FAFAFA" w:themeColor="background1"/>
              </w:rPr>
            </w:pPr>
            <w:r w:rsidRPr="00A64B77">
              <w:rPr>
                <w:color w:val="FAFAFA" w:themeColor="background1"/>
              </w:rPr>
              <w:t xml:space="preserve">Uncoordinated Emergency </w:t>
            </w:r>
            <w:r>
              <w:rPr>
                <w:color w:val="FAFAFA" w:themeColor="background1"/>
              </w:rPr>
              <w:t>Actions or Constraints</w:t>
            </w:r>
          </w:p>
        </w:tc>
        <w:tc>
          <w:tcPr>
            <w:tcW w:w="3219" w:type="dxa"/>
          </w:tcPr>
          <w:p w14:paraId="6AF3DA2F" w14:textId="158CD6A6" w:rsidR="00AE45A3" w:rsidRDefault="00AE45A3" w:rsidP="00E2139C">
            <w:pPr>
              <w:spacing w:before="120" w:after="120"/>
            </w:pPr>
            <w:r w:rsidRPr="00870C1B">
              <w:t>BPS dispatches aggregator CER/DER on recently degraded, islanded, or faulty network segment.</w:t>
            </w:r>
          </w:p>
        </w:tc>
        <w:tc>
          <w:tcPr>
            <w:tcW w:w="3220" w:type="dxa"/>
            <w:noWrap/>
          </w:tcPr>
          <w:p w14:paraId="28062B25" w14:textId="57136077" w:rsidR="00AE45A3" w:rsidRPr="00870C1B" w:rsidRDefault="00AE45A3" w:rsidP="00E2139C">
            <w:pPr>
              <w:spacing w:before="120" w:after="120"/>
            </w:pPr>
            <w:r w:rsidRPr="00870C1B">
              <w:t xml:space="preserve">DSO </w:t>
            </w:r>
            <w:r>
              <w:t xml:space="preserve">switches or </w:t>
            </w:r>
            <w:r w:rsidRPr="00870C1B">
              <w:t>applies constrain</w:t>
            </w:r>
            <w:r>
              <w:t>ts</w:t>
            </w:r>
            <w:r w:rsidRPr="00870C1B">
              <w:t xml:space="preserve"> </w:t>
            </w:r>
            <w:r>
              <w:t>on DER</w:t>
            </w:r>
            <w:r w:rsidRPr="00870C1B">
              <w:t xml:space="preserve"> </w:t>
            </w:r>
            <w:r>
              <w:t xml:space="preserve">to </w:t>
            </w:r>
            <w:r w:rsidRPr="00870C1B">
              <w:t>connections providing FCAS services to the BPS</w:t>
            </w:r>
            <w:r>
              <w:t>.</w:t>
            </w:r>
            <w:r w:rsidRPr="00870C1B">
              <w:t xml:space="preserve"> </w:t>
            </w:r>
          </w:p>
        </w:tc>
      </w:tr>
      <w:tr w:rsidR="0099671B" w:rsidRPr="00DC5CC2" w14:paraId="25358D9B" w14:textId="77777777" w:rsidTr="00ED5BCF">
        <w:trPr>
          <w:trHeight w:val="300"/>
        </w:trPr>
        <w:tc>
          <w:tcPr>
            <w:tcW w:w="1701" w:type="dxa"/>
            <w:shd w:val="clear" w:color="auto" w:fill="067296" w:themeFill="text2"/>
            <w:noWrap/>
            <w:vAlign w:val="center"/>
          </w:tcPr>
          <w:p w14:paraId="276C6C50" w14:textId="60BB2F66" w:rsidR="0099671B" w:rsidRPr="00A64B77" w:rsidRDefault="0099671B" w:rsidP="00E2139C">
            <w:pPr>
              <w:spacing w:before="120" w:after="120"/>
              <w:jc w:val="center"/>
              <w:rPr>
                <w:color w:val="FAFAFA" w:themeColor="background1"/>
              </w:rPr>
            </w:pPr>
            <w:r>
              <w:rPr>
                <w:color w:val="FAFAFA" w:themeColor="background1"/>
              </w:rPr>
              <w:t xml:space="preserve">Conflicting or Mismatched Price Signals </w:t>
            </w:r>
          </w:p>
        </w:tc>
        <w:tc>
          <w:tcPr>
            <w:tcW w:w="3219" w:type="dxa"/>
          </w:tcPr>
          <w:p w14:paraId="0583F323" w14:textId="081658E4" w:rsidR="0099671B" w:rsidRPr="00870C1B" w:rsidRDefault="0099671B" w:rsidP="00E2139C">
            <w:pPr>
              <w:spacing w:before="120" w:after="120"/>
            </w:pPr>
            <w:r w:rsidRPr="00870C1B">
              <w:t xml:space="preserve">Dynamic BPS market prices </w:t>
            </w:r>
            <w:r>
              <w:t xml:space="preserve">consistently </w:t>
            </w:r>
            <w:r w:rsidRPr="00870C1B">
              <w:t xml:space="preserve">exceed compensation for local network services, </w:t>
            </w:r>
            <w:r>
              <w:t>prompting customer agents to</w:t>
            </w:r>
            <w:r w:rsidRPr="00870C1B">
              <w:t xml:space="preserve"> </w:t>
            </w:r>
            <w:r>
              <w:t>only participate in the wholesale market.</w:t>
            </w:r>
          </w:p>
        </w:tc>
        <w:tc>
          <w:tcPr>
            <w:tcW w:w="3220" w:type="dxa"/>
            <w:noWrap/>
          </w:tcPr>
          <w:p w14:paraId="3213306D" w14:textId="5C5CC777" w:rsidR="0099671B" w:rsidRPr="00870C1B" w:rsidRDefault="0099671B" w:rsidP="00E2139C">
            <w:pPr>
              <w:spacing w:before="120" w:after="120"/>
            </w:pPr>
            <w:r w:rsidRPr="00870C1B">
              <w:t xml:space="preserve">DSOs </w:t>
            </w:r>
            <w:r>
              <w:t xml:space="preserve">flexibly contract </w:t>
            </w:r>
            <w:r w:rsidRPr="00870C1B">
              <w:t xml:space="preserve">CER/DER participation in local </w:t>
            </w:r>
            <w:r>
              <w:t>network services</w:t>
            </w:r>
            <w:r w:rsidRPr="00870C1B">
              <w:t xml:space="preserve"> markets without </w:t>
            </w:r>
            <w:r>
              <w:t xml:space="preserve">temporal </w:t>
            </w:r>
            <w:r w:rsidRPr="00870C1B">
              <w:t>alignment to wholesale market</w:t>
            </w:r>
            <w:r>
              <w:t>, leading customer agents to switch markets on an intra-day basis, which causes instability</w:t>
            </w:r>
            <w:r w:rsidRPr="00870C1B">
              <w:t>.</w:t>
            </w:r>
          </w:p>
        </w:tc>
      </w:tr>
      <w:tr w:rsidR="0099671B" w:rsidRPr="00DC5CC2" w14:paraId="0B2AA5C8" w14:textId="77777777" w:rsidTr="00ED5BCF">
        <w:trPr>
          <w:trHeight w:val="300"/>
        </w:trPr>
        <w:tc>
          <w:tcPr>
            <w:tcW w:w="1701" w:type="dxa"/>
            <w:shd w:val="clear" w:color="auto" w:fill="067296" w:themeFill="text2"/>
            <w:noWrap/>
            <w:vAlign w:val="center"/>
          </w:tcPr>
          <w:p w14:paraId="23CE8AAD" w14:textId="6E5D199D" w:rsidR="0099671B" w:rsidRPr="00A64B77" w:rsidRDefault="0099671B" w:rsidP="00E2139C">
            <w:pPr>
              <w:spacing w:before="120" w:after="120"/>
              <w:jc w:val="center"/>
              <w:rPr>
                <w:color w:val="FAFAFA" w:themeColor="background1"/>
              </w:rPr>
            </w:pPr>
            <w:r w:rsidRPr="00A64B77">
              <w:rPr>
                <w:color w:val="FAFAFA" w:themeColor="background1"/>
              </w:rPr>
              <w:t>Fairness not Observed</w:t>
            </w:r>
          </w:p>
        </w:tc>
        <w:tc>
          <w:tcPr>
            <w:tcW w:w="3219" w:type="dxa"/>
          </w:tcPr>
          <w:p w14:paraId="45AAE158" w14:textId="04AC7FC5" w:rsidR="0099671B" w:rsidRPr="00870C1B" w:rsidRDefault="0099671B" w:rsidP="00E2139C">
            <w:pPr>
              <w:spacing w:before="120" w:after="120"/>
            </w:pPr>
            <w:r>
              <w:t>BPS augments/upgrades capacity such that a single DSO has an unfair competitive advantage over other DSOs. DSO administered distribution-connected assets are excluded from providing certain services by BPS.</w:t>
            </w:r>
          </w:p>
        </w:tc>
        <w:tc>
          <w:tcPr>
            <w:tcW w:w="3220" w:type="dxa"/>
            <w:noWrap/>
          </w:tcPr>
          <w:p w14:paraId="4793C648" w14:textId="68AE530C" w:rsidR="0099671B" w:rsidRPr="00870C1B" w:rsidRDefault="0099671B" w:rsidP="00E2139C">
            <w:pPr>
              <w:spacing w:before="120" w:after="120"/>
            </w:pPr>
            <w:r>
              <w:t xml:space="preserve">DSO administered distribution-connected assets displace BPS plant that is contracted at a minimum level of service provision. </w:t>
            </w:r>
          </w:p>
        </w:tc>
      </w:tr>
      <w:tr w:rsidR="0099671B" w:rsidRPr="00DC5CC2" w14:paraId="2E440DDC" w14:textId="77777777" w:rsidTr="00ED5BCF">
        <w:trPr>
          <w:trHeight w:val="300"/>
        </w:trPr>
        <w:tc>
          <w:tcPr>
            <w:tcW w:w="1701" w:type="dxa"/>
            <w:shd w:val="clear" w:color="auto" w:fill="067296" w:themeFill="text2"/>
            <w:noWrap/>
            <w:vAlign w:val="center"/>
          </w:tcPr>
          <w:p w14:paraId="4E5FACF3" w14:textId="02B4F331" w:rsidR="0099671B" w:rsidRPr="00A64B77" w:rsidRDefault="0099671B" w:rsidP="00E2139C">
            <w:pPr>
              <w:spacing w:before="120" w:after="120"/>
              <w:jc w:val="center"/>
              <w:rPr>
                <w:color w:val="FAFAFA" w:themeColor="background1"/>
              </w:rPr>
            </w:pPr>
            <w:r w:rsidRPr="00A64B77">
              <w:rPr>
                <w:color w:val="FAFAFA" w:themeColor="background1"/>
              </w:rPr>
              <w:t>Cybersecurity</w:t>
            </w:r>
          </w:p>
        </w:tc>
        <w:tc>
          <w:tcPr>
            <w:tcW w:w="3219" w:type="dxa"/>
          </w:tcPr>
          <w:p w14:paraId="477AD253" w14:textId="72E24DA1" w:rsidR="0099671B" w:rsidRPr="00870C1B" w:rsidRDefault="0099671B" w:rsidP="00E2139C">
            <w:pPr>
              <w:spacing w:before="120" w:after="120"/>
            </w:pPr>
            <w:r w:rsidRPr="00870C1B">
              <w:t>BPS suspect</w:t>
            </w:r>
            <w:r>
              <w:t>s</w:t>
            </w:r>
            <w:r w:rsidRPr="00870C1B">
              <w:t xml:space="preserve"> cyber-compromised systems and deactivate</w:t>
            </w:r>
            <w:r>
              <w:t>s</w:t>
            </w:r>
            <w:r w:rsidRPr="00870C1B">
              <w:t xml:space="preserve"> </w:t>
            </w:r>
            <w:r>
              <w:t>large population of distribution-connected resources</w:t>
            </w:r>
            <w:r w:rsidRPr="00870C1B">
              <w:t>, causing instability on distribution networks</w:t>
            </w:r>
            <w:r>
              <w:t>.</w:t>
            </w:r>
          </w:p>
        </w:tc>
        <w:tc>
          <w:tcPr>
            <w:tcW w:w="3220" w:type="dxa"/>
            <w:noWrap/>
          </w:tcPr>
          <w:p w14:paraId="4DE39125" w14:textId="6EC9077C" w:rsidR="0099671B" w:rsidRPr="00870C1B" w:rsidRDefault="0099671B" w:rsidP="00E2139C">
            <w:pPr>
              <w:spacing w:before="120" w:after="120"/>
            </w:pPr>
            <w:r w:rsidRPr="00870C1B">
              <w:t>DSO disconnects large population of cyber-compromised OEM systems at short notice causing supply/demand imbalances at BPS</w:t>
            </w:r>
            <w:r>
              <w:t>. Similarly, the DSO’s IT environment may also be cyber-compromised.</w:t>
            </w:r>
          </w:p>
        </w:tc>
      </w:tr>
    </w:tbl>
    <w:p w14:paraId="03CEBD16" w14:textId="0D985816" w:rsidR="00E23775" w:rsidRPr="00F14453" w:rsidRDefault="00E23775" w:rsidP="00F14453">
      <w:pPr>
        <w:spacing w:before="0" w:after="0"/>
        <w:rPr>
          <w:sz w:val="4"/>
          <w:szCs w:val="12"/>
        </w:rPr>
      </w:pPr>
    </w:p>
    <w:p w14:paraId="606DA063" w14:textId="0F2DDA3F" w:rsidR="00E23775" w:rsidRPr="00F14453" w:rsidRDefault="00E23775" w:rsidP="00F14453">
      <w:pPr>
        <w:spacing w:before="0" w:after="0"/>
        <w:rPr>
          <w:sz w:val="4"/>
          <w:szCs w:val="12"/>
        </w:rPr>
      </w:pPr>
    </w:p>
    <w:p w14:paraId="69BC3C80" w14:textId="78944889" w:rsidR="002F5619" w:rsidRPr="0050162C" w:rsidRDefault="00DA563C" w:rsidP="0050162C">
      <w:pPr>
        <w:spacing w:before="180" w:after="120" w:line="288" w:lineRule="auto"/>
        <w:rPr>
          <w:rFonts w:cs="Calibri"/>
          <w:szCs w:val="18"/>
        </w:rPr>
      </w:pPr>
      <w:r w:rsidRPr="0050162C">
        <w:rPr>
          <w:rFonts w:cs="Calibri"/>
          <w:szCs w:val="18"/>
        </w:rPr>
        <w:t xml:space="preserve">In contrast to historical norms, these challenges cannot be addressed by individual actors applying solutions within the boundaries of their </w:t>
      </w:r>
      <w:r w:rsidR="00BA7CB4">
        <w:rPr>
          <w:rFonts w:cs="Calibri"/>
          <w:szCs w:val="18"/>
        </w:rPr>
        <w:t xml:space="preserve">existing </w:t>
      </w:r>
      <w:r w:rsidRPr="0050162C">
        <w:rPr>
          <w:rFonts w:cs="Calibri"/>
          <w:szCs w:val="18"/>
        </w:rPr>
        <w:t xml:space="preserve">operational responsibilities. They must be addressed together and therefore new mechanisms for operational coordination across the transmission-distribution divide are critical. </w:t>
      </w:r>
    </w:p>
    <w:p w14:paraId="788854E2" w14:textId="4D3F9C98" w:rsidR="00751E08" w:rsidRDefault="00751E08" w:rsidP="00564074">
      <w:pPr>
        <w:pStyle w:val="Heading2"/>
        <w:spacing w:before="240"/>
        <w:ind w:left="578" w:hanging="578"/>
      </w:pPr>
      <w:bookmarkStart w:id="55" w:name="_Toc205532843"/>
      <w:bookmarkStart w:id="56" w:name="_Toc191547150"/>
      <w:r w:rsidRPr="00751E08">
        <w:lastRenderedPageBreak/>
        <w:t xml:space="preserve">Strategic objectives for </w:t>
      </w:r>
      <w:r>
        <w:t>T-D Coordination</w:t>
      </w:r>
      <w:bookmarkEnd w:id="55"/>
      <w:r w:rsidRPr="00751E08">
        <w:t xml:space="preserve"> </w:t>
      </w:r>
      <w:bookmarkEnd w:id="56"/>
    </w:p>
    <w:p w14:paraId="24CC9687" w14:textId="6198D7B0" w:rsidR="00B33D3E" w:rsidRDefault="00B33D3E" w:rsidP="00B33D3E">
      <w:pPr>
        <w:spacing w:before="180" w:after="120" w:line="288" w:lineRule="auto"/>
        <w:rPr>
          <w:rFonts w:cs="Calibri"/>
          <w:szCs w:val="18"/>
        </w:rPr>
        <w:sectPr w:rsidR="00B33D3E" w:rsidSect="00B33D3E">
          <w:pgSz w:w="11906" w:h="16838"/>
          <w:pgMar w:top="2552" w:right="1134" w:bottom="851" w:left="2552" w:header="709" w:footer="709" w:gutter="0"/>
          <w:cols w:space="708"/>
          <w:docGrid w:linePitch="360"/>
        </w:sectPr>
      </w:pPr>
      <w:bookmarkStart w:id="57" w:name="_Toc191547151"/>
      <w:r w:rsidRPr="0050162C">
        <w:rPr>
          <w:rFonts w:cs="Calibri"/>
          <w:szCs w:val="18"/>
        </w:rPr>
        <w:t>Under AEMO’s 2024 Integrated System Plan Step Change scenario, rooftop solar capacity is forecast to quadruple to 72GW of installed capacity, and CER storage is forecast to account for 66% of the NEM’s storage capacity by the year 2050</w:t>
      </w:r>
      <w:r w:rsidR="00F054E9">
        <w:rPr>
          <w:rFonts w:cs="Calibri"/>
          <w:szCs w:val="18"/>
        </w:rPr>
        <w:t xml:space="preserve"> </w:t>
      </w:r>
      <w:r w:rsidR="005649D1" w:rsidRPr="00CF4156">
        <w:rPr>
          <w:rFonts w:cs="Calibri"/>
          <w:noProof/>
          <w:szCs w:val="18"/>
        </w:rPr>
        <w:t>[9]</w:t>
      </w:r>
      <w:r w:rsidRPr="0050162C">
        <w:rPr>
          <w:rFonts w:cs="Calibri"/>
          <w:szCs w:val="18"/>
        </w:rPr>
        <w:t>. CER already provides more than 100% of instantaneous generation in South Australia at times</w:t>
      </w:r>
      <w:r w:rsidR="00F054E9" w:rsidRPr="00F054E9">
        <w:rPr>
          <w:rFonts w:cs="Calibri"/>
          <w:noProof/>
          <w:szCs w:val="18"/>
        </w:rPr>
        <w:t xml:space="preserve"> </w:t>
      </w:r>
      <w:r w:rsidR="00F054E9" w:rsidRPr="00CF4156">
        <w:rPr>
          <w:rFonts w:cs="Calibri"/>
          <w:noProof/>
          <w:szCs w:val="18"/>
        </w:rPr>
        <w:t>[10]</w:t>
      </w:r>
      <w:r w:rsidRPr="0050162C">
        <w:rPr>
          <w:rFonts w:cs="Calibri"/>
          <w:szCs w:val="18"/>
        </w:rPr>
        <w:t>. Beyond kilowatt hours, CER is also expected to provide a range of other services both locally, and into the wholesale market via customer agents. Distribution-connected FTM DER, such as community batteries and generation assets, are anticipated to provide ‘downward’ services to consumers and local network services, and ‘upward’ services to wholesale markets.</w:t>
      </w:r>
      <w:r w:rsidRPr="00C27C08">
        <w:t xml:space="preserve"> </w:t>
      </w:r>
      <w:r w:rsidRPr="00C27C08">
        <w:rPr>
          <w:rFonts w:cs="Calibri"/>
          <w:szCs w:val="18"/>
        </w:rPr>
        <w:t xml:space="preserve">This emerging operational environment presents several new challenges to joint T-D system operation, as well as significant opportunities for T-D Coordination to support a future-ready power system. In this context, </w:t>
      </w:r>
      <w:hyperlink w:anchor="Table_3" w:history="1">
        <w:r w:rsidR="007B7B8E" w:rsidRPr="00435B3C">
          <w:rPr>
            <w:rStyle w:val="Hyperlink"/>
            <w:rFonts w:cs="Calibri"/>
            <w:szCs w:val="18"/>
          </w:rPr>
          <w:t xml:space="preserve">Table </w:t>
        </w:r>
        <w:r w:rsidR="00435B3C" w:rsidRPr="00435B3C">
          <w:rPr>
            <w:rStyle w:val="Hyperlink"/>
            <w:rFonts w:cs="Calibri"/>
            <w:szCs w:val="18"/>
          </w:rPr>
          <w:t>3</w:t>
        </w:r>
      </w:hyperlink>
      <w:r w:rsidR="007B7B8E">
        <w:rPr>
          <w:rFonts w:cs="Calibri"/>
          <w:szCs w:val="18"/>
        </w:rPr>
        <w:t xml:space="preserve"> </w:t>
      </w:r>
      <w:r>
        <w:rPr>
          <w:rFonts w:cs="Calibri"/>
          <w:szCs w:val="18"/>
        </w:rPr>
        <w:t xml:space="preserve">offers seven </w:t>
      </w:r>
      <w:r w:rsidRPr="00C27C08">
        <w:rPr>
          <w:rFonts w:cs="Calibri"/>
          <w:szCs w:val="18"/>
        </w:rPr>
        <w:t>strategic objectives for enhanced Transmission-Distribution Coordination</w:t>
      </w:r>
      <w:r>
        <w:rPr>
          <w:rFonts w:cs="Calibri"/>
          <w:szCs w:val="18"/>
        </w:rPr>
        <w:t xml:space="preserve">, grouped by two high-order objectives of </w:t>
      </w:r>
      <w:r w:rsidRPr="00990B7E">
        <w:rPr>
          <w:rFonts w:cs="Calibri"/>
          <w:szCs w:val="18"/>
        </w:rPr>
        <w:t>Whole-system Visibility, Coordination &amp; Balancing</w:t>
      </w:r>
      <w:r>
        <w:rPr>
          <w:rFonts w:cs="Calibri"/>
          <w:szCs w:val="18"/>
        </w:rPr>
        <w:t xml:space="preserve"> and </w:t>
      </w:r>
      <w:r w:rsidRPr="00990B7E">
        <w:rPr>
          <w:rFonts w:cs="Calibri"/>
          <w:szCs w:val="18"/>
        </w:rPr>
        <w:t>Whole-system</w:t>
      </w:r>
      <w:r w:rsidR="00F84A18">
        <w:rPr>
          <w:rFonts w:cs="Calibri"/>
          <w:szCs w:val="18"/>
        </w:rPr>
        <w:t xml:space="preserve"> </w:t>
      </w:r>
      <w:r w:rsidRPr="00990B7E">
        <w:rPr>
          <w:rFonts w:cs="Calibri"/>
          <w:szCs w:val="18"/>
        </w:rPr>
        <w:t>Cost Efficiencies (CAPEX &amp; OPEX)</w:t>
      </w:r>
      <w:r w:rsidR="005F53D4">
        <w:rPr>
          <w:rFonts w:cs="Calibri"/>
          <w:szCs w:val="18"/>
        </w:rPr>
        <w:t xml:space="preserve">. </w:t>
      </w:r>
    </w:p>
    <w:p w14:paraId="3251609E" w14:textId="4CB5209E" w:rsidR="00687390" w:rsidRDefault="00B33D3E" w:rsidP="00687390">
      <w:pPr>
        <w:pStyle w:val="Caption"/>
        <w:keepNext/>
      </w:pPr>
      <w:r>
        <w:lastRenderedPageBreak/>
        <w:t xml:space="preserve">Table </w:t>
      </w:r>
      <w:fldSimple w:instr=" SEQ Table \* ARABIC ">
        <w:r w:rsidR="00CE6CF1">
          <w:rPr>
            <w:noProof/>
          </w:rPr>
          <w:t>3</w:t>
        </w:r>
      </w:fldSimple>
      <w:r w:rsidR="00687390">
        <w:t xml:space="preserve">: </w:t>
      </w:r>
      <w:r w:rsidR="00687390" w:rsidRPr="002F11BB">
        <w:t>High-level Strategic Objectives for TDC</w:t>
      </w:r>
    </w:p>
    <w:tbl>
      <w:tblPr>
        <w:tblW w:w="13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85" w:type="dxa"/>
          <w:left w:w="85" w:type="dxa"/>
          <w:bottom w:w="85" w:type="dxa"/>
          <w:right w:w="85" w:type="dxa"/>
        </w:tblCellMar>
        <w:tblLook w:val="04A0" w:firstRow="1" w:lastRow="0" w:firstColumn="1" w:lastColumn="0" w:noHBand="0" w:noVBand="1"/>
      </w:tblPr>
      <w:tblGrid>
        <w:gridCol w:w="1816"/>
        <w:gridCol w:w="3854"/>
        <w:gridCol w:w="2268"/>
        <w:gridCol w:w="5492"/>
      </w:tblGrid>
      <w:tr w:rsidR="00B33D3E" w:rsidRPr="00F061CE" w14:paraId="6FDFC8D1" w14:textId="77777777" w:rsidTr="00ED5BCF">
        <w:trPr>
          <w:tblHeader/>
        </w:trPr>
        <w:tc>
          <w:tcPr>
            <w:tcW w:w="1816" w:type="dxa"/>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text1"/>
            <w:tcMar>
              <w:top w:w="0" w:type="dxa"/>
              <w:left w:w="0" w:type="dxa"/>
              <w:bottom w:w="137" w:type="dxa"/>
              <w:right w:w="137" w:type="dxa"/>
            </w:tcMar>
            <w:vAlign w:val="bottom"/>
            <w:hideMark/>
          </w:tcPr>
          <w:p w14:paraId="36B06F1D" w14:textId="77777777" w:rsidR="00B33D3E" w:rsidRPr="00A54E71" w:rsidRDefault="00B33D3E" w:rsidP="006B489F">
            <w:pPr>
              <w:spacing w:before="120" w:after="0"/>
              <w:ind w:left="133" w:right="5"/>
              <w:jc w:val="center"/>
              <w:rPr>
                <w:rFonts w:ascii="PP Mori SemiBold" w:eastAsia="Times New Roman" w:hAnsi="PP Mori SemiBold" w:cs="Segoe UI"/>
                <w:b/>
                <w:color w:val="FAFAFA" w:themeColor="background1"/>
                <w:kern w:val="0"/>
                <w:sz w:val="14"/>
                <w:szCs w:val="14"/>
                <w14:ligatures w14:val="none"/>
              </w:rPr>
            </w:pPr>
            <w:bookmarkStart w:id="58" w:name="Table_3"/>
            <w:r w:rsidRPr="00A54E71">
              <w:rPr>
                <w:rFonts w:ascii="PP Mori SemiBold" w:eastAsia="Times New Roman" w:hAnsi="PP Mori SemiBold" w:cs="Segoe UI"/>
                <w:b/>
                <w:color w:val="FAFAFA" w:themeColor="background1"/>
                <w:kern w:val="0"/>
                <w:sz w:val="14"/>
                <w:szCs w:val="14"/>
                <w14:ligatures w14:val="none"/>
              </w:rPr>
              <w:t xml:space="preserve">High-Level Objectives </w:t>
            </w:r>
          </w:p>
        </w:tc>
        <w:tc>
          <w:tcPr>
            <w:tcW w:w="3854" w:type="dxa"/>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text1"/>
            <w:tcMar>
              <w:top w:w="0" w:type="dxa"/>
              <w:left w:w="137" w:type="dxa"/>
              <w:bottom w:w="137" w:type="dxa"/>
              <w:right w:w="0" w:type="dxa"/>
            </w:tcMar>
            <w:vAlign w:val="bottom"/>
            <w:hideMark/>
          </w:tcPr>
          <w:p w14:paraId="29A37A5D" w14:textId="77777777" w:rsidR="00B33D3E" w:rsidRPr="00A54E71" w:rsidRDefault="00B33D3E" w:rsidP="006B489F">
            <w:pPr>
              <w:spacing w:before="120" w:after="0"/>
              <w:jc w:val="center"/>
              <w:rPr>
                <w:rFonts w:ascii="PP Mori SemiBold" w:eastAsia="Times New Roman" w:hAnsi="PP Mori SemiBold" w:cs="Segoe UI"/>
                <w:b/>
                <w:color w:val="FAFAFA" w:themeColor="background1"/>
                <w:kern w:val="0"/>
                <w:sz w:val="14"/>
                <w:szCs w:val="14"/>
                <w14:ligatures w14:val="none"/>
              </w:rPr>
            </w:pPr>
            <w:r w:rsidRPr="00A54E71">
              <w:rPr>
                <w:rFonts w:ascii="PP Mori SemiBold" w:eastAsia="Times New Roman" w:hAnsi="PP Mori SemiBold" w:cs="Segoe UI"/>
                <w:b/>
                <w:color w:val="FAFAFA" w:themeColor="background1"/>
                <w:kern w:val="0"/>
                <w:sz w:val="14"/>
                <w:szCs w:val="14"/>
                <w14:ligatures w14:val="none"/>
              </w:rPr>
              <w:t>Description</w:t>
            </w:r>
          </w:p>
        </w:tc>
        <w:tc>
          <w:tcPr>
            <w:tcW w:w="2268" w:type="dxa"/>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text1"/>
          </w:tcPr>
          <w:p w14:paraId="7F99F88E" w14:textId="77777777" w:rsidR="00B33D3E" w:rsidRPr="00A54E71" w:rsidRDefault="00B33D3E" w:rsidP="006B489F">
            <w:pPr>
              <w:spacing w:before="120" w:after="0"/>
              <w:jc w:val="center"/>
              <w:rPr>
                <w:rFonts w:ascii="PP Mori SemiBold" w:eastAsia="Times New Roman" w:hAnsi="PP Mori SemiBold" w:cs="Segoe UI"/>
                <w:b/>
                <w:color w:val="FAFAFA" w:themeColor="background1"/>
                <w:kern w:val="0"/>
                <w:sz w:val="14"/>
                <w:szCs w:val="14"/>
                <w14:ligatures w14:val="none"/>
              </w:rPr>
            </w:pPr>
            <w:r w:rsidRPr="00A54E71">
              <w:rPr>
                <w:rFonts w:ascii="PP Mori SemiBold" w:eastAsia="Times New Roman" w:hAnsi="PP Mori SemiBold" w:cs="Segoe UI"/>
                <w:b/>
                <w:color w:val="FAFAFA" w:themeColor="background1"/>
                <w:kern w:val="0"/>
                <w:sz w:val="14"/>
                <w:szCs w:val="14"/>
                <w14:ligatures w14:val="none"/>
              </w:rPr>
              <w:t>Objective</w:t>
            </w:r>
          </w:p>
        </w:tc>
        <w:tc>
          <w:tcPr>
            <w:tcW w:w="5492" w:type="dxa"/>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text1"/>
          </w:tcPr>
          <w:p w14:paraId="50E15752" w14:textId="77777777" w:rsidR="00B33D3E" w:rsidRPr="00A54E71" w:rsidRDefault="00B33D3E" w:rsidP="006B489F">
            <w:pPr>
              <w:spacing w:before="120" w:after="0"/>
              <w:jc w:val="center"/>
              <w:rPr>
                <w:rFonts w:ascii="PP Mori SemiBold" w:eastAsia="Times New Roman" w:hAnsi="PP Mori SemiBold" w:cs="Segoe UI"/>
                <w:b/>
                <w:color w:val="FAFAFA" w:themeColor="background1"/>
                <w:kern w:val="0"/>
                <w:sz w:val="14"/>
                <w:szCs w:val="14"/>
                <w14:ligatures w14:val="none"/>
              </w:rPr>
            </w:pPr>
            <w:r w:rsidRPr="00A54E71">
              <w:rPr>
                <w:rFonts w:ascii="PP Mori SemiBold" w:eastAsia="Times New Roman" w:hAnsi="PP Mori SemiBold" w:cs="Segoe UI"/>
                <w:b/>
                <w:color w:val="FAFAFA" w:themeColor="background1"/>
                <w:kern w:val="0"/>
                <w:sz w:val="14"/>
                <w:szCs w:val="14"/>
                <w14:ligatures w14:val="none"/>
              </w:rPr>
              <w:t>Description</w:t>
            </w:r>
          </w:p>
        </w:tc>
      </w:tr>
      <w:tr w:rsidR="00B33D3E" w:rsidRPr="00F061CE" w14:paraId="1D1E41A1" w14:textId="77777777" w:rsidTr="00ED5BCF">
        <w:trPr>
          <w:trHeight w:val="20"/>
        </w:trPr>
        <w:tc>
          <w:tcPr>
            <w:tcW w:w="1816" w:type="dxa"/>
            <w:vMerge w:val="restart"/>
            <w:tcBorders>
              <w:top w:val="single" w:sz="4" w:space="0" w:color="auto"/>
            </w:tcBorders>
            <w:shd w:val="clear" w:color="auto" w:fill="FFFFFF"/>
            <w:tcMar>
              <w:top w:w="137" w:type="dxa"/>
              <w:left w:w="0" w:type="dxa"/>
              <w:bottom w:w="137" w:type="dxa"/>
              <w:right w:w="137" w:type="dxa"/>
            </w:tcMar>
          </w:tcPr>
          <w:p w14:paraId="7727E692" w14:textId="77777777" w:rsidR="00B33D3E" w:rsidRPr="00D45544"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r w:rsidRPr="00D45544">
              <w:rPr>
                <w:rFonts w:ascii="PP Mori SemiBold" w:eastAsia="Times New Roman" w:hAnsi="PP Mori SemiBold" w:cs="Segoe UI"/>
                <w:b/>
                <w:bCs/>
                <w:color w:val="0D0D0D"/>
                <w:kern w:val="0"/>
                <w:sz w:val="14"/>
                <w:szCs w:val="14"/>
                <w14:ligatures w14:val="none"/>
              </w:rPr>
              <w:t>Whole-system Visibility, Coordination &amp; Balancing</w:t>
            </w:r>
          </w:p>
        </w:tc>
        <w:tc>
          <w:tcPr>
            <w:tcW w:w="3854" w:type="dxa"/>
            <w:vMerge w:val="restart"/>
            <w:tcBorders>
              <w:top w:val="single" w:sz="4" w:space="0" w:color="auto"/>
            </w:tcBorders>
            <w:shd w:val="clear" w:color="auto" w:fill="FFFFFF"/>
            <w:tcMar>
              <w:top w:w="137" w:type="dxa"/>
              <w:left w:w="137" w:type="dxa"/>
              <w:bottom w:w="137" w:type="dxa"/>
              <w:right w:w="0" w:type="dxa"/>
            </w:tcMar>
          </w:tcPr>
          <w:p w14:paraId="50C55790" w14:textId="337704EB" w:rsidR="00B33D3E" w:rsidRPr="00D45544" w:rsidRDefault="00B33D3E" w:rsidP="006B489F">
            <w:pPr>
              <w:spacing w:before="0" w:after="0"/>
              <w:ind w:right="124"/>
              <w:rPr>
                <w:rFonts w:eastAsia="Times New Roman" w:cs="Segoe UI"/>
                <w:color w:val="0D0D0D"/>
                <w:kern w:val="0"/>
                <w:sz w:val="14"/>
                <w:szCs w:val="14"/>
                <w14:ligatures w14:val="none"/>
              </w:rPr>
            </w:pPr>
            <w:r w:rsidRPr="00D45544">
              <w:rPr>
                <w:rFonts w:eastAsia="Times New Roman" w:cs="Segoe UI"/>
                <w:color w:val="0D0D0D"/>
                <w:kern w:val="0"/>
                <w:sz w:val="14"/>
                <w:szCs w:val="14"/>
                <w14:ligatures w14:val="none"/>
              </w:rPr>
              <w:t>In a decarbonising power system, an expanding responsibility of a DSO is active participation in the two-way coordination of power flows and data exchange between the upstream bulk power and downstream distribution systems</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Unlike the conventional unidirectional operation of the grid, Transmission-Distribution Coordination (TDC) plays an increasingly critical role in whole-system operability as power systems become increasingly volatile and bidirectional</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For example, architecturally informed DSO and TDC data structures enable end-to-end visibility which also underpins predictability and observability</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They also enable the transition to multi-layer operational coordination and the co-optimisation of layered markets should they exist</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In practice, by actively managing load flexibility and CER/DER across an entire distribution system, the DSO becomes an active participant in ensuring whole-system security and economic optimisation by providing dynamic, location-sensitive services that complement bulk power and transmission operations</w:t>
            </w:r>
            <w:r w:rsidR="00772EEE">
              <w:rPr>
                <w:rFonts w:eastAsia="Times New Roman" w:cs="Segoe UI"/>
                <w:color w:val="0D0D0D"/>
                <w:kern w:val="0"/>
                <w:sz w:val="14"/>
                <w:szCs w:val="14"/>
                <w14:ligatures w14:val="none"/>
              </w:rPr>
              <w:t xml:space="preserve">. </w:t>
            </w:r>
          </w:p>
        </w:tc>
        <w:tc>
          <w:tcPr>
            <w:tcW w:w="2268" w:type="dxa"/>
            <w:tcBorders>
              <w:top w:val="single" w:sz="4" w:space="0" w:color="auto"/>
            </w:tcBorders>
            <w:shd w:val="clear" w:color="auto" w:fill="FFFFFF"/>
            <w:vAlign w:val="center"/>
          </w:tcPr>
          <w:p w14:paraId="3DBD1823"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t>Facilitate system reliability and stability</w:t>
            </w:r>
          </w:p>
        </w:tc>
        <w:tc>
          <w:tcPr>
            <w:tcW w:w="5492" w:type="dxa"/>
            <w:tcBorders>
              <w:top w:val="single" w:sz="4" w:space="0" w:color="auto"/>
            </w:tcBorders>
            <w:shd w:val="clear" w:color="auto" w:fill="FFFFFF"/>
            <w:vAlign w:val="center"/>
          </w:tcPr>
          <w:p w14:paraId="1A53D4FA"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Effective T-D Coordination will help ensure real-time supply/demand balancing, resource adequacy, voltage control, frequency regulation, and system restart capabilities as well as avoid operational conflicts.</w:t>
            </w:r>
          </w:p>
        </w:tc>
      </w:tr>
      <w:tr w:rsidR="00B33D3E" w:rsidRPr="00F061CE" w14:paraId="37040F3A" w14:textId="77777777" w:rsidTr="00ED5BCF">
        <w:trPr>
          <w:trHeight w:val="20"/>
        </w:trPr>
        <w:tc>
          <w:tcPr>
            <w:tcW w:w="1816" w:type="dxa"/>
            <w:vMerge/>
            <w:shd w:val="clear" w:color="auto" w:fill="FFFFFF"/>
            <w:tcMar>
              <w:top w:w="137" w:type="dxa"/>
              <w:left w:w="0" w:type="dxa"/>
              <w:bottom w:w="137" w:type="dxa"/>
              <w:right w:w="137" w:type="dxa"/>
            </w:tcMar>
          </w:tcPr>
          <w:p w14:paraId="2CC889EB" w14:textId="77777777" w:rsidR="00B33D3E" w:rsidRPr="00A54E71"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p>
        </w:tc>
        <w:tc>
          <w:tcPr>
            <w:tcW w:w="3854" w:type="dxa"/>
            <w:vMerge/>
            <w:shd w:val="clear" w:color="auto" w:fill="FFFFFF"/>
            <w:tcMar>
              <w:top w:w="137" w:type="dxa"/>
              <w:left w:w="137" w:type="dxa"/>
              <w:bottom w:w="137" w:type="dxa"/>
              <w:right w:w="0" w:type="dxa"/>
            </w:tcMar>
          </w:tcPr>
          <w:p w14:paraId="245FBA57" w14:textId="77777777" w:rsidR="00B33D3E" w:rsidRPr="00F061CE" w:rsidRDefault="00B33D3E" w:rsidP="006B489F">
            <w:pPr>
              <w:spacing w:before="0" w:after="0"/>
              <w:ind w:right="124"/>
              <w:rPr>
                <w:rFonts w:eastAsia="Times New Roman" w:cs="Segoe UI"/>
                <w:color w:val="0D0D0D"/>
                <w:kern w:val="0"/>
                <w:sz w:val="14"/>
                <w:szCs w:val="14"/>
                <w14:ligatures w14:val="none"/>
              </w:rPr>
            </w:pPr>
          </w:p>
        </w:tc>
        <w:tc>
          <w:tcPr>
            <w:tcW w:w="2268" w:type="dxa"/>
            <w:shd w:val="clear" w:color="auto" w:fill="FFFFFF"/>
            <w:vAlign w:val="center"/>
          </w:tcPr>
          <w:p w14:paraId="077C5767"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t>Support more effective CER/DER integration</w:t>
            </w:r>
          </w:p>
        </w:tc>
        <w:tc>
          <w:tcPr>
            <w:tcW w:w="5492" w:type="dxa"/>
            <w:tcBorders>
              <w:top w:val="single" w:sz="4" w:space="0" w:color="auto"/>
            </w:tcBorders>
            <w:shd w:val="clear" w:color="auto" w:fill="FFFFFF"/>
            <w:vAlign w:val="center"/>
          </w:tcPr>
          <w:p w14:paraId="4831BBF2"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In the NEM, the increasing frequency of minimum system load events is being driven by uncoordinated CER/DER together with inadequate shared T-D forecasting capabilities resulting in limited security margins. In some cases, this results in blunt curtailment of DPV. Enhanced coordination mechanisms would allow for higher volumes of DPV, moderate required security margins, and increase confidence in the efficacy of emergency controls where needed.</w:t>
            </w:r>
          </w:p>
        </w:tc>
      </w:tr>
      <w:tr w:rsidR="00B33D3E" w:rsidRPr="00F061CE" w14:paraId="46D61F98" w14:textId="77777777" w:rsidTr="00ED5BCF">
        <w:trPr>
          <w:trHeight w:val="20"/>
        </w:trPr>
        <w:tc>
          <w:tcPr>
            <w:tcW w:w="1816" w:type="dxa"/>
            <w:vMerge/>
            <w:shd w:val="clear" w:color="auto" w:fill="FFFFFF"/>
            <w:tcMar>
              <w:top w:w="137" w:type="dxa"/>
              <w:left w:w="0" w:type="dxa"/>
              <w:bottom w:w="137" w:type="dxa"/>
              <w:right w:w="137" w:type="dxa"/>
            </w:tcMar>
          </w:tcPr>
          <w:p w14:paraId="31C8F585" w14:textId="77777777" w:rsidR="00B33D3E" w:rsidRPr="00A54E71"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p>
        </w:tc>
        <w:tc>
          <w:tcPr>
            <w:tcW w:w="3854" w:type="dxa"/>
            <w:vMerge/>
            <w:shd w:val="clear" w:color="auto" w:fill="FFFFFF"/>
            <w:tcMar>
              <w:top w:w="137" w:type="dxa"/>
              <w:left w:w="137" w:type="dxa"/>
              <w:bottom w:w="137" w:type="dxa"/>
              <w:right w:w="0" w:type="dxa"/>
            </w:tcMar>
          </w:tcPr>
          <w:p w14:paraId="057FB3CE" w14:textId="77777777" w:rsidR="00B33D3E" w:rsidRPr="00F061CE" w:rsidRDefault="00B33D3E" w:rsidP="006B489F">
            <w:pPr>
              <w:spacing w:before="0" w:after="0"/>
              <w:ind w:right="124"/>
              <w:rPr>
                <w:rFonts w:eastAsia="Times New Roman" w:cs="Segoe UI"/>
                <w:color w:val="0D0D0D"/>
                <w:kern w:val="0"/>
                <w:sz w:val="14"/>
                <w:szCs w:val="14"/>
                <w14:ligatures w14:val="none"/>
              </w:rPr>
            </w:pPr>
          </w:p>
        </w:tc>
        <w:tc>
          <w:tcPr>
            <w:tcW w:w="2268" w:type="dxa"/>
            <w:shd w:val="clear" w:color="auto" w:fill="FFFFFF"/>
            <w:vAlign w:val="center"/>
          </w:tcPr>
          <w:p w14:paraId="0F219A10"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t>Increase Cybersecurity and Resilience</w:t>
            </w:r>
          </w:p>
        </w:tc>
        <w:tc>
          <w:tcPr>
            <w:tcW w:w="5492" w:type="dxa"/>
            <w:tcBorders>
              <w:top w:val="single" w:sz="4" w:space="0" w:color="auto"/>
            </w:tcBorders>
            <w:shd w:val="clear" w:color="auto" w:fill="FFFFFF"/>
            <w:vAlign w:val="center"/>
          </w:tcPr>
          <w:p w14:paraId="17202272"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 xml:space="preserve">Coordinated cyber-planning, operations and threat-response measures helps address new vulnerabilities introduced by the CER and their enabling communication systems at the distribution level. </w:t>
            </w:r>
          </w:p>
        </w:tc>
      </w:tr>
      <w:tr w:rsidR="00B33D3E" w:rsidRPr="00F061CE" w14:paraId="5C9E3233" w14:textId="77777777" w:rsidTr="00ED5BCF">
        <w:trPr>
          <w:trHeight w:val="20"/>
        </w:trPr>
        <w:tc>
          <w:tcPr>
            <w:tcW w:w="1816" w:type="dxa"/>
            <w:vMerge/>
            <w:shd w:val="clear" w:color="auto" w:fill="FFFFFF"/>
            <w:tcMar>
              <w:top w:w="137" w:type="dxa"/>
              <w:left w:w="0" w:type="dxa"/>
              <w:bottom w:w="137" w:type="dxa"/>
              <w:right w:w="137" w:type="dxa"/>
            </w:tcMar>
          </w:tcPr>
          <w:p w14:paraId="1F86DC31" w14:textId="77777777" w:rsidR="00B33D3E" w:rsidRPr="00A54E71"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p>
        </w:tc>
        <w:tc>
          <w:tcPr>
            <w:tcW w:w="3854" w:type="dxa"/>
            <w:vMerge/>
            <w:shd w:val="clear" w:color="auto" w:fill="FFFFFF"/>
            <w:tcMar>
              <w:top w:w="137" w:type="dxa"/>
              <w:left w:w="137" w:type="dxa"/>
              <w:bottom w:w="137" w:type="dxa"/>
              <w:right w:w="0" w:type="dxa"/>
            </w:tcMar>
          </w:tcPr>
          <w:p w14:paraId="13BA12B4" w14:textId="77777777" w:rsidR="00B33D3E" w:rsidRPr="00F061CE" w:rsidRDefault="00B33D3E" w:rsidP="006B489F">
            <w:pPr>
              <w:spacing w:before="0" w:after="0"/>
              <w:ind w:right="124"/>
              <w:rPr>
                <w:rFonts w:eastAsia="Times New Roman" w:cs="Segoe UI"/>
                <w:color w:val="0D0D0D"/>
                <w:kern w:val="0"/>
                <w:sz w:val="14"/>
                <w:szCs w:val="14"/>
                <w14:ligatures w14:val="none"/>
              </w:rPr>
            </w:pPr>
          </w:p>
        </w:tc>
        <w:tc>
          <w:tcPr>
            <w:tcW w:w="2268" w:type="dxa"/>
            <w:shd w:val="clear" w:color="auto" w:fill="FFFFFF"/>
            <w:vAlign w:val="center"/>
          </w:tcPr>
          <w:p w14:paraId="646C4121"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t>Support Distribution-level Market Development</w:t>
            </w:r>
          </w:p>
        </w:tc>
        <w:tc>
          <w:tcPr>
            <w:tcW w:w="5492" w:type="dxa"/>
            <w:tcBorders>
              <w:top w:val="single" w:sz="4" w:space="0" w:color="auto"/>
            </w:tcBorders>
            <w:shd w:val="clear" w:color="auto" w:fill="FFFFFF"/>
            <w:vAlign w:val="center"/>
          </w:tcPr>
          <w:p w14:paraId="280B829B"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TDC enables distribution-level markets by providing the visibility, coordination, and operational integration needed to safely and efficiently dispatch DER services across both local and system-wide needs, ensuring that market participation aligns with real-time system security, congestion management, and whole-of-system optimisation.</w:t>
            </w:r>
          </w:p>
        </w:tc>
      </w:tr>
      <w:tr w:rsidR="00B33D3E" w:rsidRPr="00F061CE" w14:paraId="2422BA15" w14:textId="77777777" w:rsidTr="00ED5BCF">
        <w:trPr>
          <w:trHeight w:val="567"/>
        </w:trPr>
        <w:tc>
          <w:tcPr>
            <w:tcW w:w="1816" w:type="dxa"/>
            <w:vMerge w:val="restart"/>
            <w:tcBorders>
              <w:top w:val="single" w:sz="4" w:space="0" w:color="auto"/>
              <w:left w:val="single" w:sz="4" w:space="0" w:color="auto"/>
              <w:right w:val="single" w:sz="4" w:space="0" w:color="auto"/>
            </w:tcBorders>
            <w:shd w:val="clear" w:color="auto" w:fill="FFFFFF"/>
            <w:tcMar>
              <w:top w:w="137" w:type="dxa"/>
              <w:left w:w="0" w:type="dxa"/>
              <w:bottom w:w="137" w:type="dxa"/>
              <w:right w:w="137" w:type="dxa"/>
            </w:tcMar>
            <w:hideMark/>
          </w:tcPr>
          <w:p w14:paraId="3BF8A9B7" w14:textId="77777777" w:rsidR="00B33D3E" w:rsidRPr="00D45544"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r w:rsidRPr="00D45544">
              <w:rPr>
                <w:rFonts w:ascii="PP Mori SemiBold" w:eastAsia="Times New Roman" w:hAnsi="PP Mori SemiBold" w:cs="Segoe UI"/>
                <w:b/>
                <w:bCs/>
                <w:color w:val="0D0D0D"/>
                <w:kern w:val="0"/>
                <w:sz w:val="14"/>
                <w:szCs w:val="14"/>
                <w14:ligatures w14:val="none"/>
              </w:rPr>
              <w:t>Whole-system Cost Efficiencies (CAPEX &amp; OPEX)</w:t>
            </w:r>
          </w:p>
        </w:tc>
        <w:tc>
          <w:tcPr>
            <w:tcW w:w="3854" w:type="dxa"/>
            <w:vMerge w:val="restart"/>
            <w:tcBorders>
              <w:top w:val="single" w:sz="4" w:space="0" w:color="auto"/>
              <w:left w:val="single" w:sz="4" w:space="0" w:color="auto"/>
              <w:right w:val="single" w:sz="4" w:space="0" w:color="auto"/>
            </w:tcBorders>
            <w:shd w:val="clear" w:color="auto" w:fill="FFFFFF"/>
            <w:tcMar>
              <w:top w:w="137" w:type="dxa"/>
              <w:left w:w="137" w:type="dxa"/>
              <w:bottom w:w="137" w:type="dxa"/>
              <w:right w:w="0" w:type="dxa"/>
            </w:tcMar>
            <w:hideMark/>
          </w:tcPr>
          <w:p w14:paraId="4D93AD7E" w14:textId="3C16B4D4" w:rsidR="00B33D3E" w:rsidRPr="00D45544" w:rsidRDefault="00B33D3E" w:rsidP="006B489F">
            <w:pPr>
              <w:spacing w:before="0" w:after="0"/>
              <w:ind w:right="124"/>
              <w:rPr>
                <w:rFonts w:eastAsia="Times New Roman" w:cs="Segoe UI"/>
                <w:color w:val="0D0D0D"/>
                <w:kern w:val="0"/>
                <w:sz w:val="14"/>
                <w:szCs w:val="14"/>
                <w14:ligatures w14:val="none"/>
              </w:rPr>
            </w:pPr>
            <w:r w:rsidRPr="00D45544">
              <w:rPr>
                <w:rFonts w:eastAsia="Times New Roman" w:cs="Segoe UI"/>
                <w:color w:val="0D0D0D"/>
                <w:kern w:val="0"/>
                <w:sz w:val="14"/>
                <w:szCs w:val="14"/>
                <w14:ligatures w14:val="none"/>
              </w:rPr>
              <w:t>In an increasingly volatile power system, the participation of DSOs in actively coordinating two-way flows of power, services and data between the transmission and distribution systems has strong potential to enhance whole-system efficiencies over various timescales</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 xml:space="preserve">From a system planning perspective, the scale of new upstream generation, </w:t>
            </w:r>
            <w:r w:rsidRPr="00D45544">
              <w:rPr>
                <w:rFonts w:eastAsia="Times New Roman" w:cs="Segoe UI"/>
                <w:color w:val="0D0D0D"/>
                <w:kern w:val="0"/>
                <w:sz w:val="14"/>
                <w:szCs w:val="14"/>
                <w14:ligatures w14:val="none"/>
              </w:rPr>
              <w:lastRenderedPageBreak/>
              <w:t>storage and transmission investments may be moderated as the utilisation of existing assets is enhanced and an expanding set of system services are enabled through the DSOs</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From a system operations perspective, enhanced real-time visibility and predictive analytics, underpinned by architecturally informed data structures, enable much more fine-grained operational coordination across the end-to-end system</w:t>
            </w:r>
            <w:r w:rsidR="00772EEE">
              <w:rPr>
                <w:rFonts w:eastAsia="Times New Roman" w:cs="Segoe UI"/>
                <w:color w:val="0D0D0D"/>
                <w:kern w:val="0"/>
                <w:sz w:val="14"/>
                <w:szCs w:val="14"/>
                <w14:ligatures w14:val="none"/>
              </w:rPr>
              <w:t xml:space="preserve">. </w:t>
            </w:r>
            <w:r w:rsidRPr="00D45544">
              <w:rPr>
                <w:rFonts w:eastAsia="Times New Roman" w:cs="Segoe UI"/>
                <w:color w:val="0D0D0D"/>
                <w:kern w:val="0"/>
                <w:sz w:val="14"/>
                <w:szCs w:val="14"/>
                <w14:ligatures w14:val="none"/>
              </w:rPr>
              <w:t>As the proportion of overall system generation, storage and flexibility resources which are connected at the distribution level continues to expand, this will become even more critical as the need for multi-layer balancing also grows over time</w:t>
            </w:r>
            <w:r w:rsidR="00772EEE">
              <w:rPr>
                <w:rFonts w:eastAsia="Times New Roman" w:cs="Segoe UI"/>
                <w:color w:val="0D0D0D"/>
                <w:kern w:val="0"/>
                <w:sz w:val="14"/>
                <w:szCs w:val="14"/>
                <w14:ligatures w14:val="none"/>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57396B6"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lastRenderedPageBreak/>
              <w:t>Enable Co-optimisation of Network Utilisation</w:t>
            </w:r>
          </w:p>
        </w:tc>
        <w:tc>
          <w:tcPr>
            <w:tcW w:w="5492" w:type="dxa"/>
            <w:tcBorders>
              <w:top w:val="single" w:sz="4" w:space="0" w:color="auto"/>
              <w:left w:val="single" w:sz="4" w:space="0" w:color="auto"/>
              <w:right w:val="single" w:sz="4" w:space="0" w:color="auto"/>
            </w:tcBorders>
            <w:shd w:val="clear" w:color="auto" w:fill="FFFFFF"/>
          </w:tcPr>
          <w:p w14:paraId="2E699916" w14:textId="0BE7785D"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 xml:space="preserve">Joint T-D planning enables better transmission and distribution network capacity management, avoiding congestion, minimising the need for augmentation and targeting investment for system-wide benefit. Effective T-D Coordination can enable this over the planning time-horizon through whole-system integrated planning procedures and the operational timeline. </w:t>
            </w:r>
            <w:hyperlink w:anchor="Figure_3" w:history="1">
              <w:r w:rsidRPr="00F054E9">
                <w:rPr>
                  <w:rStyle w:val="Hyperlink"/>
                  <w:rFonts w:eastAsia="Times New Roman" w:cs="Segoe UI"/>
                  <w:kern w:val="0"/>
                  <w:sz w:val="14"/>
                  <w:szCs w:val="14"/>
                  <w14:ligatures w14:val="none"/>
                </w:rPr>
                <w:fldChar w:fldCharType="begin"/>
              </w:r>
              <w:r w:rsidRPr="00F054E9">
                <w:rPr>
                  <w:rStyle w:val="Hyperlink"/>
                  <w:rFonts w:eastAsia="Times New Roman" w:cs="Segoe UI"/>
                  <w:kern w:val="0"/>
                  <w:sz w:val="14"/>
                  <w:szCs w:val="14"/>
                  <w14:ligatures w14:val="none"/>
                </w:rPr>
                <w:instrText xml:space="preserve"> REF _Ref195104414 \h  \* MERGEFORMAT </w:instrText>
              </w:r>
              <w:r w:rsidRPr="00F054E9">
                <w:rPr>
                  <w:rStyle w:val="Hyperlink"/>
                  <w:rFonts w:eastAsia="Times New Roman" w:cs="Segoe UI"/>
                  <w:kern w:val="0"/>
                  <w:sz w:val="14"/>
                  <w:szCs w:val="14"/>
                  <w14:ligatures w14:val="none"/>
                </w:rPr>
              </w:r>
              <w:r w:rsidRPr="00F054E9">
                <w:rPr>
                  <w:rStyle w:val="Hyperlink"/>
                  <w:rFonts w:eastAsia="Times New Roman" w:cs="Segoe UI"/>
                  <w:kern w:val="0"/>
                  <w:sz w:val="14"/>
                  <w:szCs w:val="14"/>
                  <w14:ligatures w14:val="none"/>
                </w:rPr>
                <w:fldChar w:fldCharType="separate"/>
              </w:r>
              <w:r w:rsidR="00CE6CF1" w:rsidRPr="00CE6CF1">
                <w:rPr>
                  <w:rStyle w:val="Hyperlink"/>
                  <w:rFonts w:eastAsia="Times New Roman" w:cs="Segoe UI"/>
                  <w:kern w:val="0"/>
                  <w:sz w:val="14"/>
                  <w:szCs w:val="14"/>
                  <w14:ligatures w14:val="none"/>
                </w:rPr>
                <w:t>Figure 3</w:t>
              </w:r>
              <w:r w:rsidRPr="00F054E9">
                <w:rPr>
                  <w:rStyle w:val="Hyperlink"/>
                  <w:rFonts w:eastAsia="Times New Roman" w:cs="Segoe UI"/>
                  <w:kern w:val="0"/>
                  <w:sz w:val="14"/>
                  <w:szCs w:val="14"/>
                  <w14:ligatures w14:val="none"/>
                </w:rPr>
                <w:fldChar w:fldCharType="end"/>
              </w:r>
            </w:hyperlink>
            <w:r w:rsidRPr="00F061CE">
              <w:rPr>
                <w:rFonts w:eastAsia="Times New Roman" w:cs="Segoe UI"/>
                <w:color w:val="0D0D0D"/>
                <w:kern w:val="0"/>
                <w:sz w:val="14"/>
                <w:szCs w:val="14"/>
                <w14:ligatures w14:val="none"/>
              </w:rPr>
              <w:t xml:space="preserve"> shows the expanding number of relationships between distribution planning functions and transmission planning functions.</w:t>
            </w:r>
          </w:p>
        </w:tc>
      </w:tr>
      <w:tr w:rsidR="00B33D3E" w:rsidRPr="00F061CE" w14:paraId="107EBB23" w14:textId="77777777" w:rsidTr="00ED5BCF">
        <w:trPr>
          <w:trHeight w:val="567"/>
        </w:trPr>
        <w:tc>
          <w:tcPr>
            <w:tcW w:w="1816" w:type="dxa"/>
            <w:vMerge/>
            <w:tcBorders>
              <w:left w:val="single" w:sz="4" w:space="0" w:color="auto"/>
              <w:right w:val="single" w:sz="4" w:space="0" w:color="auto"/>
            </w:tcBorders>
            <w:shd w:val="clear" w:color="auto" w:fill="FFFFFF"/>
            <w:tcMar>
              <w:top w:w="137" w:type="dxa"/>
              <w:left w:w="0" w:type="dxa"/>
              <w:bottom w:w="137" w:type="dxa"/>
              <w:right w:w="137" w:type="dxa"/>
            </w:tcMar>
          </w:tcPr>
          <w:p w14:paraId="63499058" w14:textId="77777777" w:rsidR="00B33D3E" w:rsidRPr="00A54E71"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p>
        </w:tc>
        <w:tc>
          <w:tcPr>
            <w:tcW w:w="3854" w:type="dxa"/>
            <w:vMerge/>
            <w:tcBorders>
              <w:left w:val="single" w:sz="4" w:space="0" w:color="auto"/>
              <w:right w:val="single" w:sz="4" w:space="0" w:color="auto"/>
            </w:tcBorders>
            <w:shd w:val="clear" w:color="auto" w:fill="FFFFFF"/>
            <w:tcMar>
              <w:top w:w="137" w:type="dxa"/>
              <w:left w:w="137" w:type="dxa"/>
              <w:bottom w:w="137" w:type="dxa"/>
              <w:right w:w="0" w:type="dxa"/>
            </w:tcMar>
          </w:tcPr>
          <w:p w14:paraId="18335C35" w14:textId="77777777" w:rsidR="00B33D3E" w:rsidRPr="00F061CE" w:rsidRDefault="00B33D3E" w:rsidP="006B489F">
            <w:pPr>
              <w:spacing w:before="0" w:after="0"/>
              <w:ind w:right="124"/>
              <w:rPr>
                <w:rFonts w:eastAsia="Times New Roman" w:cs="Segoe UI"/>
                <w:color w:val="0D0D0D"/>
                <w:kern w:val="0"/>
                <w:sz w:val="14"/>
                <w:szCs w:val="14"/>
                <w14:ligatures w14:val="none"/>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56527BD" w14:textId="77777777" w:rsidR="00B33D3E" w:rsidRPr="00F061CE" w:rsidRDefault="00B33D3E" w:rsidP="00470C91">
            <w:pPr>
              <w:pStyle w:val="ListParagraph"/>
              <w:numPr>
                <w:ilvl w:val="0"/>
                <w:numId w:val="19"/>
              </w:numPr>
              <w:spacing w:before="0" w:after="0"/>
              <w:ind w:left="337" w:right="124" w:hanging="284"/>
              <w:jc w:val="center"/>
              <w:rPr>
                <w:rFonts w:ascii="PP Mori SemiBold" w:hAnsi="PP Mori SemiBold"/>
                <w:b/>
                <w:bCs/>
                <w:sz w:val="14"/>
                <w:szCs w:val="14"/>
                <w:lang w:val="en-GB"/>
              </w:rPr>
            </w:pPr>
            <w:r w:rsidRPr="00F061CE">
              <w:rPr>
                <w:rFonts w:ascii="PP Mori SemiBold" w:eastAsia="Times New Roman" w:hAnsi="PP Mori SemiBold" w:cs="Segoe UI"/>
                <w:color w:val="0D0D0D"/>
                <w:kern w:val="0"/>
                <w:sz w:val="14"/>
                <w:szCs w:val="14"/>
                <w14:ligatures w14:val="none"/>
              </w:rPr>
              <w:t>Promote Economic Efficiency and Reduce Operational Costs</w:t>
            </w:r>
          </w:p>
        </w:tc>
        <w:tc>
          <w:tcPr>
            <w:tcW w:w="5492" w:type="dxa"/>
            <w:tcBorders>
              <w:left w:val="single" w:sz="4" w:space="0" w:color="auto"/>
              <w:right w:val="single" w:sz="4" w:space="0" w:color="auto"/>
            </w:tcBorders>
            <w:shd w:val="clear" w:color="auto" w:fill="FFFFFF"/>
          </w:tcPr>
          <w:p w14:paraId="14B21FE8"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 xml:space="preserve">T-D Coordination schemes that align with and support complimentary DSO Models can promote more cost-reflective procurement of energy services. For example, local DSO-administered distribution-level energy markets that enable more localised trading of energy could reduce reliance on transmission assets, reducing associated costs (noting that distribution-level costs may increase). </w:t>
            </w:r>
          </w:p>
        </w:tc>
      </w:tr>
      <w:tr w:rsidR="00B33D3E" w:rsidRPr="00F061CE" w14:paraId="4622A5F7" w14:textId="77777777" w:rsidTr="00ED5BCF">
        <w:trPr>
          <w:trHeight w:val="567"/>
        </w:trPr>
        <w:tc>
          <w:tcPr>
            <w:tcW w:w="1816" w:type="dxa"/>
            <w:vMerge/>
            <w:tcBorders>
              <w:left w:val="single" w:sz="4" w:space="0" w:color="auto"/>
              <w:bottom w:val="single" w:sz="4" w:space="0" w:color="auto"/>
              <w:right w:val="single" w:sz="4" w:space="0" w:color="auto"/>
            </w:tcBorders>
            <w:shd w:val="clear" w:color="auto" w:fill="FFFFFF"/>
            <w:tcMar>
              <w:top w:w="137" w:type="dxa"/>
              <w:left w:w="0" w:type="dxa"/>
              <w:bottom w:w="137" w:type="dxa"/>
              <w:right w:w="137" w:type="dxa"/>
            </w:tcMar>
          </w:tcPr>
          <w:p w14:paraId="68DDD580" w14:textId="77777777" w:rsidR="00B33D3E" w:rsidRPr="00A54E71" w:rsidRDefault="00B33D3E" w:rsidP="006B489F">
            <w:pPr>
              <w:spacing w:before="0" w:after="0"/>
              <w:ind w:left="133" w:right="5"/>
              <w:rPr>
                <w:rFonts w:ascii="PP Mori SemiBold" w:eastAsia="Times New Roman" w:hAnsi="PP Mori SemiBold" w:cs="Segoe UI"/>
                <w:b/>
                <w:bCs/>
                <w:color w:val="0D0D0D"/>
                <w:kern w:val="0"/>
                <w:sz w:val="14"/>
                <w:szCs w:val="14"/>
                <w14:ligatures w14:val="none"/>
              </w:rPr>
            </w:pPr>
          </w:p>
        </w:tc>
        <w:tc>
          <w:tcPr>
            <w:tcW w:w="3854" w:type="dxa"/>
            <w:vMerge/>
            <w:tcBorders>
              <w:left w:val="single" w:sz="4" w:space="0" w:color="auto"/>
              <w:bottom w:val="single" w:sz="4" w:space="0" w:color="auto"/>
              <w:right w:val="single" w:sz="4" w:space="0" w:color="auto"/>
            </w:tcBorders>
            <w:shd w:val="clear" w:color="auto" w:fill="FFFFFF"/>
            <w:tcMar>
              <w:top w:w="137" w:type="dxa"/>
              <w:left w:w="137" w:type="dxa"/>
              <w:bottom w:w="137" w:type="dxa"/>
              <w:right w:w="0" w:type="dxa"/>
            </w:tcMar>
          </w:tcPr>
          <w:p w14:paraId="21547AA6" w14:textId="77777777" w:rsidR="00B33D3E" w:rsidRPr="00F061CE" w:rsidRDefault="00B33D3E" w:rsidP="006B489F">
            <w:pPr>
              <w:spacing w:before="0" w:after="0"/>
              <w:ind w:right="124"/>
              <w:rPr>
                <w:rFonts w:eastAsia="Times New Roman" w:cs="Segoe UI"/>
                <w:color w:val="0D0D0D"/>
                <w:kern w:val="0"/>
                <w:sz w:val="14"/>
                <w:szCs w:val="14"/>
                <w14:ligatures w14:val="none"/>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0F20267" w14:textId="400F9682" w:rsidR="00B33D3E" w:rsidRPr="00F061CE" w:rsidRDefault="00B33D3E" w:rsidP="00470C91">
            <w:pPr>
              <w:pStyle w:val="ListParagraph"/>
              <w:numPr>
                <w:ilvl w:val="0"/>
                <w:numId w:val="19"/>
              </w:numPr>
              <w:spacing w:before="0" w:after="0"/>
              <w:ind w:left="337" w:right="124" w:hanging="284"/>
              <w:jc w:val="center"/>
              <w:rPr>
                <w:rFonts w:ascii="PP Mori SemiBold" w:eastAsia="Times New Roman" w:hAnsi="PP Mori SemiBold" w:cs="Segoe UI"/>
                <w:color w:val="0D0D0D"/>
                <w:kern w:val="0"/>
                <w:sz w:val="14"/>
                <w:szCs w:val="14"/>
                <w14:ligatures w14:val="none"/>
              </w:rPr>
            </w:pPr>
            <w:r w:rsidRPr="00F061CE">
              <w:rPr>
                <w:rFonts w:ascii="PP Mori SemiBold" w:eastAsia="Times New Roman" w:hAnsi="PP Mori SemiBold" w:cs="Segoe UI"/>
                <w:color w:val="0D0D0D"/>
                <w:kern w:val="0"/>
                <w:sz w:val="14"/>
                <w:szCs w:val="14"/>
                <w14:ligatures w14:val="none"/>
              </w:rPr>
              <w:t>Streamline Operational Coordination through Standardisation</w:t>
            </w:r>
          </w:p>
          <w:p w14:paraId="1F5309EE" w14:textId="77777777" w:rsidR="00B33D3E" w:rsidRPr="00F061CE" w:rsidRDefault="00B33D3E" w:rsidP="00E2139C">
            <w:pPr>
              <w:spacing w:after="0"/>
              <w:ind w:left="337" w:hanging="284"/>
              <w:jc w:val="center"/>
              <w:rPr>
                <w:rFonts w:ascii="PP Mori SemiBold" w:hAnsi="PP Mori SemiBold"/>
                <w:b/>
                <w:bCs/>
                <w:sz w:val="14"/>
                <w:szCs w:val="14"/>
                <w:lang w:val="en-GB"/>
              </w:rPr>
            </w:pPr>
          </w:p>
        </w:tc>
        <w:tc>
          <w:tcPr>
            <w:tcW w:w="5492" w:type="dxa"/>
            <w:tcBorders>
              <w:left w:val="single" w:sz="4" w:space="0" w:color="auto"/>
              <w:bottom w:val="single" w:sz="4" w:space="0" w:color="auto"/>
              <w:right w:val="single" w:sz="4" w:space="0" w:color="auto"/>
            </w:tcBorders>
            <w:shd w:val="clear" w:color="auto" w:fill="FFFFFF"/>
          </w:tcPr>
          <w:p w14:paraId="4FB0A123" w14:textId="77777777" w:rsidR="00B33D3E" w:rsidRPr="00F061CE" w:rsidRDefault="00B33D3E" w:rsidP="006B489F">
            <w:pPr>
              <w:spacing w:before="0" w:after="0"/>
              <w:ind w:right="124"/>
              <w:rPr>
                <w:rFonts w:eastAsia="Times New Roman" w:cs="Segoe UI"/>
                <w:color w:val="0D0D0D"/>
                <w:kern w:val="0"/>
                <w:sz w:val="14"/>
                <w:szCs w:val="14"/>
                <w14:ligatures w14:val="none"/>
              </w:rPr>
            </w:pPr>
            <w:r w:rsidRPr="00F061CE">
              <w:rPr>
                <w:rFonts w:eastAsia="Times New Roman" w:cs="Segoe UI"/>
                <w:color w:val="0D0D0D"/>
                <w:kern w:val="0"/>
                <w:sz w:val="14"/>
                <w:szCs w:val="14"/>
                <w14:ligatures w14:val="none"/>
              </w:rPr>
              <w:t xml:space="preserve">Proactively providing guardrails on T-D Interface design will simplify implementation, especially where it enables upstream entities to coordinate in a consistent way with several downstream actors. </w:t>
            </w:r>
          </w:p>
        </w:tc>
      </w:tr>
      <w:bookmarkEnd w:id="58"/>
    </w:tbl>
    <w:p w14:paraId="3A45BDF0" w14:textId="77777777" w:rsidR="00B33D3E" w:rsidRDefault="00B33D3E" w:rsidP="00B33D3E">
      <w:pPr>
        <w:spacing w:before="180" w:after="120" w:line="288" w:lineRule="auto"/>
        <w:rPr>
          <w:rFonts w:cs="Calibri"/>
          <w:szCs w:val="18"/>
        </w:rPr>
      </w:pPr>
    </w:p>
    <w:p w14:paraId="2094656C" w14:textId="77777777" w:rsidR="00B33D3E" w:rsidRDefault="00B33D3E" w:rsidP="00B33D3E">
      <w:pPr>
        <w:pStyle w:val="ListParagraph"/>
        <w:numPr>
          <w:ilvl w:val="0"/>
          <w:numId w:val="0"/>
        </w:numPr>
        <w:spacing w:before="0" w:after="240"/>
        <w:ind w:left="786"/>
        <w:rPr>
          <w:highlight w:val="yellow"/>
          <w:lang w:val="en-GB"/>
        </w:rPr>
        <w:sectPr w:rsidR="00B33D3E" w:rsidSect="00B33D3E">
          <w:pgSz w:w="16838" w:h="11906" w:orient="landscape"/>
          <w:pgMar w:top="2552" w:right="851" w:bottom="1134" w:left="2552" w:header="709" w:footer="709" w:gutter="0"/>
          <w:cols w:space="708"/>
          <w:docGrid w:linePitch="360"/>
        </w:sectPr>
      </w:pPr>
    </w:p>
    <w:p w14:paraId="7803B3C7" w14:textId="77777777" w:rsidR="00B33D3E" w:rsidRDefault="00B33D3E" w:rsidP="00B33D3E">
      <w:pPr>
        <w:pStyle w:val="ListParagraph"/>
        <w:numPr>
          <w:ilvl w:val="0"/>
          <w:numId w:val="0"/>
        </w:numPr>
        <w:spacing w:before="0" w:after="240"/>
        <w:ind w:left="786"/>
        <w:rPr>
          <w:lang w:val="en-GB"/>
        </w:rPr>
      </w:pPr>
    </w:p>
    <w:p w14:paraId="4114C770" w14:textId="77777777" w:rsidR="00B33D3E" w:rsidRDefault="00B33D3E" w:rsidP="00B33D3E">
      <w:pPr>
        <w:spacing w:before="0" w:after="160" w:line="259" w:lineRule="auto"/>
        <w:jc w:val="center"/>
      </w:pPr>
      <w:r w:rsidRPr="00210FC5">
        <w:rPr>
          <w:noProof/>
          <w:lang w:val="en-GB"/>
        </w:rPr>
        <w:drawing>
          <wp:inline distT="0" distB="0" distL="0" distR="0" wp14:anchorId="444324AE" wp14:editId="5EE305FE">
            <wp:extent cx="5135908" cy="6927850"/>
            <wp:effectExtent l="0" t="0" r="7620" b="6350"/>
            <wp:docPr id="2079270606"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0606" name="Picture 1" descr="A diagram of a diagram of a diagram&#10;&#10;AI-generated content may be incorrect."/>
                    <pic:cNvPicPr/>
                  </pic:nvPicPr>
                  <pic:blipFill>
                    <a:blip r:embed="rId22"/>
                    <a:stretch>
                      <a:fillRect/>
                    </a:stretch>
                  </pic:blipFill>
                  <pic:spPr>
                    <a:xfrm>
                      <a:off x="0" y="0"/>
                      <a:ext cx="5158334" cy="6958101"/>
                    </a:xfrm>
                    <a:prstGeom prst="rect">
                      <a:avLst/>
                    </a:prstGeom>
                  </pic:spPr>
                </pic:pic>
              </a:graphicData>
            </a:graphic>
          </wp:inline>
        </w:drawing>
      </w:r>
    </w:p>
    <w:p w14:paraId="5533EE20" w14:textId="629A6978" w:rsidR="00B33D3E" w:rsidRDefault="00B33D3E" w:rsidP="00B33D3E">
      <w:pPr>
        <w:pStyle w:val="Caption"/>
        <w:rPr>
          <w:rFonts w:ascii="PP Mori SemiBold" w:eastAsiaTheme="majorEastAsia" w:hAnsi="PP Mori SemiBold" w:cstheme="majorBidi"/>
          <w:color w:val="002C38" w:themeColor="accent1" w:themeShade="BF"/>
          <w:sz w:val="26"/>
          <w:szCs w:val="33"/>
        </w:rPr>
      </w:pPr>
      <w:bookmarkStart w:id="59" w:name="_Ref195104414"/>
      <w:bookmarkStart w:id="60" w:name="Figure_3"/>
      <w:bookmarkStart w:id="61" w:name="_Toc205377439"/>
      <w:r>
        <w:t xml:space="preserve">Figure </w:t>
      </w:r>
      <w:r>
        <w:rPr>
          <w:iCs w:val="0"/>
        </w:rPr>
        <w:fldChar w:fldCharType="begin"/>
      </w:r>
      <w:r>
        <w:rPr>
          <w:i w:val="0"/>
          <w:iCs w:val="0"/>
        </w:rPr>
        <w:instrText xml:space="preserve"> SEQ Figure \* ARABIC </w:instrText>
      </w:r>
      <w:r>
        <w:rPr>
          <w:iCs w:val="0"/>
        </w:rPr>
        <w:fldChar w:fldCharType="separate"/>
      </w:r>
      <w:r w:rsidR="00CE6CF1">
        <w:rPr>
          <w:i w:val="0"/>
          <w:iCs w:val="0"/>
          <w:noProof/>
        </w:rPr>
        <w:t>3</w:t>
      </w:r>
      <w:r>
        <w:rPr>
          <w:iCs w:val="0"/>
        </w:rPr>
        <w:fldChar w:fldCharType="end"/>
      </w:r>
      <w:bookmarkEnd w:id="59"/>
      <w:r>
        <w:t xml:space="preserve"> -</w:t>
      </w:r>
      <w:r w:rsidRPr="00FC7A6F">
        <w:t>Typical present-day scenario (top) and future scenario (bottom) in which increased coordination is required to manage a decentrali</w:t>
      </w:r>
      <w:r>
        <w:t>s</w:t>
      </w:r>
      <w:r w:rsidRPr="00FC7A6F">
        <w:t>ed system</w:t>
      </w:r>
      <w:r>
        <w:t xml:space="preserve"> </w:t>
      </w:r>
      <w:bookmarkEnd w:id="60"/>
      <w:bookmarkEnd w:id="61"/>
      <w:r w:rsidR="00C17DB7" w:rsidRPr="00CF4156">
        <w:rPr>
          <w:noProof/>
          <w:color w:val="auto"/>
          <w:lang w:val="en-GB"/>
        </w:rPr>
        <w:t>[11]</w:t>
      </w:r>
    </w:p>
    <w:p w14:paraId="212D636E" w14:textId="58F75BB8" w:rsidR="00751E08" w:rsidRPr="002A6A82" w:rsidRDefault="009E1A4E" w:rsidP="00564074">
      <w:pPr>
        <w:pStyle w:val="Heading2"/>
        <w:spacing w:before="240"/>
        <w:ind w:left="578" w:hanging="578"/>
      </w:pPr>
      <w:bookmarkStart w:id="62" w:name="_Toc205532844"/>
      <w:r>
        <w:lastRenderedPageBreak/>
        <w:t>W</w:t>
      </w:r>
      <w:r w:rsidR="00366BC0">
        <w:t xml:space="preserve">orking </w:t>
      </w:r>
      <w:r w:rsidR="00751E08" w:rsidRPr="002A6A82">
        <w:t>definition</w:t>
      </w:r>
      <w:r>
        <w:t>s</w:t>
      </w:r>
      <w:r w:rsidR="00366BC0">
        <w:t xml:space="preserve"> </w:t>
      </w:r>
      <w:r w:rsidR="0008280E">
        <w:t>of TDC</w:t>
      </w:r>
      <w:r>
        <w:t xml:space="preserve"> and TDI</w:t>
      </w:r>
      <w:r w:rsidR="0008280E">
        <w:t xml:space="preserve"> relevant to </w:t>
      </w:r>
      <w:r w:rsidR="00751E08" w:rsidRPr="002A6A82">
        <w:t>Australia</w:t>
      </w:r>
      <w:bookmarkEnd w:id="57"/>
      <w:bookmarkEnd w:id="62"/>
    </w:p>
    <w:p w14:paraId="4D822C41" w14:textId="411DEBE4" w:rsidR="008F3390" w:rsidRPr="0050162C" w:rsidRDefault="0008280E" w:rsidP="0050162C">
      <w:pPr>
        <w:spacing w:before="180" w:after="120" w:line="288" w:lineRule="auto"/>
        <w:rPr>
          <w:rFonts w:cs="Calibri"/>
          <w:szCs w:val="18"/>
        </w:rPr>
      </w:pPr>
      <w:r w:rsidRPr="00C62A5B">
        <w:rPr>
          <w:i/>
          <w:iCs/>
          <w:noProof/>
        </w:rPr>
        <mc:AlternateContent>
          <mc:Choice Requires="wps">
            <w:drawing>
              <wp:anchor distT="45720" distB="45720" distL="114300" distR="114300" simplePos="0" relativeHeight="251658242" behindDoc="0" locked="0" layoutInCell="1" allowOverlap="1" wp14:anchorId="337F0453" wp14:editId="317E0705">
                <wp:simplePos x="0" y="0"/>
                <wp:positionH relativeFrom="margin">
                  <wp:posOffset>-13970</wp:posOffset>
                </wp:positionH>
                <wp:positionV relativeFrom="paragraph">
                  <wp:posOffset>995680</wp:posOffset>
                </wp:positionV>
                <wp:extent cx="5256530" cy="4324350"/>
                <wp:effectExtent l="0" t="0" r="20320" b="19050"/>
                <wp:wrapSquare wrapText="bothSides"/>
                <wp:docPr id="1868024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530" cy="4324350"/>
                        </a:xfrm>
                        <a:prstGeom prst="rect">
                          <a:avLst/>
                        </a:prstGeom>
                        <a:solidFill>
                          <a:schemeClr val="tx1"/>
                        </a:solidFill>
                        <a:ln w="9525">
                          <a:solidFill>
                            <a:srgbClr val="000000"/>
                          </a:solidFill>
                          <a:miter lim="800000"/>
                          <a:headEnd/>
                          <a:tailEnd/>
                        </a:ln>
                      </wps:spPr>
                      <wps:txbx>
                        <w:txbxContent>
                          <w:p w14:paraId="199211C3" w14:textId="77777777" w:rsidR="00BB026A" w:rsidRPr="00B80800" w:rsidRDefault="00C62A5B" w:rsidP="00C67258">
                            <w:pPr>
                              <w:ind w:left="284" w:right="99"/>
                              <w:rPr>
                                <w:rFonts w:ascii="PP Mori SemiBold" w:hAnsi="PP Mori SemiBold"/>
                                <w:b/>
                                <w:bCs/>
                                <w:sz w:val="20"/>
                                <w:szCs w:val="32"/>
                              </w:rPr>
                            </w:pPr>
                            <w:r w:rsidRPr="00B80800">
                              <w:rPr>
                                <w:rFonts w:ascii="PP Mori SemiBold" w:hAnsi="PP Mori SemiBold"/>
                                <w:b/>
                                <w:bCs/>
                                <w:sz w:val="20"/>
                                <w:szCs w:val="32"/>
                              </w:rPr>
                              <w:t>Transmission-Distribution Coordination (TDC)</w:t>
                            </w:r>
                          </w:p>
                          <w:p w14:paraId="6B4D3D86" w14:textId="77777777" w:rsidR="00E14727" w:rsidRPr="00E14727" w:rsidRDefault="00E14727" w:rsidP="00E14727">
                            <w:pPr>
                              <w:spacing w:before="120" w:after="120"/>
                              <w:ind w:left="284" w:right="96"/>
                              <w:rPr>
                                <w:i/>
                                <w:iCs/>
                              </w:rPr>
                            </w:pPr>
                            <w:r w:rsidRPr="00E14727">
                              <w:rPr>
                                <w:i/>
                                <w:iCs/>
                              </w:rPr>
                              <w:t xml:space="preserve">A formalised and increasingly automated approach for aligning system planning, operational and market interactions and related data exchanges across the System Operator (AEMO), Transmission Networks and emerging Distribution System Operators (DSO) to enable secure, scalable and cost-efficient operation of a decarbonising power system. </w:t>
                            </w:r>
                          </w:p>
                          <w:p w14:paraId="0D3E3844" w14:textId="21551884" w:rsidR="00E14727" w:rsidRPr="00E14727" w:rsidRDefault="00E14727" w:rsidP="00E14727">
                            <w:pPr>
                              <w:spacing w:before="120" w:after="120"/>
                              <w:ind w:left="284" w:right="96"/>
                              <w:rPr>
                                <w:i/>
                                <w:iCs/>
                              </w:rPr>
                            </w:pPr>
                            <w:r w:rsidRPr="00E14727">
                              <w:rPr>
                                <w:i/>
                                <w:iCs/>
                              </w:rPr>
                              <w:t>TDC becomes necessary as power systems decarbonise, conventional sources of generation and flexibility are progressively withdrawn, and significant new volumes of supply, flexibility, buffering and system services must be sourced both upstream and downstream</w:t>
                            </w:r>
                            <w:r w:rsidR="005F53D4">
                              <w:rPr>
                                <w:i/>
                                <w:iCs/>
                              </w:rPr>
                              <w:t xml:space="preserve">. </w:t>
                            </w:r>
                            <w:r w:rsidRPr="00E14727">
                              <w:rPr>
                                <w:i/>
                                <w:iCs/>
                              </w:rPr>
                              <w:t>Unlike conventional grids where services were largely provided by upstream merchant resources, the transforming landscape will require generation capacity and system services to be sourced from thousands of utility-scale and millions of distributed resources.</w:t>
                            </w:r>
                          </w:p>
                          <w:p w14:paraId="2701427A" w14:textId="77777777" w:rsidR="00E14727" w:rsidRPr="00E14727" w:rsidRDefault="00E14727" w:rsidP="00E14727">
                            <w:pPr>
                              <w:spacing w:before="120" w:after="120"/>
                              <w:ind w:left="284" w:right="96"/>
                              <w:rPr>
                                <w:i/>
                                <w:iCs/>
                              </w:rPr>
                            </w:pPr>
                            <w:r w:rsidRPr="00E14727">
                              <w:rPr>
                                <w:i/>
                                <w:iCs/>
                              </w:rPr>
                              <w:t xml:space="preserve">In this increasingly dynamic environment, active operational interdependence between upstream and downstream entities, resources and systems becomes essential to efficiently source, coordinate and co-optimise these services with the spatial and temporal needs of the end-to-end system. </w:t>
                            </w:r>
                          </w:p>
                          <w:p w14:paraId="3507DC36" w14:textId="765FF784" w:rsidR="00C62A5B" w:rsidRPr="00C67258" w:rsidRDefault="00E14727" w:rsidP="00E14727">
                            <w:pPr>
                              <w:spacing w:before="120" w:after="120"/>
                              <w:ind w:left="284" w:right="96"/>
                              <w:rPr>
                                <w:i/>
                                <w:iCs/>
                              </w:rPr>
                            </w:pPr>
                            <w:r w:rsidRPr="00E14727">
                              <w:rPr>
                                <w:i/>
                                <w:iCs/>
                              </w:rPr>
                              <w:t>Priority areas of TDC design are expected to include enhanced, low latency data transformations and exchange relevant to the joint management of frequency,</w:t>
                            </w:r>
                            <w:r w:rsidRPr="00E14727">
                              <w:rPr>
                                <w:rFonts w:ascii="Cambria Math" w:hAnsi="Cambria Math" w:cs="Cambria Math"/>
                                <w:i/>
                                <w:iCs/>
                              </w:rPr>
                              <w:t> </w:t>
                            </w:r>
                            <w:r w:rsidRPr="00E14727">
                              <w:rPr>
                                <w:i/>
                                <w:iCs/>
                              </w:rPr>
                              <w:t>voltage, congestion, energy</w:t>
                            </w:r>
                            <w:r w:rsidRPr="00E14727">
                              <w:rPr>
                                <w:rFonts w:ascii="Cambria Math" w:hAnsi="Cambria Math" w:cs="Cambria Math"/>
                                <w:i/>
                                <w:iCs/>
                              </w:rPr>
                              <w:t> </w:t>
                            </w:r>
                            <w:r w:rsidRPr="00E14727">
                              <w:rPr>
                                <w:i/>
                                <w:iCs/>
                              </w:rPr>
                              <w:t>flows, essential system services (ESS) and supply-demand balancing underpinned by end-to-end visibility and operational coordination</w:t>
                            </w:r>
                            <w:r w:rsidRPr="00E14727">
                              <w:rPr>
                                <w:rFonts w:ascii="Cambria Math" w:hAnsi="Cambria Math" w:cs="Cambria Math"/>
                                <w:i/>
                                <w:iCs/>
                              </w:rPr>
                              <w:t> </w:t>
                            </w:r>
                            <w:r w:rsidRPr="00E14727">
                              <w:rPr>
                                <w:i/>
                                <w:iCs/>
                              </w:rPr>
                              <w:t>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F0453" id="_x0000_t202" coordsize="21600,21600" o:spt="202" path="m,l,21600r21600,l21600,xe">
                <v:stroke joinstyle="miter"/>
                <v:path gradientshapeok="t" o:connecttype="rect"/>
              </v:shapetype>
              <v:shape id="Text Box 2" o:spid="_x0000_s1026" type="#_x0000_t202" style="position:absolute;margin-left:-1.1pt;margin-top:78.4pt;width:413.9pt;height:34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" fillcolor="#013c4c [3213]">
                <v:textbox>
                  <w:txbxContent>
                    <w:p w14:paraId="199211C3" w14:textId="77777777" w:rsidR="00BB026A" w:rsidRPr="00B80800" w:rsidRDefault="00C62A5B" w:rsidP="00C67258">
                      <w:pPr>
                        <w:ind w:left="284" w:right="99"/>
                        <w:rPr>
                          <w:rFonts w:ascii="PP Mori SemiBold" w:hAnsi="PP Mori SemiBold"/>
                          <w:b/>
                          <w:bCs/>
                          <w:sz w:val="20"/>
                          <w:szCs w:val="32"/>
                        </w:rPr>
                      </w:pPr>
                      <w:r w:rsidRPr="00B80800">
                        <w:rPr>
                          <w:rFonts w:ascii="PP Mori SemiBold" w:hAnsi="PP Mori SemiBold"/>
                          <w:b/>
                          <w:bCs/>
                          <w:sz w:val="20"/>
                          <w:szCs w:val="32"/>
                        </w:rPr>
                        <w:t>Transmission-Distribution Coordination (TDC)</w:t>
                      </w:r>
                    </w:p>
                    <w:p w14:paraId="6B4D3D86" w14:textId="77777777" w:rsidR="00E14727" w:rsidRPr="00E14727" w:rsidRDefault="00E14727" w:rsidP="00E14727">
                      <w:pPr>
                        <w:spacing w:before="120" w:after="120"/>
                        <w:ind w:left="284" w:right="96"/>
                        <w:rPr>
                          <w:i/>
                          <w:iCs/>
                        </w:rPr>
                      </w:pPr>
                      <w:r w:rsidRPr="00E14727">
                        <w:rPr>
                          <w:i/>
                          <w:iCs/>
                        </w:rPr>
                        <w:t xml:space="preserve">A formalised and increasingly automated approach for aligning system planning, operational and market interactions and related data exchanges across the System Operator (AEMO), Transmission Networks and emerging Distribution System Operators (DSO) to enable secure, scalable and cost-efficient operation of a decarbonising power system. </w:t>
                      </w:r>
                    </w:p>
                    <w:p w14:paraId="0D3E3844" w14:textId="21551884" w:rsidR="00E14727" w:rsidRPr="00E14727" w:rsidRDefault="00E14727" w:rsidP="00E14727">
                      <w:pPr>
                        <w:spacing w:before="120" w:after="120"/>
                        <w:ind w:left="284" w:right="96"/>
                        <w:rPr>
                          <w:i/>
                          <w:iCs/>
                        </w:rPr>
                      </w:pPr>
                      <w:r w:rsidRPr="00E14727">
                        <w:rPr>
                          <w:i/>
                          <w:iCs/>
                        </w:rPr>
                        <w:t>TDC becomes necessary as power systems decarbonise, conventional sources of generation and flexibility are progressively withdrawn, and significant new volumes of supply, flexibility, buffering and system services must be sourced both upstream and downstream</w:t>
                      </w:r>
                      <w:r w:rsidR="005F53D4">
                        <w:rPr>
                          <w:i/>
                          <w:iCs/>
                        </w:rPr>
                        <w:t xml:space="preserve">. </w:t>
                      </w:r>
                      <w:r w:rsidRPr="00E14727">
                        <w:rPr>
                          <w:i/>
                          <w:iCs/>
                        </w:rPr>
                        <w:t>Unlike conventional grids where services were largely provided by upstream merchant resources, the transforming landscape will require generation capacity and system services to be sourced from thousands of utility-</w:t>
                      </w:r>
                      <w:proofErr w:type="gramStart"/>
                      <w:r w:rsidRPr="00E14727">
                        <w:rPr>
                          <w:i/>
                          <w:iCs/>
                        </w:rPr>
                        <w:t>scale</w:t>
                      </w:r>
                      <w:proofErr w:type="gramEnd"/>
                      <w:r w:rsidRPr="00E14727">
                        <w:rPr>
                          <w:i/>
                          <w:iCs/>
                        </w:rPr>
                        <w:t xml:space="preserve"> and millions of distributed resources.</w:t>
                      </w:r>
                    </w:p>
                    <w:p w14:paraId="2701427A" w14:textId="77777777" w:rsidR="00E14727" w:rsidRPr="00E14727" w:rsidRDefault="00E14727" w:rsidP="00E14727">
                      <w:pPr>
                        <w:spacing w:before="120" w:after="120"/>
                        <w:ind w:left="284" w:right="96"/>
                        <w:rPr>
                          <w:i/>
                          <w:iCs/>
                        </w:rPr>
                      </w:pPr>
                      <w:r w:rsidRPr="00E14727">
                        <w:rPr>
                          <w:i/>
                          <w:iCs/>
                        </w:rPr>
                        <w:t xml:space="preserve">In this increasingly dynamic environment, active operational interdependence between upstream and downstream entities, resources and systems becomes essential to efficiently source, coordinate and co-optimise these services with the spatial and temporal needs of the end-to-end system. </w:t>
                      </w:r>
                    </w:p>
                    <w:p w14:paraId="3507DC36" w14:textId="765FF784" w:rsidR="00C62A5B" w:rsidRPr="00C67258" w:rsidRDefault="00E14727" w:rsidP="00E14727">
                      <w:pPr>
                        <w:spacing w:before="120" w:after="120"/>
                        <w:ind w:left="284" w:right="96"/>
                        <w:rPr>
                          <w:i/>
                          <w:iCs/>
                        </w:rPr>
                      </w:pPr>
                      <w:r w:rsidRPr="00E14727">
                        <w:rPr>
                          <w:i/>
                          <w:iCs/>
                        </w:rPr>
                        <w:t>Priority areas of TDC design are expected to include enhanced, low latency data transformations and exchange relevant to the joint management of frequency,</w:t>
                      </w:r>
                      <w:r w:rsidRPr="00E14727">
                        <w:rPr>
                          <w:rFonts w:ascii="Cambria Math" w:hAnsi="Cambria Math" w:cs="Cambria Math"/>
                          <w:i/>
                          <w:iCs/>
                        </w:rPr>
                        <w:t> </w:t>
                      </w:r>
                      <w:r w:rsidRPr="00E14727">
                        <w:rPr>
                          <w:i/>
                          <w:iCs/>
                        </w:rPr>
                        <w:t>voltage, congestion, energy</w:t>
                      </w:r>
                      <w:r w:rsidRPr="00E14727">
                        <w:rPr>
                          <w:rFonts w:ascii="Cambria Math" w:hAnsi="Cambria Math" w:cs="Cambria Math"/>
                          <w:i/>
                          <w:iCs/>
                        </w:rPr>
                        <w:t> </w:t>
                      </w:r>
                      <w:r w:rsidRPr="00E14727">
                        <w:rPr>
                          <w:i/>
                          <w:iCs/>
                        </w:rPr>
                        <w:t>flows, essential system services (ESS) and supply-demand balancing underpinned by end-to-end visibility and operational coordination</w:t>
                      </w:r>
                      <w:r w:rsidRPr="00E14727">
                        <w:rPr>
                          <w:rFonts w:ascii="Cambria Math" w:hAnsi="Cambria Math" w:cs="Cambria Math"/>
                          <w:i/>
                          <w:iCs/>
                        </w:rPr>
                        <w:t> </w:t>
                      </w:r>
                      <w:r w:rsidRPr="00E14727">
                        <w:rPr>
                          <w:i/>
                          <w:iCs/>
                        </w:rPr>
                        <w:t>models.</w:t>
                      </w:r>
                    </w:p>
                  </w:txbxContent>
                </v:textbox>
                <w10:wrap type="square" anchorx="margin"/>
              </v:shape>
            </w:pict>
          </mc:Fallback>
        </mc:AlternateContent>
      </w:r>
      <w:r w:rsidR="00A44283" w:rsidRPr="0050162C">
        <w:rPr>
          <w:rFonts w:cs="Calibri"/>
          <w:szCs w:val="18"/>
        </w:rPr>
        <w:t>Transmission-Distribution</w:t>
      </w:r>
      <w:r w:rsidR="00640FAB" w:rsidRPr="0050162C">
        <w:rPr>
          <w:rFonts w:cs="Calibri"/>
          <w:szCs w:val="18"/>
        </w:rPr>
        <w:t xml:space="preserve"> Coordination </w:t>
      </w:r>
      <w:r w:rsidR="00A44283" w:rsidRPr="0050162C">
        <w:rPr>
          <w:rFonts w:cs="Calibri"/>
          <w:szCs w:val="18"/>
        </w:rPr>
        <w:t>(TDC)</w:t>
      </w:r>
      <w:r w:rsidR="00640FAB" w:rsidRPr="0050162C">
        <w:rPr>
          <w:rFonts w:cs="Calibri"/>
          <w:szCs w:val="18"/>
        </w:rPr>
        <w:t xml:space="preserve"> is an expansive topic that touches on many aspects of the power system</w:t>
      </w:r>
      <w:r w:rsidR="00772EEE">
        <w:rPr>
          <w:rFonts w:cs="Calibri"/>
          <w:szCs w:val="18"/>
        </w:rPr>
        <w:t xml:space="preserve">. </w:t>
      </w:r>
      <w:r w:rsidR="00E23EE0" w:rsidRPr="0050162C">
        <w:rPr>
          <w:rFonts w:cs="Calibri"/>
          <w:szCs w:val="18"/>
        </w:rPr>
        <w:t>The following</w:t>
      </w:r>
      <w:r w:rsidR="0055322E" w:rsidRPr="0050162C">
        <w:rPr>
          <w:rFonts w:cs="Calibri"/>
          <w:szCs w:val="18"/>
        </w:rPr>
        <w:t xml:space="preserve"> </w:t>
      </w:r>
      <w:r w:rsidR="00C62A5B" w:rsidRPr="0050162C">
        <w:rPr>
          <w:rFonts w:cs="Calibri"/>
          <w:szCs w:val="18"/>
        </w:rPr>
        <w:t xml:space="preserve">is </w:t>
      </w:r>
      <w:r w:rsidR="00BC6A85" w:rsidRPr="0050162C">
        <w:rPr>
          <w:rFonts w:cs="Calibri"/>
          <w:szCs w:val="18"/>
        </w:rPr>
        <w:t xml:space="preserve">provided as </w:t>
      </w:r>
      <w:r w:rsidR="00C62A5B" w:rsidRPr="0050162C">
        <w:rPr>
          <w:rFonts w:cs="Calibri"/>
          <w:szCs w:val="18"/>
        </w:rPr>
        <w:t xml:space="preserve">a </w:t>
      </w:r>
      <w:r w:rsidR="00BC6A85" w:rsidRPr="0050162C">
        <w:rPr>
          <w:rFonts w:cs="Calibri"/>
          <w:szCs w:val="18"/>
        </w:rPr>
        <w:t xml:space="preserve">draft definition </w:t>
      </w:r>
      <w:r w:rsidR="00B56BED">
        <w:rPr>
          <w:rFonts w:cs="Calibri"/>
          <w:szCs w:val="18"/>
        </w:rPr>
        <w:t xml:space="preserve">and description of relevance and key aspects </w:t>
      </w:r>
      <w:r w:rsidR="00BC6A85" w:rsidRPr="0050162C">
        <w:rPr>
          <w:rFonts w:cs="Calibri"/>
          <w:szCs w:val="18"/>
        </w:rPr>
        <w:t xml:space="preserve">that would benefit from further </w:t>
      </w:r>
      <w:r w:rsidR="00AA3350" w:rsidRPr="0050162C">
        <w:rPr>
          <w:rFonts w:cs="Calibri"/>
          <w:szCs w:val="18"/>
        </w:rPr>
        <w:t>collaborative enhancement</w:t>
      </w:r>
      <w:r w:rsidR="0013410A">
        <w:rPr>
          <w:rFonts w:cs="Calibri"/>
          <w:szCs w:val="18"/>
        </w:rPr>
        <w:t xml:space="preserve"> with Australian consumers, industry and regulators</w:t>
      </w:r>
      <w:r w:rsidR="00AA3350" w:rsidRPr="0050162C">
        <w:rPr>
          <w:rFonts w:cs="Calibri"/>
          <w:szCs w:val="18"/>
        </w:rPr>
        <w:t xml:space="preserve">. </w:t>
      </w:r>
    </w:p>
    <w:p w14:paraId="3687573C" w14:textId="05E61BAB" w:rsidR="0008280E" w:rsidRPr="0050162C" w:rsidRDefault="0024638D" w:rsidP="0024638D">
      <w:pPr>
        <w:spacing w:before="360" w:after="120" w:line="288" w:lineRule="auto"/>
        <w:rPr>
          <w:rFonts w:cs="Calibri"/>
          <w:szCs w:val="18"/>
        </w:rPr>
      </w:pPr>
      <w:r>
        <w:rPr>
          <w:rFonts w:cs="Calibri"/>
          <w:szCs w:val="18"/>
        </w:rPr>
        <w:t>It is important to note that t</w:t>
      </w:r>
      <w:r w:rsidR="0008280E" w:rsidRPr="0050162C">
        <w:rPr>
          <w:rFonts w:cs="Calibri"/>
          <w:szCs w:val="18"/>
        </w:rPr>
        <w:t>he terms T</w:t>
      </w:r>
      <w:r>
        <w:rPr>
          <w:rFonts w:cs="Calibri"/>
          <w:szCs w:val="18"/>
        </w:rPr>
        <w:t xml:space="preserve">ransmission-Distribution </w:t>
      </w:r>
      <w:r w:rsidR="0008280E" w:rsidRPr="0050162C">
        <w:rPr>
          <w:rFonts w:cs="Calibri"/>
          <w:szCs w:val="18"/>
        </w:rPr>
        <w:t xml:space="preserve">Coordination </w:t>
      </w:r>
      <w:r>
        <w:rPr>
          <w:rFonts w:cs="Calibri"/>
          <w:szCs w:val="18"/>
        </w:rPr>
        <w:t xml:space="preserve">(TDC) </w:t>
      </w:r>
      <w:r w:rsidR="0008280E" w:rsidRPr="0050162C">
        <w:rPr>
          <w:rFonts w:cs="Calibri"/>
          <w:szCs w:val="18"/>
        </w:rPr>
        <w:t xml:space="preserve">and </w:t>
      </w:r>
      <w:r w:rsidRPr="0050162C">
        <w:rPr>
          <w:rFonts w:cs="Calibri"/>
          <w:szCs w:val="18"/>
        </w:rPr>
        <w:t>T</w:t>
      </w:r>
      <w:r>
        <w:rPr>
          <w:rFonts w:cs="Calibri"/>
          <w:szCs w:val="18"/>
        </w:rPr>
        <w:t xml:space="preserve">ransmission-Distribution </w:t>
      </w:r>
      <w:r w:rsidR="0008280E" w:rsidRPr="0050162C">
        <w:rPr>
          <w:rFonts w:cs="Calibri"/>
          <w:szCs w:val="18"/>
        </w:rPr>
        <w:t>Interface</w:t>
      </w:r>
      <w:r>
        <w:rPr>
          <w:rFonts w:cs="Calibri"/>
          <w:szCs w:val="18"/>
        </w:rPr>
        <w:t xml:space="preserve"> (TDI)</w:t>
      </w:r>
      <w:r w:rsidR="0008280E" w:rsidRPr="0050162C">
        <w:rPr>
          <w:rFonts w:cs="Calibri"/>
          <w:szCs w:val="18"/>
        </w:rPr>
        <w:t xml:space="preserve"> are often used interchangeably, but an important distinction between them</w:t>
      </w:r>
      <w:r w:rsidR="003C2DE4">
        <w:rPr>
          <w:rFonts w:cs="Calibri"/>
          <w:szCs w:val="18"/>
        </w:rPr>
        <w:t xml:space="preserve"> can be made</w:t>
      </w:r>
      <w:r w:rsidR="0008280E" w:rsidRPr="0050162C">
        <w:rPr>
          <w:rFonts w:cs="Calibri"/>
          <w:szCs w:val="18"/>
        </w:rPr>
        <w:t xml:space="preserve">. </w:t>
      </w:r>
      <w:r>
        <w:rPr>
          <w:rFonts w:cs="Calibri"/>
          <w:szCs w:val="18"/>
        </w:rPr>
        <w:t>TDC</w:t>
      </w:r>
      <w:r w:rsidR="0008280E" w:rsidRPr="0050162C">
        <w:rPr>
          <w:rFonts w:cs="Calibri"/>
          <w:szCs w:val="18"/>
        </w:rPr>
        <w:t xml:space="preserve"> refers to the concurrent and collaborative management of the electricity system by the system operator, distribution system operator, and their respective market operators, to ensure secure and reliable operation, supply/demand balance, and economically efficient markets. </w:t>
      </w:r>
      <w:r>
        <w:rPr>
          <w:rFonts w:cs="Calibri"/>
          <w:szCs w:val="18"/>
        </w:rPr>
        <w:t xml:space="preserve">In other words, it </w:t>
      </w:r>
      <w:r w:rsidR="0008280E" w:rsidRPr="0050162C">
        <w:rPr>
          <w:rFonts w:cs="Calibri"/>
          <w:szCs w:val="18"/>
        </w:rPr>
        <w:t>considers the broader structural arrangement of actors and division of roles and responsibilities from both a technical and policy perspective</w:t>
      </w:r>
      <w:r>
        <w:rPr>
          <w:rFonts w:cs="Calibri"/>
          <w:szCs w:val="18"/>
        </w:rPr>
        <w:t>.</w:t>
      </w:r>
      <w:r w:rsidR="0008280E" w:rsidRPr="0050162C">
        <w:rPr>
          <w:rFonts w:cs="Calibri"/>
          <w:szCs w:val="18"/>
        </w:rPr>
        <w:t xml:space="preserve"> </w:t>
      </w:r>
    </w:p>
    <w:p w14:paraId="66EF58F5" w14:textId="77777777" w:rsidR="0024638D" w:rsidRDefault="0024638D">
      <w:pPr>
        <w:spacing w:before="0" w:after="160" w:line="259" w:lineRule="auto"/>
        <w:rPr>
          <w:rFonts w:cs="Calibri"/>
          <w:szCs w:val="18"/>
        </w:rPr>
      </w:pPr>
      <w:r>
        <w:rPr>
          <w:rFonts w:cs="Calibri"/>
          <w:szCs w:val="18"/>
        </w:rPr>
        <w:br w:type="page"/>
      </w:r>
    </w:p>
    <w:p w14:paraId="0E4BE13E" w14:textId="70C6456B" w:rsidR="00EC1557" w:rsidRDefault="0024638D" w:rsidP="0008280E">
      <w:pPr>
        <w:spacing w:before="180" w:after="120" w:line="288" w:lineRule="auto"/>
        <w:rPr>
          <w:rFonts w:cs="Calibri"/>
          <w:szCs w:val="18"/>
        </w:rPr>
      </w:pPr>
      <w:r>
        <w:rPr>
          <w:rFonts w:cs="Calibri"/>
          <w:szCs w:val="18"/>
        </w:rPr>
        <w:lastRenderedPageBreak/>
        <w:t xml:space="preserve">TDI </w:t>
      </w:r>
      <w:r w:rsidR="00EB60FB">
        <w:rPr>
          <w:rFonts w:cs="Calibri"/>
          <w:szCs w:val="18"/>
        </w:rPr>
        <w:t>has historically described the electrical boundary between the transmission system and the distribution system. This is generally the secondary side of a step-down supply transformer supplying the distribution network, seen as a load from the transmission side. With more and more embedded generation and DER within the distribution,</w:t>
      </w:r>
      <w:r w:rsidR="00CA7B01">
        <w:rPr>
          <w:rFonts w:cs="Calibri"/>
          <w:szCs w:val="18"/>
        </w:rPr>
        <w:t xml:space="preserve"> this interchange is becoming increasingly bidirectional.</w:t>
      </w:r>
    </w:p>
    <w:p w14:paraId="012A5F9C" w14:textId="65649439" w:rsidR="0008280E" w:rsidRDefault="0078169B" w:rsidP="0008280E">
      <w:pPr>
        <w:spacing w:before="180" w:after="120" w:line="288" w:lineRule="auto"/>
        <w:rPr>
          <w:rFonts w:cs="Calibri"/>
          <w:szCs w:val="18"/>
        </w:rPr>
      </w:pPr>
      <w:r w:rsidRPr="00C62A5B">
        <w:rPr>
          <w:i/>
          <w:iCs/>
          <w:noProof/>
        </w:rPr>
        <mc:AlternateContent>
          <mc:Choice Requires="wps">
            <w:drawing>
              <wp:anchor distT="45720" distB="45720" distL="114300" distR="114300" simplePos="0" relativeHeight="251658244" behindDoc="0" locked="0" layoutInCell="1" allowOverlap="1" wp14:anchorId="63AE55B2" wp14:editId="78FCFFA5">
                <wp:simplePos x="0" y="0"/>
                <wp:positionH relativeFrom="margin">
                  <wp:posOffset>0</wp:posOffset>
                </wp:positionH>
                <wp:positionV relativeFrom="paragraph">
                  <wp:posOffset>1733550</wp:posOffset>
                </wp:positionV>
                <wp:extent cx="5207635" cy="1404620"/>
                <wp:effectExtent l="0" t="0" r="12065" b="25400"/>
                <wp:wrapSquare wrapText="bothSides"/>
                <wp:docPr id="1275849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404620"/>
                        </a:xfrm>
                        <a:prstGeom prst="rect">
                          <a:avLst/>
                        </a:prstGeom>
                        <a:solidFill>
                          <a:srgbClr val="013C4C"/>
                        </a:solidFill>
                        <a:ln w="9525">
                          <a:solidFill>
                            <a:srgbClr val="000000"/>
                          </a:solidFill>
                          <a:miter lim="800000"/>
                          <a:headEnd/>
                          <a:tailEnd/>
                        </a:ln>
                      </wps:spPr>
                      <wps:txbx>
                        <w:txbxContent>
                          <w:p w14:paraId="116AD22D" w14:textId="77777777" w:rsidR="004B5FEC" w:rsidRPr="00B80800" w:rsidRDefault="004B5FEC" w:rsidP="004B5FEC">
                            <w:pPr>
                              <w:ind w:left="284" w:right="99"/>
                              <w:rPr>
                                <w:rFonts w:ascii="PP Mori SemiBold" w:hAnsi="PP Mori SemiBold"/>
                                <w:b/>
                                <w:bCs/>
                                <w:sz w:val="20"/>
                                <w:szCs w:val="32"/>
                              </w:rPr>
                            </w:pPr>
                            <w:r w:rsidRPr="00B80800">
                              <w:rPr>
                                <w:rFonts w:ascii="PP Mori SemiBold" w:hAnsi="PP Mori SemiBold"/>
                                <w:b/>
                                <w:bCs/>
                                <w:sz w:val="20"/>
                                <w:szCs w:val="32"/>
                              </w:rPr>
                              <w:t xml:space="preserve">Transmission-Distribution </w:t>
                            </w:r>
                            <w:r>
                              <w:rPr>
                                <w:rFonts w:ascii="PP Mori SemiBold" w:hAnsi="PP Mori SemiBold"/>
                                <w:b/>
                                <w:bCs/>
                                <w:sz w:val="20"/>
                                <w:szCs w:val="32"/>
                              </w:rPr>
                              <w:t>Interface</w:t>
                            </w:r>
                            <w:r w:rsidRPr="00B80800">
                              <w:rPr>
                                <w:rFonts w:ascii="PP Mori SemiBold" w:hAnsi="PP Mori SemiBold"/>
                                <w:b/>
                                <w:bCs/>
                                <w:sz w:val="20"/>
                                <w:szCs w:val="32"/>
                              </w:rPr>
                              <w:t xml:space="preserve"> (TD</w:t>
                            </w:r>
                            <w:r>
                              <w:rPr>
                                <w:rFonts w:ascii="PP Mori SemiBold" w:hAnsi="PP Mori SemiBold"/>
                                <w:b/>
                                <w:bCs/>
                                <w:sz w:val="20"/>
                                <w:szCs w:val="32"/>
                              </w:rPr>
                              <w:t>I</w:t>
                            </w:r>
                            <w:r w:rsidRPr="00B80800">
                              <w:rPr>
                                <w:rFonts w:ascii="PP Mori SemiBold" w:hAnsi="PP Mori SemiBold"/>
                                <w:b/>
                                <w:bCs/>
                                <w:sz w:val="20"/>
                                <w:szCs w:val="32"/>
                              </w:rPr>
                              <w:t>)</w:t>
                            </w:r>
                          </w:p>
                          <w:p w14:paraId="4A0DB202" w14:textId="77777777" w:rsidR="004B5FEC" w:rsidRDefault="004B5FEC" w:rsidP="004B5FEC">
                            <w:pPr>
                              <w:ind w:left="284" w:right="99"/>
                              <w:rPr>
                                <w:i/>
                                <w:iCs/>
                              </w:rPr>
                            </w:pPr>
                            <w:r w:rsidRPr="007D5BA6">
                              <w:rPr>
                                <w:i/>
                                <w:iCs/>
                              </w:rPr>
                              <w:t>The physical points at which the bulk power/transmission system and a particular distribution system</w:t>
                            </w:r>
                            <w:r w:rsidRPr="00385331">
                              <w:rPr>
                                <w:rFonts w:ascii="Calibri" w:hAnsi="Calibri" w:cs="Calibri"/>
                                <w:i/>
                                <w:iCs/>
                              </w:rPr>
                              <w:t> </w:t>
                            </w:r>
                            <w:r w:rsidRPr="007D5BA6">
                              <w:rPr>
                                <w:i/>
                                <w:iCs/>
                              </w:rPr>
                              <w:t xml:space="preserve">interconnect, typically at one or several major substations. </w:t>
                            </w:r>
                          </w:p>
                          <w:p w14:paraId="0A72D045" w14:textId="2EBC743F" w:rsidR="004B5FEC" w:rsidRPr="007D5BA6" w:rsidRDefault="004B5FEC" w:rsidP="004B5FEC">
                            <w:pPr>
                              <w:ind w:left="284" w:right="99"/>
                              <w:rPr>
                                <w:i/>
                                <w:iCs/>
                              </w:rPr>
                            </w:pPr>
                            <w:r w:rsidRPr="007D5BA6">
                              <w:rPr>
                                <w:i/>
                                <w:iCs/>
                              </w:rPr>
                              <w:t xml:space="preserve">In </w:t>
                            </w:r>
                            <w:r>
                              <w:rPr>
                                <w:i/>
                                <w:iCs/>
                              </w:rPr>
                              <w:t xml:space="preserve">a </w:t>
                            </w:r>
                            <w:r w:rsidRPr="007D5BA6">
                              <w:rPr>
                                <w:i/>
                                <w:iCs/>
                              </w:rPr>
                              <w:t>conventional, unidirectional power system this has been commonly known as the Bulk Supply Point (BSP), where electricity from the bulk power system is delivered via the transmission network to regional and metropolitan distribution networks</w:t>
                            </w:r>
                            <w:r w:rsidR="005F53D4">
                              <w:rPr>
                                <w:i/>
                                <w:iCs/>
                              </w:rPr>
                              <w:t xml:space="preserve">. </w:t>
                            </w:r>
                          </w:p>
                          <w:p w14:paraId="71AC9CDD" w14:textId="1EED1D5C" w:rsidR="004B5FEC" w:rsidRPr="00C67258" w:rsidRDefault="004B5FEC" w:rsidP="004B5FEC">
                            <w:pPr>
                              <w:ind w:left="284" w:right="99"/>
                              <w:rPr>
                                <w:i/>
                                <w:iCs/>
                              </w:rPr>
                            </w:pPr>
                            <w:r>
                              <w:rPr>
                                <w:i/>
                                <w:iCs/>
                              </w:rPr>
                              <w:t xml:space="preserve">While conventional aspects of the </w:t>
                            </w:r>
                            <w:r w:rsidR="00EC1557">
                              <w:rPr>
                                <w:i/>
                                <w:iCs/>
                              </w:rPr>
                              <w:t xml:space="preserve">B </w:t>
                            </w:r>
                            <w:r>
                              <w:rPr>
                                <w:i/>
                                <w:iCs/>
                              </w:rPr>
                              <w:t xml:space="preserve">remain unchanged, the TDI concept represents the need to transition to a more </w:t>
                            </w:r>
                            <w:r w:rsidRPr="00903491">
                              <w:rPr>
                                <w:i/>
                                <w:iCs/>
                              </w:rPr>
                              <w:t>active</w:t>
                            </w:r>
                            <w:r>
                              <w:rPr>
                                <w:i/>
                                <w:iCs/>
                              </w:rPr>
                              <w:t>, two-way interface model capable of enabling the required Transmission-Distribution Coordination (TDC) functions in support of effective whole-system operation</w:t>
                            </w:r>
                            <w:r w:rsidR="005F53D4">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E55B2" id="_x0000_s1027" type="#_x0000_t202" style="position:absolute;margin-left:0;margin-top:136.5pt;width:410.0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" fillcolor="#013c4c">
                <v:textbox style="mso-fit-shape-to-text:t">
                  <w:txbxContent>
                    <w:p w14:paraId="116AD22D" w14:textId="77777777" w:rsidR="004B5FEC" w:rsidRPr="00B80800" w:rsidRDefault="004B5FEC" w:rsidP="004B5FEC">
                      <w:pPr>
                        <w:ind w:left="284" w:right="99"/>
                        <w:rPr>
                          <w:rFonts w:ascii="PP Mori SemiBold" w:hAnsi="PP Mori SemiBold"/>
                          <w:b/>
                          <w:bCs/>
                          <w:sz w:val="20"/>
                          <w:szCs w:val="32"/>
                        </w:rPr>
                      </w:pPr>
                      <w:r w:rsidRPr="00B80800">
                        <w:rPr>
                          <w:rFonts w:ascii="PP Mori SemiBold" w:hAnsi="PP Mori SemiBold"/>
                          <w:b/>
                          <w:bCs/>
                          <w:sz w:val="20"/>
                          <w:szCs w:val="32"/>
                        </w:rPr>
                        <w:t xml:space="preserve">Transmission-Distribution </w:t>
                      </w:r>
                      <w:r>
                        <w:rPr>
                          <w:rFonts w:ascii="PP Mori SemiBold" w:hAnsi="PP Mori SemiBold"/>
                          <w:b/>
                          <w:bCs/>
                          <w:sz w:val="20"/>
                          <w:szCs w:val="32"/>
                        </w:rPr>
                        <w:t>Interface</w:t>
                      </w:r>
                      <w:r w:rsidRPr="00B80800">
                        <w:rPr>
                          <w:rFonts w:ascii="PP Mori SemiBold" w:hAnsi="PP Mori SemiBold"/>
                          <w:b/>
                          <w:bCs/>
                          <w:sz w:val="20"/>
                          <w:szCs w:val="32"/>
                        </w:rPr>
                        <w:t xml:space="preserve"> (TD</w:t>
                      </w:r>
                      <w:r>
                        <w:rPr>
                          <w:rFonts w:ascii="PP Mori SemiBold" w:hAnsi="PP Mori SemiBold"/>
                          <w:b/>
                          <w:bCs/>
                          <w:sz w:val="20"/>
                          <w:szCs w:val="32"/>
                        </w:rPr>
                        <w:t>I</w:t>
                      </w:r>
                      <w:r w:rsidRPr="00B80800">
                        <w:rPr>
                          <w:rFonts w:ascii="PP Mori SemiBold" w:hAnsi="PP Mori SemiBold"/>
                          <w:b/>
                          <w:bCs/>
                          <w:sz w:val="20"/>
                          <w:szCs w:val="32"/>
                        </w:rPr>
                        <w:t>)</w:t>
                      </w:r>
                    </w:p>
                    <w:p w14:paraId="4A0DB202" w14:textId="77777777" w:rsidR="004B5FEC" w:rsidRDefault="004B5FEC" w:rsidP="004B5FEC">
                      <w:pPr>
                        <w:ind w:left="284" w:right="99"/>
                        <w:rPr>
                          <w:i/>
                          <w:iCs/>
                        </w:rPr>
                      </w:pPr>
                      <w:r w:rsidRPr="007D5BA6">
                        <w:rPr>
                          <w:i/>
                          <w:iCs/>
                        </w:rPr>
                        <w:t>The physical points at which the bulk power/transmission system and a particular distribution system</w:t>
                      </w:r>
                      <w:r w:rsidRPr="00385331">
                        <w:rPr>
                          <w:rFonts w:ascii="Calibri" w:hAnsi="Calibri" w:cs="Calibri"/>
                          <w:i/>
                          <w:iCs/>
                        </w:rPr>
                        <w:t> </w:t>
                      </w:r>
                      <w:r w:rsidRPr="007D5BA6">
                        <w:rPr>
                          <w:i/>
                          <w:iCs/>
                        </w:rPr>
                        <w:t xml:space="preserve">interconnect, typically at one or several major substations. </w:t>
                      </w:r>
                    </w:p>
                    <w:p w14:paraId="0A72D045" w14:textId="2EBC743F" w:rsidR="004B5FEC" w:rsidRPr="007D5BA6" w:rsidRDefault="004B5FEC" w:rsidP="004B5FEC">
                      <w:pPr>
                        <w:ind w:left="284" w:right="99"/>
                        <w:rPr>
                          <w:i/>
                          <w:iCs/>
                        </w:rPr>
                      </w:pPr>
                      <w:r w:rsidRPr="007D5BA6">
                        <w:rPr>
                          <w:i/>
                          <w:iCs/>
                        </w:rPr>
                        <w:t xml:space="preserve">In </w:t>
                      </w:r>
                      <w:r>
                        <w:rPr>
                          <w:i/>
                          <w:iCs/>
                        </w:rPr>
                        <w:t xml:space="preserve">a </w:t>
                      </w:r>
                      <w:r w:rsidRPr="007D5BA6">
                        <w:rPr>
                          <w:i/>
                          <w:iCs/>
                        </w:rPr>
                        <w:t>conventional, unidirectional power system this has been commonly known as the Bulk Supply Point (BSP), where electricity from the bulk power system is delivered via the transmission network to regional and metropolitan distribution networks</w:t>
                      </w:r>
                      <w:r w:rsidR="005F53D4">
                        <w:rPr>
                          <w:i/>
                          <w:iCs/>
                        </w:rPr>
                        <w:t xml:space="preserve">. </w:t>
                      </w:r>
                    </w:p>
                    <w:p w14:paraId="71AC9CDD" w14:textId="1EED1D5C" w:rsidR="004B5FEC" w:rsidRPr="00C67258" w:rsidRDefault="004B5FEC" w:rsidP="004B5FEC">
                      <w:pPr>
                        <w:ind w:left="284" w:right="99"/>
                        <w:rPr>
                          <w:i/>
                          <w:iCs/>
                        </w:rPr>
                      </w:pPr>
                      <w:r>
                        <w:rPr>
                          <w:i/>
                          <w:iCs/>
                        </w:rPr>
                        <w:t xml:space="preserve">While conventional aspects of the </w:t>
                      </w:r>
                      <w:r w:rsidR="00EC1557">
                        <w:rPr>
                          <w:i/>
                          <w:iCs/>
                        </w:rPr>
                        <w:t xml:space="preserve">B </w:t>
                      </w:r>
                      <w:r>
                        <w:rPr>
                          <w:i/>
                          <w:iCs/>
                        </w:rPr>
                        <w:t xml:space="preserve">remain unchanged, the TDI concept represents the need to transition to a more </w:t>
                      </w:r>
                      <w:r w:rsidRPr="00903491">
                        <w:rPr>
                          <w:i/>
                          <w:iCs/>
                        </w:rPr>
                        <w:t>active</w:t>
                      </w:r>
                      <w:r>
                        <w:rPr>
                          <w:i/>
                          <w:iCs/>
                        </w:rPr>
                        <w:t>, two-way interface model capable of enabling the required Transmission-Distribution Coordination (TDC) functions in support of effective whole-system operation</w:t>
                      </w:r>
                      <w:r w:rsidR="005F53D4">
                        <w:rPr>
                          <w:i/>
                          <w:iCs/>
                        </w:rPr>
                        <w:t xml:space="preserve">. </w:t>
                      </w:r>
                    </w:p>
                  </w:txbxContent>
                </v:textbox>
                <w10:wrap type="square" anchorx="margin"/>
              </v:shape>
            </w:pict>
          </mc:Fallback>
        </mc:AlternateContent>
      </w:r>
      <w:r w:rsidR="00EC1557">
        <w:rPr>
          <w:rFonts w:cs="Calibri"/>
          <w:szCs w:val="18"/>
        </w:rPr>
        <w:t xml:space="preserve">In this context, TDI now commonly implies a broader concept: </w:t>
      </w:r>
      <w:r w:rsidR="0008280E" w:rsidRPr="0050162C">
        <w:rPr>
          <w:rFonts w:cs="Calibri"/>
          <w:szCs w:val="18"/>
        </w:rPr>
        <w:t xml:space="preserve">the set of discrete systems, processes, digital integrations and cross-entity interactions that provide the counterparty with the necessary control, visibility and predictability needed for whole-system stability. Typically, the operating infrastructure that constitutes the T-D Interface will reside in the respective OT, IT, SCADA, telemetry, control systems and third-party cloud-based environments of both </w:t>
      </w:r>
      <w:r>
        <w:rPr>
          <w:rFonts w:cs="Calibri"/>
          <w:szCs w:val="18"/>
        </w:rPr>
        <w:t xml:space="preserve">transmission system (i.e. </w:t>
      </w:r>
      <w:r w:rsidR="0008280E" w:rsidRPr="0050162C">
        <w:rPr>
          <w:rFonts w:cs="Calibri"/>
          <w:szCs w:val="18"/>
        </w:rPr>
        <w:t>bulk power system</w:t>
      </w:r>
      <w:r>
        <w:rPr>
          <w:rFonts w:cs="Calibri"/>
          <w:szCs w:val="18"/>
        </w:rPr>
        <w:t>)</w:t>
      </w:r>
      <w:r w:rsidR="0008280E" w:rsidRPr="0050162C">
        <w:rPr>
          <w:rFonts w:cs="Calibri"/>
          <w:szCs w:val="18"/>
        </w:rPr>
        <w:t xml:space="preserve"> operations and distribution system operations. These systems support the coordination of transmission and distribution systems at their physical and electrical boundary</w:t>
      </w:r>
      <w:r w:rsidR="00622B9A">
        <w:rPr>
          <w:rFonts w:cs="Calibri"/>
          <w:szCs w:val="18"/>
        </w:rPr>
        <w:t>,</w:t>
      </w:r>
      <w:r w:rsidR="004B5FEC">
        <w:rPr>
          <w:rFonts w:cs="Calibri"/>
          <w:szCs w:val="18"/>
        </w:rPr>
        <w:t xml:space="preserve"> and a working definition is provided below. </w:t>
      </w:r>
    </w:p>
    <w:p w14:paraId="3E8200B1" w14:textId="77777777" w:rsidR="004B5FEC" w:rsidRDefault="004B5FEC" w:rsidP="004B5FEC">
      <w:pPr>
        <w:spacing w:before="0" w:after="0" w:line="288" w:lineRule="auto"/>
        <w:rPr>
          <w:rFonts w:cs="Calibri"/>
          <w:szCs w:val="18"/>
        </w:rPr>
      </w:pPr>
    </w:p>
    <w:p w14:paraId="51A289BC" w14:textId="07A5E9EF" w:rsidR="0008280E" w:rsidRPr="0050162C" w:rsidRDefault="0024638D" w:rsidP="004B5FEC">
      <w:pPr>
        <w:spacing w:before="0" w:after="0" w:line="288" w:lineRule="auto"/>
        <w:rPr>
          <w:rFonts w:cs="Calibri"/>
          <w:szCs w:val="18"/>
        </w:rPr>
      </w:pPr>
      <w:r>
        <w:rPr>
          <w:rFonts w:cs="Calibri"/>
          <w:szCs w:val="18"/>
        </w:rPr>
        <w:t>In summary, TDC and TDI</w:t>
      </w:r>
      <w:r w:rsidR="0008280E" w:rsidRPr="0050162C">
        <w:rPr>
          <w:rFonts w:cs="Calibri"/>
          <w:szCs w:val="18"/>
        </w:rPr>
        <w:t xml:space="preserve"> are inter-dependent. The organisational responsibilities and processes established under a </w:t>
      </w:r>
      <w:r>
        <w:rPr>
          <w:rFonts w:cs="Calibri"/>
          <w:szCs w:val="18"/>
        </w:rPr>
        <w:t>TDC</w:t>
      </w:r>
      <w:r w:rsidR="0008280E" w:rsidRPr="0050162C">
        <w:rPr>
          <w:rFonts w:cs="Calibri"/>
          <w:szCs w:val="18"/>
        </w:rPr>
        <w:t xml:space="preserve"> scheme must be enacted by the</w:t>
      </w:r>
      <w:r w:rsidR="009A6DD2">
        <w:rPr>
          <w:rFonts w:cs="Calibri"/>
          <w:szCs w:val="18"/>
        </w:rPr>
        <w:t xml:space="preserve"> digital, control and electrical </w:t>
      </w:r>
      <w:r w:rsidR="0008280E" w:rsidRPr="0050162C">
        <w:rPr>
          <w:rFonts w:cs="Calibri"/>
          <w:szCs w:val="18"/>
        </w:rPr>
        <w:t xml:space="preserve">systems of the </w:t>
      </w:r>
      <w:r>
        <w:rPr>
          <w:rFonts w:cs="Calibri"/>
          <w:szCs w:val="18"/>
        </w:rPr>
        <w:t>TDI</w:t>
      </w:r>
      <w:r w:rsidR="0008280E" w:rsidRPr="0050162C">
        <w:rPr>
          <w:rFonts w:cs="Calibri"/>
          <w:szCs w:val="18"/>
        </w:rPr>
        <w:t xml:space="preserve">. Alternate </w:t>
      </w:r>
      <w:r>
        <w:rPr>
          <w:rFonts w:cs="Calibri"/>
          <w:szCs w:val="18"/>
        </w:rPr>
        <w:t>TDC</w:t>
      </w:r>
      <w:r w:rsidR="0008280E" w:rsidRPr="0050162C">
        <w:rPr>
          <w:rFonts w:cs="Calibri"/>
          <w:szCs w:val="18"/>
        </w:rPr>
        <w:t xml:space="preserve"> schemes will introduce varying levels of complexity into the implementation of the </w:t>
      </w:r>
      <w:r>
        <w:rPr>
          <w:rFonts w:cs="Calibri"/>
          <w:szCs w:val="18"/>
        </w:rPr>
        <w:t>TDI</w:t>
      </w:r>
      <w:r w:rsidR="0008280E" w:rsidRPr="0050162C">
        <w:rPr>
          <w:rFonts w:cs="Calibri"/>
          <w:szCs w:val="18"/>
        </w:rPr>
        <w:t xml:space="preserve">. Therefore, the capabilities and legacy structural arrangements of the </w:t>
      </w:r>
      <w:r>
        <w:rPr>
          <w:rFonts w:cs="Calibri"/>
          <w:szCs w:val="18"/>
        </w:rPr>
        <w:t>TDI</w:t>
      </w:r>
      <w:r w:rsidR="0008280E" w:rsidRPr="0050162C">
        <w:rPr>
          <w:rFonts w:cs="Calibri"/>
          <w:szCs w:val="18"/>
        </w:rPr>
        <w:t xml:space="preserve"> must be considered when establishing </w:t>
      </w:r>
      <w:r>
        <w:rPr>
          <w:rFonts w:cs="Calibri"/>
          <w:szCs w:val="18"/>
        </w:rPr>
        <w:t>TDC</w:t>
      </w:r>
      <w:r w:rsidR="0008280E" w:rsidRPr="0050162C">
        <w:rPr>
          <w:rFonts w:cs="Calibri"/>
          <w:szCs w:val="18"/>
        </w:rPr>
        <w:t xml:space="preserve"> schemes. Conversely, the strategic objectives of </w:t>
      </w:r>
      <w:r>
        <w:rPr>
          <w:rFonts w:cs="Calibri"/>
          <w:szCs w:val="18"/>
        </w:rPr>
        <w:t>TDC</w:t>
      </w:r>
      <w:r w:rsidR="0008280E" w:rsidRPr="0050162C">
        <w:rPr>
          <w:rFonts w:cs="Calibri"/>
          <w:szCs w:val="18"/>
        </w:rPr>
        <w:t xml:space="preserve"> schemes should not be unduly constrained by the current capabilities of the </w:t>
      </w:r>
      <w:r>
        <w:rPr>
          <w:rFonts w:cs="Calibri"/>
          <w:szCs w:val="18"/>
        </w:rPr>
        <w:t>TDI</w:t>
      </w:r>
      <w:r w:rsidR="0008280E" w:rsidRPr="0050162C">
        <w:rPr>
          <w:rFonts w:cs="Calibri"/>
          <w:szCs w:val="18"/>
        </w:rPr>
        <w:t>.</w:t>
      </w:r>
    </w:p>
    <w:p w14:paraId="4B4C40A9" w14:textId="7152399D" w:rsidR="0062020D" w:rsidRDefault="0062020D" w:rsidP="000C130D">
      <w:pPr>
        <w:ind w:left="426"/>
        <w:rPr>
          <w:rFonts w:ascii="PP Mori SemiBold" w:eastAsiaTheme="majorEastAsia" w:hAnsi="PP Mori SemiBold" w:cstheme="majorBidi"/>
          <w:color w:val="013C4C" w:themeColor="text1"/>
          <w:sz w:val="32"/>
          <w:szCs w:val="40"/>
        </w:rPr>
      </w:pPr>
      <w:r>
        <w:br w:type="page"/>
      </w:r>
    </w:p>
    <w:p w14:paraId="1BE9D236" w14:textId="2CE3B7E0" w:rsidR="00953784" w:rsidRDefault="00EB17AB" w:rsidP="00F14453">
      <w:pPr>
        <w:pStyle w:val="Heading1"/>
        <w:ind w:left="567" w:hanging="567"/>
        <w:rPr>
          <w:lang w:val="en-GB"/>
        </w:rPr>
      </w:pPr>
      <w:bookmarkStart w:id="63" w:name="_Ref196399526"/>
      <w:bookmarkStart w:id="64" w:name="_Toc205532845"/>
      <w:bookmarkStart w:id="65" w:name="S_5"/>
      <w:r>
        <w:rPr>
          <w:lang w:val="en-GB"/>
        </w:rPr>
        <w:lastRenderedPageBreak/>
        <w:t xml:space="preserve">Design Considerations: </w:t>
      </w:r>
      <w:r w:rsidR="003F6106">
        <w:rPr>
          <w:lang w:val="en-GB"/>
        </w:rPr>
        <w:t>K</w:t>
      </w:r>
      <w:r w:rsidR="00884D35">
        <w:rPr>
          <w:lang w:val="en-GB"/>
        </w:rPr>
        <w:t xml:space="preserve">ey </w:t>
      </w:r>
      <w:r w:rsidR="00E93466">
        <w:rPr>
          <w:lang w:val="en-GB"/>
        </w:rPr>
        <w:t>c</w:t>
      </w:r>
      <w:r w:rsidR="00884D35">
        <w:rPr>
          <w:lang w:val="en-GB"/>
        </w:rPr>
        <w:t>onsiderations</w:t>
      </w:r>
      <w:r w:rsidR="003F6106">
        <w:rPr>
          <w:lang w:val="en-GB"/>
        </w:rPr>
        <w:t xml:space="preserve"> for effective T-D Coordination</w:t>
      </w:r>
      <w:r w:rsidR="00EE28B0">
        <w:rPr>
          <w:lang w:val="en-GB"/>
        </w:rPr>
        <w:t xml:space="preserve"> model design</w:t>
      </w:r>
      <w:bookmarkEnd w:id="63"/>
      <w:bookmarkEnd w:id="64"/>
    </w:p>
    <w:bookmarkEnd w:id="65"/>
    <w:p w14:paraId="614AB9C5" w14:textId="6BC9281F" w:rsidR="008B7B47" w:rsidRDefault="003239BF" w:rsidP="008B7B47">
      <w:pPr>
        <w:spacing w:before="0" w:after="60"/>
      </w:pPr>
      <w:r>
        <w:t xml:space="preserve">Both </w:t>
      </w:r>
      <w:r w:rsidR="008B7B47">
        <w:t>Distribution System Operator (DSO) and Transmission-Distribution Coordination (TDC) models are best understood as critical structural interventions that are required to enable a decarbonising, high-CER/DER power system to operate securely and efficiently. Although performing distinct functions, DSO and TDC models together with their enabling structures directly impact the pressing issues of whole-system visibility, operational coordination and system balancing.</w:t>
      </w:r>
    </w:p>
    <w:p w14:paraId="0AC5984E" w14:textId="4FB3704E" w:rsidR="008B7B47" w:rsidRDefault="008B7B47" w:rsidP="008B7B47">
      <w:pPr>
        <w:spacing w:before="180" w:after="60"/>
      </w:pPr>
      <w:r>
        <w:t xml:space="preserve">As the consideration of </w:t>
      </w:r>
      <w:r w:rsidR="003239BF">
        <w:t>these</w:t>
      </w:r>
      <w:r>
        <w:t xml:space="preserve"> models has evolved over the last 10–15 years, the discussion has often been shaped around a set of high-level structural options for how these formalised capabilities may function with the rest of the power system. While a range of different names have been used internationally, three structural archetypes have commonly been advanced for discussion. </w:t>
      </w:r>
    </w:p>
    <w:p w14:paraId="5970A4BA" w14:textId="25F6B457" w:rsidR="008B7B47" w:rsidRDefault="008B7B47" w:rsidP="008B7B47">
      <w:pPr>
        <w:spacing w:before="180" w:after="60"/>
      </w:pPr>
      <w:r>
        <w:t xml:space="preserve">Each of these structural models are briefly described in </w:t>
      </w:r>
      <w:hyperlink w:anchor="Table_4" w:history="1">
        <w:r w:rsidR="003239BF" w:rsidRPr="00D57832">
          <w:rPr>
            <w:rStyle w:val="Hyperlink"/>
          </w:rPr>
          <w:t xml:space="preserve">Table </w:t>
        </w:r>
        <w:r w:rsidR="00F33CA8" w:rsidRPr="00D57832">
          <w:rPr>
            <w:rStyle w:val="Hyperlink"/>
          </w:rPr>
          <w:t>4</w:t>
        </w:r>
      </w:hyperlink>
      <w:r>
        <w:t xml:space="preserve">. As theoretical concepts, the three models have typically been advanced as a basis for comparative economic analyses, often in a manner that suggests they are all similarly credible technological options. This limitation appears to have remained unaddressed and been compounded by the absence of applications of Systems Engineering in the electric power sector coupled with an inadequate awareness of the </w:t>
      </w:r>
      <w:r w:rsidRPr="00334A92">
        <w:t>specific structural constraints embedded in today</w:t>
      </w:r>
      <w:r>
        <w:t>’s</w:t>
      </w:r>
      <w:r w:rsidRPr="00334A92">
        <w:t xml:space="preserve"> legacy grid arrangements</w:t>
      </w:r>
      <w:r>
        <w:t xml:space="preserve">. </w:t>
      </w:r>
    </w:p>
    <w:p w14:paraId="516C5CD8" w14:textId="77777777" w:rsidR="008B7B47" w:rsidRDefault="008B7B47" w:rsidP="008B7B47">
      <w:pPr>
        <w:spacing w:before="180" w:after="60"/>
      </w:pPr>
      <w:r>
        <w:t>However, t</w:t>
      </w:r>
      <w:r w:rsidRPr="00334A92">
        <w:t xml:space="preserve">hese </w:t>
      </w:r>
      <w:r>
        <w:t xml:space="preserve">non-trivial constraints, inherited from the architectural arrangements of a unidirectional system, </w:t>
      </w:r>
      <w:r w:rsidRPr="00334A92">
        <w:t>directly impact whole-system visibility, operational coordination and system balancing</w:t>
      </w:r>
      <w:r>
        <w:t xml:space="preserve">. They are </w:t>
      </w:r>
      <w:r w:rsidRPr="00334A92">
        <w:t xml:space="preserve">a fundamental reason that structural </w:t>
      </w:r>
      <w:r>
        <w:t xml:space="preserve">analysis cannot be sidestepped if the NEM is to be made able to cost-effectively support the very different futures represented by AEMO’s ISP scenarios, not least the high-CER/DER Step Change scenario. </w:t>
      </w:r>
    </w:p>
    <w:p w14:paraId="5BE3A8A8" w14:textId="77777777" w:rsidR="008B7B47" w:rsidRDefault="008B7B47" w:rsidP="008B7B47">
      <w:pPr>
        <w:spacing w:before="180" w:after="60"/>
      </w:pPr>
      <w:r>
        <w:t xml:space="preserve">It should also be noted that while there are three basic structural archetypes that have been advanced over the last decade, several different names have been employed in different jurisdictions.   To assist with clarity, these three categories have been assigned a simple, accurate title that reflects the predominant, distinguishing features of each structural archetype, namely: Top-down, Multi-entity and Layered Coordination.   </w:t>
      </w:r>
    </w:p>
    <w:p w14:paraId="30D9C4F6" w14:textId="77777777" w:rsidR="003239BF" w:rsidRDefault="003239BF" w:rsidP="008B7B47">
      <w:pPr>
        <w:spacing w:before="180" w:after="60"/>
      </w:pPr>
    </w:p>
    <w:p w14:paraId="2D65CE36" w14:textId="77777777" w:rsidR="003239BF" w:rsidRDefault="003239BF" w:rsidP="008B7B47">
      <w:pPr>
        <w:spacing w:before="180" w:after="60"/>
        <w:sectPr w:rsidR="003239BF" w:rsidSect="008B7B47">
          <w:pgSz w:w="11906" w:h="16838" w:code="9"/>
          <w:pgMar w:top="2552" w:right="851" w:bottom="1134" w:left="2552" w:header="709" w:footer="709" w:gutter="0"/>
          <w:cols w:space="708"/>
          <w:docGrid w:linePitch="360"/>
        </w:sectPr>
      </w:pPr>
    </w:p>
    <w:p w14:paraId="7722AE33" w14:textId="334395C2" w:rsidR="003C0C27" w:rsidRDefault="003C0C27" w:rsidP="003C0C27">
      <w:pPr>
        <w:pStyle w:val="Caption"/>
        <w:keepNext/>
      </w:pPr>
      <w:r>
        <w:lastRenderedPageBreak/>
        <w:t xml:space="preserve">Table </w:t>
      </w:r>
      <w:fldSimple w:instr=" SEQ Table \* ARABIC ">
        <w:r w:rsidR="00CE6CF1">
          <w:rPr>
            <w:noProof/>
          </w:rPr>
          <w:t>4</w:t>
        </w:r>
      </w:fldSimple>
      <w:r>
        <w:t xml:space="preserve">: </w:t>
      </w:r>
      <w:r w:rsidRPr="00E43112">
        <w:t>Three structural archetypes that are commonly advanced in the context of exploring DSO and TDC models</w:t>
      </w:r>
    </w:p>
    <w:tbl>
      <w:tblPr>
        <w:tblStyle w:val="TableGrid"/>
        <w:tblW w:w="14811" w:type="dxa"/>
        <w:tblLayout w:type="fixed"/>
        <w:tblLook w:val="04A0" w:firstRow="1" w:lastRow="0" w:firstColumn="1" w:lastColumn="0" w:noHBand="0" w:noVBand="1"/>
      </w:tblPr>
      <w:tblGrid>
        <w:gridCol w:w="1620"/>
        <w:gridCol w:w="4022"/>
        <w:gridCol w:w="5078"/>
        <w:gridCol w:w="4091"/>
      </w:tblGrid>
      <w:tr w:rsidR="00E20269" w:rsidRPr="00E20269" w14:paraId="6C3FCEA8" w14:textId="77777777" w:rsidTr="003C0C27">
        <w:tc>
          <w:tcPr>
            <w:tcW w:w="1620" w:type="dxa"/>
            <w:shd w:val="clear" w:color="auto" w:fill="013C4C" w:themeFill="accent1"/>
          </w:tcPr>
          <w:p w14:paraId="20517DF0" w14:textId="77777777" w:rsidR="00E20269" w:rsidRPr="00E20269" w:rsidRDefault="00E20269" w:rsidP="00E20269">
            <w:pPr>
              <w:spacing w:before="120" w:after="120"/>
              <w:jc w:val="center"/>
              <w:rPr>
                <w:rFonts w:ascii="PP Mori SemiBold" w:hAnsi="PP Mori SemiBold"/>
              </w:rPr>
            </w:pPr>
            <w:r w:rsidRPr="00E20269">
              <w:rPr>
                <w:rFonts w:ascii="PP Mori SemiBold" w:hAnsi="PP Mori SemiBold"/>
              </w:rPr>
              <w:t>Category</w:t>
            </w:r>
          </w:p>
        </w:tc>
        <w:tc>
          <w:tcPr>
            <w:tcW w:w="4022" w:type="dxa"/>
            <w:shd w:val="clear" w:color="auto" w:fill="013C4C" w:themeFill="accent1"/>
          </w:tcPr>
          <w:p w14:paraId="715925B8" w14:textId="77777777" w:rsidR="00E20269" w:rsidRPr="00E20269" w:rsidRDefault="00E20269" w:rsidP="00E20269">
            <w:pPr>
              <w:spacing w:before="120" w:after="120"/>
              <w:jc w:val="center"/>
              <w:rPr>
                <w:rFonts w:ascii="PP Mori SemiBold" w:hAnsi="PP Mori SemiBold"/>
              </w:rPr>
            </w:pPr>
            <w:r w:rsidRPr="00E20269">
              <w:rPr>
                <w:rFonts w:ascii="PP Mori SemiBold" w:hAnsi="PP Mori SemiBold"/>
              </w:rPr>
              <w:t>Conceptual Schema</w:t>
            </w:r>
          </w:p>
        </w:tc>
        <w:tc>
          <w:tcPr>
            <w:tcW w:w="5078" w:type="dxa"/>
            <w:shd w:val="clear" w:color="auto" w:fill="013C4C" w:themeFill="accent1"/>
          </w:tcPr>
          <w:p w14:paraId="0408F344" w14:textId="77777777" w:rsidR="00E20269" w:rsidRPr="00E20269" w:rsidRDefault="00E20269" w:rsidP="00E20269">
            <w:pPr>
              <w:spacing w:before="120" w:after="120"/>
              <w:jc w:val="center"/>
              <w:rPr>
                <w:rFonts w:ascii="PP Mori SemiBold" w:hAnsi="PP Mori SemiBold"/>
              </w:rPr>
            </w:pPr>
            <w:r w:rsidRPr="00E20269">
              <w:rPr>
                <w:rFonts w:ascii="PP Mori SemiBold" w:hAnsi="PP Mori SemiBold"/>
              </w:rPr>
              <w:t>High-level Description</w:t>
            </w:r>
          </w:p>
        </w:tc>
        <w:tc>
          <w:tcPr>
            <w:tcW w:w="4091" w:type="dxa"/>
            <w:shd w:val="clear" w:color="auto" w:fill="013C4C" w:themeFill="accent1"/>
          </w:tcPr>
          <w:p w14:paraId="66692F13" w14:textId="77777777" w:rsidR="00E20269" w:rsidRPr="00E20269" w:rsidRDefault="00E20269" w:rsidP="00E20269">
            <w:pPr>
              <w:spacing w:before="120" w:after="120"/>
              <w:jc w:val="center"/>
              <w:rPr>
                <w:rFonts w:ascii="PP Mori SemiBold" w:hAnsi="PP Mori SemiBold"/>
              </w:rPr>
            </w:pPr>
            <w:r w:rsidRPr="00E20269">
              <w:rPr>
                <w:rFonts w:ascii="PP Mori SemiBold" w:hAnsi="PP Mori SemiBold"/>
              </w:rPr>
              <w:t>Sources &amp; Different Terms Used</w:t>
            </w:r>
          </w:p>
        </w:tc>
      </w:tr>
      <w:tr w:rsidR="00E20269" w:rsidRPr="00E20269" w14:paraId="60500303" w14:textId="77777777" w:rsidTr="003C0C27">
        <w:trPr>
          <w:trHeight w:val="2207"/>
        </w:trPr>
        <w:tc>
          <w:tcPr>
            <w:tcW w:w="1620" w:type="dxa"/>
            <w:shd w:val="clear" w:color="auto" w:fill="067296" w:themeFill="accent3"/>
            <w:vAlign w:val="center"/>
          </w:tcPr>
          <w:p w14:paraId="66E7EC4E" w14:textId="77777777" w:rsidR="00E20269" w:rsidRPr="00E20269" w:rsidRDefault="00E20269" w:rsidP="00E20269">
            <w:pPr>
              <w:spacing w:before="120" w:after="120"/>
              <w:jc w:val="center"/>
              <w:rPr>
                <w:rFonts w:ascii="PP Mori SemiBold" w:hAnsi="PP Mori SemiBold"/>
                <w:color w:val="FAFAFA" w:themeColor="background1"/>
              </w:rPr>
            </w:pPr>
            <w:r w:rsidRPr="00E20269">
              <w:rPr>
                <w:rFonts w:ascii="PP Mori SemiBold" w:hAnsi="PP Mori SemiBold"/>
                <w:color w:val="FAFAFA" w:themeColor="background1"/>
              </w:rPr>
              <w:t>Top-down</w:t>
            </w:r>
          </w:p>
        </w:tc>
        <w:tc>
          <w:tcPr>
            <w:tcW w:w="4022" w:type="dxa"/>
          </w:tcPr>
          <w:p w14:paraId="6A614E1D" w14:textId="77777777" w:rsidR="00E20269" w:rsidRPr="00E20269" w:rsidRDefault="00E20269" w:rsidP="00E20269">
            <w:pPr>
              <w:spacing w:before="60" w:after="60"/>
              <w:jc w:val="center"/>
            </w:pPr>
            <w:r w:rsidRPr="00E20269">
              <w:rPr>
                <w:noProof/>
              </w:rPr>
              <w:drawing>
                <wp:inline distT="0" distB="0" distL="0" distR="0" wp14:anchorId="11DD854C" wp14:editId="04CF4EBD">
                  <wp:extent cx="2203713" cy="1296000"/>
                  <wp:effectExtent l="0" t="0" r="6350" b="0"/>
                  <wp:docPr id="1359531600" name="Picture 20"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31600" name="Picture 20" descr="A diagram of a factory&#10;&#10;AI-generated content may be incorrect."/>
                          <pic:cNvPicPr/>
                        </pic:nvPicPr>
                        <pic:blipFill rotWithShape="1">
                          <a:blip r:embed="rId23" cstate="print">
                            <a:extLst>
                              <a:ext uri="{28A0092B-C50C-407E-A947-70E740481C1C}">
                                <a14:useLocalDpi xmlns:a14="http://schemas.microsoft.com/office/drawing/2010/main" val="0"/>
                              </a:ext>
                            </a:extLst>
                          </a:blip>
                          <a:srcRect l="12328" t="11731" r="12831" b="10027"/>
                          <a:stretch/>
                        </pic:blipFill>
                        <pic:spPr bwMode="auto">
                          <a:xfrm>
                            <a:off x="0" y="0"/>
                            <a:ext cx="2203713" cy="1296000"/>
                          </a:xfrm>
                          <a:prstGeom prst="rect">
                            <a:avLst/>
                          </a:prstGeom>
                          <a:ln>
                            <a:noFill/>
                          </a:ln>
                          <a:extLst>
                            <a:ext uri="{53640926-AAD7-44D8-BBD7-CCE9431645EC}">
                              <a14:shadowObscured xmlns:a14="http://schemas.microsoft.com/office/drawing/2010/main"/>
                            </a:ext>
                          </a:extLst>
                        </pic:spPr>
                      </pic:pic>
                    </a:graphicData>
                  </a:graphic>
                </wp:inline>
              </w:drawing>
            </w:r>
          </w:p>
        </w:tc>
        <w:tc>
          <w:tcPr>
            <w:tcW w:w="5078" w:type="dxa"/>
            <w:vAlign w:val="center"/>
          </w:tcPr>
          <w:p w14:paraId="31FEB050" w14:textId="77777777" w:rsidR="00E20269" w:rsidRPr="00E20269" w:rsidRDefault="00E20269" w:rsidP="00E20269">
            <w:r w:rsidRPr="00E20269">
              <w:t xml:space="preserve">The System Operator (SO) of the bulk power system has responsibility to manage all participating resources that are connected across the transmission system and each related distribution system, including all CER/DER. The DSO role in this case is limited and is closer to that of a conventional DNSP than in any other category. </w:t>
            </w:r>
          </w:p>
        </w:tc>
        <w:tc>
          <w:tcPr>
            <w:tcW w:w="4091" w:type="dxa"/>
            <w:vAlign w:val="center"/>
          </w:tcPr>
          <w:p w14:paraId="12BEB79F" w14:textId="6D929AC7"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Total ISO</w:t>
            </w:r>
            <w:r w:rsidRPr="00E20269">
              <w:t xml:space="preserve"> </w:t>
            </w:r>
            <w:r w:rsidRPr="004C3404">
              <w:t>[</w:t>
            </w:r>
            <w:r w:rsidR="00036313" w:rsidRPr="004C3404">
              <w:t>66</w:t>
            </w:r>
            <w:r w:rsidRPr="004C3404">
              <w:t>]</w:t>
            </w:r>
          </w:p>
          <w:p w14:paraId="3996F7F9" w14:textId="67AAA910"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 xml:space="preserve">Total TSO </w:t>
            </w:r>
            <w:r w:rsidR="007871A2">
              <w:t>[65]; [66], [67], [68]</w:t>
            </w:r>
          </w:p>
          <w:p w14:paraId="6FB3E18C" w14:textId="56E4BBDA"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 xml:space="preserve">ESO Coordinates </w:t>
            </w:r>
            <w:r w:rsidR="00796758">
              <w:t>[70]</w:t>
            </w:r>
          </w:p>
          <w:p w14:paraId="62E0ACBF" w14:textId="672E6D87"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Single Integrated Platform</w:t>
            </w:r>
            <w:r w:rsidRPr="00E20269">
              <w:t xml:space="preserve"> </w:t>
            </w:r>
            <w:r w:rsidR="00796758">
              <w:t>[71], [72]</w:t>
            </w:r>
          </w:p>
        </w:tc>
      </w:tr>
      <w:tr w:rsidR="00E20269" w:rsidRPr="00E20269" w14:paraId="24398789" w14:textId="77777777" w:rsidTr="003C0C27">
        <w:tc>
          <w:tcPr>
            <w:tcW w:w="1620" w:type="dxa"/>
            <w:shd w:val="clear" w:color="auto" w:fill="067296" w:themeFill="accent3"/>
            <w:vAlign w:val="center"/>
          </w:tcPr>
          <w:p w14:paraId="78906BF1" w14:textId="77777777" w:rsidR="00E20269" w:rsidRPr="00E20269" w:rsidRDefault="00E20269" w:rsidP="00E20269">
            <w:pPr>
              <w:spacing w:before="120" w:after="120"/>
              <w:ind w:left="168" w:right="172"/>
              <w:jc w:val="center"/>
              <w:rPr>
                <w:rFonts w:ascii="PP Mori SemiBold" w:hAnsi="PP Mori SemiBold"/>
                <w:color w:val="FAFAFA" w:themeColor="background1"/>
              </w:rPr>
            </w:pPr>
            <w:r w:rsidRPr="00E20269">
              <w:rPr>
                <w:rFonts w:ascii="PP Mori SemiBold" w:hAnsi="PP Mori SemiBold"/>
                <w:color w:val="FAFAFA" w:themeColor="background1"/>
              </w:rPr>
              <w:t xml:space="preserve">Multi-entity </w:t>
            </w:r>
          </w:p>
        </w:tc>
        <w:tc>
          <w:tcPr>
            <w:tcW w:w="4022" w:type="dxa"/>
          </w:tcPr>
          <w:p w14:paraId="578A054B" w14:textId="77777777" w:rsidR="00E20269" w:rsidRPr="00E20269" w:rsidRDefault="00E20269" w:rsidP="00E20269">
            <w:pPr>
              <w:spacing w:before="60" w:after="60"/>
              <w:jc w:val="center"/>
            </w:pPr>
            <w:r w:rsidRPr="00E20269">
              <w:rPr>
                <w:noProof/>
              </w:rPr>
              <w:drawing>
                <wp:inline distT="0" distB="0" distL="0" distR="0" wp14:anchorId="544D3AAC" wp14:editId="70338DAE">
                  <wp:extent cx="1913711" cy="1332000"/>
                  <wp:effectExtent l="0" t="0" r="0" b="1905"/>
                  <wp:docPr id="1552460522" name="Picture 2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60522" name="Picture 21" descr="A diagram of a system&#10;&#10;AI-generated content may be incorrect."/>
                          <pic:cNvPicPr/>
                        </pic:nvPicPr>
                        <pic:blipFill rotWithShape="1">
                          <a:blip r:embed="rId24" cstate="print">
                            <a:extLst>
                              <a:ext uri="{28A0092B-C50C-407E-A947-70E740481C1C}">
                                <a14:useLocalDpi xmlns:a14="http://schemas.microsoft.com/office/drawing/2010/main" val="0"/>
                              </a:ext>
                            </a:extLst>
                          </a:blip>
                          <a:srcRect l="16720" t="9393" r="19931" b="10020"/>
                          <a:stretch/>
                        </pic:blipFill>
                        <pic:spPr bwMode="auto">
                          <a:xfrm>
                            <a:off x="0" y="0"/>
                            <a:ext cx="1913711" cy="1332000"/>
                          </a:xfrm>
                          <a:prstGeom prst="rect">
                            <a:avLst/>
                          </a:prstGeom>
                          <a:ln>
                            <a:noFill/>
                          </a:ln>
                          <a:extLst>
                            <a:ext uri="{53640926-AAD7-44D8-BBD7-CCE9431645EC}">
                              <a14:shadowObscured xmlns:a14="http://schemas.microsoft.com/office/drawing/2010/main"/>
                            </a:ext>
                          </a:extLst>
                        </pic:spPr>
                      </pic:pic>
                    </a:graphicData>
                  </a:graphic>
                </wp:inline>
              </w:drawing>
            </w:r>
          </w:p>
        </w:tc>
        <w:tc>
          <w:tcPr>
            <w:tcW w:w="5078" w:type="dxa"/>
            <w:vAlign w:val="center"/>
          </w:tcPr>
          <w:p w14:paraId="64F9FB1D" w14:textId="77777777" w:rsidR="00E20269" w:rsidRPr="00E20269" w:rsidRDefault="00E20269" w:rsidP="00E20269">
            <w:pPr>
              <w:spacing w:before="120" w:after="120"/>
            </w:pPr>
            <w:r w:rsidRPr="00E20269">
              <w:t xml:space="preserve">The upstream SO and the relevant downstream DSO both have operational responsibilities for managing and/or influencing the operation of distribution-connected resources as do CER/DER aggregators.  Enabling scalable operational coordination and market co-optimisation under this model requires significant additional cyber-physical and computational platform investments.  </w:t>
            </w:r>
          </w:p>
        </w:tc>
        <w:tc>
          <w:tcPr>
            <w:tcW w:w="4091" w:type="dxa"/>
            <w:vAlign w:val="center"/>
          </w:tcPr>
          <w:p w14:paraId="652384D0" w14:textId="7CB9AF66"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Hybrid Model</w:t>
            </w:r>
            <w:r w:rsidRPr="00E20269">
              <w:t xml:space="preserve"> </w:t>
            </w:r>
            <w:r w:rsidR="00796758">
              <w:t>[65], [</w:t>
            </w:r>
            <w:r w:rsidR="00831785">
              <w:t>67], [68]’ [69], [71], [72]</w:t>
            </w:r>
            <w:r w:rsidRPr="00E20269">
              <w:t xml:space="preserve"> </w:t>
            </w:r>
          </w:p>
          <w:p w14:paraId="1EAB1461" w14:textId="52EF6FAA"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 xml:space="preserve">Coordinated DSO and ESO Procurement </w:t>
            </w:r>
            <w:r w:rsidR="004C7B1D">
              <w:t>[70]</w:t>
            </w:r>
            <w:r w:rsidRPr="00E20269">
              <w:t xml:space="preserve"> </w:t>
            </w:r>
          </w:p>
        </w:tc>
      </w:tr>
      <w:tr w:rsidR="00E20269" w:rsidRPr="00E20269" w14:paraId="6A72AD6B" w14:textId="77777777" w:rsidTr="003C0C27">
        <w:trPr>
          <w:trHeight w:val="43"/>
        </w:trPr>
        <w:tc>
          <w:tcPr>
            <w:tcW w:w="1620" w:type="dxa"/>
            <w:shd w:val="clear" w:color="auto" w:fill="067296" w:themeFill="accent3"/>
            <w:vAlign w:val="center"/>
          </w:tcPr>
          <w:p w14:paraId="4E115262" w14:textId="77777777" w:rsidR="00E20269" w:rsidRPr="00E20269" w:rsidRDefault="00E20269" w:rsidP="00E20269">
            <w:pPr>
              <w:spacing w:before="120" w:after="120"/>
              <w:jc w:val="center"/>
              <w:rPr>
                <w:rFonts w:ascii="PP Mori SemiBold" w:hAnsi="PP Mori SemiBold"/>
                <w:color w:val="FAFAFA" w:themeColor="background1"/>
              </w:rPr>
            </w:pPr>
            <w:r w:rsidRPr="00E20269">
              <w:rPr>
                <w:rFonts w:ascii="PP Mori SemiBold" w:hAnsi="PP Mori SemiBold"/>
                <w:color w:val="FAFAFA" w:themeColor="background1"/>
              </w:rPr>
              <w:t>Layered Coordination</w:t>
            </w:r>
          </w:p>
        </w:tc>
        <w:tc>
          <w:tcPr>
            <w:tcW w:w="4022" w:type="dxa"/>
          </w:tcPr>
          <w:p w14:paraId="09925B9D" w14:textId="77777777" w:rsidR="00E20269" w:rsidRPr="00E20269" w:rsidRDefault="00E20269" w:rsidP="00E20269">
            <w:pPr>
              <w:spacing w:before="60" w:after="60"/>
              <w:jc w:val="center"/>
            </w:pPr>
            <w:r w:rsidRPr="00E20269">
              <w:rPr>
                <w:noProof/>
              </w:rPr>
              <w:drawing>
                <wp:inline distT="0" distB="0" distL="0" distR="0" wp14:anchorId="2D86F523" wp14:editId="3B135869">
                  <wp:extent cx="1777042" cy="1272201"/>
                  <wp:effectExtent l="0" t="0" r="0" b="4445"/>
                  <wp:docPr id="1551450803" name="Picture 22"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50803" name="Picture 22" descr="A diagram of a structure&#10;&#10;AI-generated content may be incorrect."/>
                          <pic:cNvPicPr/>
                        </pic:nvPicPr>
                        <pic:blipFill rotWithShape="1">
                          <a:blip r:embed="rId25" cstate="print">
                            <a:extLst>
                              <a:ext uri="{28A0092B-C50C-407E-A947-70E740481C1C}">
                                <a14:useLocalDpi xmlns:a14="http://schemas.microsoft.com/office/drawing/2010/main" val="0"/>
                              </a:ext>
                            </a:extLst>
                          </a:blip>
                          <a:srcRect l="22449" t="8603" r="14134" b="6116"/>
                          <a:stretch/>
                        </pic:blipFill>
                        <pic:spPr bwMode="auto">
                          <a:xfrm>
                            <a:off x="0" y="0"/>
                            <a:ext cx="1811662" cy="1296986"/>
                          </a:xfrm>
                          <a:prstGeom prst="rect">
                            <a:avLst/>
                          </a:prstGeom>
                          <a:ln>
                            <a:noFill/>
                          </a:ln>
                          <a:extLst>
                            <a:ext uri="{53640926-AAD7-44D8-BBD7-CCE9431645EC}">
                              <a14:shadowObscured xmlns:a14="http://schemas.microsoft.com/office/drawing/2010/main"/>
                            </a:ext>
                          </a:extLst>
                        </pic:spPr>
                      </pic:pic>
                    </a:graphicData>
                  </a:graphic>
                </wp:inline>
              </w:drawing>
            </w:r>
          </w:p>
        </w:tc>
        <w:tc>
          <w:tcPr>
            <w:tcW w:w="5078" w:type="dxa"/>
            <w:vAlign w:val="center"/>
          </w:tcPr>
          <w:p w14:paraId="4ED139A0" w14:textId="77777777" w:rsidR="00E20269" w:rsidRPr="00E20269" w:rsidRDefault="00E20269" w:rsidP="00E20269">
            <w:pPr>
              <w:spacing w:before="120" w:after="120"/>
            </w:pPr>
            <w:r w:rsidRPr="00E20269">
              <w:t>The DSO has overall responsibility to manage the reliable and cost-optimised performance of the distribution system as an interdependent system layer, including network and non-network assets such as CER/DER. The DSO communicates aggregated data to the SO, and both entities actively manage the two-way interdependencies between the bulk power and distribution systems.</w:t>
            </w:r>
          </w:p>
        </w:tc>
        <w:tc>
          <w:tcPr>
            <w:tcW w:w="4091" w:type="dxa"/>
            <w:vAlign w:val="center"/>
          </w:tcPr>
          <w:p w14:paraId="4B9C93AE" w14:textId="144FB6E1"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Total DSO</w:t>
            </w:r>
            <w:r w:rsidRPr="00E20269">
              <w:t xml:space="preserve"> </w:t>
            </w:r>
            <w:r w:rsidRPr="004C7B1D">
              <w:t>[</w:t>
            </w:r>
            <w:r w:rsidR="008B3586" w:rsidRPr="004C7B1D">
              <w:t>65</w:t>
            </w:r>
            <w:r w:rsidRPr="004C7B1D">
              <w:t>], [</w:t>
            </w:r>
            <w:r w:rsidR="008B3586" w:rsidRPr="004C7B1D">
              <w:t>66</w:t>
            </w:r>
            <w:r w:rsidRPr="004C7B1D">
              <w:t>], [</w:t>
            </w:r>
            <w:r w:rsidR="00EF7623" w:rsidRPr="004C7B1D">
              <w:t>67</w:t>
            </w:r>
            <w:r w:rsidRPr="004C7B1D">
              <w:t>], [</w:t>
            </w:r>
            <w:r w:rsidR="00EF7623" w:rsidRPr="004C7B1D">
              <w:t>68</w:t>
            </w:r>
            <w:r w:rsidRPr="004C7B1D">
              <w:t>], [</w:t>
            </w:r>
            <w:r w:rsidR="00EF7623" w:rsidRPr="004C7B1D">
              <w:t>69</w:t>
            </w:r>
            <w:r w:rsidRPr="004C7B1D">
              <w:t>]</w:t>
            </w:r>
            <w:r w:rsidRPr="00E20269">
              <w:rPr>
                <w:color w:val="F85C5D" w:themeColor="hyperlink"/>
                <w:u w:val="single"/>
              </w:rPr>
              <w:fldChar w:fldCharType="begin"/>
            </w:r>
            <w:r w:rsidRPr="00E20269">
              <w:rPr>
                <w:color w:val="F85C5D" w:themeColor="hyperlink"/>
                <w:u w:val="single"/>
              </w:rPr>
              <w:instrText xml:space="preserve"> ADDIN ZOTERO_ITEM CSL_CITATION {"citationID":"a18f0t1u8s6","properties":{"formattedCitation":"[48], [49], [50], [51], [52]","plainCitation":"[48], [49], [50], [51], [52]","noteIndex":0},"citationItems":[{"id":"0PmI6sK1/Aiw2djBg","uris":["http://zotero.org/users/local/2mgdH29P/items/SGKWNRPK"],"itemData":{"id":741,"type":"report","title":"An Exploration of Potential DSO Models for New Zealand","URL":"https://www.ena.org.nz/assets/DMSDocuments/Potential-DSO-models-for-New-Zealand.pdf","author":[{"literal":"Baringa Partners LLP"}],"issued":{"date-parts":[["2025",4]]}}},{"id":"0PmI6sK1/Pay2iMCi","uris":["http://zotero.org/users/local/2mgdH29P/items/GAM4CNX8"],"itemData":{"id":742,"type":"report","title":"The Transition to a High-DER Electricity System: Creating a National Initiative on DER Integration for the United States","URL":"https://www.esig.energy/wp-content/uploads/2022/08/ESIG-DER-integration-US-initiative-report-2022.pdf","author":[{"literal":"Energy Systems Integration Group"}],"issued":{"date-parts":[["2022",8]]}}},{"id":"0PmI6sK1/Fy6ekbyh","uris":["http://zotero.org/users/17348326/items/ISPIC3XZ"],"itemData":{"id":"0PmI6sK1/Fy6ekbyh","type":"document","title":"The Network of Structures Grid Model Paradigm","URL":"https://gridarchitecture.pnnl.gov/media/advanced/The%20Network%20of%20Structures.pdf","author":[{"family":"Pacific Northwest National Laboratory (PNNL)","given":""}],"issued":{"date-parts":[["2014"]]}}},{"id":"0PmI6sK1/ja7A7B3o","uris":["http://zotero.org/users/17348326/items/FBHHGVBV"],"itemData":{"id":"0PmI6sK1/ja7A7B3o","type":"report","event-place":"U.K.","publisher-place":"U.K.","title":"DSO Performance Panel Report 2023/24","URL":"https://d1lf1oz5vvdb9r.cloudfront.net/app/uploads/2024/04/UK-Power-Networks-DSO-Performance-Panel-Report-2023-24-FINAL.pdf","author":[{"family":"UK Power Networks","given":""}],"issued":{"date-parts":[["2023"]],"season":"2024"}}},{"id":"0PmI6sK1/dbdjda4G","uris":["http://zotero.org/users/17348326/items/NQAYNI6X"],"itemData":{"id":"0PmI6sK1/dbdjda4G","type":"report","number":"White Paper","title":"Reforming the Energy Vision (REV)","URL":"https://www.ny.gov/sites/default/files/atoms/files/WhitePaperREVMarch2016.pdf","author":[{"family":"New York State Department","given":""}],"issued":{"date-parts":[["2016"]]}}}],"schema":"https://github.com/citation-style-language/schema/raw/master/csl-citation.json"} </w:instrText>
            </w:r>
            <w:r w:rsidRPr="00E20269">
              <w:rPr>
                <w:color w:val="F85C5D" w:themeColor="hyperlink"/>
                <w:u w:val="single"/>
              </w:rPr>
              <w:fldChar w:fldCharType="separate"/>
            </w:r>
            <w:r w:rsidRPr="00E20269">
              <w:rPr>
                <w:color w:val="F85C5D" w:themeColor="hyperlink"/>
                <w:u w:val="single"/>
              </w:rPr>
              <w:fldChar w:fldCharType="end"/>
            </w:r>
            <w:r w:rsidRPr="00E20269">
              <w:rPr>
                <w:highlight w:val="yellow"/>
              </w:rPr>
              <w:t xml:space="preserve"> </w:t>
            </w:r>
          </w:p>
          <w:p w14:paraId="50DA4AE8" w14:textId="7463392D"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Two-Step Tiered Platform</w:t>
            </w:r>
            <w:r w:rsidRPr="00E20269">
              <w:t xml:space="preserve"> </w:t>
            </w:r>
            <w:r w:rsidRPr="004C7B1D">
              <w:t>[</w:t>
            </w:r>
            <w:r w:rsidR="00EF7623" w:rsidRPr="004C7B1D">
              <w:t>71</w:t>
            </w:r>
            <w:r w:rsidRPr="004C7B1D">
              <w:t>],</w:t>
            </w:r>
            <w:r w:rsidRPr="00E20269">
              <w:t xml:space="preserve"> </w:t>
            </w:r>
            <w:hyperlink w:anchor="R_55" w:history="1">
              <w:r w:rsidRPr="004C7B1D">
                <w:t>[</w:t>
              </w:r>
              <w:r w:rsidR="00EF7623" w:rsidRPr="004C7B1D">
                <w:t>72</w:t>
              </w:r>
              <w:r w:rsidRPr="004C7B1D">
                <w:t>]</w:t>
              </w:r>
            </w:hyperlink>
          </w:p>
          <w:p w14:paraId="6178982C" w14:textId="080BEABB" w:rsidR="00E20269" w:rsidRPr="00E20269" w:rsidRDefault="00E20269" w:rsidP="00470C91">
            <w:pPr>
              <w:numPr>
                <w:ilvl w:val="0"/>
                <w:numId w:val="21"/>
              </w:numPr>
              <w:spacing w:before="120" w:after="120" w:line="252" w:lineRule="auto"/>
              <w:ind w:left="247" w:hanging="247"/>
            </w:pPr>
            <w:r w:rsidRPr="00E20269">
              <w:rPr>
                <w:rFonts w:ascii="PP Mori SemiBold" w:hAnsi="PP Mori SemiBold"/>
              </w:rPr>
              <w:t>DSO Coordinates</w:t>
            </w:r>
            <w:r w:rsidRPr="00E20269">
              <w:t xml:space="preserve"> </w:t>
            </w:r>
            <w:r w:rsidRPr="004C7B1D">
              <w:t>[</w:t>
            </w:r>
            <w:r w:rsidR="005906D8" w:rsidRPr="004C7B1D">
              <w:t>70</w:t>
            </w:r>
            <w:r w:rsidRPr="004C7B1D">
              <w:t>]</w:t>
            </w:r>
          </w:p>
        </w:tc>
      </w:tr>
    </w:tbl>
    <w:p w14:paraId="559604FF" w14:textId="77777777" w:rsidR="003239BF" w:rsidRDefault="003239BF" w:rsidP="007407A0">
      <w:pPr>
        <w:tabs>
          <w:tab w:val="left" w:pos="3016"/>
        </w:tabs>
        <w:sectPr w:rsidR="003239BF" w:rsidSect="003239BF">
          <w:pgSz w:w="16838" w:h="11906" w:orient="landscape" w:code="9"/>
          <w:pgMar w:top="2552" w:right="2552" w:bottom="851" w:left="1134" w:header="709" w:footer="709" w:gutter="0"/>
          <w:cols w:space="708"/>
          <w:docGrid w:linePitch="360"/>
        </w:sectPr>
      </w:pPr>
    </w:p>
    <w:p w14:paraId="79C0CA21" w14:textId="58A3C3AF" w:rsidR="00D8178F" w:rsidRPr="00F14453" w:rsidRDefault="0046540D" w:rsidP="00F14453">
      <w:pPr>
        <w:pStyle w:val="Heading2"/>
        <w:ind w:left="567" w:hanging="567"/>
      </w:pPr>
      <w:bookmarkStart w:id="66" w:name="_Toc205532846"/>
      <w:r w:rsidRPr="00F14453">
        <w:lastRenderedPageBreak/>
        <w:t xml:space="preserve">Formalised structures for </w:t>
      </w:r>
      <w:r w:rsidR="00620B1C" w:rsidRPr="00F14453">
        <w:t>whole-system alignment</w:t>
      </w:r>
      <w:bookmarkEnd w:id="66"/>
    </w:p>
    <w:p w14:paraId="58101D75" w14:textId="1AEC9FE0" w:rsidR="00E5342E" w:rsidRPr="0050162C" w:rsidRDefault="00BE3478" w:rsidP="00E2139C">
      <w:pPr>
        <w:spacing w:before="180" w:after="0" w:line="288" w:lineRule="auto"/>
        <w:rPr>
          <w:rFonts w:cs="Calibri"/>
          <w:szCs w:val="18"/>
        </w:rPr>
      </w:pPr>
      <w:r w:rsidRPr="0050162C">
        <w:rPr>
          <w:rFonts w:cs="Calibri"/>
          <w:szCs w:val="18"/>
        </w:rPr>
        <w:t>GW-scale</w:t>
      </w:r>
      <w:r w:rsidR="00E5342E" w:rsidRPr="0050162C">
        <w:rPr>
          <w:rFonts w:cs="Calibri"/>
          <w:szCs w:val="18"/>
        </w:rPr>
        <w:t xml:space="preserve"> power systems are </w:t>
      </w:r>
      <w:r w:rsidR="001C6EEC">
        <w:rPr>
          <w:rFonts w:cs="Calibri"/>
          <w:szCs w:val="18"/>
        </w:rPr>
        <w:t xml:space="preserve">typically </w:t>
      </w:r>
      <w:r w:rsidR="00E5342E" w:rsidRPr="0050162C">
        <w:rPr>
          <w:rFonts w:cs="Calibri"/>
          <w:szCs w:val="18"/>
        </w:rPr>
        <w:t xml:space="preserve">hierarchical </w:t>
      </w:r>
      <w:r w:rsidR="00817E41" w:rsidRPr="0050162C">
        <w:rPr>
          <w:rFonts w:cs="Calibri"/>
          <w:szCs w:val="18"/>
        </w:rPr>
        <w:t xml:space="preserve">– </w:t>
      </w:r>
      <w:r w:rsidR="00E5342E" w:rsidRPr="0050162C">
        <w:rPr>
          <w:rFonts w:cs="Calibri"/>
          <w:szCs w:val="18"/>
        </w:rPr>
        <w:t xml:space="preserve">the bulk power system is made up of several transmission networks, which each </w:t>
      </w:r>
      <w:r w:rsidR="00715380" w:rsidRPr="0050162C">
        <w:rPr>
          <w:rFonts w:cs="Calibri"/>
          <w:szCs w:val="18"/>
        </w:rPr>
        <w:t>interface</w:t>
      </w:r>
      <w:r w:rsidR="00E5342E" w:rsidRPr="0050162C">
        <w:rPr>
          <w:rFonts w:cs="Calibri"/>
          <w:szCs w:val="18"/>
        </w:rPr>
        <w:t xml:space="preserve"> with several distribution networks.</w:t>
      </w:r>
    </w:p>
    <w:p w14:paraId="5438A6E9" w14:textId="77777777" w:rsidR="00B5088E" w:rsidRDefault="00E5342E" w:rsidP="0094418A">
      <w:pPr>
        <w:keepNext/>
        <w:spacing w:after="120"/>
      </w:pPr>
      <w:r>
        <w:rPr>
          <w:noProof/>
          <w:lang w:val="en-GB"/>
        </w:rPr>
        <w:drawing>
          <wp:inline distT="0" distB="0" distL="0" distR="0" wp14:anchorId="57ECBC65" wp14:editId="78D2CAFE">
            <wp:extent cx="5486400" cy="3079750"/>
            <wp:effectExtent l="0" t="0" r="0" b="25400"/>
            <wp:docPr id="203404613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D46E3D9" w14:textId="490D565E" w:rsidR="00E5342E" w:rsidRDefault="00B5088E" w:rsidP="00B5088E">
      <w:pPr>
        <w:pStyle w:val="Caption"/>
      </w:pPr>
      <w:bookmarkStart w:id="67" w:name="_Toc205377440"/>
      <w:r>
        <w:t xml:space="preserve">Figure </w:t>
      </w:r>
      <w:fldSimple w:instr=" SEQ Figure \* ARABIC ">
        <w:r w:rsidR="00CE6CF1">
          <w:rPr>
            <w:noProof/>
          </w:rPr>
          <w:t>4</w:t>
        </w:r>
      </w:fldSimple>
      <w:r>
        <w:t xml:space="preserve">: </w:t>
      </w:r>
      <w:r w:rsidRPr="00E11CD2">
        <w:t>Hierarchical Structure of Power Systems</w:t>
      </w:r>
      <w:bookmarkEnd w:id="67"/>
    </w:p>
    <w:p w14:paraId="1E954244" w14:textId="6E3EF60F" w:rsidR="004B0C4B" w:rsidRPr="0050162C" w:rsidRDefault="00AA7FE8" w:rsidP="0050162C">
      <w:pPr>
        <w:spacing w:before="180" w:after="120" w:line="288" w:lineRule="auto"/>
        <w:rPr>
          <w:rFonts w:cs="Calibri"/>
          <w:szCs w:val="18"/>
        </w:rPr>
      </w:pPr>
      <w:r w:rsidRPr="0050162C">
        <w:rPr>
          <w:rFonts w:cs="Calibri"/>
          <w:szCs w:val="18"/>
        </w:rPr>
        <w:t>Without countermeasures, t</w:t>
      </w:r>
      <w:r w:rsidR="00E5342E" w:rsidRPr="0050162C">
        <w:rPr>
          <w:rFonts w:cs="Calibri"/>
          <w:szCs w:val="18"/>
        </w:rPr>
        <w:t xml:space="preserve">his can lead to bespoke and </w:t>
      </w:r>
      <w:r w:rsidR="00715380" w:rsidRPr="0050162C">
        <w:rPr>
          <w:rFonts w:cs="Calibri"/>
          <w:szCs w:val="18"/>
        </w:rPr>
        <w:t>disparate</w:t>
      </w:r>
      <w:r w:rsidR="00E5342E" w:rsidRPr="0050162C">
        <w:rPr>
          <w:rFonts w:cs="Calibri"/>
          <w:szCs w:val="18"/>
        </w:rPr>
        <w:t xml:space="preserve"> bilateral arrangements between </w:t>
      </w:r>
      <w:r w:rsidR="00BC1B88">
        <w:rPr>
          <w:rFonts w:cs="Calibri"/>
          <w:szCs w:val="18"/>
        </w:rPr>
        <w:t xml:space="preserve">the System Operator </w:t>
      </w:r>
      <w:r w:rsidR="00E5342E" w:rsidRPr="0050162C">
        <w:rPr>
          <w:rFonts w:cs="Calibri"/>
          <w:szCs w:val="18"/>
        </w:rPr>
        <w:t xml:space="preserve">and </w:t>
      </w:r>
      <w:r w:rsidR="00BC1B88">
        <w:rPr>
          <w:rFonts w:cs="Calibri"/>
          <w:szCs w:val="18"/>
        </w:rPr>
        <w:t xml:space="preserve">TNSPs </w:t>
      </w:r>
      <w:r w:rsidR="00C25295" w:rsidRPr="0050162C">
        <w:rPr>
          <w:rFonts w:cs="Calibri"/>
          <w:szCs w:val="18"/>
        </w:rPr>
        <w:t xml:space="preserve">and </w:t>
      </w:r>
      <w:r w:rsidR="00C7776B">
        <w:rPr>
          <w:rFonts w:cs="Calibri"/>
          <w:szCs w:val="18"/>
        </w:rPr>
        <w:t xml:space="preserve">between </w:t>
      </w:r>
      <w:r w:rsidR="00BC1B88">
        <w:rPr>
          <w:rFonts w:cs="Calibri"/>
          <w:szCs w:val="18"/>
        </w:rPr>
        <w:t xml:space="preserve">the System Operator </w:t>
      </w:r>
      <w:r w:rsidR="00C25295" w:rsidRPr="0050162C">
        <w:rPr>
          <w:rFonts w:cs="Calibri"/>
          <w:szCs w:val="18"/>
        </w:rPr>
        <w:t xml:space="preserve">and </w:t>
      </w:r>
      <w:r w:rsidR="00BC1B88">
        <w:rPr>
          <w:rFonts w:cs="Calibri"/>
          <w:szCs w:val="18"/>
        </w:rPr>
        <w:t xml:space="preserve">individual </w:t>
      </w:r>
      <w:r w:rsidR="00C25295" w:rsidRPr="0050162C">
        <w:rPr>
          <w:rFonts w:cs="Calibri"/>
          <w:szCs w:val="18"/>
        </w:rPr>
        <w:t>DSOs</w:t>
      </w:r>
      <w:r w:rsidR="00E5342E" w:rsidRPr="0050162C">
        <w:rPr>
          <w:rFonts w:cs="Calibri"/>
          <w:szCs w:val="18"/>
        </w:rPr>
        <w:t xml:space="preserve">. </w:t>
      </w:r>
      <w:r w:rsidR="00B7783F" w:rsidRPr="0050162C">
        <w:rPr>
          <w:rFonts w:cs="Calibri"/>
          <w:szCs w:val="18"/>
        </w:rPr>
        <w:t xml:space="preserve">Further, a single </w:t>
      </w:r>
      <w:r w:rsidR="00C25295" w:rsidRPr="0050162C">
        <w:rPr>
          <w:rFonts w:cs="Calibri"/>
          <w:szCs w:val="18"/>
        </w:rPr>
        <w:t xml:space="preserve">VPP or </w:t>
      </w:r>
      <w:r w:rsidR="00B7783F" w:rsidRPr="0050162C">
        <w:rPr>
          <w:rFonts w:cs="Calibri"/>
          <w:szCs w:val="18"/>
        </w:rPr>
        <w:t xml:space="preserve">aggregator </w:t>
      </w:r>
      <w:r w:rsidR="00BB6F94">
        <w:rPr>
          <w:rFonts w:cs="Calibri"/>
          <w:szCs w:val="18"/>
        </w:rPr>
        <w:t xml:space="preserve">entity </w:t>
      </w:r>
      <w:r w:rsidR="00B7783F" w:rsidRPr="0050162C">
        <w:rPr>
          <w:rFonts w:cs="Calibri"/>
          <w:szCs w:val="18"/>
        </w:rPr>
        <w:t xml:space="preserve">may </w:t>
      </w:r>
      <w:r w:rsidR="00F43986" w:rsidRPr="0050162C">
        <w:rPr>
          <w:rFonts w:cs="Calibri"/>
          <w:szCs w:val="18"/>
        </w:rPr>
        <w:t>need</w:t>
      </w:r>
      <w:r w:rsidR="00B7783F" w:rsidRPr="0050162C">
        <w:rPr>
          <w:rFonts w:cs="Calibri"/>
          <w:szCs w:val="18"/>
        </w:rPr>
        <w:t xml:space="preserve"> to interact </w:t>
      </w:r>
      <w:r w:rsidR="00C64C48">
        <w:rPr>
          <w:rFonts w:cs="Calibri"/>
          <w:szCs w:val="18"/>
        </w:rPr>
        <w:t xml:space="preserve">concurrently </w:t>
      </w:r>
      <w:r w:rsidR="00B7783F" w:rsidRPr="0050162C">
        <w:rPr>
          <w:rFonts w:cs="Calibri"/>
          <w:szCs w:val="18"/>
        </w:rPr>
        <w:t xml:space="preserve">with </w:t>
      </w:r>
      <w:r w:rsidR="00F43986" w:rsidRPr="0050162C">
        <w:rPr>
          <w:rFonts w:cs="Calibri"/>
          <w:szCs w:val="18"/>
        </w:rPr>
        <w:t>many</w:t>
      </w:r>
      <w:r w:rsidR="00B84E45" w:rsidRPr="0050162C">
        <w:rPr>
          <w:rFonts w:cs="Calibri"/>
          <w:szCs w:val="18"/>
        </w:rPr>
        <w:t xml:space="preserve"> </w:t>
      </w:r>
      <w:r w:rsidR="00417643" w:rsidRPr="0050162C">
        <w:rPr>
          <w:rFonts w:cs="Calibri"/>
          <w:szCs w:val="18"/>
        </w:rPr>
        <w:t xml:space="preserve">different </w:t>
      </w:r>
      <w:r w:rsidR="00B84E45" w:rsidRPr="0050162C">
        <w:rPr>
          <w:rFonts w:cs="Calibri"/>
          <w:szCs w:val="18"/>
        </w:rPr>
        <w:t xml:space="preserve">DSOs and the wholesale market. </w:t>
      </w:r>
      <w:r w:rsidR="00417643" w:rsidRPr="0050162C">
        <w:rPr>
          <w:rFonts w:cs="Calibri"/>
          <w:szCs w:val="18"/>
        </w:rPr>
        <w:t>Without standardised interfaces</w:t>
      </w:r>
      <w:r w:rsidR="008C09E6" w:rsidRPr="0050162C">
        <w:rPr>
          <w:rFonts w:cs="Calibri"/>
          <w:szCs w:val="18"/>
        </w:rPr>
        <w:t xml:space="preserve">, </w:t>
      </w:r>
      <w:r w:rsidR="00CC101C" w:rsidRPr="0050162C">
        <w:rPr>
          <w:rFonts w:cs="Calibri"/>
          <w:szCs w:val="18"/>
        </w:rPr>
        <w:t xml:space="preserve">complexity </w:t>
      </w:r>
      <w:r w:rsidR="006350B2" w:rsidRPr="0050162C">
        <w:rPr>
          <w:rFonts w:cs="Calibri"/>
          <w:szCs w:val="18"/>
        </w:rPr>
        <w:t>escalates,</w:t>
      </w:r>
      <w:r w:rsidR="00CC101C" w:rsidRPr="0050162C">
        <w:rPr>
          <w:rFonts w:cs="Calibri"/>
          <w:szCs w:val="18"/>
        </w:rPr>
        <w:t xml:space="preserve"> and </w:t>
      </w:r>
      <w:r w:rsidR="008C09E6" w:rsidRPr="0050162C">
        <w:rPr>
          <w:rFonts w:cs="Calibri"/>
          <w:szCs w:val="18"/>
        </w:rPr>
        <w:t xml:space="preserve">implementation </w:t>
      </w:r>
      <w:r w:rsidR="00CC101C" w:rsidRPr="0050162C">
        <w:rPr>
          <w:rFonts w:cs="Calibri"/>
          <w:szCs w:val="18"/>
        </w:rPr>
        <w:t xml:space="preserve">and operational </w:t>
      </w:r>
      <w:r w:rsidR="008C09E6" w:rsidRPr="0050162C">
        <w:rPr>
          <w:rFonts w:cs="Calibri"/>
          <w:szCs w:val="18"/>
        </w:rPr>
        <w:t>costs</w:t>
      </w:r>
      <w:r w:rsidR="00A33017" w:rsidRPr="0050162C">
        <w:rPr>
          <w:rFonts w:cs="Calibri"/>
          <w:szCs w:val="18"/>
        </w:rPr>
        <w:t xml:space="preserve"> increase</w:t>
      </w:r>
      <w:r w:rsidR="00CC101C" w:rsidRPr="0050162C">
        <w:rPr>
          <w:rFonts w:cs="Calibri"/>
          <w:szCs w:val="18"/>
        </w:rPr>
        <w:t>.</w:t>
      </w:r>
    </w:p>
    <w:p w14:paraId="4657DE02" w14:textId="4EA64365" w:rsidR="000554A2" w:rsidRPr="0050162C" w:rsidRDefault="00D449B7" w:rsidP="0050162C">
      <w:pPr>
        <w:spacing w:before="180" w:after="120" w:line="288" w:lineRule="auto"/>
        <w:rPr>
          <w:rFonts w:cs="Calibri"/>
          <w:szCs w:val="18"/>
        </w:rPr>
      </w:pPr>
      <w:r>
        <w:rPr>
          <w:rFonts w:cs="Calibri"/>
          <w:szCs w:val="18"/>
        </w:rPr>
        <w:t xml:space="preserve">Each </w:t>
      </w:r>
      <w:r w:rsidR="00A33017" w:rsidRPr="0050162C">
        <w:rPr>
          <w:rFonts w:cs="Calibri"/>
          <w:szCs w:val="18"/>
        </w:rPr>
        <w:t xml:space="preserve">TDI should therefore </w:t>
      </w:r>
      <w:r w:rsidR="00D108C0">
        <w:rPr>
          <w:rFonts w:cs="Calibri"/>
          <w:szCs w:val="18"/>
        </w:rPr>
        <w:t xml:space="preserve">preferably </w:t>
      </w:r>
      <w:r w:rsidR="00A33017" w:rsidRPr="0050162C">
        <w:rPr>
          <w:rFonts w:cs="Calibri"/>
          <w:szCs w:val="18"/>
        </w:rPr>
        <w:t xml:space="preserve">provide for </w:t>
      </w:r>
      <w:r w:rsidR="000554A2" w:rsidRPr="0050162C">
        <w:rPr>
          <w:rFonts w:cs="Calibri"/>
          <w:szCs w:val="18"/>
        </w:rPr>
        <w:t>a distinct, private</w:t>
      </w:r>
      <w:r w:rsidR="006D38AB">
        <w:rPr>
          <w:rFonts w:cs="Calibri"/>
          <w:szCs w:val="18"/>
        </w:rPr>
        <w:t xml:space="preserve"> (closed)</w:t>
      </w:r>
      <w:r w:rsidR="000554A2" w:rsidRPr="0050162C">
        <w:rPr>
          <w:rFonts w:cs="Calibri"/>
          <w:szCs w:val="18"/>
        </w:rPr>
        <w:t>, and secure</w:t>
      </w:r>
      <w:r w:rsidR="00581C9B">
        <w:rPr>
          <w:rFonts w:cs="Calibri"/>
          <w:szCs w:val="18"/>
        </w:rPr>
        <w:t xml:space="preserve"> informational</w:t>
      </w:r>
      <w:r w:rsidR="000554A2" w:rsidRPr="0050162C">
        <w:rPr>
          <w:rFonts w:cs="Calibri"/>
          <w:szCs w:val="18"/>
        </w:rPr>
        <w:t xml:space="preserve"> environment for each </w:t>
      </w:r>
      <w:r>
        <w:rPr>
          <w:rFonts w:cs="Calibri"/>
          <w:szCs w:val="18"/>
        </w:rPr>
        <w:t xml:space="preserve">SO, </w:t>
      </w:r>
      <w:r w:rsidR="00DD3066" w:rsidRPr="0050162C">
        <w:rPr>
          <w:rFonts w:cs="Calibri"/>
          <w:szCs w:val="18"/>
        </w:rPr>
        <w:t>TNSP</w:t>
      </w:r>
      <w:r>
        <w:rPr>
          <w:rFonts w:cs="Calibri"/>
          <w:szCs w:val="18"/>
        </w:rPr>
        <w:t xml:space="preserve"> </w:t>
      </w:r>
      <w:r w:rsidR="00DD3066" w:rsidRPr="0050162C">
        <w:rPr>
          <w:rFonts w:cs="Calibri"/>
          <w:szCs w:val="18"/>
        </w:rPr>
        <w:t xml:space="preserve">and </w:t>
      </w:r>
      <w:r w:rsidR="000554A2" w:rsidRPr="0050162C">
        <w:rPr>
          <w:rFonts w:cs="Calibri"/>
          <w:szCs w:val="18"/>
        </w:rPr>
        <w:t>DSO</w:t>
      </w:r>
      <w:r w:rsidR="00FC576B">
        <w:rPr>
          <w:rFonts w:cs="Calibri"/>
          <w:szCs w:val="18"/>
        </w:rPr>
        <w:t>/DNSP</w:t>
      </w:r>
      <w:r w:rsidR="000554A2" w:rsidRPr="0050162C">
        <w:rPr>
          <w:rFonts w:cs="Calibri"/>
          <w:szCs w:val="18"/>
        </w:rPr>
        <w:t xml:space="preserve"> while enabling common interfaces and features for all DSOs. </w:t>
      </w:r>
      <w:r w:rsidR="00CC101C" w:rsidRPr="0050162C">
        <w:rPr>
          <w:rFonts w:cs="Calibri"/>
          <w:szCs w:val="18"/>
        </w:rPr>
        <w:t xml:space="preserve">This reduces the complexity and risk of an unmanageable </w:t>
      </w:r>
      <w:r w:rsidR="00816D74" w:rsidRPr="0050162C">
        <w:rPr>
          <w:rFonts w:cs="Calibri"/>
          <w:szCs w:val="18"/>
        </w:rPr>
        <w:t xml:space="preserve">proliferation of </w:t>
      </w:r>
      <w:r w:rsidR="00CC101C" w:rsidRPr="0050162C">
        <w:rPr>
          <w:rFonts w:cs="Calibri"/>
          <w:szCs w:val="18"/>
        </w:rPr>
        <w:t>interfaces</w:t>
      </w:r>
      <w:r w:rsidR="001F0D47" w:rsidRPr="0050162C">
        <w:rPr>
          <w:rFonts w:cs="Calibri"/>
          <w:szCs w:val="18"/>
        </w:rPr>
        <w:t>, datasets</w:t>
      </w:r>
      <w:r w:rsidR="00233598" w:rsidRPr="0050162C">
        <w:rPr>
          <w:rFonts w:cs="Calibri"/>
          <w:szCs w:val="18"/>
        </w:rPr>
        <w:t xml:space="preserve"> and control signals</w:t>
      </w:r>
      <w:r w:rsidR="00CC101C" w:rsidRPr="0050162C">
        <w:rPr>
          <w:rFonts w:cs="Calibri"/>
          <w:szCs w:val="18"/>
        </w:rPr>
        <w:t>. Such a common platform simplifies implementation and operation and reduces related costs</w:t>
      </w:r>
      <w:r w:rsidR="005E0CF4" w:rsidRPr="0050162C">
        <w:rPr>
          <w:rFonts w:cs="Calibri"/>
          <w:szCs w:val="18"/>
        </w:rPr>
        <w:t xml:space="preserve"> for all parties</w:t>
      </w:r>
      <w:r w:rsidR="00CC101C" w:rsidRPr="0050162C">
        <w:rPr>
          <w:rFonts w:cs="Calibri"/>
          <w:szCs w:val="18"/>
        </w:rPr>
        <w:t xml:space="preserve"> </w:t>
      </w:r>
      <w:r w:rsidR="003D1DBF" w:rsidRPr="004C7B1D">
        <w:rPr>
          <w:rFonts w:cs="Calibri"/>
          <w:noProof/>
          <w:szCs w:val="18"/>
        </w:rPr>
        <w:t>[13]</w:t>
      </w:r>
      <w:r w:rsidR="004B6824" w:rsidRPr="0050162C">
        <w:rPr>
          <w:rFonts w:cs="Calibri"/>
          <w:szCs w:val="18"/>
        </w:rPr>
        <w:t xml:space="preserve">. </w:t>
      </w:r>
    </w:p>
    <w:p w14:paraId="4E29549F" w14:textId="07E6532D" w:rsidR="00F81BF9" w:rsidRPr="0050162C" w:rsidRDefault="00736ACA" w:rsidP="0050162C">
      <w:pPr>
        <w:spacing w:before="180" w:after="120" w:line="288" w:lineRule="auto"/>
        <w:rPr>
          <w:rFonts w:cs="Calibri"/>
          <w:szCs w:val="18"/>
        </w:rPr>
      </w:pPr>
      <w:r w:rsidRPr="0050162C">
        <w:rPr>
          <w:rFonts w:cs="Calibri"/>
          <w:szCs w:val="18"/>
        </w:rPr>
        <w:t xml:space="preserve">Cross-jurisdictional standardisation should also be </w:t>
      </w:r>
      <w:r w:rsidR="003B2B92" w:rsidRPr="0050162C">
        <w:rPr>
          <w:rFonts w:cs="Calibri"/>
          <w:szCs w:val="18"/>
        </w:rPr>
        <w:t>pursued</w:t>
      </w:r>
      <w:r w:rsidRPr="0050162C">
        <w:rPr>
          <w:rFonts w:cs="Calibri"/>
          <w:szCs w:val="18"/>
        </w:rPr>
        <w:t xml:space="preserve"> where </w:t>
      </w:r>
      <w:r w:rsidR="00D33736">
        <w:rPr>
          <w:rFonts w:cs="Calibri"/>
          <w:szCs w:val="18"/>
        </w:rPr>
        <w:t>appropriate</w:t>
      </w:r>
      <w:r w:rsidRPr="0050162C">
        <w:rPr>
          <w:rFonts w:cs="Calibri"/>
          <w:szCs w:val="18"/>
        </w:rPr>
        <w:t>.</w:t>
      </w:r>
      <w:r w:rsidR="0095635D" w:rsidRPr="0050162C">
        <w:rPr>
          <w:rFonts w:cs="Calibri"/>
          <w:szCs w:val="18"/>
        </w:rPr>
        <w:t xml:space="preserve"> Vendor </w:t>
      </w:r>
      <w:r w:rsidR="00A3241C">
        <w:rPr>
          <w:rFonts w:cs="Calibri"/>
          <w:szCs w:val="18"/>
        </w:rPr>
        <w:t xml:space="preserve">offerings for </w:t>
      </w:r>
      <w:r w:rsidR="0090706A" w:rsidRPr="0050162C">
        <w:rPr>
          <w:rFonts w:cs="Calibri"/>
          <w:szCs w:val="18"/>
        </w:rPr>
        <w:t>utility</w:t>
      </w:r>
      <w:r w:rsidR="003F7F8B" w:rsidRPr="0050162C">
        <w:rPr>
          <w:rFonts w:cs="Calibri"/>
          <w:szCs w:val="18"/>
        </w:rPr>
        <w:t xml:space="preserve"> and VPP </w:t>
      </w:r>
      <w:r w:rsidR="0095635D" w:rsidRPr="0050162C">
        <w:rPr>
          <w:rFonts w:cs="Calibri"/>
          <w:szCs w:val="18"/>
        </w:rPr>
        <w:t xml:space="preserve">DERMS </w:t>
      </w:r>
      <w:r w:rsidR="00E64E68" w:rsidRPr="0050162C">
        <w:rPr>
          <w:rFonts w:cs="Calibri"/>
          <w:szCs w:val="18"/>
        </w:rPr>
        <w:t xml:space="preserve">commonly </w:t>
      </w:r>
      <w:r w:rsidR="003041AE" w:rsidRPr="0050162C">
        <w:rPr>
          <w:rFonts w:cs="Calibri"/>
          <w:szCs w:val="18"/>
        </w:rPr>
        <w:t>operate</w:t>
      </w:r>
      <w:r w:rsidR="0042595A" w:rsidRPr="0050162C">
        <w:rPr>
          <w:rFonts w:cs="Calibri"/>
          <w:szCs w:val="18"/>
        </w:rPr>
        <w:t xml:space="preserve"> </w:t>
      </w:r>
      <w:r w:rsidR="003B2B92" w:rsidRPr="0050162C">
        <w:rPr>
          <w:rFonts w:cs="Calibri"/>
          <w:szCs w:val="18"/>
        </w:rPr>
        <w:t>across</w:t>
      </w:r>
      <w:r w:rsidR="0042595A" w:rsidRPr="0050162C">
        <w:rPr>
          <w:rFonts w:cs="Calibri"/>
          <w:szCs w:val="18"/>
        </w:rPr>
        <w:t xml:space="preserve"> multiple </w:t>
      </w:r>
      <w:r w:rsidR="00E64E68" w:rsidRPr="0050162C">
        <w:rPr>
          <w:rFonts w:cs="Calibri"/>
          <w:szCs w:val="18"/>
        </w:rPr>
        <w:t xml:space="preserve">international </w:t>
      </w:r>
      <w:r w:rsidR="0042595A" w:rsidRPr="0050162C">
        <w:rPr>
          <w:rFonts w:cs="Calibri"/>
          <w:szCs w:val="18"/>
        </w:rPr>
        <w:t xml:space="preserve">markets </w:t>
      </w:r>
      <w:r w:rsidR="003041AE" w:rsidRPr="0050162C">
        <w:rPr>
          <w:rFonts w:cs="Calibri"/>
          <w:szCs w:val="18"/>
        </w:rPr>
        <w:t xml:space="preserve">and </w:t>
      </w:r>
      <w:r w:rsidR="005A6FB9">
        <w:rPr>
          <w:rFonts w:cs="Calibri"/>
          <w:szCs w:val="18"/>
        </w:rPr>
        <w:t xml:space="preserve">in the future should be required to </w:t>
      </w:r>
      <w:r w:rsidR="00796474" w:rsidRPr="0050162C">
        <w:rPr>
          <w:rFonts w:cs="Calibri"/>
          <w:szCs w:val="18"/>
        </w:rPr>
        <w:t>adapt</w:t>
      </w:r>
      <w:r w:rsidR="0042595A" w:rsidRPr="0050162C">
        <w:rPr>
          <w:rFonts w:cs="Calibri"/>
          <w:szCs w:val="18"/>
        </w:rPr>
        <w:t xml:space="preserve"> their systems to integrate with </w:t>
      </w:r>
      <w:r w:rsidR="00357041">
        <w:rPr>
          <w:rFonts w:cs="Calibri"/>
          <w:szCs w:val="18"/>
        </w:rPr>
        <w:t xml:space="preserve">both </w:t>
      </w:r>
      <w:r w:rsidR="009162CD" w:rsidRPr="0050162C">
        <w:rPr>
          <w:rFonts w:cs="Calibri"/>
          <w:szCs w:val="18"/>
        </w:rPr>
        <w:t xml:space="preserve">DSOs and </w:t>
      </w:r>
      <w:r w:rsidR="00357041">
        <w:rPr>
          <w:rFonts w:cs="Calibri"/>
          <w:szCs w:val="18"/>
        </w:rPr>
        <w:t>the System Operator</w:t>
      </w:r>
      <w:r w:rsidR="00075B34" w:rsidRPr="0050162C">
        <w:rPr>
          <w:rFonts w:cs="Calibri"/>
          <w:szCs w:val="18"/>
        </w:rPr>
        <w:t xml:space="preserve">. </w:t>
      </w:r>
      <w:r w:rsidR="00DB59FA" w:rsidRPr="0050162C">
        <w:rPr>
          <w:rFonts w:cs="Calibri"/>
          <w:szCs w:val="18"/>
        </w:rPr>
        <w:t xml:space="preserve">Given Australia’s smaller market size and influence over vendor offerings, </w:t>
      </w:r>
      <w:r w:rsidR="00F53E17" w:rsidRPr="0050162C">
        <w:rPr>
          <w:rFonts w:cs="Calibri"/>
          <w:szCs w:val="18"/>
        </w:rPr>
        <w:t xml:space="preserve">TDI designs that reduce </w:t>
      </w:r>
      <w:r w:rsidR="007D4CD1" w:rsidRPr="0050162C">
        <w:rPr>
          <w:rFonts w:cs="Calibri"/>
          <w:szCs w:val="18"/>
        </w:rPr>
        <w:t>the overhead of adapting system</w:t>
      </w:r>
      <w:r w:rsidR="002F5927" w:rsidRPr="0050162C">
        <w:rPr>
          <w:rFonts w:cs="Calibri"/>
          <w:szCs w:val="18"/>
        </w:rPr>
        <w:t>s</w:t>
      </w:r>
      <w:r w:rsidR="007D4CD1" w:rsidRPr="0050162C">
        <w:rPr>
          <w:rFonts w:cs="Calibri"/>
          <w:szCs w:val="18"/>
        </w:rPr>
        <w:t xml:space="preserve"> designed for </w:t>
      </w:r>
      <w:r w:rsidR="002F5927" w:rsidRPr="0050162C">
        <w:rPr>
          <w:rFonts w:cs="Calibri"/>
          <w:szCs w:val="18"/>
        </w:rPr>
        <w:t xml:space="preserve">other international markets will </w:t>
      </w:r>
      <w:r w:rsidR="00796474" w:rsidRPr="0050162C">
        <w:rPr>
          <w:rFonts w:cs="Calibri"/>
          <w:szCs w:val="18"/>
        </w:rPr>
        <w:t xml:space="preserve">reduce </w:t>
      </w:r>
      <w:r w:rsidR="009162CD" w:rsidRPr="0050162C">
        <w:rPr>
          <w:rFonts w:cs="Calibri"/>
          <w:szCs w:val="18"/>
        </w:rPr>
        <w:t>implementation cost</w:t>
      </w:r>
      <w:r w:rsidR="00796474" w:rsidRPr="0050162C">
        <w:rPr>
          <w:rFonts w:cs="Calibri"/>
          <w:szCs w:val="18"/>
        </w:rPr>
        <w:t xml:space="preserve">s and reduce </w:t>
      </w:r>
      <w:r w:rsidR="009162CD" w:rsidRPr="0050162C">
        <w:rPr>
          <w:rFonts w:cs="Calibri"/>
          <w:szCs w:val="18"/>
        </w:rPr>
        <w:t>technical barriers</w:t>
      </w:r>
      <w:r w:rsidR="00FC73CF" w:rsidRPr="0050162C">
        <w:rPr>
          <w:rFonts w:cs="Calibri"/>
          <w:szCs w:val="18"/>
        </w:rPr>
        <w:t xml:space="preserve"> to market entry and service provision</w:t>
      </w:r>
      <w:r w:rsidR="00E64E68" w:rsidRPr="0050162C">
        <w:rPr>
          <w:rFonts w:cs="Calibri"/>
          <w:szCs w:val="18"/>
        </w:rPr>
        <w:t xml:space="preserve"> by aggregators</w:t>
      </w:r>
      <w:r w:rsidR="003D1DBF">
        <w:rPr>
          <w:rFonts w:cs="Calibri"/>
          <w:szCs w:val="18"/>
        </w:rPr>
        <w:t xml:space="preserve"> </w:t>
      </w:r>
      <w:hyperlink w:anchor="Ref_14" w:history="1">
        <w:r w:rsidR="003D1DBF" w:rsidRPr="003D1DBF">
          <w:rPr>
            <w:rStyle w:val="Hyperlink"/>
            <w:rFonts w:cs="Calibri"/>
            <w:noProof/>
            <w:szCs w:val="18"/>
          </w:rPr>
          <w:t>[14]</w:t>
        </w:r>
      </w:hyperlink>
      <w:r w:rsidR="00805E92" w:rsidRPr="0050162C">
        <w:rPr>
          <w:rFonts w:cs="Calibri"/>
          <w:szCs w:val="18"/>
        </w:rPr>
        <w:t xml:space="preserve">. </w:t>
      </w:r>
    </w:p>
    <w:p w14:paraId="0953EA6C" w14:textId="5FA7CB62" w:rsidR="00C770D3" w:rsidRPr="0050162C" w:rsidRDefault="0093443F" w:rsidP="0050162C">
      <w:pPr>
        <w:spacing w:before="180" w:after="120" w:line="288" w:lineRule="auto"/>
        <w:rPr>
          <w:rFonts w:cs="Calibri"/>
          <w:szCs w:val="18"/>
        </w:rPr>
      </w:pPr>
      <w:r w:rsidRPr="0050162C">
        <w:rPr>
          <w:rFonts w:cs="Calibri"/>
          <w:szCs w:val="18"/>
        </w:rPr>
        <w:lastRenderedPageBreak/>
        <w:t>Regulatory provisions that encourage</w:t>
      </w:r>
      <w:r w:rsidR="00F6744E" w:rsidRPr="0050162C">
        <w:rPr>
          <w:rFonts w:cs="Calibri"/>
          <w:szCs w:val="18"/>
        </w:rPr>
        <w:t>, and where appropriate, enforce</w:t>
      </w:r>
      <w:r w:rsidRPr="0050162C">
        <w:rPr>
          <w:rFonts w:cs="Calibri"/>
          <w:szCs w:val="18"/>
        </w:rPr>
        <w:t xml:space="preserve"> standardisation across the TDI are also essential. </w:t>
      </w:r>
      <w:r w:rsidR="00805E92" w:rsidRPr="0050162C">
        <w:rPr>
          <w:rFonts w:cs="Calibri"/>
          <w:szCs w:val="18"/>
        </w:rPr>
        <w:t xml:space="preserve">In the EU, </w:t>
      </w:r>
      <w:r w:rsidR="00CA42EE" w:rsidRPr="0050162C">
        <w:rPr>
          <w:rFonts w:cs="Calibri"/>
          <w:szCs w:val="18"/>
        </w:rPr>
        <w:t xml:space="preserve">a key finding of </w:t>
      </w:r>
      <w:r w:rsidR="004B6824" w:rsidRPr="0050162C">
        <w:rPr>
          <w:rFonts w:cs="Calibri"/>
          <w:szCs w:val="18"/>
        </w:rPr>
        <w:t>project</w:t>
      </w:r>
      <w:r w:rsidR="00805E92" w:rsidRPr="0050162C">
        <w:rPr>
          <w:rFonts w:cs="Calibri"/>
          <w:szCs w:val="18"/>
        </w:rPr>
        <w:t xml:space="preserve"> SmartNet </w:t>
      </w:r>
      <w:r w:rsidR="004B6824" w:rsidRPr="0050162C">
        <w:rPr>
          <w:rFonts w:cs="Calibri"/>
          <w:szCs w:val="18"/>
        </w:rPr>
        <w:t xml:space="preserve">was that </w:t>
      </w:r>
      <w:r w:rsidR="00F6744E" w:rsidRPr="0050162C">
        <w:rPr>
          <w:rFonts w:cs="Calibri"/>
          <w:szCs w:val="18"/>
        </w:rPr>
        <w:t>w</w:t>
      </w:r>
      <w:r w:rsidR="007C09C6" w:rsidRPr="0050162C">
        <w:rPr>
          <w:rFonts w:cs="Calibri"/>
          <w:szCs w:val="18"/>
        </w:rPr>
        <w:t>ithout common EU regulations</w:t>
      </w:r>
      <w:r w:rsidR="00520211" w:rsidRPr="0050162C">
        <w:rPr>
          <w:rFonts w:cs="Calibri"/>
          <w:szCs w:val="18"/>
        </w:rPr>
        <w:t xml:space="preserve">, </w:t>
      </w:r>
      <w:r w:rsidR="001064C8" w:rsidRPr="0050162C">
        <w:rPr>
          <w:rFonts w:cs="Calibri"/>
          <w:szCs w:val="18"/>
        </w:rPr>
        <w:t>diverse and non-harmoni</w:t>
      </w:r>
      <w:r w:rsidR="0039680A">
        <w:rPr>
          <w:rFonts w:cs="Calibri"/>
          <w:szCs w:val="18"/>
        </w:rPr>
        <w:t>s</w:t>
      </w:r>
      <w:r w:rsidR="001064C8" w:rsidRPr="0050162C">
        <w:rPr>
          <w:rFonts w:cs="Calibri"/>
          <w:szCs w:val="18"/>
        </w:rPr>
        <w:t xml:space="preserve">ed </w:t>
      </w:r>
      <w:r w:rsidR="00E76748" w:rsidRPr="0050162C">
        <w:rPr>
          <w:rFonts w:cs="Calibri"/>
          <w:szCs w:val="18"/>
        </w:rPr>
        <w:t xml:space="preserve">agreements between TSOs and adjoining DSOs </w:t>
      </w:r>
      <w:r w:rsidR="00B81D4B" w:rsidRPr="0050162C">
        <w:rPr>
          <w:rFonts w:cs="Calibri"/>
          <w:szCs w:val="18"/>
        </w:rPr>
        <w:t xml:space="preserve">will be </w:t>
      </w:r>
      <w:r w:rsidR="008D1130">
        <w:rPr>
          <w:rFonts w:cs="Calibri"/>
          <w:szCs w:val="18"/>
        </w:rPr>
        <w:t xml:space="preserve">typically </w:t>
      </w:r>
      <w:r w:rsidR="00B81D4B" w:rsidRPr="0050162C">
        <w:rPr>
          <w:rFonts w:cs="Calibri"/>
          <w:szCs w:val="18"/>
        </w:rPr>
        <w:t>implemented</w:t>
      </w:r>
      <w:r w:rsidR="004D7859" w:rsidRPr="0050162C">
        <w:rPr>
          <w:rFonts w:cs="Calibri"/>
          <w:szCs w:val="18"/>
        </w:rPr>
        <w:t xml:space="preserve"> </w:t>
      </w:r>
      <w:r w:rsidR="003D1DBF" w:rsidRPr="00B7120A">
        <w:rPr>
          <w:rFonts w:cs="Calibri"/>
          <w:noProof/>
          <w:szCs w:val="18"/>
        </w:rPr>
        <w:t>[15]</w:t>
      </w:r>
      <w:r w:rsidR="00F6744E" w:rsidRPr="0050162C">
        <w:rPr>
          <w:rFonts w:cs="Calibri"/>
          <w:szCs w:val="18"/>
        </w:rPr>
        <w:t>.</w:t>
      </w:r>
      <w:r w:rsidR="0082334A" w:rsidRPr="0050162C">
        <w:rPr>
          <w:rFonts w:cs="Calibri"/>
          <w:szCs w:val="18"/>
        </w:rPr>
        <w:t xml:space="preserve"> </w:t>
      </w:r>
    </w:p>
    <w:p w14:paraId="7B4B275D" w14:textId="2802BD79" w:rsidR="00743C3D" w:rsidRDefault="00743C3D" w:rsidP="00F14453">
      <w:pPr>
        <w:pStyle w:val="Heading2"/>
        <w:ind w:left="567" w:hanging="567"/>
      </w:pPr>
      <w:bookmarkStart w:id="68" w:name="_Ref195602365"/>
      <w:bookmarkStart w:id="69" w:name="_Ref195602380"/>
      <w:bookmarkStart w:id="70" w:name="_Toc205532847"/>
      <w:bookmarkStart w:id="71" w:name="S_5_2"/>
      <w:r>
        <w:t>Formalis</w:t>
      </w:r>
      <w:r w:rsidR="00D905CC">
        <w:t xml:space="preserve">ed </w:t>
      </w:r>
      <w:r>
        <w:t xml:space="preserve">information </w:t>
      </w:r>
      <w:r w:rsidR="006A7717">
        <w:t xml:space="preserve">requirements of </w:t>
      </w:r>
      <w:r w:rsidR="00315C09">
        <w:t>relevant upstream and downstream entities</w:t>
      </w:r>
      <w:bookmarkEnd w:id="68"/>
      <w:bookmarkEnd w:id="69"/>
      <w:bookmarkEnd w:id="70"/>
      <w:r w:rsidR="00315C09">
        <w:t xml:space="preserve"> </w:t>
      </w:r>
    </w:p>
    <w:bookmarkEnd w:id="71"/>
    <w:p w14:paraId="16AEACBB" w14:textId="7F544CD1" w:rsidR="00C77C22" w:rsidRPr="0050162C" w:rsidRDefault="00BB116A" w:rsidP="0050162C">
      <w:pPr>
        <w:spacing w:before="180" w:after="120" w:line="288" w:lineRule="auto"/>
        <w:rPr>
          <w:rFonts w:cs="Calibri"/>
          <w:szCs w:val="18"/>
        </w:rPr>
      </w:pPr>
      <w:r w:rsidRPr="0050162C">
        <w:rPr>
          <w:rFonts w:cs="Calibri"/>
          <w:szCs w:val="18"/>
        </w:rPr>
        <w:t xml:space="preserve">In many jurisdictions, </w:t>
      </w:r>
      <w:r w:rsidR="00471E0D" w:rsidRPr="0050162C">
        <w:rPr>
          <w:rFonts w:cs="Calibri"/>
          <w:szCs w:val="18"/>
        </w:rPr>
        <w:t xml:space="preserve">initiatives are underway to </w:t>
      </w:r>
      <w:r w:rsidR="0061184E" w:rsidRPr="0050162C">
        <w:rPr>
          <w:rFonts w:cs="Calibri"/>
          <w:szCs w:val="18"/>
        </w:rPr>
        <w:t xml:space="preserve">map the </w:t>
      </w:r>
      <w:r w:rsidR="00435E1D" w:rsidRPr="0050162C">
        <w:rPr>
          <w:rFonts w:cs="Calibri"/>
          <w:szCs w:val="18"/>
        </w:rPr>
        <w:t>flow of required information through the T-D</w:t>
      </w:r>
      <w:r w:rsidR="009C2496" w:rsidRPr="0050162C">
        <w:rPr>
          <w:rFonts w:cs="Calibri"/>
          <w:szCs w:val="18"/>
        </w:rPr>
        <w:t xml:space="preserve"> </w:t>
      </w:r>
      <w:r w:rsidR="00DA79F3" w:rsidRPr="0050162C">
        <w:rPr>
          <w:rFonts w:cs="Calibri"/>
          <w:szCs w:val="18"/>
        </w:rPr>
        <w:t>I</w:t>
      </w:r>
      <w:r w:rsidR="009C2496" w:rsidRPr="0050162C">
        <w:rPr>
          <w:rFonts w:cs="Calibri"/>
          <w:szCs w:val="18"/>
        </w:rPr>
        <w:t>nterface, either generally or under a specific T-D Coordination model</w:t>
      </w:r>
      <w:r w:rsidR="00772EEE">
        <w:rPr>
          <w:rFonts w:cs="Calibri"/>
          <w:szCs w:val="18"/>
        </w:rPr>
        <w:t xml:space="preserve">. </w:t>
      </w:r>
      <w:r w:rsidR="00064F03" w:rsidRPr="0050162C">
        <w:rPr>
          <w:rFonts w:cs="Calibri"/>
          <w:szCs w:val="18"/>
        </w:rPr>
        <w:t>The formalised outputs of two such initiatives are provided in what follows.</w:t>
      </w:r>
    </w:p>
    <w:p w14:paraId="77409D15" w14:textId="037F500B" w:rsidR="00394475" w:rsidRPr="00582064" w:rsidRDefault="00394475" w:rsidP="001203A5">
      <w:pPr>
        <w:pStyle w:val="Heading3"/>
      </w:pPr>
      <w:bookmarkStart w:id="72" w:name="_Toc205532848"/>
      <w:r w:rsidRPr="00582064">
        <w:t xml:space="preserve">FERC Order No. 2222 Derived </w:t>
      </w:r>
      <w:r w:rsidR="007B5A28">
        <w:t>Information Requirements</w:t>
      </w:r>
      <w:bookmarkEnd w:id="72"/>
    </w:p>
    <w:p w14:paraId="04D733EE" w14:textId="0766096D" w:rsidR="00394475" w:rsidRPr="0050162C" w:rsidRDefault="00394475" w:rsidP="0050162C">
      <w:pPr>
        <w:spacing w:before="180" w:after="120" w:line="288" w:lineRule="auto"/>
        <w:rPr>
          <w:rFonts w:cs="Calibri"/>
          <w:szCs w:val="18"/>
        </w:rPr>
      </w:pPr>
      <w:r w:rsidRPr="0050162C">
        <w:rPr>
          <w:rFonts w:cs="Calibri"/>
          <w:szCs w:val="18"/>
        </w:rPr>
        <w:t>A recent assessment of functional requirements embedded in FERC Order No. 2222 for TSO-DSO-Aggregator coordination</w:t>
      </w:r>
      <w:r w:rsidR="006A3171">
        <w:rPr>
          <w:rFonts w:cs="Calibri"/>
          <w:szCs w:val="18"/>
        </w:rPr>
        <w:t>, an assessment</w:t>
      </w:r>
      <w:r w:rsidRPr="0050162C">
        <w:rPr>
          <w:rFonts w:cs="Calibri"/>
          <w:szCs w:val="18"/>
        </w:rPr>
        <w:t xml:space="preserve"> commissioned by the US Department of Energy</w:t>
      </w:r>
      <w:r w:rsidR="008D5E1B">
        <w:rPr>
          <w:rFonts w:cs="Calibri"/>
          <w:szCs w:val="18"/>
        </w:rPr>
        <w:t>,</w:t>
      </w:r>
      <w:r w:rsidRPr="0050162C">
        <w:rPr>
          <w:rFonts w:cs="Calibri"/>
          <w:szCs w:val="18"/>
        </w:rPr>
        <w:t xml:space="preserve"> derived the following set of required </w:t>
      </w:r>
      <w:r w:rsidR="00834A8F" w:rsidRPr="0050162C">
        <w:rPr>
          <w:rFonts w:cs="Calibri"/>
          <w:szCs w:val="18"/>
        </w:rPr>
        <w:t>information</w:t>
      </w:r>
      <w:r w:rsidRPr="0050162C">
        <w:rPr>
          <w:rFonts w:cs="Calibri"/>
          <w:szCs w:val="18"/>
        </w:rPr>
        <w:t xml:space="preserve"> across three core functional areas: DER Registration, Market Coordination, and Operational Coordination </w:t>
      </w:r>
      <w:r w:rsidR="00AF373E" w:rsidRPr="00340D25">
        <w:rPr>
          <w:rFonts w:cs="Calibri"/>
          <w:noProof/>
          <w:szCs w:val="18"/>
        </w:rPr>
        <w:t>[13]</w:t>
      </w:r>
      <w:r w:rsidRPr="0050162C">
        <w:rPr>
          <w:rFonts w:cs="Calibri"/>
          <w:szCs w:val="18"/>
        </w:rPr>
        <w:t>.</w:t>
      </w:r>
      <w:r w:rsidR="00DA79F3" w:rsidRPr="0050162C">
        <w:rPr>
          <w:rFonts w:cs="Calibri"/>
          <w:szCs w:val="18"/>
        </w:rPr>
        <w:t xml:space="preserve"> It </w:t>
      </w:r>
      <w:r w:rsidR="00725FB4" w:rsidRPr="0050162C">
        <w:rPr>
          <w:rFonts w:cs="Calibri"/>
          <w:szCs w:val="18"/>
        </w:rPr>
        <w:t xml:space="preserve">should be </w:t>
      </w:r>
      <w:r w:rsidR="00DA79F3" w:rsidRPr="0050162C">
        <w:rPr>
          <w:rFonts w:cs="Calibri"/>
          <w:szCs w:val="18"/>
        </w:rPr>
        <w:t xml:space="preserve">noted that </w:t>
      </w:r>
      <w:r w:rsidR="00725FB4" w:rsidRPr="0050162C">
        <w:rPr>
          <w:rFonts w:cs="Calibri"/>
          <w:szCs w:val="18"/>
        </w:rPr>
        <w:t>FERC Order No. 2222 is focused on enabling</w:t>
      </w:r>
      <w:r w:rsidR="00685057">
        <w:rPr>
          <w:rFonts w:cs="Calibri"/>
          <w:szCs w:val="18"/>
        </w:rPr>
        <w:t xml:space="preserve"> a hybrid model for the coordination of</w:t>
      </w:r>
      <w:r w:rsidR="00725FB4" w:rsidRPr="0050162C">
        <w:rPr>
          <w:rFonts w:cs="Calibri"/>
          <w:szCs w:val="18"/>
        </w:rPr>
        <w:t xml:space="preserve"> CER/DER participation in wholesale markets</w:t>
      </w:r>
      <w:r w:rsidR="00576859" w:rsidRPr="0050162C">
        <w:rPr>
          <w:rFonts w:cs="Calibri"/>
          <w:szCs w:val="18"/>
        </w:rPr>
        <w:t xml:space="preserve"> and </w:t>
      </w:r>
      <w:r w:rsidR="00D9793D">
        <w:rPr>
          <w:rFonts w:cs="Calibri"/>
          <w:szCs w:val="18"/>
        </w:rPr>
        <w:t>the</w:t>
      </w:r>
      <w:r w:rsidR="00D9793D" w:rsidRPr="0050162C">
        <w:rPr>
          <w:rFonts w:cs="Calibri"/>
          <w:szCs w:val="18"/>
        </w:rPr>
        <w:t xml:space="preserve"> </w:t>
      </w:r>
      <w:r w:rsidR="00576859" w:rsidRPr="0050162C">
        <w:rPr>
          <w:rFonts w:cs="Calibri"/>
          <w:szCs w:val="18"/>
        </w:rPr>
        <w:t>information requirements</w:t>
      </w:r>
      <w:r w:rsidR="0065174E">
        <w:rPr>
          <w:rFonts w:cs="Calibri"/>
          <w:szCs w:val="18"/>
        </w:rPr>
        <w:t xml:space="preserve"> identified in the assessment reflect </w:t>
      </w:r>
      <w:r w:rsidR="00576859" w:rsidRPr="0050162C">
        <w:rPr>
          <w:rFonts w:cs="Calibri"/>
          <w:szCs w:val="18"/>
        </w:rPr>
        <w:t xml:space="preserve">that model of operation. </w:t>
      </w:r>
      <w:r w:rsidR="00651CA2" w:rsidRPr="0050162C">
        <w:rPr>
          <w:rFonts w:cs="Calibri"/>
          <w:szCs w:val="18"/>
        </w:rPr>
        <w:t xml:space="preserve">The </w:t>
      </w:r>
      <w:r w:rsidR="00750852" w:rsidRPr="0050162C">
        <w:rPr>
          <w:rFonts w:cs="Calibri"/>
          <w:szCs w:val="18"/>
        </w:rPr>
        <w:t>information</w:t>
      </w:r>
      <w:r w:rsidR="00B04452" w:rsidRPr="0050162C">
        <w:rPr>
          <w:rFonts w:cs="Calibri"/>
          <w:szCs w:val="18"/>
        </w:rPr>
        <w:t xml:space="preserve"> origin,</w:t>
      </w:r>
      <w:r w:rsidR="00651CA2" w:rsidRPr="0050162C">
        <w:rPr>
          <w:rFonts w:cs="Calibri"/>
          <w:szCs w:val="18"/>
        </w:rPr>
        <w:t xml:space="preserve"> source, owner, and </w:t>
      </w:r>
      <w:r w:rsidR="00750852" w:rsidRPr="0050162C">
        <w:rPr>
          <w:rFonts w:cs="Calibri"/>
          <w:szCs w:val="18"/>
        </w:rPr>
        <w:t xml:space="preserve">responsible maintainer are not specified, as these </w:t>
      </w:r>
      <w:r w:rsidR="006C7368" w:rsidRPr="0050162C">
        <w:rPr>
          <w:rFonts w:cs="Calibri"/>
          <w:szCs w:val="18"/>
        </w:rPr>
        <w:t>would likely differ depending on the specific RTO/ISO</w:t>
      </w:r>
      <w:r w:rsidR="00F56BD5" w:rsidRPr="0050162C">
        <w:rPr>
          <w:rFonts w:cs="Calibri"/>
          <w:szCs w:val="18"/>
        </w:rPr>
        <w:t xml:space="preserve">, DSO and Aggregator roles and responsibilities. </w:t>
      </w:r>
    </w:p>
    <w:p w14:paraId="4EEFEA55" w14:textId="2D3ED0A3" w:rsidR="00394475" w:rsidRPr="009A3DD8" w:rsidRDefault="00394475" w:rsidP="00BF59B3">
      <w:pPr>
        <w:pStyle w:val="TOC1"/>
        <w:rPr>
          <w:rStyle w:val="Strong"/>
        </w:rPr>
      </w:pPr>
      <w:r w:rsidRPr="009A3DD8">
        <w:rPr>
          <w:rStyle w:val="Strong"/>
        </w:rPr>
        <w:t>DER Registration</w:t>
      </w:r>
    </w:p>
    <w:tbl>
      <w:tblPr>
        <w:tblStyle w:val="ListTable3"/>
        <w:tblW w:w="7980" w:type="dxa"/>
        <w:tblInd w:w="-5" w:type="dxa"/>
        <w:tblLayout w:type="fixed"/>
        <w:tblLook w:val="04A0" w:firstRow="1" w:lastRow="0" w:firstColumn="1" w:lastColumn="0" w:noHBand="0" w:noVBand="1"/>
      </w:tblPr>
      <w:tblGrid>
        <w:gridCol w:w="426"/>
        <w:gridCol w:w="2268"/>
        <w:gridCol w:w="5286"/>
      </w:tblGrid>
      <w:tr w:rsidR="00866F21" w:rsidRPr="00E42B29" w14:paraId="0A875935" w14:textId="77777777" w:rsidTr="000B7C48">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426" w:type="dxa"/>
            <w:vAlign w:val="center"/>
          </w:tcPr>
          <w:p w14:paraId="64FD938C" w14:textId="77777777" w:rsidR="00394475" w:rsidRPr="00696CA6" w:rsidRDefault="00394475" w:rsidP="008856B6">
            <w:pPr>
              <w:spacing w:before="0" w:after="0"/>
              <w:jc w:val="both"/>
              <w:rPr>
                <w:sz w:val="16"/>
                <w:szCs w:val="24"/>
                <w:lang w:eastAsia="en-AU" w:bidi="ar-SA"/>
              </w:rPr>
            </w:pPr>
            <w:r w:rsidRPr="00696CA6">
              <w:rPr>
                <w:sz w:val="16"/>
                <w:szCs w:val="24"/>
                <w:lang w:eastAsia="en-AU" w:bidi="ar-SA"/>
              </w:rPr>
              <w:t>ID</w:t>
            </w:r>
          </w:p>
        </w:tc>
        <w:tc>
          <w:tcPr>
            <w:tcW w:w="2268" w:type="dxa"/>
            <w:tcMar>
              <w:top w:w="57" w:type="dxa"/>
              <w:bottom w:w="57" w:type="dxa"/>
            </w:tcMar>
            <w:vAlign w:val="center"/>
          </w:tcPr>
          <w:p w14:paraId="6F124570" w14:textId="77777777" w:rsidR="00394475" w:rsidRPr="00696CA6" w:rsidRDefault="00394475" w:rsidP="008856B6">
            <w:pPr>
              <w:spacing w:before="0" w:after="0"/>
              <w:jc w:val="both"/>
              <w:cnfStyle w:val="100000000000" w:firstRow="1" w:lastRow="0" w:firstColumn="0" w:lastColumn="0" w:oddVBand="0" w:evenVBand="0" w:oddHBand="0" w:evenHBand="0" w:firstRowFirstColumn="0" w:firstRowLastColumn="0" w:lastRowFirstColumn="0" w:lastRowLastColumn="0"/>
              <w:rPr>
                <w:sz w:val="16"/>
                <w:szCs w:val="24"/>
                <w:lang w:eastAsia="en-AU" w:bidi="ar-SA"/>
              </w:rPr>
            </w:pPr>
            <w:r w:rsidRPr="00696CA6">
              <w:rPr>
                <w:sz w:val="16"/>
                <w:szCs w:val="24"/>
                <w:lang w:eastAsia="en-AU" w:bidi="ar-SA"/>
              </w:rPr>
              <w:t>Functionality</w:t>
            </w:r>
          </w:p>
        </w:tc>
        <w:tc>
          <w:tcPr>
            <w:tcW w:w="5286" w:type="dxa"/>
            <w:tcMar>
              <w:top w:w="57" w:type="dxa"/>
              <w:bottom w:w="57" w:type="dxa"/>
            </w:tcMar>
            <w:vAlign w:val="center"/>
          </w:tcPr>
          <w:p w14:paraId="2AFEC2E3" w14:textId="77777777" w:rsidR="00394475" w:rsidRPr="00696CA6" w:rsidRDefault="00394475" w:rsidP="008856B6">
            <w:pPr>
              <w:spacing w:before="0" w:after="0"/>
              <w:jc w:val="both"/>
              <w:cnfStyle w:val="100000000000" w:firstRow="1" w:lastRow="0" w:firstColumn="0" w:lastColumn="0" w:oddVBand="0" w:evenVBand="0" w:oddHBand="0" w:evenHBand="0" w:firstRowFirstColumn="0" w:firstRowLastColumn="0" w:lastRowFirstColumn="0" w:lastRowLastColumn="0"/>
              <w:rPr>
                <w:sz w:val="16"/>
                <w:szCs w:val="24"/>
                <w:lang w:eastAsia="en-AU" w:bidi="ar-SA"/>
              </w:rPr>
            </w:pPr>
            <w:r w:rsidRPr="00696CA6">
              <w:rPr>
                <w:sz w:val="16"/>
                <w:szCs w:val="24"/>
                <w:lang w:eastAsia="en-AU" w:bidi="ar-SA"/>
              </w:rPr>
              <w:t>Description</w:t>
            </w:r>
          </w:p>
        </w:tc>
      </w:tr>
      <w:tr w:rsidR="002840F9" w:rsidRPr="00E42B29" w14:paraId="7DA4E0CD" w14:textId="77777777" w:rsidTr="009D44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0575F876"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R1</w:t>
            </w:r>
          </w:p>
        </w:tc>
        <w:tc>
          <w:tcPr>
            <w:tcW w:w="2268" w:type="dxa"/>
            <w:shd w:val="clear" w:color="auto" w:fill="067296" w:themeFill="text2"/>
            <w:tcMar>
              <w:top w:w="57" w:type="dxa"/>
              <w:bottom w:w="57" w:type="dxa"/>
            </w:tcMar>
            <w:hideMark/>
          </w:tcPr>
          <w:p w14:paraId="19C96ECE" w14:textId="77777777" w:rsidR="00394475" w:rsidRPr="009D4475"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Asset Registration</w:t>
            </w:r>
          </w:p>
        </w:tc>
        <w:tc>
          <w:tcPr>
            <w:tcW w:w="5286" w:type="dxa"/>
            <w:hideMark/>
          </w:tcPr>
          <w:p w14:paraId="5FACA78E" w14:textId="77777777" w:rsidR="00394475" w:rsidRPr="00870C1B"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sz w:val="12"/>
                <w:szCs w:val="20"/>
                <w:lang w:eastAsia="en-AU" w:bidi="ar-SA"/>
              </w:rPr>
            </w:pPr>
            <w:r w:rsidRPr="00870C1B">
              <w:rPr>
                <w:sz w:val="12"/>
                <w:szCs w:val="20"/>
                <w:lang w:eastAsia="en-AU" w:bidi="ar-SA"/>
              </w:rPr>
              <w:t>DER Aggregator register DER assets (“once”), including detailed technical specifications (asset type, location, size and connection point) and ownership details common to all services and markets.</w:t>
            </w:r>
          </w:p>
        </w:tc>
      </w:tr>
      <w:tr w:rsidR="002840F9" w:rsidRPr="00E42B29" w14:paraId="65B0B6FB" w14:textId="77777777" w:rsidTr="009D4475">
        <w:trPr>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39512018"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R2</w:t>
            </w:r>
          </w:p>
        </w:tc>
        <w:tc>
          <w:tcPr>
            <w:tcW w:w="2268" w:type="dxa"/>
            <w:shd w:val="clear" w:color="auto" w:fill="067296" w:themeFill="text2"/>
            <w:tcMar>
              <w:top w:w="57" w:type="dxa"/>
              <w:bottom w:w="57" w:type="dxa"/>
            </w:tcMar>
            <w:hideMark/>
          </w:tcPr>
          <w:p w14:paraId="784909DD" w14:textId="77777777" w:rsidR="00394475" w:rsidRPr="009D4475"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Operating Parameters &amp; Characteristics</w:t>
            </w:r>
          </w:p>
        </w:tc>
        <w:tc>
          <w:tcPr>
            <w:tcW w:w="5286" w:type="dxa"/>
            <w:hideMark/>
          </w:tcPr>
          <w:p w14:paraId="250C58A0" w14:textId="77777777" w:rsidR="00394475" w:rsidRPr="00870C1B"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sz w:val="12"/>
                <w:szCs w:val="20"/>
                <w:lang w:eastAsia="en-AU" w:bidi="ar-SA"/>
              </w:rPr>
            </w:pPr>
            <w:r w:rsidRPr="00870C1B">
              <w:rPr>
                <w:sz w:val="12"/>
                <w:szCs w:val="20"/>
                <w:lang w:eastAsia="en-AU" w:bidi="ar-SA"/>
              </w:rPr>
              <w:t>Details about the operational aspects of DER assets including performance characteristics, metering, telemetry, and control capabilities.</w:t>
            </w:r>
          </w:p>
        </w:tc>
      </w:tr>
      <w:tr w:rsidR="002840F9" w:rsidRPr="00E42B29" w14:paraId="2A2FA508" w14:textId="77777777" w:rsidTr="009D44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4768B89D"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R3</w:t>
            </w:r>
          </w:p>
        </w:tc>
        <w:tc>
          <w:tcPr>
            <w:tcW w:w="2268" w:type="dxa"/>
            <w:shd w:val="clear" w:color="auto" w:fill="067296" w:themeFill="text2"/>
            <w:tcMar>
              <w:top w:w="57" w:type="dxa"/>
              <w:bottom w:w="57" w:type="dxa"/>
            </w:tcMar>
            <w:hideMark/>
          </w:tcPr>
          <w:p w14:paraId="177F3B6D" w14:textId="77777777" w:rsidR="00394475" w:rsidRPr="009D4475"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Interconnection and Operational Constraints</w:t>
            </w:r>
          </w:p>
        </w:tc>
        <w:tc>
          <w:tcPr>
            <w:tcW w:w="5286" w:type="dxa"/>
            <w:hideMark/>
          </w:tcPr>
          <w:p w14:paraId="071776A7" w14:textId="77777777" w:rsidR="00394475" w:rsidRPr="00870C1B"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sz w:val="12"/>
                <w:szCs w:val="20"/>
                <w:lang w:eastAsia="en-AU" w:bidi="ar-SA"/>
              </w:rPr>
            </w:pPr>
            <w:r w:rsidRPr="00870C1B">
              <w:rPr>
                <w:sz w:val="12"/>
                <w:szCs w:val="20"/>
                <w:lang w:eastAsia="en-AU" w:bidi="ar-SA"/>
              </w:rPr>
              <w:t>DER interconnection and deliverability parameters, including interconnection requirements and any specific market access limitations (e.g., export limits and temporal constraints).</w:t>
            </w:r>
          </w:p>
        </w:tc>
      </w:tr>
      <w:tr w:rsidR="002840F9" w:rsidRPr="00E42B29" w14:paraId="3A9726E9" w14:textId="77777777" w:rsidTr="009D4475">
        <w:trPr>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00DAFEE0"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R4</w:t>
            </w:r>
          </w:p>
        </w:tc>
        <w:tc>
          <w:tcPr>
            <w:tcW w:w="2268" w:type="dxa"/>
            <w:shd w:val="clear" w:color="auto" w:fill="067296" w:themeFill="text2"/>
            <w:tcMar>
              <w:top w:w="57" w:type="dxa"/>
              <w:bottom w:w="57" w:type="dxa"/>
            </w:tcMar>
            <w:hideMark/>
          </w:tcPr>
          <w:p w14:paraId="6C70781E" w14:textId="77777777" w:rsidR="00394475" w:rsidRPr="009D4475"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DER Aggregation Information</w:t>
            </w:r>
          </w:p>
        </w:tc>
        <w:tc>
          <w:tcPr>
            <w:tcW w:w="5286" w:type="dxa"/>
            <w:hideMark/>
          </w:tcPr>
          <w:p w14:paraId="31BCFF33" w14:textId="77777777" w:rsidR="00394475" w:rsidRPr="00870C1B"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sz w:val="12"/>
                <w:szCs w:val="20"/>
                <w:lang w:eastAsia="en-AU" w:bidi="ar-SA"/>
              </w:rPr>
            </w:pPr>
            <w:r w:rsidRPr="00870C1B">
              <w:rPr>
                <w:sz w:val="12"/>
                <w:szCs w:val="20"/>
                <w:lang w:eastAsia="en-AU" w:bidi="ar-SA"/>
              </w:rPr>
              <w:t>Detailed data about DER aggregations including DER composition (e.g., flexible load, distributed generation, and battery storage) and aggregate operational characteristics.</w:t>
            </w:r>
          </w:p>
        </w:tc>
      </w:tr>
      <w:tr w:rsidR="002840F9" w:rsidRPr="00E42B29" w14:paraId="59619FBF" w14:textId="77777777" w:rsidTr="009D44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53BC9B40"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R5</w:t>
            </w:r>
          </w:p>
        </w:tc>
        <w:tc>
          <w:tcPr>
            <w:tcW w:w="2268" w:type="dxa"/>
            <w:shd w:val="clear" w:color="auto" w:fill="067296" w:themeFill="text2"/>
            <w:tcMar>
              <w:top w:w="57" w:type="dxa"/>
              <w:bottom w:w="57" w:type="dxa"/>
            </w:tcMar>
            <w:hideMark/>
          </w:tcPr>
          <w:p w14:paraId="059CC197" w14:textId="77777777" w:rsidR="00394475" w:rsidRPr="009D4475"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DER Aggregator &amp; DER Owner Registration</w:t>
            </w:r>
          </w:p>
        </w:tc>
        <w:tc>
          <w:tcPr>
            <w:tcW w:w="5286" w:type="dxa"/>
            <w:hideMark/>
          </w:tcPr>
          <w:p w14:paraId="69BB8170" w14:textId="77777777" w:rsidR="00394475" w:rsidRPr="00870C1B"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sz w:val="12"/>
                <w:szCs w:val="20"/>
                <w:lang w:eastAsia="en-AU" w:bidi="ar-SA"/>
              </w:rPr>
            </w:pPr>
            <w:r w:rsidRPr="00870C1B">
              <w:rPr>
                <w:sz w:val="12"/>
                <w:szCs w:val="20"/>
                <w:lang w:eastAsia="en-AU" w:bidi="ar-SA"/>
              </w:rPr>
              <w:t>Registration of DER Aggregators and participating DER owners including relevant company information (e.g., ownership, contacts and any required regulatory certifications).</w:t>
            </w:r>
          </w:p>
        </w:tc>
      </w:tr>
      <w:tr w:rsidR="002840F9" w:rsidRPr="00E42B29" w14:paraId="51C67D95" w14:textId="77777777" w:rsidTr="009D4475">
        <w:trPr>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hideMark/>
          </w:tcPr>
          <w:p w14:paraId="113A381C"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R6</w:t>
            </w:r>
          </w:p>
        </w:tc>
        <w:tc>
          <w:tcPr>
            <w:tcW w:w="2268" w:type="dxa"/>
            <w:shd w:val="clear" w:color="auto" w:fill="067296" w:themeFill="text2"/>
            <w:tcMar>
              <w:top w:w="57" w:type="dxa"/>
              <w:bottom w:w="57" w:type="dxa"/>
            </w:tcMar>
            <w:hideMark/>
          </w:tcPr>
          <w:p w14:paraId="018735DC" w14:textId="77777777" w:rsidR="00394475" w:rsidRPr="009D4475"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 xml:space="preserve">Bulk System Operator, Distribution Utility, and Retail Regulatory Jurisdiction Information </w:t>
            </w:r>
            <w:r w:rsidRPr="009D4475">
              <w:rPr>
                <w:rFonts w:ascii="Calibri" w:hAnsi="Calibri" w:cs="Calibri"/>
                <w:color w:val="FAFAFA" w:themeColor="background1"/>
                <w:sz w:val="12"/>
                <w:szCs w:val="20"/>
                <w:lang w:eastAsia="en-AU" w:bidi="ar-SA"/>
              </w:rPr>
              <w:t> </w:t>
            </w:r>
          </w:p>
        </w:tc>
        <w:tc>
          <w:tcPr>
            <w:tcW w:w="5286" w:type="dxa"/>
            <w:hideMark/>
          </w:tcPr>
          <w:p w14:paraId="3B29E86D" w14:textId="77777777" w:rsidR="00394475" w:rsidRPr="00870C1B" w:rsidRDefault="00394475" w:rsidP="00567443">
            <w:pPr>
              <w:spacing w:before="0" w:after="0"/>
              <w:cnfStyle w:val="000000000000" w:firstRow="0" w:lastRow="0" w:firstColumn="0" w:lastColumn="0" w:oddVBand="0" w:evenVBand="0" w:oddHBand="0" w:evenHBand="0" w:firstRowFirstColumn="0" w:firstRowLastColumn="0" w:lastRowFirstColumn="0" w:lastRowLastColumn="0"/>
              <w:rPr>
                <w:sz w:val="12"/>
                <w:szCs w:val="20"/>
                <w:lang w:eastAsia="en-AU" w:bidi="ar-SA"/>
              </w:rPr>
            </w:pPr>
            <w:r w:rsidRPr="00870C1B">
              <w:rPr>
                <w:sz w:val="12"/>
                <w:szCs w:val="20"/>
                <w:lang w:eastAsia="en-AU" w:bidi="ar-SA"/>
              </w:rPr>
              <w:t>Identification of relevant distribution utilities, retail regulatory jurisdiction/s, wholesale market operators, including market and operational contact information</w:t>
            </w:r>
            <w:r w:rsidRPr="00870C1B">
              <w:rPr>
                <w:rFonts w:ascii="Calibri" w:hAnsi="Calibri" w:cs="Calibri"/>
                <w:sz w:val="12"/>
                <w:szCs w:val="20"/>
                <w:lang w:eastAsia="en-AU" w:bidi="ar-SA"/>
              </w:rPr>
              <w:t> </w:t>
            </w:r>
            <w:r w:rsidRPr="00870C1B">
              <w:rPr>
                <w:sz w:val="12"/>
                <w:szCs w:val="20"/>
                <w:lang w:eastAsia="en-AU" w:bidi="ar-SA"/>
              </w:rPr>
              <w:t>and relevant market operational rules, tariffs and other information associated with the provision of DER services.</w:t>
            </w:r>
          </w:p>
        </w:tc>
      </w:tr>
      <w:tr w:rsidR="002840F9" w:rsidRPr="00E42B29" w14:paraId="7B8ACC6A" w14:textId="77777777" w:rsidTr="009D44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dxa"/>
            <w:shd w:val="clear" w:color="auto" w:fill="067296" w:themeFill="text2"/>
          </w:tcPr>
          <w:p w14:paraId="46CC9638" w14:textId="77777777" w:rsidR="00394475" w:rsidRPr="009D4475" w:rsidRDefault="00394475" w:rsidP="009D4475">
            <w:pPr>
              <w:spacing w:before="0" w:after="0"/>
              <w:jc w:val="center"/>
              <w:rPr>
                <w:color w:val="FAFAFA" w:themeColor="background1"/>
                <w:sz w:val="12"/>
                <w:szCs w:val="20"/>
                <w:lang w:eastAsia="en-AU" w:bidi="ar-SA"/>
              </w:rPr>
            </w:pPr>
            <w:r w:rsidRPr="009D4475">
              <w:rPr>
                <w:color w:val="FAFAFA" w:themeColor="background1"/>
                <w:sz w:val="12"/>
                <w:szCs w:val="20"/>
                <w:lang w:eastAsia="en-AU" w:bidi="ar-SA"/>
              </w:rPr>
              <w:t>R7</w:t>
            </w:r>
          </w:p>
        </w:tc>
        <w:tc>
          <w:tcPr>
            <w:tcW w:w="2268" w:type="dxa"/>
            <w:shd w:val="clear" w:color="auto" w:fill="067296" w:themeFill="text2"/>
            <w:tcMar>
              <w:top w:w="57" w:type="dxa"/>
              <w:bottom w:w="57" w:type="dxa"/>
            </w:tcMar>
            <w:hideMark/>
          </w:tcPr>
          <w:p w14:paraId="31ABBB0F" w14:textId="77777777" w:rsidR="00394475" w:rsidRPr="009D4475"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color w:val="FAFAFA" w:themeColor="background1"/>
                <w:sz w:val="12"/>
                <w:szCs w:val="20"/>
                <w:lang w:eastAsia="en-AU" w:bidi="ar-SA"/>
              </w:rPr>
            </w:pPr>
            <w:r w:rsidRPr="009D4475">
              <w:rPr>
                <w:color w:val="FAFAFA" w:themeColor="background1"/>
                <w:sz w:val="12"/>
                <w:szCs w:val="20"/>
                <w:lang w:eastAsia="en-AU" w:bidi="ar-SA"/>
              </w:rPr>
              <w:t xml:space="preserve">Aggregation Rules &amp; Market Participation Rules Pre-qualification </w:t>
            </w:r>
            <w:r w:rsidRPr="009D4475">
              <w:rPr>
                <w:rFonts w:ascii="Calibri" w:hAnsi="Calibri" w:cs="Calibri"/>
                <w:color w:val="FAFAFA" w:themeColor="background1"/>
                <w:sz w:val="12"/>
                <w:szCs w:val="20"/>
                <w:lang w:eastAsia="en-AU" w:bidi="ar-SA"/>
              </w:rPr>
              <w:t> </w:t>
            </w:r>
          </w:p>
        </w:tc>
        <w:tc>
          <w:tcPr>
            <w:tcW w:w="5286" w:type="dxa"/>
            <w:hideMark/>
          </w:tcPr>
          <w:p w14:paraId="24340AB0" w14:textId="77777777" w:rsidR="00394475" w:rsidRPr="00870C1B" w:rsidRDefault="00394475" w:rsidP="00567443">
            <w:pPr>
              <w:spacing w:before="0" w:after="0"/>
              <w:cnfStyle w:val="000000100000" w:firstRow="0" w:lastRow="0" w:firstColumn="0" w:lastColumn="0" w:oddVBand="0" w:evenVBand="0" w:oddHBand="1" w:evenHBand="0" w:firstRowFirstColumn="0" w:firstRowLastColumn="0" w:lastRowFirstColumn="0" w:lastRowLastColumn="0"/>
              <w:rPr>
                <w:sz w:val="12"/>
                <w:szCs w:val="20"/>
                <w:lang w:eastAsia="en-AU" w:bidi="ar-SA"/>
              </w:rPr>
            </w:pPr>
            <w:r w:rsidRPr="00870C1B">
              <w:rPr>
                <w:sz w:val="12"/>
                <w:szCs w:val="20"/>
                <w:lang w:eastAsia="en-AU" w:bidi="ar-SA"/>
              </w:rPr>
              <w:t>Enable initial qualification based on wholesale retail rules for aggregating DERS provision of DERS services for wholesale markets distribution.</w:t>
            </w:r>
          </w:p>
        </w:tc>
      </w:tr>
    </w:tbl>
    <w:p w14:paraId="16D0ED7B" w14:textId="5DD6C84B" w:rsidR="00394475" w:rsidRPr="00870C1B" w:rsidRDefault="00394475" w:rsidP="004555FF">
      <w:pPr>
        <w:pStyle w:val="TOC1"/>
        <w:rPr>
          <w:rStyle w:val="Strong"/>
        </w:rPr>
      </w:pPr>
      <w:r w:rsidRPr="00870C1B">
        <w:rPr>
          <w:rStyle w:val="Strong"/>
        </w:rPr>
        <w:lastRenderedPageBreak/>
        <w:t>Market Coordination</w:t>
      </w:r>
    </w:p>
    <w:tbl>
      <w:tblPr>
        <w:tblStyle w:val="ListTable3-Accent1"/>
        <w:tblW w:w="7938" w:type="dxa"/>
        <w:tblInd w:w="-5" w:type="dxa"/>
        <w:tblLayout w:type="fixed"/>
        <w:tblLook w:val="04A0" w:firstRow="1" w:lastRow="0" w:firstColumn="1" w:lastColumn="0" w:noHBand="0" w:noVBand="1"/>
      </w:tblPr>
      <w:tblGrid>
        <w:gridCol w:w="567"/>
        <w:gridCol w:w="2127"/>
        <w:gridCol w:w="5244"/>
      </w:tblGrid>
      <w:tr w:rsidR="00866F21" w:rsidRPr="002A1EB3" w14:paraId="27FA4C9F" w14:textId="77777777" w:rsidTr="00305EF5">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67" w:type="dxa"/>
            <w:vAlign w:val="center"/>
            <w:hideMark/>
          </w:tcPr>
          <w:p w14:paraId="68333B9B" w14:textId="77777777" w:rsidR="00394475" w:rsidRPr="002B47B6" w:rsidRDefault="00394475" w:rsidP="00567443">
            <w:pPr>
              <w:spacing w:before="0" w:after="0"/>
              <w:rPr>
                <w:sz w:val="16"/>
                <w:szCs w:val="16"/>
                <w:lang w:eastAsia="en-AU" w:bidi="ar-SA"/>
              </w:rPr>
            </w:pPr>
            <w:r w:rsidRPr="002B47B6">
              <w:rPr>
                <w:sz w:val="16"/>
                <w:szCs w:val="16"/>
                <w:lang w:eastAsia="en-AU" w:bidi="ar-SA"/>
              </w:rPr>
              <w:t>ID</w:t>
            </w:r>
          </w:p>
        </w:tc>
        <w:tc>
          <w:tcPr>
            <w:tcW w:w="2127" w:type="dxa"/>
            <w:vAlign w:val="center"/>
            <w:hideMark/>
          </w:tcPr>
          <w:p w14:paraId="1082A4CB" w14:textId="77777777" w:rsidR="00394475" w:rsidRPr="002B47B6" w:rsidRDefault="00394475" w:rsidP="00567443">
            <w:pPr>
              <w:spacing w:before="0" w:after="0"/>
              <w:cnfStyle w:val="100000000000" w:firstRow="1" w:lastRow="0" w:firstColumn="0" w:lastColumn="0" w:oddVBand="0" w:evenVBand="0" w:oddHBand="0" w:evenHBand="0" w:firstRowFirstColumn="0" w:firstRowLastColumn="0" w:lastRowFirstColumn="0" w:lastRowLastColumn="0"/>
              <w:rPr>
                <w:sz w:val="16"/>
                <w:szCs w:val="16"/>
                <w:lang w:eastAsia="en-AU" w:bidi="ar-SA"/>
              </w:rPr>
            </w:pPr>
            <w:r w:rsidRPr="002B47B6">
              <w:rPr>
                <w:sz w:val="16"/>
                <w:szCs w:val="16"/>
                <w:lang w:eastAsia="en-AU" w:bidi="ar-SA"/>
              </w:rPr>
              <w:t>Functionality</w:t>
            </w:r>
          </w:p>
        </w:tc>
        <w:tc>
          <w:tcPr>
            <w:tcW w:w="5244" w:type="dxa"/>
            <w:tcMar>
              <w:top w:w="57" w:type="dxa"/>
              <w:bottom w:w="57" w:type="dxa"/>
            </w:tcMar>
            <w:vAlign w:val="center"/>
            <w:hideMark/>
          </w:tcPr>
          <w:p w14:paraId="7EF8C068" w14:textId="77777777" w:rsidR="00394475" w:rsidRPr="002B47B6" w:rsidRDefault="00394475" w:rsidP="00567443">
            <w:pPr>
              <w:spacing w:before="0" w:after="0"/>
              <w:cnfStyle w:val="100000000000" w:firstRow="1" w:lastRow="0" w:firstColumn="0" w:lastColumn="0" w:oddVBand="0" w:evenVBand="0" w:oddHBand="0" w:evenHBand="0" w:firstRowFirstColumn="0" w:firstRowLastColumn="0" w:lastRowFirstColumn="0" w:lastRowLastColumn="0"/>
              <w:rPr>
                <w:sz w:val="16"/>
                <w:szCs w:val="16"/>
                <w:lang w:eastAsia="en-AU" w:bidi="ar-SA"/>
              </w:rPr>
            </w:pPr>
            <w:r w:rsidRPr="002B47B6">
              <w:rPr>
                <w:sz w:val="16"/>
                <w:szCs w:val="16"/>
                <w:lang w:eastAsia="en-AU" w:bidi="ar-SA"/>
              </w:rPr>
              <w:t>Description</w:t>
            </w:r>
          </w:p>
        </w:tc>
      </w:tr>
      <w:tr w:rsidR="00A332AB" w:rsidRPr="002A1EB3" w14:paraId="23DC5CB7"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85A2689" w14:textId="77777777" w:rsidR="00394475" w:rsidRPr="00501ACD" w:rsidRDefault="00394475" w:rsidP="00501ACD">
            <w:pPr>
              <w:spacing w:before="0" w:after="0"/>
              <w:jc w:val="center"/>
              <w:rPr>
                <w:rFonts w:eastAsia="Times New Roman" w:cs="Segoe UI"/>
                <w:b w:val="0"/>
                <w:bCs w:val="0"/>
                <w:color w:val="FAFAFA" w:themeColor="background1"/>
                <w:sz w:val="12"/>
                <w:szCs w:val="16"/>
              </w:rPr>
            </w:pPr>
            <w:r w:rsidRPr="00501ACD">
              <w:rPr>
                <w:rFonts w:eastAsia="Times New Roman" w:cs="Segoe UI"/>
                <w:color w:val="FAFAFA" w:themeColor="background1"/>
                <w:sz w:val="12"/>
                <w:szCs w:val="16"/>
              </w:rPr>
              <w:t>M1</w:t>
            </w:r>
          </w:p>
        </w:tc>
        <w:tc>
          <w:tcPr>
            <w:tcW w:w="2127" w:type="dxa"/>
            <w:shd w:val="clear" w:color="auto" w:fill="067296" w:themeFill="text2"/>
            <w:vAlign w:val="center"/>
            <w:hideMark/>
          </w:tcPr>
          <w:p w14:paraId="45852724"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DER Services Registration</w:t>
            </w:r>
          </w:p>
        </w:tc>
        <w:tc>
          <w:tcPr>
            <w:tcW w:w="5244" w:type="dxa"/>
            <w:hideMark/>
          </w:tcPr>
          <w:p w14:paraId="203B73F6"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Register specific services offered by DER aggregations.</w:t>
            </w:r>
          </w:p>
        </w:tc>
      </w:tr>
      <w:tr w:rsidR="00A332AB" w:rsidRPr="002A1EB3" w14:paraId="64669D19"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57DDA2BC"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M2</w:t>
            </w:r>
          </w:p>
        </w:tc>
        <w:tc>
          <w:tcPr>
            <w:tcW w:w="2127" w:type="dxa"/>
            <w:shd w:val="clear" w:color="auto" w:fill="067296" w:themeFill="text2"/>
            <w:vAlign w:val="center"/>
            <w:hideMark/>
          </w:tcPr>
          <w:p w14:paraId="6CB8E05C"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DER Services Opportunities</w:t>
            </w:r>
          </w:p>
        </w:tc>
        <w:tc>
          <w:tcPr>
            <w:tcW w:w="5244" w:type="dxa"/>
            <w:hideMark/>
          </w:tcPr>
          <w:p w14:paraId="0B841001"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A list (or a map) with details on opportunities to provide wholesale and distribution services.</w:t>
            </w:r>
          </w:p>
        </w:tc>
      </w:tr>
      <w:tr w:rsidR="00A332AB" w:rsidRPr="002A1EB3" w14:paraId="4E0B737F"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FA5C4C3"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M3</w:t>
            </w:r>
          </w:p>
        </w:tc>
        <w:tc>
          <w:tcPr>
            <w:tcW w:w="2127" w:type="dxa"/>
            <w:shd w:val="clear" w:color="auto" w:fill="067296" w:themeFill="text2"/>
            <w:vAlign w:val="center"/>
            <w:hideMark/>
          </w:tcPr>
          <w:p w14:paraId="257A5046"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Market Participation Rules Validation</w:t>
            </w:r>
          </w:p>
        </w:tc>
        <w:tc>
          <w:tcPr>
            <w:tcW w:w="5244" w:type="dxa"/>
            <w:hideMark/>
          </w:tcPr>
          <w:p w14:paraId="60664254"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Validation to ensure DERAs adhere to specific market participation rules, such as bidding procedures, pricing structures, and pre-determined operational constraints.</w:t>
            </w:r>
          </w:p>
        </w:tc>
      </w:tr>
      <w:tr w:rsidR="00A332AB" w:rsidRPr="002A1EB3" w14:paraId="18F76303"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285AA6F4"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M4</w:t>
            </w:r>
          </w:p>
        </w:tc>
        <w:tc>
          <w:tcPr>
            <w:tcW w:w="2127" w:type="dxa"/>
            <w:shd w:val="clear" w:color="auto" w:fill="067296" w:themeFill="text2"/>
            <w:vAlign w:val="center"/>
            <w:hideMark/>
          </w:tcPr>
          <w:p w14:paraId="38C3B3FC"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Dual Participation Validation</w:t>
            </w:r>
          </w:p>
        </w:tc>
        <w:tc>
          <w:tcPr>
            <w:tcW w:w="5244" w:type="dxa"/>
            <w:hideMark/>
          </w:tcPr>
          <w:p w14:paraId="46DCA01D" w14:textId="5707BE16"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 xml:space="preserve">Validation of DER participation in both </w:t>
            </w:r>
            <w:r w:rsidR="00EF62E1" w:rsidRPr="00870C1B">
              <w:rPr>
                <w:rFonts w:eastAsia="Times New Roman" w:cs="Segoe UI"/>
                <w:color w:val="000000"/>
                <w:sz w:val="12"/>
                <w:szCs w:val="16"/>
              </w:rPr>
              <w:t>local</w:t>
            </w:r>
            <w:r w:rsidRPr="00870C1B">
              <w:rPr>
                <w:rFonts w:eastAsia="Times New Roman" w:cs="Segoe UI"/>
                <w:color w:val="000000"/>
                <w:sz w:val="12"/>
                <w:szCs w:val="16"/>
              </w:rPr>
              <w:t xml:space="preserve"> and wholesale markets, ensuring there are no conflicts or issues arising from their dual involvement.</w:t>
            </w:r>
          </w:p>
        </w:tc>
      </w:tr>
      <w:tr w:rsidR="00A332AB" w:rsidRPr="002A1EB3" w14:paraId="3FDDF324"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659E21D6"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M5</w:t>
            </w:r>
          </w:p>
        </w:tc>
        <w:tc>
          <w:tcPr>
            <w:tcW w:w="2127" w:type="dxa"/>
            <w:shd w:val="clear" w:color="auto" w:fill="067296" w:themeFill="text2"/>
            <w:vAlign w:val="center"/>
            <w:hideMark/>
          </w:tcPr>
          <w:p w14:paraId="7E84EDF9"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Day-ahead Distribution Operator Validation of Wholesale Commitments</w:t>
            </w:r>
          </w:p>
        </w:tc>
        <w:tc>
          <w:tcPr>
            <w:tcW w:w="5244" w:type="dxa"/>
            <w:hideMark/>
          </w:tcPr>
          <w:p w14:paraId="4CAA647D"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Distribution operator confirmation that DERs are capable of delivering on their wholesale market commitments.</w:t>
            </w:r>
          </w:p>
        </w:tc>
      </w:tr>
      <w:tr w:rsidR="00A332AB" w:rsidRPr="002A1EB3" w14:paraId="404788A8"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0C57CDA"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M6</w:t>
            </w:r>
          </w:p>
        </w:tc>
        <w:tc>
          <w:tcPr>
            <w:tcW w:w="2127" w:type="dxa"/>
            <w:shd w:val="clear" w:color="auto" w:fill="067296" w:themeFill="text2"/>
            <w:vAlign w:val="center"/>
            <w:hideMark/>
          </w:tcPr>
          <w:p w14:paraId="735389B0"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Automated Services Bidding</w:t>
            </w:r>
          </w:p>
        </w:tc>
        <w:tc>
          <w:tcPr>
            <w:tcW w:w="5244" w:type="dxa"/>
            <w:hideMark/>
          </w:tcPr>
          <w:p w14:paraId="66D6249D"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Automated system for multiple wholesale market and distribution services bidding.</w:t>
            </w:r>
          </w:p>
        </w:tc>
      </w:tr>
      <w:tr w:rsidR="00A332AB" w:rsidRPr="002A1EB3" w14:paraId="3C8EF2FD"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135264E8"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M7</w:t>
            </w:r>
          </w:p>
        </w:tc>
        <w:tc>
          <w:tcPr>
            <w:tcW w:w="2127" w:type="dxa"/>
            <w:shd w:val="clear" w:color="auto" w:fill="067296" w:themeFill="text2"/>
            <w:vAlign w:val="center"/>
            <w:hideMark/>
          </w:tcPr>
          <w:p w14:paraId="5AF5E3E2"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DER State Information &amp; Readiness</w:t>
            </w:r>
          </w:p>
        </w:tc>
        <w:tc>
          <w:tcPr>
            <w:tcW w:w="5244" w:type="dxa"/>
            <w:hideMark/>
          </w:tcPr>
          <w:p w14:paraId="26343982"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Captures real-time information on the state and readiness of each DER, including its availability, current operating capacity, and potential issues affecting performance.</w:t>
            </w:r>
          </w:p>
        </w:tc>
      </w:tr>
      <w:tr w:rsidR="00A332AB" w:rsidRPr="002A1EB3" w14:paraId="07453FEE"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530CA7AE"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M8</w:t>
            </w:r>
          </w:p>
        </w:tc>
        <w:tc>
          <w:tcPr>
            <w:tcW w:w="2127" w:type="dxa"/>
            <w:shd w:val="clear" w:color="auto" w:fill="067296" w:themeFill="text2"/>
            <w:vAlign w:val="center"/>
            <w:hideMark/>
          </w:tcPr>
          <w:p w14:paraId="27899AE6"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DER Asset Outage &amp; Curtailment Management</w:t>
            </w:r>
          </w:p>
        </w:tc>
        <w:tc>
          <w:tcPr>
            <w:tcW w:w="5244" w:type="dxa"/>
            <w:hideMark/>
          </w:tcPr>
          <w:p w14:paraId="6508377A"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Manages DER asset outages and curtailment including derations, notification procedures, and coordination of response strategies.</w:t>
            </w:r>
          </w:p>
        </w:tc>
      </w:tr>
      <w:tr w:rsidR="00A332AB" w:rsidRPr="002A1EB3" w14:paraId="73A2F762"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06B24390"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M9</w:t>
            </w:r>
          </w:p>
        </w:tc>
        <w:tc>
          <w:tcPr>
            <w:tcW w:w="2127" w:type="dxa"/>
            <w:shd w:val="clear" w:color="auto" w:fill="067296" w:themeFill="text2"/>
            <w:vAlign w:val="center"/>
            <w:hideMark/>
          </w:tcPr>
          <w:p w14:paraId="7FD6A454"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Coordination of Dispatch Instructions</w:t>
            </w:r>
          </w:p>
        </w:tc>
        <w:tc>
          <w:tcPr>
            <w:tcW w:w="5244" w:type="dxa"/>
            <w:hideMark/>
          </w:tcPr>
          <w:p w14:paraId="686B337B"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Coordination of bulk system and distribution dispatch instructions to ensure optimal use of DERAs including real-time adjustments based on system conditions.</w:t>
            </w:r>
          </w:p>
        </w:tc>
      </w:tr>
      <w:tr w:rsidR="00A332AB" w:rsidRPr="002A1EB3" w14:paraId="704B0955"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DF9548D"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M10</w:t>
            </w:r>
          </w:p>
        </w:tc>
        <w:tc>
          <w:tcPr>
            <w:tcW w:w="2127" w:type="dxa"/>
            <w:shd w:val="clear" w:color="auto" w:fill="067296" w:themeFill="text2"/>
            <w:vAlign w:val="center"/>
            <w:hideMark/>
          </w:tcPr>
          <w:p w14:paraId="712D7911"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Market Conflict Identification</w:t>
            </w:r>
          </w:p>
        </w:tc>
        <w:tc>
          <w:tcPr>
            <w:tcW w:w="5244" w:type="dxa"/>
            <w:hideMark/>
          </w:tcPr>
          <w:p w14:paraId="788A64D4"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If one asset is participating in two markets (and is operating within the defined market rules), and there is a conflict, users are alerted to it.</w:t>
            </w:r>
          </w:p>
        </w:tc>
      </w:tr>
      <w:tr w:rsidR="00A332AB" w:rsidRPr="002A1EB3" w14:paraId="7C29CD48" w14:textId="77777777" w:rsidTr="00501A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09B1E683"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M11</w:t>
            </w:r>
          </w:p>
        </w:tc>
        <w:tc>
          <w:tcPr>
            <w:tcW w:w="2127" w:type="dxa"/>
            <w:shd w:val="clear" w:color="auto" w:fill="067296" w:themeFill="text2"/>
            <w:vAlign w:val="center"/>
            <w:hideMark/>
          </w:tcPr>
          <w:p w14:paraId="08E4E0F9"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Reporting on DER Bidding Dispatch Changes Performance</w:t>
            </w:r>
          </w:p>
        </w:tc>
        <w:tc>
          <w:tcPr>
            <w:tcW w:w="5244" w:type="dxa"/>
            <w:hideMark/>
          </w:tcPr>
          <w:p w14:paraId="4F975878"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Provide transparency on dispatch instructions changes to dispatch performance.</w:t>
            </w:r>
          </w:p>
        </w:tc>
      </w:tr>
      <w:tr w:rsidR="00A332AB" w:rsidRPr="002A1EB3" w14:paraId="103B0096" w14:textId="77777777" w:rsidTr="00501ACD">
        <w:trPr>
          <w:trHeight w:val="20"/>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6AB52D41"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M12</w:t>
            </w:r>
          </w:p>
        </w:tc>
        <w:tc>
          <w:tcPr>
            <w:tcW w:w="2127" w:type="dxa"/>
            <w:shd w:val="clear" w:color="auto" w:fill="067296" w:themeFill="text2"/>
            <w:vAlign w:val="center"/>
            <w:hideMark/>
          </w:tcPr>
          <w:p w14:paraId="4395F83F"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Market Monitoring</w:t>
            </w:r>
          </w:p>
        </w:tc>
        <w:tc>
          <w:tcPr>
            <w:tcW w:w="5244" w:type="dxa"/>
            <w:hideMark/>
          </w:tcPr>
          <w:p w14:paraId="6B61565C" w14:textId="6CF84965"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Enable continuous observation of wholesale distribution market activities</w:t>
            </w:r>
            <w:r w:rsidR="001276E7">
              <w:rPr>
                <w:rFonts w:eastAsia="Times New Roman" w:cs="Segoe UI"/>
                <w:color w:val="000000"/>
                <w:sz w:val="12"/>
                <w:szCs w:val="16"/>
              </w:rPr>
              <w:t>, enabling identification of regulatory issues, market faults, and</w:t>
            </w:r>
            <w:r w:rsidRPr="00870C1B">
              <w:rPr>
                <w:rFonts w:eastAsia="Times New Roman" w:cs="Segoe UI"/>
                <w:color w:val="000000"/>
                <w:sz w:val="12"/>
                <w:szCs w:val="16"/>
              </w:rPr>
              <w:t xml:space="preserve"> security issues via analytics processes.</w:t>
            </w:r>
          </w:p>
        </w:tc>
      </w:tr>
    </w:tbl>
    <w:p w14:paraId="466A588E" w14:textId="13CED63E" w:rsidR="00394475" w:rsidRPr="00870C1B" w:rsidRDefault="00394475" w:rsidP="00BF59B3">
      <w:pPr>
        <w:pStyle w:val="TOC1"/>
        <w:rPr>
          <w:rStyle w:val="Strong"/>
        </w:rPr>
      </w:pPr>
      <w:r w:rsidRPr="00870C1B">
        <w:rPr>
          <w:rStyle w:val="Strong"/>
        </w:rPr>
        <w:t>Operational Coordination</w:t>
      </w:r>
    </w:p>
    <w:tbl>
      <w:tblPr>
        <w:tblStyle w:val="ListTable3-Accent1"/>
        <w:tblW w:w="7896" w:type="dxa"/>
        <w:tblInd w:w="-5" w:type="dxa"/>
        <w:tblLook w:val="04A0" w:firstRow="1" w:lastRow="0" w:firstColumn="1" w:lastColumn="0" w:noHBand="0" w:noVBand="1"/>
      </w:tblPr>
      <w:tblGrid>
        <w:gridCol w:w="567"/>
        <w:gridCol w:w="2127"/>
        <w:gridCol w:w="5202"/>
      </w:tblGrid>
      <w:tr w:rsidR="00866F21" w:rsidRPr="009A3DD8" w14:paraId="44C77EEF" w14:textId="77777777" w:rsidTr="00ED5BCF">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67" w:type="dxa"/>
            <w:vAlign w:val="center"/>
            <w:hideMark/>
          </w:tcPr>
          <w:p w14:paraId="78D423E9" w14:textId="77777777" w:rsidR="00394475" w:rsidRPr="002B47B6" w:rsidRDefault="00394475" w:rsidP="00567443">
            <w:pPr>
              <w:spacing w:before="0" w:after="0"/>
              <w:rPr>
                <w:rStyle w:val="Strong"/>
                <w:sz w:val="16"/>
                <w:szCs w:val="16"/>
              </w:rPr>
            </w:pPr>
            <w:r w:rsidRPr="002B47B6">
              <w:rPr>
                <w:rStyle w:val="Strong"/>
                <w:sz w:val="16"/>
                <w:szCs w:val="16"/>
              </w:rPr>
              <w:t>ID</w:t>
            </w:r>
          </w:p>
        </w:tc>
        <w:tc>
          <w:tcPr>
            <w:tcW w:w="2127" w:type="dxa"/>
            <w:vAlign w:val="center"/>
            <w:hideMark/>
          </w:tcPr>
          <w:p w14:paraId="7D72AA29" w14:textId="77777777" w:rsidR="00394475" w:rsidRPr="002B47B6" w:rsidRDefault="00394475" w:rsidP="00567443">
            <w:pPr>
              <w:spacing w:before="0" w:after="0"/>
              <w:cnfStyle w:val="100000000000" w:firstRow="1" w:lastRow="0" w:firstColumn="0" w:lastColumn="0" w:oddVBand="0" w:evenVBand="0" w:oddHBand="0" w:evenHBand="0" w:firstRowFirstColumn="0" w:firstRowLastColumn="0" w:lastRowFirstColumn="0" w:lastRowLastColumn="0"/>
              <w:rPr>
                <w:rStyle w:val="Strong"/>
                <w:sz w:val="16"/>
                <w:szCs w:val="16"/>
              </w:rPr>
            </w:pPr>
            <w:r w:rsidRPr="002B47B6">
              <w:rPr>
                <w:rStyle w:val="Strong"/>
                <w:sz w:val="16"/>
                <w:szCs w:val="16"/>
              </w:rPr>
              <w:t>Functionality</w:t>
            </w:r>
          </w:p>
        </w:tc>
        <w:tc>
          <w:tcPr>
            <w:tcW w:w="5202" w:type="dxa"/>
            <w:tcMar>
              <w:top w:w="57" w:type="dxa"/>
              <w:bottom w:w="57" w:type="dxa"/>
            </w:tcMar>
            <w:vAlign w:val="center"/>
            <w:hideMark/>
          </w:tcPr>
          <w:p w14:paraId="32F6E54D" w14:textId="77777777" w:rsidR="00394475" w:rsidRPr="002B47B6" w:rsidRDefault="00394475" w:rsidP="00567443">
            <w:pPr>
              <w:spacing w:before="0" w:after="0"/>
              <w:cnfStyle w:val="100000000000" w:firstRow="1" w:lastRow="0" w:firstColumn="0" w:lastColumn="0" w:oddVBand="0" w:evenVBand="0" w:oddHBand="0" w:evenHBand="0" w:firstRowFirstColumn="0" w:firstRowLastColumn="0" w:lastRowFirstColumn="0" w:lastRowLastColumn="0"/>
              <w:rPr>
                <w:rStyle w:val="Strong"/>
                <w:sz w:val="16"/>
                <w:szCs w:val="16"/>
              </w:rPr>
            </w:pPr>
            <w:r w:rsidRPr="002B47B6">
              <w:rPr>
                <w:rStyle w:val="Strong"/>
                <w:sz w:val="16"/>
                <w:szCs w:val="16"/>
              </w:rPr>
              <w:t>Description</w:t>
            </w:r>
          </w:p>
        </w:tc>
      </w:tr>
      <w:tr w:rsidR="00A332AB" w:rsidRPr="00925BAC" w14:paraId="06AED4C4"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345D6700" w14:textId="77777777" w:rsidR="00394475" w:rsidRPr="00501ACD" w:rsidRDefault="00394475" w:rsidP="00501ACD">
            <w:pPr>
              <w:spacing w:before="0" w:after="0"/>
              <w:jc w:val="center"/>
              <w:rPr>
                <w:rFonts w:eastAsia="Times New Roman" w:cs="Segoe UI"/>
                <w:b w:val="0"/>
                <w:bCs w:val="0"/>
                <w:color w:val="FAFAFA" w:themeColor="background1"/>
                <w:sz w:val="12"/>
                <w:szCs w:val="16"/>
              </w:rPr>
            </w:pPr>
            <w:r w:rsidRPr="00501ACD">
              <w:rPr>
                <w:rFonts w:eastAsia="Times New Roman" w:cs="Segoe UI"/>
                <w:color w:val="FAFAFA" w:themeColor="background1"/>
                <w:sz w:val="12"/>
                <w:szCs w:val="16"/>
              </w:rPr>
              <w:t>O1</w:t>
            </w:r>
          </w:p>
        </w:tc>
        <w:tc>
          <w:tcPr>
            <w:tcW w:w="2127" w:type="dxa"/>
            <w:shd w:val="clear" w:color="auto" w:fill="067296" w:themeFill="text2"/>
            <w:vAlign w:val="center"/>
            <w:hideMark/>
          </w:tcPr>
          <w:p w14:paraId="7E452C1C"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Real-Time T-D Node Visibility</w:t>
            </w:r>
          </w:p>
        </w:tc>
        <w:tc>
          <w:tcPr>
            <w:tcW w:w="5202" w:type="dxa"/>
            <w:hideMark/>
          </w:tcPr>
          <w:p w14:paraId="3EBA2875"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Visibility into the Transmission-Distribution (T-D) interface with real-time data on node performance, energy flows, and potential constraints.</w:t>
            </w:r>
          </w:p>
        </w:tc>
      </w:tr>
      <w:tr w:rsidR="00A332AB" w:rsidRPr="00925BAC" w14:paraId="377B9E24"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7C2528E2"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O2</w:t>
            </w:r>
          </w:p>
        </w:tc>
        <w:tc>
          <w:tcPr>
            <w:tcW w:w="2127" w:type="dxa"/>
            <w:shd w:val="clear" w:color="auto" w:fill="067296" w:themeFill="text2"/>
            <w:vAlign w:val="center"/>
            <w:hideMark/>
          </w:tcPr>
          <w:p w14:paraId="389E6375"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DER Reliability Monitoring</w:t>
            </w:r>
          </w:p>
        </w:tc>
        <w:tc>
          <w:tcPr>
            <w:tcW w:w="5202" w:type="dxa"/>
            <w:hideMark/>
          </w:tcPr>
          <w:p w14:paraId="2F5A5500"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DER Compliance with technical standards for interconnection and performance to ensure reliability and safety of the grid.</w:t>
            </w:r>
          </w:p>
        </w:tc>
      </w:tr>
      <w:tr w:rsidR="00A332AB" w:rsidRPr="00925BAC" w14:paraId="384222E7"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1C6EAD50"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O3</w:t>
            </w:r>
          </w:p>
        </w:tc>
        <w:tc>
          <w:tcPr>
            <w:tcW w:w="2127" w:type="dxa"/>
            <w:shd w:val="clear" w:color="auto" w:fill="067296" w:themeFill="text2"/>
            <w:vAlign w:val="center"/>
            <w:hideMark/>
          </w:tcPr>
          <w:p w14:paraId="5CFB8E8F"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Distribution Grid State Information</w:t>
            </w:r>
          </w:p>
        </w:tc>
        <w:tc>
          <w:tcPr>
            <w:tcW w:w="5202" w:type="dxa"/>
            <w:hideMark/>
          </w:tcPr>
          <w:p w14:paraId="3998DC24"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Real-time operational information on specific distribution grid outages, curtailments, and other changes to deliverability including affected locations and expected duration.</w:t>
            </w:r>
          </w:p>
        </w:tc>
      </w:tr>
      <w:tr w:rsidR="00A332AB" w:rsidRPr="00925BAC" w14:paraId="4343E112"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5C41B8E1"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O4</w:t>
            </w:r>
          </w:p>
        </w:tc>
        <w:tc>
          <w:tcPr>
            <w:tcW w:w="2127" w:type="dxa"/>
            <w:shd w:val="clear" w:color="auto" w:fill="067296" w:themeFill="text2"/>
            <w:vAlign w:val="center"/>
            <w:hideMark/>
          </w:tcPr>
          <w:p w14:paraId="605E7C15"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T&amp;D Deliverability Optimisation</w:t>
            </w:r>
          </w:p>
        </w:tc>
        <w:tc>
          <w:tcPr>
            <w:tcW w:w="5202" w:type="dxa"/>
            <w:hideMark/>
          </w:tcPr>
          <w:p w14:paraId="23CB247F" w14:textId="75B108AD"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 xml:space="preserve">Capability to enable </w:t>
            </w:r>
            <w:r w:rsidR="0085756E">
              <w:rPr>
                <w:rFonts w:eastAsia="Times New Roman" w:cs="Segoe UI"/>
                <w:color w:val="000000"/>
                <w:sz w:val="12"/>
                <w:szCs w:val="16"/>
              </w:rPr>
              <w:t>optimising</w:t>
            </w:r>
            <w:r w:rsidRPr="00870C1B">
              <w:rPr>
                <w:rFonts w:eastAsia="Times New Roman" w:cs="Segoe UI"/>
                <w:color w:val="000000"/>
                <w:sz w:val="12"/>
                <w:szCs w:val="16"/>
              </w:rPr>
              <w:t xml:space="preserve"> demand and supply (e.g., constraints) across transmission and distribution.</w:t>
            </w:r>
          </w:p>
        </w:tc>
      </w:tr>
      <w:tr w:rsidR="00A332AB" w:rsidRPr="00925BAC" w14:paraId="55BCFDD9"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1E1E4D94"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O5</w:t>
            </w:r>
          </w:p>
        </w:tc>
        <w:tc>
          <w:tcPr>
            <w:tcW w:w="2127" w:type="dxa"/>
            <w:shd w:val="clear" w:color="auto" w:fill="067296" w:themeFill="text2"/>
            <w:vAlign w:val="center"/>
            <w:hideMark/>
          </w:tcPr>
          <w:p w14:paraId="0B92D8AC"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Operational Instructions Record</w:t>
            </w:r>
          </w:p>
        </w:tc>
        <w:tc>
          <w:tcPr>
            <w:tcW w:w="5202" w:type="dxa"/>
            <w:hideMark/>
          </w:tcPr>
          <w:p w14:paraId="1B8EF0EA"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Real-time operational log of actions involving changes in deliverability of DER services due to changes in grid conditions (e.g., outages, line derates, circuit switching, etc.).</w:t>
            </w:r>
          </w:p>
        </w:tc>
      </w:tr>
    </w:tbl>
    <w:p w14:paraId="10560B5F" w14:textId="04B4EFF0" w:rsidR="00394475" w:rsidRPr="007168D6" w:rsidRDefault="00394475" w:rsidP="007168D6">
      <w:pPr>
        <w:spacing w:before="120" w:after="120" w:line="288" w:lineRule="auto"/>
        <w:rPr>
          <w:rFonts w:cs="Calibri"/>
          <w:szCs w:val="18"/>
        </w:rPr>
      </w:pPr>
      <w:r w:rsidRPr="007168D6">
        <w:rPr>
          <w:rFonts w:cs="Calibri"/>
          <w:szCs w:val="18"/>
        </w:rPr>
        <w:t xml:space="preserve">In addition, the analysis identified the following cross-cutting requirements </w:t>
      </w:r>
      <w:r w:rsidR="0007650B" w:rsidRPr="007168D6">
        <w:rPr>
          <w:rFonts w:cs="Calibri"/>
          <w:szCs w:val="18"/>
        </w:rPr>
        <w:t xml:space="preserve">relevant </w:t>
      </w:r>
      <w:r w:rsidRPr="007168D6">
        <w:rPr>
          <w:rFonts w:cs="Calibri"/>
          <w:szCs w:val="18"/>
        </w:rPr>
        <w:t xml:space="preserve">for </w:t>
      </w:r>
      <w:r w:rsidR="0007650B" w:rsidRPr="007168D6">
        <w:rPr>
          <w:rFonts w:cs="Calibri"/>
          <w:szCs w:val="18"/>
        </w:rPr>
        <w:t xml:space="preserve">both </w:t>
      </w:r>
      <w:r w:rsidRPr="007168D6">
        <w:rPr>
          <w:rFonts w:cs="Calibri"/>
          <w:szCs w:val="18"/>
        </w:rPr>
        <w:t xml:space="preserve">market and operational coordination mechanisms: </w:t>
      </w:r>
    </w:p>
    <w:tbl>
      <w:tblPr>
        <w:tblStyle w:val="ListTable3-Accent1"/>
        <w:tblW w:w="7938" w:type="dxa"/>
        <w:tblInd w:w="-5" w:type="dxa"/>
        <w:tblLook w:val="04A0" w:firstRow="1" w:lastRow="0" w:firstColumn="1" w:lastColumn="0" w:noHBand="0" w:noVBand="1"/>
      </w:tblPr>
      <w:tblGrid>
        <w:gridCol w:w="567"/>
        <w:gridCol w:w="2127"/>
        <w:gridCol w:w="5244"/>
      </w:tblGrid>
      <w:tr w:rsidR="00866F21" w:rsidRPr="00C27719" w14:paraId="7289EEF7" w14:textId="77777777" w:rsidTr="00ED5BCF">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67" w:type="dxa"/>
            <w:vAlign w:val="center"/>
            <w:hideMark/>
          </w:tcPr>
          <w:p w14:paraId="4FFEF50E" w14:textId="77777777" w:rsidR="00394475" w:rsidRPr="002B47B6" w:rsidRDefault="00394475" w:rsidP="006244E4">
            <w:pPr>
              <w:spacing w:before="0" w:after="0"/>
              <w:jc w:val="both"/>
              <w:rPr>
                <w:sz w:val="16"/>
                <w:szCs w:val="16"/>
                <w:lang w:eastAsia="en-AU" w:bidi="ar-SA"/>
              </w:rPr>
            </w:pPr>
            <w:r w:rsidRPr="002B47B6">
              <w:rPr>
                <w:b w:val="0"/>
                <w:bCs w:val="0"/>
                <w:sz w:val="16"/>
                <w:szCs w:val="16"/>
                <w:lang w:eastAsia="en-AU" w:bidi="ar-SA"/>
              </w:rPr>
              <w:t>ID</w:t>
            </w:r>
          </w:p>
        </w:tc>
        <w:tc>
          <w:tcPr>
            <w:tcW w:w="2127" w:type="dxa"/>
            <w:tcMar>
              <w:top w:w="57" w:type="dxa"/>
              <w:bottom w:w="57" w:type="dxa"/>
            </w:tcMar>
            <w:vAlign w:val="center"/>
            <w:hideMark/>
          </w:tcPr>
          <w:p w14:paraId="030C071C" w14:textId="77777777" w:rsidR="00394475" w:rsidRPr="002B47B6" w:rsidRDefault="00394475" w:rsidP="006244E4">
            <w:pPr>
              <w:spacing w:before="0" w:after="0"/>
              <w:jc w:val="both"/>
              <w:cnfStyle w:val="100000000000" w:firstRow="1" w:lastRow="0" w:firstColumn="0" w:lastColumn="0" w:oddVBand="0" w:evenVBand="0" w:oddHBand="0" w:evenHBand="0" w:firstRowFirstColumn="0" w:firstRowLastColumn="0" w:lastRowFirstColumn="0" w:lastRowLastColumn="0"/>
              <w:rPr>
                <w:b w:val="0"/>
                <w:bCs w:val="0"/>
                <w:sz w:val="16"/>
                <w:szCs w:val="16"/>
                <w:lang w:eastAsia="en-AU" w:bidi="ar-SA"/>
              </w:rPr>
            </w:pPr>
            <w:r w:rsidRPr="002B47B6">
              <w:rPr>
                <w:b w:val="0"/>
                <w:bCs w:val="0"/>
                <w:sz w:val="16"/>
                <w:szCs w:val="16"/>
                <w:lang w:eastAsia="en-AU" w:bidi="ar-SA"/>
              </w:rPr>
              <w:t>Functionality</w:t>
            </w:r>
          </w:p>
        </w:tc>
        <w:tc>
          <w:tcPr>
            <w:tcW w:w="5244" w:type="dxa"/>
            <w:vAlign w:val="center"/>
            <w:hideMark/>
          </w:tcPr>
          <w:p w14:paraId="7F797BA9" w14:textId="289A1F1C" w:rsidR="00394475" w:rsidRPr="002B47B6" w:rsidRDefault="00394475" w:rsidP="006244E4">
            <w:pPr>
              <w:tabs>
                <w:tab w:val="left" w:pos="1471"/>
              </w:tabs>
              <w:spacing w:before="0" w:after="0"/>
              <w:jc w:val="both"/>
              <w:cnfStyle w:val="100000000000" w:firstRow="1" w:lastRow="0" w:firstColumn="0" w:lastColumn="0" w:oddVBand="0" w:evenVBand="0" w:oddHBand="0" w:evenHBand="0" w:firstRowFirstColumn="0" w:firstRowLastColumn="0" w:lastRowFirstColumn="0" w:lastRowLastColumn="0"/>
              <w:rPr>
                <w:b w:val="0"/>
                <w:bCs w:val="0"/>
                <w:sz w:val="16"/>
                <w:szCs w:val="16"/>
                <w:lang w:eastAsia="en-AU" w:bidi="ar-SA"/>
              </w:rPr>
            </w:pPr>
            <w:r w:rsidRPr="002B47B6">
              <w:rPr>
                <w:b w:val="0"/>
                <w:bCs w:val="0"/>
                <w:sz w:val="16"/>
                <w:szCs w:val="16"/>
                <w:lang w:eastAsia="en-AU" w:bidi="ar-SA"/>
              </w:rPr>
              <w:t>Description</w:t>
            </w:r>
            <w:r w:rsidR="00E86CEE">
              <w:rPr>
                <w:b w:val="0"/>
                <w:bCs w:val="0"/>
                <w:sz w:val="16"/>
                <w:szCs w:val="16"/>
                <w:lang w:eastAsia="en-AU" w:bidi="ar-SA"/>
              </w:rPr>
              <w:tab/>
            </w:r>
          </w:p>
        </w:tc>
      </w:tr>
      <w:tr w:rsidR="00A332AB" w:rsidRPr="00C27719" w14:paraId="3BDA2A12"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30A17224" w14:textId="77777777" w:rsidR="00394475" w:rsidRPr="00501ACD" w:rsidRDefault="00394475" w:rsidP="00501ACD">
            <w:pPr>
              <w:spacing w:before="0" w:after="0"/>
              <w:jc w:val="center"/>
              <w:rPr>
                <w:rFonts w:eastAsia="Times New Roman" w:cs="Segoe UI"/>
                <w:b w:val="0"/>
                <w:bCs w:val="0"/>
                <w:color w:val="FAFAFA" w:themeColor="background1"/>
                <w:sz w:val="12"/>
                <w:szCs w:val="16"/>
              </w:rPr>
            </w:pPr>
            <w:r w:rsidRPr="00501ACD">
              <w:rPr>
                <w:rFonts w:eastAsia="Times New Roman" w:cs="Segoe UI"/>
                <w:color w:val="FAFAFA" w:themeColor="background1"/>
                <w:sz w:val="12"/>
                <w:szCs w:val="16"/>
              </w:rPr>
              <w:t>N1</w:t>
            </w:r>
          </w:p>
        </w:tc>
        <w:tc>
          <w:tcPr>
            <w:tcW w:w="2127" w:type="dxa"/>
            <w:shd w:val="clear" w:color="auto" w:fill="067296" w:themeFill="text2"/>
            <w:vAlign w:val="center"/>
            <w:hideMark/>
          </w:tcPr>
          <w:p w14:paraId="3CA4A505"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Standard Data Model</w:t>
            </w:r>
          </w:p>
        </w:tc>
        <w:tc>
          <w:tcPr>
            <w:tcW w:w="5244" w:type="dxa"/>
            <w:hideMark/>
          </w:tcPr>
          <w:p w14:paraId="135B97C5" w14:textId="12A36BF9"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Standard data model that underpins asset, product, and market participant definitions that are used to categori</w:t>
            </w:r>
            <w:r w:rsidR="0085756E">
              <w:rPr>
                <w:rFonts w:eastAsia="Times New Roman" w:cs="Segoe UI"/>
                <w:color w:val="000000"/>
                <w:sz w:val="12"/>
                <w:szCs w:val="16"/>
              </w:rPr>
              <w:t>s</w:t>
            </w:r>
            <w:r w:rsidRPr="00870C1B">
              <w:rPr>
                <w:rFonts w:eastAsia="Times New Roman" w:cs="Segoe UI"/>
                <w:color w:val="000000"/>
                <w:sz w:val="12"/>
                <w:szCs w:val="16"/>
              </w:rPr>
              <w:t>e, describe, and harmoni</w:t>
            </w:r>
            <w:r w:rsidR="0085756E">
              <w:rPr>
                <w:rFonts w:eastAsia="Times New Roman" w:cs="Segoe UI"/>
                <w:color w:val="000000"/>
                <w:sz w:val="12"/>
                <w:szCs w:val="16"/>
              </w:rPr>
              <w:t>s</w:t>
            </w:r>
            <w:r w:rsidRPr="00870C1B">
              <w:rPr>
                <w:rFonts w:eastAsia="Times New Roman" w:cs="Segoe UI"/>
                <w:color w:val="000000"/>
                <w:sz w:val="12"/>
                <w:szCs w:val="16"/>
              </w:rPr>
              <w:t>e them across multiple markets</w:t>
            </w:r>
            <w:r w:rsidR="00F330DA">
              <w:rPr>
                <w:rFonts w:eastAsia="Times New Roman" w:cs="Segoe UI"/>
                <w:color w:val="000000"/>
                <w:sz w:val="12"/>
                <w:szCs w:val="16"/>
              </w:rPr>
              <w:t>, thereby helping participants to find each other and compare</w:t>
            </w:r>
            <w:r w:rsidRPr="00870C1B">
              <w:rPr>
                <w:rFonts w:eastAsia="Times New Roman" w:cs="Segoe UI"/>
                <w:color w:val="000000"/>
                <w:sz w:val="12"/>
                <w:szCs w:val="16"/>
              </w:rPr>
              <w:t xml:space="preserve"> products and assets.</w:t>
            </w:r>
          </w:p>
        </w:tc>
      </w:tr>
      <w:tr w:rsidR="00A332AB" w:rsidRPr="00C27719" w14:paraId="67066F29"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3B8CD5A6"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N2</w:t>
            </w:r>
          </w:p>
        </w:tc>
        <w:tc>
          <w:tcPr>
            <w:tcW w:w="2127" w:type="dxa"/>
            <w:shd w:val="clear" w:color="auto" w:fill="067296" w:themeFill="text2"/>
            <w:vAlign w:val="center"/>
            <w:hideMark/>
          </w:tcPr>
          <w:p w14:paraId="24ED045E"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User Registration</w:t>
            </w:r>
          </w:p>
        </w:tc>
        <w:tc>
          <w:tcPr>
            <w:tcW w:w="5244" w:type="dxa"/>
            <w:hideMark/>
          </w:tcPr>
          <w:p w14:paraId="33CD536E"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Registration of users onto the exchange facilitating access to multiple markets through a unified experience.</w:t>
            </w:r>
          </w:p>
        </w:tc>
      </w:tr>
      <w:tr w:rsidR="00A332AB" w:rsidRPr="00C27719" w14:paraId="5AA06FC6"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7CE36DAE"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N3</w:t>
            </w:r>
          </w:p>
        </w:tc>
        <w:tc>
          <w:tcPr>
            <w:tcW w:w="2127" w:type="dxa"/>
            <w:shd w:val="clear" w:color="auto" w:fill="067296" w:themeFill="text2"/>
            <w:vAlign w:val="center"/>
            <w:hideMark/>
          </w:tcPr>
          <w:p w14:paraId="3BF39ABB"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Role-Based Access Control System</w:t>
            </w:r>
          </w:p>
        </w:tc>
        <w:tc>
          <w:tcPr>
            <w:tcW w:w="5244" w:type="dxa"/>
            <w:hideMark/>
          </w:tcPr>
          <w:p w14:paraId="0B83CEC7"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Enable management of user read/write privileges (e.g., Aggregators, DSOs, TSOs, Regulators) with secure access protocols.</w:t>
            </w:r>
          </w:p>
        </w:tc>
      </w:tr>
      <w:tr w:rsidR="00A332AB" w:rsidRPr="00C27719" w14:paraId="5F0C1D0D"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57ECE3B5"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N4</w:t>
            </w:r>
          </w:p>
        </w:tc>
        <w:tc>
          <w:tcPr>
            <w:tcW w:w="2127" w:type="dxa"/>
            <w:shd w:val="clear" w:color="auto" w:fill="067296" w:themeFill="text2"/>
            <w:vAlign w:val="center"/>
            <w:hideMark/>
          </w:tcPr>
          <w:p w14:paraId="35E87C5C"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Transaction Logging and Historical Data Archiving</w:t>
            </w:r>
          </w:p>
        </w:tc>
        <w:tc>
          <w:tcPr>
            <w:tcW w:w="5244" w:type="dxa"/>
            <w:hideMark/>
          </w:tcPr>
          <w:p w14:paraId="32F79496"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Maintain record of all data on prices, volumes, dispatch, trades, metering and settlement as well as interactions and changes within the registry for audit and analysis.</w:t>
            </w:r>
          </w:p>
        </w:tc>
      </w:tr>
      <w:tr w:rsidR="00A332AB" w:rsidRPr="00C27719" w14:paraId="65B35F56"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6EC35E67"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N5</w:t>
            </w:r>
          </w:p>
        </w:tc>
        <w:tc>
          <w:tcPr>
            <w:tcW w:w="2127" w:type="dxa"/>
            <w:shd w:val="clear" w:color="auto" w:fill="067296" w:themeFill="text2"/>
            <w:vAlign w:val="center"/>
            <w:hideMark/>
          </w:tcPr>
          <w:p w14:paraId="580977B9"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Data Management</w:t>
            </w:r>
          </w:p>
        </w:tc>
        <w:tc>
          <w:tcPr>
            <w:tcW w:w="5244" w:type="dxa"/>
            <w:hideMark/>
          </w:tcPr>
          <w:p w14:paraId="7E42DA08" w14:textId="0923D995"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 xml:space="preserve">Provide efficient, </w:t>
            </w:r>
            <w:r w:rsidR="00F330DA">
              <w:rPr>
                <w:rFonts w:eastAsia="Times New Roman" w:cs="Segoe UI"/>
                <w:color w:val="000000"/>
                <w:sz w:val="12"/>
                <w:szCs w:val="16"/>
              </w:rPr>
              <w:t>standardised</w:t>
            </w:r>
            <w:r w:rsidRPr="00870C1B">
              <w:rPr>
                <w:rFonts w:eastAsia="Times New Roman" w:cs="Segoe UI"/>
                <w:color w:val="000000"/>
                <w:sz w:val="12"/>
                <w:szCs w:val="16"/>
              </w:rPr>
              <w:t xml:space="preserve"> management of data related to DER performance, market transactions, operational activity, and compliance.</w:t>
            </w:r>
          </w:p>
        </w:tc>
      </w:tr>
      <w:tr w:rsidR="00A332AB" w:rsidRPr="00C27719" w14:paraId="2F2FF7A0"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2D5D5EF4"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N6</w:t>
            </w:r>
          </w:p>
        </w:tc>
        <w:tc>
          <w:tcPr>
            <w:tcW w:w="2127" w:type="dxa"/>
            <w:shd w:val="clear" w:color="auto" w:fill="067296" w:themeFill="text2"/>
            <w:vAlign w:val="center"/>
            <w:hideMark/>
          </w:tcPr>
          <w:p w14:paraId="72108204"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Reporting</w:t>
            </w:r>
          </w:p>
        </w:tc>
        <w:tc>
          <w:tcPr>
            <w:tcW w:w="5244" w:type="dxa"/>
            <w:hideMark/>
          </w:tcPr>
          <w:p w14:paraId="7E58C950"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Provide user defined reports on DER participation and performance, market and operational activity, and related compliance information.</w:t>
            </w:r>
          </w:p>
        </w:tc>
      </w:tr>
      <w:tr w:rsidR="00A332AB" w:rsidRPr="00C27719" w14:paraId="18045E06"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5E3B8ED0"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N7</w:t>
            </w:r>
          </w:p>
        </w:tc>
        <w:tc>
          <w:tcPr>
            <w:tcW w:w="2127" w:type="dxa"/>
            <w:shd w:val="clear" w:color="auto" w:fill="067296" w:themeFill="text2"/>
            <w:vAlign w:val="center"/>
            <w:hideMark/>
          </w:tcPr>
          <w:p w14:paraId="2DE2ABAA"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Transparency &amp; Accessibility</w:t>
            </w:r>
          </w:p>
        </w:tc>
        <w:tc>
          <w:tcPr>
            <w:tcW w:w="5244" w:type="dxa"/>
            <w:hideMark/>
          </w:tcPr>
          <w:p w14:paraId="6BE05406"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Ensure that market participation is transparent and accessible to all qualified DERs and aggregators without undue barriers.</w:t>
            </w:r>
          </w:p>
        </w:tc>
      </w:tr>
      <w:tr w:rsidR="00A332AB" w:rsidRPr="00C27719" w14:paraId="70F026F7"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7A97B8C2"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lastRenderedPageBreak/>
              <w:t>N8</w:t>
            </w:r>
          </w:p>
        </w:tc>
        <w:tc>
          <w:tcPr>
            <w:tcW w:w="2127" w:type="dxa"/>
            <w:shd w:val="clear" w:color="auto" w:fill="067296" w:themeFill="text2"/>
            <w:vAlign w:val="center"/>
            <w:hideMark/>
          </w:tcPr>
          <w:p w14:paraId="2997ED9A"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Systems Interoperability</w:t>
            </w:r>
          </w:p>
        </w:tc>
        <w:tc>
          <w:tcPr>
            <w:tcW w:w="5244" w:type="dxa"/>
            <w:hideMark/>
          </w:tcPr>
          <w:p w14:paraId="448301FD" w14:textId="116D8432"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 xml:space="preserve">Interoperability with DER Aggregator, TSO, and DSO systems through </w:t>
            </w:r>
            <w:r w:rsidR="00FC4060">
              <w:rPr>
                <w:rFonts w:eastAsia="Times New Roman" w:cs="Segoe UI"/>
                <w:color w:val="000000"/>
                <w:sz w:val="12"/>
                <w:szCs w:val="16"/>
              </w:rPr>
              <w:t xml:space="preserve">the </w:t>
            </w:r>
            <w:r w:rsidRPr="00870C1B">
              <w:rPr>
                <w:rFonts w:eastAsia="Times New Roman" w:cs="Segoe UI"/>
                <w:color w:val="000000"/>
                <w:sz w:val="12"/>
                <w:szCs w:val="16"/>
              </w:rPr>
              <w:t>implementation of secure Application Programming Interfaces (APIs) using open standard protocols to facilitate seamless communication and operational coordination.</w:t>
            </w:r>
          </w:p>
        </w:tc>
      </w:tr>
      <w:tr w:rsidR="00A332AB" w:rsidRPr="00C27719" w14:paraId="7DF888F6"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813CCB0"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N9</w:t>
            </w:r>
          </w:p>
        </w:tc>
        <w:tc>
          <w:tcPr>
            <w:tcW w:w="2127" w:type="dxa"/>
            <w:shd w:val="clear" w:color="auto" w:fill="067296" w:themeFill="text2"/>
            <w:vAlign w:val="center"/>
            <w:hideMark/>
          </w:tcPr>
          <w:p w14:paraId="3AA058A0"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Telemetry Interfaces</w:t>
            </w:r>
          </w:p>
        </w:tc>
        <w:tc>
          <w:tcPr>
            <w:tcW w:w="5244" w:type="dxa"/>
            <w:hideMark/>
          </w:tcPr>
          <w:p w14:paraId="3474C00D" w14:textId="1919E4DC"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Enable interfaces with required telemetry</w:t>
            </w:r>
            <w:r w:rsidR="00FC4060">
              <w:rPr>
                <w:rFonts w:eastAsia="Times New Roman" w:cs="Segoe UI"/>
                <w:color w:val="000000"/>
                <w:sz w:val="12"/>
                <w:szCs w:val="16"/>
              </w:rPr>
              <w:t>,</w:t>
            </w:r>
            <w:r w:rsidRPr="00870C1B">
              <w:rPr>
                <w:rFonts w:eastAsia="Times New Roman" w:cs="Segoe UI"/>
                <w:color w:val="000000"/>
                <w:sz w:val="12"/>
                <w:szCs w:val="16"/>
              </w:rPr>
              <w:t xml:space="preserve"> which can be either individual DER or DER Aggregation level. The level of telemetry required may depend upon the nature of the DER’s participation and wholesale market rules.</w:t>
            </w:r>
          </w:p>
        </w:tc>
      </w:tr>
      <w:tr w:rsidR="00A332AB" w:rsidRPr="00C27719" w14:paraId="71317254"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42AB4831"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N10</w:t>
            </w:r>
          </w:p>
        </w:tc>
        <w:tc>
          <w:tcPr>
            <w:tcW w:w="2127" w:type="dxa"/>
            <w:shd w:val="clear" w:color="auto" w:fill="067296" w:themeFill="text2"/>
            <w:vAlign w:val="center"/>
            <w:hideMark/>
          </w:tcPr>
          <w:p w14:paraId="3FFD5F56"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Secure &amp; Reliable Communication Channels</w:t>
            </w:r>
          </w:p>
        </w:tc>
        <w:tc>
          <w:tcPr>
            <w:tcW w:w="5244" w:type="dxa"/>
            <w:hideMark/>
          </w:tcPr>
          <w:p w14:paraId="763F306B"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Enable robust communication channels for exchange of operational data, market signals, and dispatch instructions.</w:t>
            </w:r>
          </w:p>
        </w:tc>
      </w:tr>
      <w:tr w:rsidR="00A332AB" w:rsidRPr="00C27719" w14:paraId="0255CF19"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10FBEB4B"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N11</w:t>
            </w:r>
          </w:p>
        </w:tc>
        <w:tc>
          <w:tcPr>
            <w:tcW w:w="2127" w:type="dxa"/>
            <w:shd w:val="clear" w:color="auto" w:fill="067296" w:themeFill="text2"/>
            <w:vAlign w:val="center"/>
            <w:hideMark/>
          </w:tcPr>
          <w:p w14:paraId="2B7E4994"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Business Process Approval Functions</w:t>
            </w:r>
          </w:p>
        </w:tc>
        <w:tc>
          <w:tcPr>
            <w:tcW w:w="5244" w:type="dxa"/>
            <w:hideMark/>
          </w:tcPr>
          <w:p w14:paraId="26D9887C"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System enables process mechanisms to ensure implementation of markets and operational processes related to approval processes.</w:t>
            </w:r>
          </w:p>
        </w:tc>
      </w:tr>
      <w:tr w:rsidR="00A332AB" w:rsidRPr="00C27719" w14:paraId="79D90CF1" w14:textId="77777777" w:rsidTr="00501ACD">
        <w:trPr>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30F6A196"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N12</w:t>
            </w:r>
          </w:p>
        </w:tc>
        <w:tc>
          <w:tcPr>
            <w:tcW w:w="2127" w:type="dxa"/>
            <w:shd w:val="clear" w:color="auto" w:fill="067296" w:themeFill="text2"/>
            <w:vAlign w:val="center"/>
            <w:hideMark/>
          </w:tcPr>
          <w:p w14:paraId="00A1D77B" w14:textId="77777777" w:rsidR="00394475" w:rsidRPr="00501ACD" w:rsidRDefault="00394475" w:rsidP="00501ACD">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Security &amp; Privacy Protections</w:t>
            </w:r>
          </w:p>
        </w:tc>
        <w:tc>
          <w:tcPr>
            <w:tcW w:w="5244" w:type="dxa"/>
            <w:hideMark/>
          </w:tcPr>
          <w:p w14:paraId="5BD447F3" w14:textId="77777777" w:rsidR="00394475" w:rsidRPr="00870C1B" w:rsidRDefault="00394475" w:rsidP="00870C1B">
            <w:pPr>
              <w:spacing w:before="0" w:after="0"/>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System enables compliance with security and privacy standards for market and operational data and registry information.</w:t>
            </w:r>
          </w:p>
        </w:tc>
      </w:tr>
      <w:tr w:rsidR="00A332AB" w:rsidRPr="00C27719" w14:paraId="474F154B" w14:textId="77777777" w:rsidTr="00501A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shd w:val="clear" w:color="auto" w:fill="067296" w:themeFill="text2"/>
            <w:vAlign w:val="center"/>
            <w:hideMark/>
          </w:tcPr>
          <w:p w14:paraId="16D272CA" w14:textId="77777777" w:rsidR="00394475" w:rsidRPr="00501ACD" w:rsidRDefault="00394475" w:rsidP="00501ACD">
            <w:pPr>
              <w:spacing w:before="0" w:after="0"/>
              <w:jc w:val="center"/>
              <w:rPr>
                <w:rFonts w:eastAsia="Times New Roman" w:cs="Segoe UI"/>
                <w:color w:val="FAFAFA" w:themeColor="background1"/>
                <w:sz w:val="12"/>
                <w:szCs w:val="16"/>
              </w:rPr>
            </w:pPr>
            <w:r w:rsidRPr="00501ACD">
              <w:rPr>
                <w:rFonts w:eastAsia="Times New Roman" w:cs="Segoe UI"/>
                <w:color w:val="FAFAFA" w:themeColor="background1"/>
                <w:sz w:val="12"/>
                <w:szCs w:val="16"/>
              </w:rPr>
              <w:t>N13</w:t>
            </w:r>
          </w:p>
        </w:tc>
        <w:tc>
          <w:tcPr>
            <w:tcW w:w="2127" w:type="dxa"/>
            <w:shd w:val="clear" w:color="auto" w:fill="067296" w:themeFill="text2"/>
            <w:vAlign w:val="center"/>
            <w:hideMark/>
          </w:tcPr>
          <w:p w14:paraId="228A5EF7" w14:textId="77777777" w:rsidR="00394475" w:rsidRPr="00501ACD" w:rsidRDefault="00394475" w:rsidP="00501ACD">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FAFAFA" w:themeColor="background1"/>
                <w:sz w:val="12"/>
                <w:szCs w:val="16"/>
              </w:rPr>
            </w:pPr>
            <w:r w:rsidRPr="00501ACD">
              <w:rPr>
                <w:rFonts w:eastAsia="Times New Roman" w:cs="Segoe UI"/>
                <w:color w:val="FAFAFA" w:themeColor="background1"/>
                <w:sz w:val="12"/>
                <w:szCs w:val="16"/>
              </w:rPr>
              <w:t>Flexibility &amp; Scalability</w:t>
            </w:r>
          </w:p>
        </w:tc>
        <w:tc>
          <w:tcPr>
            <w:tcW w:w="5244" w:type="dxa"/>
            <w:hideMark/>
          </w:tcPr>
          <w:p w14:paraId="3169EA52" w14:textId="77777777" w:rsidR="00394475" w:rsidRPr="00870C1B" w:rsidRDefault="00394475" w:rsidP="00870C1B">
            <w:pPr>
              <w:spacing w:before="0" w:after="0"/>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6"/>
              </w:rPr>
            </w:pPr>
            <w:r w:rsidRPr="00870C1B">
              <w:rPr>
                <w:rFonts w:eastAsia="Times New Roman" w:cs="Segoe UI"/>
                <w:color w:val="000000"/>
                <w:sz w:val="12"/>
                <w:szCs w:val="16"/>
              </w:rPr>
              <w:t>System can accommodate millions of DERs involving a wide range of technologies and aggregation compositions, adapting to evolving market conditions and technological advancements.</w:t>
            </w:r>
          </w:p>
        </w:tc>
      </w:tr>
    </w:tbl>
    <w:p w14:paraId="1E915C88" w14:textId="77777777" w:rsidR="00753F31" w:rsidRPr="00753F31" w:rsidRDefault="00753F31" w:rsidP="00870C1B">
      <w:pPr>
        <w:spacing w:before="0" w:after="160" w:line="259" w:lineRule="auto"/>
      </w:pPr>
    </w:p>
    <w:p w14:paraId="070795A2" w14:textId="370C3B5F" w:rsidR="00753F31" w:rsidRPr="00AA6AA0" w:rsidRDefault="00753F31" w:rsidP="001203A5">
      <w:pPr>
        <w:pStyle w:val="Heading3"/>
      </w:pPr>
      <w:bookmarkStart w:id="73" w:name="_Toc205532849"/>
      <w:r w:rsidRPr="001203A5">
        <w:t>Independent</w:t>
      </w:r>
      <w:r w:rsidRPr="00AA6AA0">
        <w:t xml:space="preserve"> Electricity System Operator</w:t>
      </w:r>
      <w:r w:rsidR="007B5A28">
        <w:t xml:space="preserve"> (</w:t>
      </w:r>
      <w:r w:rsidRPr="00AA6AA0">
        <w:t>Ontario, Canada</w:t>
      </w:r>
      <w:r w:rsidR="007B5A28">
        <w:t>) Information Requirements</w:t>
      </w:r>
      <w:bookmarkEnd w:id="73"/>
      <w:r w:rsidR="007B5A28">
        <w:t xml:space="preserve"> </w:t>
      </w:r>
    </w:p>
    <w:p w14:paraId="49040C91" w14:textId="64330292" w:rsidR="00753F31" w:rsidRDefault="00753F31" w:rsidP="0050162C">
      <w:pPr>
        <w:spacing w:before="180" w:after="120" w:line="288" w:lineRule="auto"/>
        <w:rPr>
          <w:rStyle w:val="Strong"/>
          <w:rFonts w:eastAsiaTheme="majorEastAsia" w:cs="Segoe UI"/>
          <w:color w:val="000000"/>
          <w:szCs w:val="21"/>
        </w:rPr>
      </w:pPr>
      <w:r w:rsidRPr="0050162C">
        <w:rPr>
          <w:rFonts w:cs="Calibri"/>
          <w:szCs w:val="18"/>
        </w:rPr>
        <w:t xml:space="preserve">In Canada, the Independent Electricity System Operator (IESO) has </w:t>
      </w:r>
      <w:r w:rsidR="0096792B">
        <w:rPr>
          <w:rFonts w:cs="Calibri"/>
          <w:szCs w:val="18"/>
        </w:rPr>
        <w:t>established</w:t>
      </w:r>
      <w:r w:rsidRPr="0050162C">
        <w:rPr>
          <w:rFonts w:cs="Calibri"/>
          <w:szCs w:val="18"/>
        </w:rPr>
        <w:t xml:space="preserve"> the </w:t>
      </w:r>
      <w:r w:rsidRPr="00C60FB2">
        <w:rPr>
          <w:rStyle w:val="Strong"/>
          <w:rFonts w:cs="Segoe UI"/>
          <w:color w:val="000000"/>
          <w:szCs w:val="21"/>
        </w:rPr>
        <w:t>Transmission-Distribution Coordination Working Group</w:t>
      </w:r>
      <w:r>
        <w:rPr>
          <w:rStyle w:val="Strong"/>
          <w:rFonts w:cs="Segoe UI"/>
          <w:color w:val="000000"/>
          <w:szCs w:val="21"/>
        </w:rPr>
        <w:t xml:space="preserve"> (TDWG) to develop </w:t>
      </w:r>
      <w:r w:rsidRPr="00861B82">
        <w:rPr>
          <w:rStyle w:val="Strong"/>
          <w:rFonts w:cs="Segoe UI"/>
          <w:color w:val="000000"/>
          <w:szCs w:val="21"/>
        </w:rPr>
        <w:t xml:space="preserve">conceptual coordination protocol(s) that detail the communications among the IESO, </w:t>
      </w:r>
      <w:r w:rsidRPr="00BF34EC">
        <w:rPr>
          <w:rStyle w:val="Strong"/>
          <w:rFonts w:cs="Segoe UI"/>
          <w:color w:val="000000"/>
          <w:szCs w:val="21"/>
        </w:rPr>
        <w:t>Local Distribution Companies</w:t>
      </w:r>
      <w:r>
        <w:rPr>
          <w:rStyle w:val="Strong"/>
          <w:rFonts w:cs="Segoe UI"/>
          <w:color w:val="000000"/>
          <w:szCs w:val="21"/>
        </w:rPr>
        <w:t xml:space="preserve"> (</w:t>
      </w:r>
      <w:r w:rsidRPr="00861B82">
        <w:rPr>
          <w:rStyle w:val="Strong"/>
          <w:rFonts w:cs="Segoe UI"/>
          <w:color w:val="000000"/>
          <w:szCs w:val="21"/>
        </w:rPr>
        <w:t>LDCs</w:t>
      </w:r>
      <w:r>
        <w:rPr>
          <w:rStyle w:val="Strong"/>
          <w:rFonts w:cs="Segoe UI"/>
          <w:color w:val="000000"/>
          <w:szCs w:val="21"/>
        </w:rPr>
        <w:t>)</w:t>
      </w:r>
      <w:r w:rsidRPr="00861B82">
        <w:rPr>
          <w:rStyle w:val="Strong"/>
          <w:rFonts w:cs="Segoe UI"/>
          <w:color w:val="000000"/>
          <w:szCs w:val="21"/>
        </w:rPr>
        <w:t>, and DER participants for participation in the IESO-Administered Markets.</w:t>
      </w:r>
      <w:r>
        <w:rPr>
          <w:rStyle w:val="Strong"/>
          <w:rFonts w:cs="Segoe UI"/>
          <w:color w:val="000000"/>
          <w:szCs w:val="21"/>
        </w:rPr>
        <w:t xml:space="preserve"> The TDWG has identified the following key datasets grouped by recipient:</w:t>
      </w:r>
    </w:p>
    <w:p w14:paraId="3B62F0AA" w14:textId="632042FF" w:rsidR="00753F31" w:rsidRPr="00870C1B" w:rsidRDefault="0045471E" w:rsidP="00BF59B3">
      <w:pPr>
        <w:pStyle w:val="TOC1"/>
        <w:rPr>
          <w:rStyle w:val="Strong"/>
        </w:rPr>
      </w:pPr>
      <w:r w:rsidRPr="00870C1B">
        <w:rPr>
          <w:rStyle w:val="Strong"/>
        </w:rPr>
        <w:t xml:space="preserve">Upstream </w:t>
      </w:r>
      <w:r w:rsidR="00753F31" w:rsidRPr="00870C1B">
        <w:rPr>
          <w:rStyle w:val="Strong"/>
        </w:rPr>
        <w:t>Data Submitted to IESO:</w:t>
      </w:r>
    </w:p>
    <w:tbl>
      <w:tblPr>
        <w:tblStyle w:val="ListTable3-Accent1"/>
        <w:tblW w:w="0" w:type="auto"/>
        <w:tblInd w:w="-5" w:type="dxa"/>
        <w:tblCellMar>
          <w:top w:w="57" w:type="dxa"/>
          <w:bottom w:w="57" w:type="dxa"/>
        </w:tblCellMar>
        <w:tblLook w:val="04A0" w:firstRow="1" w:lastRow="0" w:firstColumn="1" w:lastColumn="0" w:noHBand="0" w:noVBand="1"/>
      </w:tblPr>
      <w:tblGrid>
        <w:gridCol w:w="1499"/>
        <w:gridCol w:w="6439"/>
      </w:tblGrid>
      <w:tr w:rsidR="0013634F" w:rsidRPr="00D7193D" w14:paraId="651DAC4B"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938" w:type="dxa"/>
            <w:gridSpan w:val="2"/>
          </w:tcPr>
          <w:p w14:paraId="5DB7895D" w14:textId="729C039C" w:rsidR="00753F31" w:rsidRPr="002B47B6" w:rsidRDefault="00753F31" w:rsidP="00567443">
            <w:pPr>
              <w:spacing w:before="0" w:after="0"/>
              <w:rPr>
                <w:sz w:val="16"/>
                <w:szCs w:val="16"/>
              </w:rPr>
            </w:pPr>
            <w:r w:rsidRPr="002B47B6">
              <w:rPr>
                <w:sz w:val="16"/>
                <w:szCs w:val="16"/>
              </w:rPr>
              <w:t>Registration, Facility &amp; Other Miscellaneous Data</w:t>
            </w:r>
            <w:r w:rsidR="00E063DD">
              <w:rPr>
                <w:sz w:val="16"/>
                <w:szCs w:val="16"/>
              </w:rPr>
              <w:t xml:space="preserve"> </w:t>
            </w:r>
          </w:p>
        </w:tc>
      </w:tr>
      <w:tr w:rsidR="0013634F" w:rsidRPr="00D7193D" w14:paraId="0F1A1506" w14:textId="77777777" w:rsidTr="00501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shd w:val="clear" w:color="auto" w:fill="067296" w:themeFill="text2"/>
          </w:tcPr>
          <w:p w14:paraId="3E67AE96" w14:textId="77777777" w:rsidR="00753F31" w:rsidRPr="00501ACD" w:rsidRDefault="00753F31" w:rsidP="007568A0">
            <w:pPr>
              <w:spacing w:before="0" w:after="0"/>
              <w:rPr>
                <w:color w:val="FAFAFA" w:themeColor="background1"/>
                <w:sz w:val="12"/>
                <w:szCs w:val="12"/>
              </w:rPr>
            </w:pPr>
            <w:r w:rsidRPr="00501ACD">
              <w:rPr>
                <w:color w:val="FAFAFA" w:themeColor="background1"/>
                <w:sz w:val="12"/>
                <w:szCs w:val="12"/>
              </w:rPr>
              <w:t>Data Exchanged</w:t>
            </w:r>
          </w:p>
        </w:tc>
        <w:tc>
          <w:tcPr>
            <w:tcW w:w="0" w:type="dxa"/>
          </w:tcPr>
          <w:p w14:paraId="2AA17534" w14:textId="6D0EF5BE" w:rsidR="00753F31" w:rsidRPr="00870C1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Registration, facility, and other miscellaneous data: Participation, registration, and facility data including connection assessment, system impact assessment, technical studies, agreements, installation, authori</w:t>
            </w:r>
            <w:r w:rsidR="000C2C24">
              <w:rPr>
                <w:rFonts w:eastAsia="Times New Roman" w:cs="Segoe UI"/>
                <w:color w:val="000000"/>
                <w:sz w:val="12"/>
                <w:szCs w:val="12"/>
              </w:rPr>
              <w:t>s</w:t>
            </w:r>
            <w:r w:rsidRPr="00870C1B">
              <w:rPr>
                <w:rFonts w:eastAsia="Times New Roman" w:cs="Segoe UI"/>
                <w:color w:val="000000"/>
                <w:sz w:val="12"/>
                <w:szCs w:val="12"/>
              </w:rPr>
              <w:t xml:space="preserve">ation, </w:t>
            </w:r>
            <w:r w:rsidR="002F0193">
              <w:rPr>
                <w:rFonts w:eastAsia="Times New Roman" w:cs="Segoe UI"/>
                <w:color w:val="000000"/>
                <w:sz w:val="12"/>
                <w:szCs w:val="12"/>
              </w:rPr>
              <w:t>S</w:t>
            </w:r>
            <w:r w:rsidRPr="00870C1B">
              <w:rPr>
                <w:rFonts w:eastAsia="Times New Roman" w:cs="Segoe UI"/>
                <w:color w:val="000000"/>
                <w:sz w:val="12"/>
                <w:szCs w:val="12"/>
              </w:rPr>
              <w:t xml:space="preserve">ingle </w:t>
            </w:r>
            <w:r w:rsidR="002F0193">
              <w:rPr>
                <w:rFonts w:eastAsia="Times New Roman" w:cs="Segoe UI"/>
                <w:color w:val="000000"/>
                <w:sz w:val="12"/>
                <w:szCs w:val="12"/>
              </w:rPr>
              <w:t>L</w:t>
            </w:r>
            <w:r w:rsidRPr="00870C1B">
              <w:rPr>
                <w:rFonts w:eastAsia="Times New Roman" w:cs="Segoe UI"/>
                <w:color w:val="000000"/>
                <w:sz w:val="12"/>
                <w:szCs w:val="12"/>
              </w:rPr>
              <w:t xml:space="preserve">ine </w:t>
            </w:r>
            <w:r w:rsidR="002F0193">
              <w:rPr>
                <w:rFonts w:eastAsia="Times New Roman" w:cs="Segoe UI"/>
                <w:color w:val="000000"/>
                <w:sz w:val="12"/>
                <w:szCs w:val="12"/>
              </w:rPr>
              <w:t>D</w:t>
            </w:r>
            <w:r w:rsidRPr="00870C1B">
              <w:rPr>
                <w:rFonts w:eastAsia="Times New Roman" w:cs="Segoe UI"/>
                <w:color w:val="000000"/>
                <w:sz w:val="12"/>
                <w:szCs w:val="12"/>
              </w:rPr>
              <w:t xml:space="preserve">iagram (SLD) &amp; </w:t>
            </w:r>
            <w:r w:rsidR="002F0193">
              <w:rPr>
                <w:rFonts w:eastAsia="Times New Roman" w:cs="Segoe UI"/>
                <w:color w:val="000000"/>
                <w:sz w:val="12"/>
                <w:szCs w:val="12"/>
              </w:rPr>
              <w:t>F</w:t>
            </w:r>
            <w:r w:rsidRPr="00870C1B">
              <w:rPr>
                <w:rFonts w:eastAsia="Times New Roman" w:cs="Segoe UI"/>
                <w:color w:val="000000"/>
                <w:sz w:val="12"/>
                <w:szCs w:val="12"/>
              </w:rPr>
              <w:t xml:space="preserve">acility </w:t>
            </w:r>
            <w:r w:rsidR="002F0193">
              <w:rPr>
                <w:rFonts w:eastAsia="Times New Roman" w:cs="Segoe UI"/>
                <w:color w:val="000000"/>
                <w:sz w:val="12"/>
                <w:szCs w:val="12"/>
              </w:rPr>
              <w:t>D</w:t>
            </w:r>
            <w:r w:rsidRPr="00870C1B">
              <w:rPr>
                <w:rFonts w:eastAsia="Times New Roman" w:cs="Segoe UI"/>
                <w:color w:val="000000"/>
                <w:sz w:val="12"/>
                <w:szCs w:val="12"/>
              </w:rPr>
              <w:t xml:space="preserve">escription </w:t>
            </w:r>
            <w:r w:rsidR="002F0193">
              <w:rPr>
                <w:rFonts w:eastAsia="Times New Roman" w:cs="Segoe UI"/>
                <w:color w:val="000000"/>
                <w:sz w:val="12"/>
                <w:szCs w:val="12"/>
              </w:rPr>
              <w:t>D</w:t>
            </w:r>
            <w:r w:rsidRPr="00870C1B">
              <w:rPr>
                <w:rFonts w:eastAsia="Times New Roman" w:cs="Segoe UI"/>
                <w:color w:val="000000"/>
                <w:sz w:val="12"/>
                <w:szCs w:val="12"/>
              </w:rPr>
              <w:t>ocument (FDD), technical facility data (e.g., forbidden regions</w:t>
            </w:r>
            <w:r w:rsidR="00315A28">
              <w:rPr>
                <w:rFonts w:eastAsia="Times New Roman" w:cs="Segoe UI"/>
                <w:color w:val="000000"/>
                <w:sz w:val="12"/>
                <w:szCs w:val="12"/>
              </w:rPr>
              <w:t>)</w:t>
            </w:r>
            <w:r w:rsidRPr="00870C1B">
              <w:rPr>
                <w:rFonts w:eastAsia="Times New Roman" w:cs="Segoe UI"/>
                <w:color w:val="000000"/>
                <w:sz w:val="12"/>
                <w:szCs w:val="12"/>
              </w:rPr>
              <w:t xml:space="preserve">, </w:t>
            </w:r>
            <w:r w:rsidR="00224E6D">
              <w:rPr>
                <w:rFonts w:eastAsia="Times New Roman" w:cs="Segoe UI"/>
                <w:color w:val="000000"/>
                <w:sz w:val="12"/>
                <w:szCs w:val="12"/>
              </w:rPr>
              <w:t>M</w:t>
            </w:r>
            <w:r w:rsidRPr="00870C1B">
              <w:rPr>
                <w:rFonts w:eastAsia="Times New Roman" w:cs="Segoe UI"/>
                <w:color w:val="000000"/>
                <w:sz w:val="12"/>
                <w:szCs w:val="12"/>
              </w:rPr>
              <w:t xml:space="preserve">inimum </w:t>
            </w:r>
            <w:r w:rsidR="00224E6D">
              <w:rPr>
                <w:rFonts w:eastAsia="Times New Roman" w:cs="Segoe UI"/>
                <w:color w:val="000000"/>
                <w:sz w:val="12"/>
                <w:szCs w:val="12"/>
              </w:rPr>
              <w:t>L</w:t>
            </w:r>
            <w:r w:rsidRPr="00870C1B">
              <w:rPr>
                <w:rFonts w:eastAsia="Times New Roman" w:cs="Segoe UI"/>
                <w:color w:val="000000"/>
                <w:sz w:val="12"/>
                <w:szCs w:val="12"/>
              </w:rPr>
              <w:t xml:space="preserve">oading </w:t>
            </w:r>
            <w:r w:rsidR="00224E6D">
              <w:rPr>
                <w:rFonts w:eastAsia="Times New Roman" w:cs="Segoe UI"/>
                <w:color w:val="000000"/>
                <w:sz w:val="12"/>
                <w:szCs w:val="12"/>
              </w:rPr>
              <w:t>P</w:t>
            </w:r>
            <w:r w:rsidRPr="00870C1B">
              <w:rPr>
                <w:rFonts w:eastAsia="Times New Roman" w:cs="Segoe UI"/>
                <w:color w:val="000000"/>
                <w:sz w:val="12"/>
                <w:szCs w:val="12"/>
              </w:rPr>
              <w:t xml:space="preserve">oint (MLP), Minimum Generation Block Run-time (MGBRT), </w:t>
            </w:r>
            <w:r w:rsidR="009F684D">
              <w:rPr>
                <w:rFonts w:eastAsia="Times New Roman" w:cs="Segoe UI"/>
                <w:color w:val="000000"/>
                <w:sz w:val="12"/>
                <w:szCs w:val="12"/>
              </w:rPr>
              <w:t>E</w:t>
            </w:r>
            <w:r w:rsidRPr="00870C1B">
              <w:rPr>
                <w:rFonts w:eastAsia="Times New Roman" w:cs="Segoe UI"/>
                <w:color w:val="000000"/>
                <w:sz w:val="12"/>
                <w:szCs w:val="12"/>
              </w:rPr>
              <w:t xml:space="preserve">lapsed </w:t>
            </w:r>
            <w:r w:rsidR="009F684D">
              <w:rPr>
                <w:rFonts w:eastAsia="Times New Roman" w:cs="Segoe UI"/>
                <w:color w:val="000000"/>
                <w:sz w:val="12"/>
                <w:szCs w:val="12"/>
              </w:rPr>
              <w:t>T</w:t>
            </w:r>
            <w:r w:rsidRPr="00870C1B">
              <w:rPr>
                <w:rFonts w:eastAsia="Times New Roman" w:cs="Segoe UI"/>
                <w:color w:val="000000"/>
                <w:sz w:val="12"/>
                <w:szCs w:val="12"/>
              </w:rPr>
              <w:t xml:space="preserve">ime to </w:t>
            </w:r>
            <w:r w:rsidR="009F684D">
              <w:rPr>
                <w:rFonts w:eastAsia="Times New Roman" w:cs="Segoe UI"/>
                <w:color w:val="000000"/>
                <w:sz w:val="12"/>
                <w:szCs w:val="12"/>
              </w:rPr>
              <w:t>D</w:t>
            </w:r>
            <w:r w:rsidRPr="00870C1B">
              <w:rPr>
                <w:rFonts w:eastAsia="Times New Roman" w:cs="Segoe UI"/>
                <w:color w:val="000000"/>
                <w:sz w:val="12"/>
                <w:szCs w:val="12"/>
              </w:rPr>
              <w:t>ispatch (ETD), start-up time, min shutdown time), emergency preparedness plans, system restoration plans, reliability data, settlement &amp; invoice concerns, errors &amp; requests, testing &amp; audit data submissions, reports, contributor info, etc.</w:t>
            </w:r>
          </w:p>
        </w:tc>
      </w:tr>
      <w:tr w:rsidR="0013634F" w:rsidRPr="00D7193D" w14:paraId="0CD13330" w14:textId="77777777" w:rsidTr="00501ACD">
        <w:tc>
          <w:tcPr>
            <w:cnfStyle w:val="001000000000" w:firstRow="0" w:lastRow="0" w:firstColumn="1" w:lastColumn="0" w:oddVBand="0" w:evenVBand="0" w:oddHBand="0" w:evenHBand="0" w:firstRowFirstColumn="0" w:firstRowLastColumn="0" w:lastRowFirstColumn="0" w:lastRowLastColumn="0"/>
            <w:tcW w:w="1499" w:type="dxa"/>
            <w:shd w:val="clear" w:color="auto" w:fill="067296" w:themeFill="text2"/>
          </w:tcPr>
          <w:p w14:paraId="76A54571" w14:textId="35E78449" w:rsidR="00753F31" w:rsidRPr="00501ACD" w:rsidRDefault="00753F31" w:rsidP="007568A0">
            <w:pPr>
              <w:spacing w:before="0" w:after="0"/>
              <w:rPr>
                <w:color w:val="FAFAFA" w:themeColor="background1"/>
                <w:sz w:val="12"/>
                <w:szCs w:val="12"/>
              </w:rPr>
            </w:pPr>
            <w:r w:rsidRPr="00501ACD">
              <w:rPr>
                <w:color w:val="FAFAFA" w:themeColor="background1"/>
                <w:sz w:val="12"/>
                <w:szCs w:val="12"/>
              </w:rPr>
              <w:t>Freq</w:t>
            </w:r>
            <w:r w:rsidR="009D4475">
              <w:rPr>
                <w:color w:val="FAFAFA" w:themeColor="background1"/>
                <w:sz w:val="12"/>
                <w:szCs w:val="12"/>
              </w:rPr>
              <w:t xml:space="preserve">uency / </w:t>
            </w:r>
            <w:r w:rsidRPr="00501ACD">
              <w:rPr>
                <w:color w:val="FAFAFA" w:themeColor="background1"/>
                <w:sz w:val="12"/>
                <w:szCs w:val="12"/>
              </w:rPr>
              <w:t>Timing</w:t>
            </w:r>
          </w:p>
        </w:tc>
        <w:tc>
          <w:tcPr>
            <w:tcW w:w="0" w:type="dxa"/>
          </w:tcPr>
          <w:p w14:paraId="3D65FE15" w14:textId="77777777" w:rsidR="00753F31" w:rsidRPr="00870C1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Some data is provided once upon registration; other data may be updated as changes occur or provided as required.</w:t>
            </w:r>
          </w:p>
        </w:tc>
      </w:tr>
      <w:tr w:rsidR="0013634F" w:rsidRPr="00D7193D" w14:paraId="23D407A2" w14:textId="77777777" w:rsidTr="00501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shd w:val="clear" w:color="auto" w:fill="067296" w:themeFill="text2"/>
          </w:tcPr>
          <w:p w14:paraId="50A57DD2" w14:textId="77777777" w:rsidR="00753F31" w:rsidRPr="00501ACD" w:rsidRDefault="00753F31" w:rsidP="007568A0">
            <w:pPr>
              <w:spacing w:before="0" w:after="0"/>
              <w:rPr>
                <w:color w:val="FAFAFA" w:themeColor="background1"/>
                <w:sz w:val="12"/>
                <w:szCs w:val="12"/>
              </w:rPr>
            </w:pPr>
            <w:r w:rsidRPr="00501ACD">
              <w:rPr>
                <w:color w:val="FAFAFA" w:themeColor="background1"/>
                <w:sz w:val="12"/>
                <w:szCs w:val="12"/>
              </w:rPr>
              <w:t>Data Coordination Interfaces</w:t>
            </w:r>
          </w:p>
        </w:tc>
        <w:tc>
          <w:tcPr>
            <w:tcW w:w="0" w:type="dxa"/>
          </w:tcPr>
          <w:p w14:paraId="77D8C2C5" w14:textId="0E05806F" w:rsidR="00753F31" w:rsidRPr="00870C1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 xml:space="preserve">IESO Gateway: Secure identity </w:t>
            </w:r>
            <w:r w:rsidR="009008F0">
              <w:rPr>
                <w:rFonts w:eastAsia="Times New Roman" w:cs="Segoe UI"/>
                <w:color w:val="000000"/>
                <w:sz w:val="12"/>
                <w:szCs w:val="12"/>
              </w:rPr>
              <w:t>P</w:t>
            </w:r>
            <w:r w:rsidRPr="00870C1B">
              <w:rPr>
                <w:rFonts w:eastAsia="Times New Roman" w:cs="Segoe UI"/>
                <w:color w:val="000000"/>
                <w:sz w:val="12"/>
                <w:szCs w:val="12"/>
              </w:rPr>
              <w:t>rovider (IdP) provides access to market-facing applications</w:t>
            </w:r>
            <w:r w:rsidR="00590182">
              <w:rPr>
                <w:rFonts w:eastAsia="Times New Roman" w:cs="Segoe UI"/>
                <w:color w:val="000000"/>
                <w:sz w:val="12"/>
                <w:szCs w:val="12"/>
              </w:rPr>
              <w:t>.</w:t>
            </w:r>
          </w:p>
          <w:p w14:paraId="51B4E578" w14:textId="430B848A" w:rsidR="00753F31" w:rsidRPr="00870C1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 xml:space="preserve">Online IESO: Web-based registration system allowing all </w:t>
            </w:r>
            <w:r w:rsidR="002E5E32">
              <w:rPr>
                <w:rFonts w:eastAsia="Times New Roman" w:cs="Segoe UI"/>
                <w:color w:val="000000"/>
                <w:sz w:val="12"/>
                <w:szCs w:val="12"/>
              </w:rPr>
              <w:t>organisations</w:t>
            </w:r>
            <w:r w:rsidRPr="00870C1B">
              <w:rPr>
                <w:rFonts w:eastAsia="Times New Roman" w:cs="Segoe UI"/>
                <w:color w:val="000000"/>
                <w:sz w:val="12"/>
                <w:szCs w:val="12"/>
              </w:rPr>
              <w:t xml:space="preserve"> involved in the IESO-</w:t>
            </w:r>
            <w:r w:rsidR="009C0F75">
              <w:rPr>
                <w:rFonts w:eastAsia="Times New Roman" w:cs="Segoe UI"/>
                <w:color w:val="000000"/>
                <w:sz w:val="12"/>
                <w:szCs w:val="12"/>
              </w:rPr>
              <w:t>C</w:t>
            </w:r>
            <w:r w:rsidRPr="00870C1B">
              <w:rPr>
                <w:rFonts w:eastAsia="Times New Roman" w:cs="Segoe UI"/>
                <w:color w:val="000000"/>
                <w:sz w:val="12"/>
                <w:szCs w:val="12"/>
              </w:rPr>
              <w:t xml:space="preserve">ontrolled </w:t>
            </w:r>
            <w:r w:rsidR="009C0F75">
              <w:rPr>
                <w:rFonts w:eastAsia="Times New Roman" w:cs="Segoe UI"/>
                <w:color w:val="000000"/>
                <w:sz w:val="12"/>
                <w:szCs w:val="12"/>
              </w:rPr>
              <w:t>G</w:t>
            </w:r>
            <w:r w:rsidRPr="00870C1B">
              <w:rPr>
                <w:rFonts w:eastAsia="Times New Roman" w:cs="Segoe UI"/>
                <w:color w:val="000000"/>
                <w:sz w:val="12"/>
                <w:szCs w:val="12"/>
              </w:rPr>
              <w:t>rid (ICG) &amp; IESO</w:t>
            </w:r>
            <w:r w:rsidR="002D6240">
              <w:rPr>
                <w:rFonts w:eastAsia="Times New Roman" w:cs="Segoe UI"/>
                <w:color w:val="000000"/>
                <w:sz w:val="12"/>
                <w:szCs w:val="12"/>
              </w:rPr>
              <w:t>-</w:t>
            </w:r>
            <w:r w:rsidRPr="00870C1B">
              <w:rPr>
                <w:rFonts w:eastAsia="Times New Roman" w:cs="Segoe UI"/>
                <w:color w:val="000000"/>
                <w:sz w:val="12"/>
                <w:szCs w:val="12"/>
              </w:rPr>
              <w:t>Administered Markets (IAM) to complete a variety of interactive business tasks and submit information to the IESO in a safe, secure, and efficient manner. The Online IESO system securely hosts a number of market applications.</w:t>
            </w:r>
          </w:p>
        </w:tc>
      </w:tr>
      <w:tr w:rsidR="0013634F" w:rsidRPr="00D7193D" w14:paraId="0671AE3A" w14:textId="77777777" w:rsidTr="00501ACD">
        <w:tc>
          <w:tcPr>
            <w:cnfStyle w:val="001000000000" w:firstRow="0" w:lastRow="0" w:firstColumn="1" w:lastColumn="0" w:oddVBand="0" w:evenVBand="0" w:oddHBand="0" w:evenHBand="0" w:firstRowFirstColumn="0" w:firstRowLastColumn="0" w:lastRowFirstColumn="0" w:lastRowLastColumn="0"/>
            <w:tcW w:w="1499" w:type="dxa"/>
            <w:shd w:val="clear" w:color="auto" w:fill="067296" w:themeFill="text2"/>
          </w:tcPr>
          <w:p w14:paraId="18359FEE" w14:textId="77777777" w:rsidR="00753F31" w:rsidRPr="00501ACD" w:rsidRDefault="00753F31" w:rsidP="007568A0">
            <w:pPr>
              <w:spacing w:before="0" w:after="0"/>
              <w:rPr>
                <w:color w:val="FAFAFA" w:themeColor="background1"/>
                <w:sz w:val="12"/>
                <w:szCs w:val="12"/>
              </w:rPr>
            </w:pPr>
            <w:r w:rsidRPr="00501ACD">
              <w:rPr>
                <w:color w:val="FAFAFA" w:themeColor="background1"/>
                <w:sz w:val="12"/>
                <w:szCs w:val="12"/>
              </w:rPr>
              <w:t>Comm. Mediums</w:t>
            </w:r>
          </w:p>
        </w:tc>
        <w:tc>
          <w:tcPr>
            <w:tcW w:w="0" w:type="dxa"/>
          </w:tcPr>
          <w:p w14:paraId="5C452B46" w14:textId="49D66F3E" w:rsidR="00753F31" w:rsidRPr="00870C1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Internet (user account/identity credentials required for authentication &amp; access to secure IESO web servers &amp; systems)</w:t>
            </w:r>
            <w:r w:rsidR="00590182">
              <w:rPr>
                <w:rFonts w:eastAsia="Times New Roman" w:cs="Segoe UI"/>
                <w:color w:val="000000"/>
                <w:sz w:val="12"/>
                <w:szCs w:val="12"/>
              </w:rPr>
              <w:t>.</w:t>
            </w:r>
          </w:p>
          <w:p w14:paraId="649A1703" w14:textId="7DED37C0" w:rsidR="00753F31" w:rsidRPr="00870C1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Email used for some communications &amp; data submissions</w:t>
            </w:r>
            <w:r w:rsidR="00A57833">
              <w:rPr>
                <w:rFonts w:eastAsia="Times New Roman" w:cs="Segoe UI"/>
                <w:color w:val="000000"/>
                <w:sz w:val="12"/>
                <w:szCs w:val="12"/>
              </w:rPr>
              <w:t>.</w:t>
            </w:r>
          </w:p>
        </w:tc>
      </w:tr>
      <w:tr w:rsidR="0013634F" w:rsidRPr="00D7193D" w14:paraId="0F35D500" w14:textId="77777777" w:rsidTr="00501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shd w:val="clear" w:color="auto" w:fill="067296" w:themeFill="text2"/>
          </w:tcPr>
          <w:p w14:paraId="52359C45" w14:textId="77777777" w:rsidR="00753F31" w:rsidRPr="00501ACD" w:rsidRDefault="00753F31" w:rsidP="007568A0">
            <w:pPr>
              <w:spacing w:before="0" w:after="0"/>
              <w:rPr>
                <w:color w:val="FAFAFA" w:themeColor="background1"/>
                <w:sz w:val="12"/>
                <w:szCs w:val="12"/>
              </w:rPr>
            </w:pPr>
            <w:r w:rsidRPr="00501ACD">
              <w:rPr>
                <w:color w:val="FAFAFA" w:themeColor="background1"/>
                <w:sz w:val="12"/>
                <w:szCs w:val="12"/>
              </w:rPr>
              <w:t>Parties Involved</w:t>
            </w:r>
          </w:p>
        </w:tc>
        <w:tc>
          <w:tcPr>
            <w:tcW w:w="0" w:type="dxa"/>
          </w:tcPr>
          <w:p w14:paraId="6DB8DB8E" w14:textId="60819B8F" w:rsidR="00753F31" w:rsidRPr="00870C1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 xml:space="preserve">Data submitted by registered Market Participants (MPs) and Distributors connected to the </w:t>
            </w:r>
            <w:r w:rsidR="00BD7FBC" w:rsidRPr="00870C1B">
              <w:rPr>
                <w:rFonts w:eastAsia="Times New Roman" w:cs="Segoe UI"/>
                <w:color w:val="000000"/>
                <w:sz w:val="12"/>
                <w:szCs w:val="12"/>
              </w:rPr>
              <w:t>IESO-</w:t>
            </w:r>
            <w:r w:rsidR="009C0F75">
              <w:rPr>
                <w:rFonts w:eastAsia="Times New Roman" w:cs="Segoe UI"/>
                <w:color w:val="000000"/>
                <w:sz w:val="12"/>
                <w:szCs w:val="12"/>
              </w:rPr>
              <w:t>C</w:t>
            </w:r>
            <w:r w:rsidR="00BD7FBC" w:rsidRPr="00870C1B">
              <w:rPr>
                <w:rFonts w:eastAsia="Times New Roman" w:cs="Segoe UI"/>
                <w:color w:val="000000"/>
                <w:sz w:val="12"/>
                <w:szCs w:val="12"/>
              </w:rPr>
              <w:t xml:space="preserve">ontrolled </w:t>
            </w:r>
            <w:r w:rsidR="009C0F75">
              <w:rPr>
                <w:rFonts w:eastAsia="Times New Roman" w:cs="Segoe UI"/>
                <w:color w:val="000000"/>
                <w:sz w:val="12"/>
                <w:szCs w:val="12"/>
              </w:rPr>
              <w:t>G</w:t>
            </w:r>
            <w:r w:rsidR="00BD7FBC" w:rsidRPr="00870C1B">
              <w:rPr>
                <w:rFonts w:eastAsia="Times New Roman" w:cs="Segoe UI"/>
                <w:color w:val="000000"/>
                <w:sz w:val="12"/>
                <w:szCs w:val="12"/>
              </w:rPr>
              <w:t>rid</w:t>
            </w:r>
            <w:r w:rsidRPr="00870C1B">
              <w:rPr>
                <w:rFonts w:eastAsia="Times New Roman" w:cs="Segoe UI"/>
                <w:color w:val="000000"/>
                <w:sz w:val="12"/>
                <w:szCs w:val="12"/>
              </w:rPr>
              <w:t>.</w:t>
            </w:r>
          </w:p>
          <w:p w14:paraId="67CBC447" w14:textId="77777777" w:rsidR="00753F31" w:rsidRPr="00870C1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870C1B">
              <w:rPr>
                <w:rFonts w:eastAsia="Times New Roman" w:cs="Segoe UI"/>
                <w:color w:val="000000"/>
                <w:sz w:val="12"/>
                <w:szCs w:val="12"/>
              </w:rPr>
              <w:t>This data is received by the IESO and used by multiple internal applications within the IESO.</w:t>
            </w:r>
          </w:p>
        </w:tc>
      </w:tr>
    </w:tbl>
    <w:p w14:paraId="7B981ECE" w14:textId="61E38CE4" w:rsidR="002E104D" w:rsidRDefault="002E104D" w:rsidP="0065334D">
      <w:pPr>
        <w:spacing w:before="0" w:after="0"/>
      </w:pPr>
    </w:p>
    <w:p w14:paraId="3D4D1930" w14:textId="77777777" w:rsidR="0075792B" w:rsidRDefault="0075792B">
      <w:r>
        <w:rPr>
          <w:b/>
          <w:bCs/>
        </w:rPr>
        <w:br w:type="page"/>
      </w:r>
    </w:p>
    <w:tbl>
      <w:tblPr>
        <w:tblStyle w:val="ListTable3-Accent1"/>
        <w:tblW w:w="8080" w:type="dxa"/>
        <w:tblInd w:w="137" w:type="dxa"/>
        <w:tblCellMar>
          <w:top w:w="57" w:type="dxa"/>
          <w:bottom w:w="57" w:type="dxa"/>
        </w:tblCellMar>
        <w:tblLook w:val="04A0" w:firstRow="1" w:lastRow="0" w:firstColumn="1" w:lastColumn="0" w:noHBand="0" w:noVBand="1"/>
      </w:tblPr>
      <w:tblGrid>
        <w:gridCol w:w="1276"/>
        <w:gridCol w:w="6804"/>
      </w:tblGrid>
      <w:tr w:rsidR="00E0777F" w:rsidRPr="00D7193D" w14:paraId="2A3A2379" w14:textId="77777777" w:rsidTr="00C9622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8080" w:type="dxa"/>
            <w:gridSpan w:val="2"/>
            <w:vAlign w:val="center"/>
          </w:tcPr>
          <w:p w14:paraId="6ED2DB76" w14:textId="5CA19139" w:rsidR="00753F31" w:rsidRPr="002B47B6" w:rsidRDefault="00753F31" w:rsidP="006B41FA">
            <w:pPr>
              <w:spacing w:before="0" w:after="0"/>
              <w:rPr>
                <w:sz w:val="16"/>
                <w:szCs w:val="16"/>
              </w:rPr>
            </w:pPr>
            <w:r w:rsidRPr="002B47B6">
              <w:rPr>
                <w:sz w:val="16"/>
                <w:szCs w:val="16"/>
              </w:rPr>
              <w:lastRenderedPageBreak/>
              <w:t>Dispatch Data</w:t>
            </w:r>
          </w:p>
        </w:tc>
      </w:tr>
      <w:tr w:rsidR="00753F31" w:rsidRPr="00D7193D" w14:paraId="17D149F9" w14:textId="77777777" w:rsidTr="009D447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shd w:val="clear" w:color="auto" w:fill="067296" w:themeFill="text2"/>
          </w:tcPr>
          <w:p w14:paraId="136F9820" w14:textId="77777777" w:rsidR="00753F31" w:rsidRPr="009D4475" w:rsidRDefault="00753F31" w:rsidP="007568A0">
            <w:pPr>
              <w:spacing w:before="0" w:after="0"/>
              <w:rPr>
                <w:color w:val="FAFAFA" w:themeColor="background1"/>
                <w:sz w:val="12"/>
                <w:szCs w:val="12"/>
              </w:rPr>
            </w:pPr>
            <w:r w:rsidRPr="009D4475">
              <w:rPr>
                <w:color w:val="FAFAFA" w:themeColor="background1"/>
                <w:sz w:val="12"/>
                <w:szCs w:val="12"/>
              </w:rPr>
              <w:t>Data Exchanged</w:t>
            </w:r>
          </w:p>
        </w:tc>
        <w:tc>
          <w:tcPr>
            <w:tcW w:w="6804" w:type="dxa"/>
          </w:tcPr>
          <w:p w14:paraId="3B2BBBD2" w14:textId="77777777" w:rsidR="00753F31" w:rsidRPr="00330E11"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Dispatch Data: Real-Time Energy bids/offers (2-20 Price/Quantity pairs), Ramp rates (up to 5 sets of ramp up/down values), Operating Reserve (OR) Bids/Offers (2-5 Price/Quantity pairs), energy schedules, energy forecasts, dispatch data and technical data for use in the Day Ahead Commitment Process (DACP) including daily energy limit, 3-part offers for non-quick starts (start-up costs, speed no load costs, incremental energy costs), daily generation data (MLP, MGBRT, Max # of starts per day), etc.</w:t>
            </w:r>
          </w:p>
        </w:tc>
      </w:tr>
      <w:tr w:rsidR="00753F31" w:rsidRPr="00D7193D" w14:paraId="0785412D" w14:textId="77777777" w:rsidTr="009D4475">
        <w:trPr>
          <w:trHeight w:val="57"/>
        </w:trPr>
        <w:tc>
          <w:tcPr>
            <w:cnfStyle w:val="001000000000" w:firstRow="0" w:lastRow="0" w:firstColumn="1" w:lastColumn="0" w:oddVBand="0" w:evenVBand="0" w:oddHBand="0" w:evenHBand="0" w:firstRowFirstColumn="0" w:firstRowLastColumn="0" w:lastRowFirstColumn="0" w:lastRowLastColumn="0"/>
            <w:tcW w:w="1276" w:type="dxa"/>
            <w:shd w:val="clear" w:color="auto" w:fill="067296" w:themeFill="text2"/>
          </w:tcPr>
          <w:p w14:paraId="530F9166" w14:textId="77777777" w:rsidR="00753F31" w:rsidRPr="009D4475" w:rsidRDefault="00753F31" w:rsidP="007568A0">
            <w:pPr>
              <w:spacing w:before="0" w:after="0"/>
              <w:rPr>
                <w:color w:val="FAFAFA" w:themeColor="background1"/>
                <w:sz w:val="12"/>
                <w:szCs w:val="12"/>
              </w:rPr>
            </w:pPr>
            <w:r w:rsidRPr="009D4475">
              <w:rPr>
                <w:color w:val="FAFAFA" w:themeColor="background1"/>
                <w:sz w:val="12"/>
                <w:szCs w:val="12"/>
              </w:rPr>
              <w:t>Freq./Timing</w:t>
            </w:r>
          </w:p>
        </w:tc>
        <w:tc>
          <w:tcPr>
            <w:tcW w:w="6804" w:type="dxa"/>
          </w:tcPr>
          <w:p w14:paraId="1749DBE3" w14:textId="38B831F5" w:rsidR="00753F31" w:rsidRPr="00330E11"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Dispatch data may be submitted (without restriction) from 06:00 EST</w:t>
            </w:r>
            <w:r w:rsidR="00210390" w:rsidRPr="00330E11">
              <w:rPr>
                <w:rFonts w:eastAsia="Times New Roman" w:cs="Segoe UI"/>
                <w:sz w:val="12"/>
                <w:szCs w:val="12"/>
              </w:rPr>
              <w:t xml:space="preserve"> </w:t>
            </w:r>
            <w:r w:rsidRPr="00330E11">
              <w:rPr>
                <w:rFonts w:eastAsia="Times New Roman" w:cs="Segoe UI"/>
                <w:sz w:val="12"/>
                <w:szCs w:val="12"/>
              </w:rPr>
              <w:t>day-ahead until 2 hours prior to the dispatch hour for which the submitted data applies. Standing dispatch data can be submitted at any time in advance of the 06:00 EST</w:t>
            </w:r>
            <w:r w:rsidR="00330E11" w:rsidRPr="00330E11">
              <w:rPr>
                <w:rFonts w:eastAsia="Times New Roman" w:cs="Segoe UI"/>
                <w:sz w:val="12"/>
                <w:szCs w:val="12"/>
              </w:rPr>
              <w:t xml:space="preserve"> d</w:t>
            </w:r>
            <w:r w:rsidRPr="00330E11">
              <w:rPr>
                <w:rFonts w:eastAsia="Times New Roman" w:cs="Segoe UI"/>
                <w:sz w:val="12"/>
                <w:szCs w:val="12"/>
              </w:rPr>
              <w:t xml:space="preserve">ay-ahead. To be considered for </w:t>
            </w:r>
            <w:r w:rsidR="002E5E32" w:rsidRPr="00330E11">
              <w:rPr>
                <w:rFonts w:eastAsia="Times New Roman" w:cs="Segoe UI"/>
                <w:sz w:val="12"/>
                <w:szCs w:val="12"/>
              </w:rPr>
              <w:t>optimisation</w:t>
            </w:r>
            <w:r w:rsidRPr="00330E11">
              <w:rPr>
                <w:rFonts w:eastAsia="Times New Roman" w:cs="Segoe UI"/>
                <w:sz w:val="12"/>
                <w:szCs w:val="12"/>
              </w:rPr>
              <w:t xml:space="preserve"> in the DACP, dispatch data must be submitted before 10:00 EST day-ahead (or between 10:00-14:00 if a valid reason code is provided).</w:t>
            </w:r>
          </w:p>
        </w:tc>
      </w:tr>
      <w:tr w:rsidR="00753F31" w:rsidRPr="00D7193D" w14:paraId="53ED690A" w14:textId="77777777" w:rsidTr="009D447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shd w:val="clear" w:color="auto" w:fill="067296" w:themeFill="text2"/>
          </w:tcPr>
          <w:p w14:paraId="1E22072F" w14:textId="77777777" w:rsidR="00753F31" w:rsidRPr="009D4475" w:rsidRDefault="00753F31" w:rsidP="007568A0">
            <w:pPr>
              <w:spacing w:before="0" w:after="0"/>
              <w:rPr>
                <w:color w:val="FAFAFA" w:themeColor="background1"/>
                <w:sz w:val="12"/>
                <w:szCs w:val="12"/>
              </w:rPr>
            </w:pPr>
            <w:r w:rsidRPr="009D4475">
              <w:rPr>
                <w:color w:val="FAFAFA" w:themeColor="background1"/>
                <w:sz w:val="12"/>
                <w:szCs w:val="12"/>
              </w:rPr>
              <w:t>Data Coordination Interfaces</w:t>
            </w:r>
          </w:p>
        </w:tc>
        <w:tc>
          <w:tcPr>
            <w:tcW w:w="6804" w:type="dxa"/>
          </w:tcPr>
          <w:p w14:paraId="1A7A5385" w14:textId="0E933E3F" w:rsidR="00753F31" w:rsidRPr="00330E11"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 xml:space="preserve">IESO Gateway: secure identity provider (IdP) provides access to </w:t>
            </w:r>
            <w:r w:rsidR="00827BA1" w:rsidRPr="00330E11">
              <w:rPr>
                <w:rFonts w:eastAsia="Times New Roman" w:cs="Segoe UI"/>
                <w:sz w:val="12"/>
                <w:szCs w:val="12"/>
              </w:rPr>
              <w:t>market-facing</w:t>
            </w:r>
            <w:r w:rsidRPr="00330E11">
              <w:rPr>
                <w:rFonts w:eastAsia="Times New Roman" w:cs="Segoe UI"/>
                <w:sz w:val="12"/>
                <w:szCs w:val="12"/>
              </w:rPr>
              <w:t xml:space="preserve"> applications</w:t>
            </w:r>
            <w:r w:rsidR="00FA5709" w:rsidRPr="00330E11">
              <w:rPr>
                <w:rFonts w:eastAsia="Times New Roman" w:cs="Segoe UI"/>
                <w:sz w:val="12"/>
                <w:szCs w:val="12"/>
              </w:rPr>
              <w:t>.</w:t>
            </w:r>
          </w:p>
          <w:p w14:paraId="61E2C6B1" w14:textId="77777777" w:rsidR="00753F31" w:rsidRPr="00330E11"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Energy Management Interface (EMI): web-based application used for participating in the RT Energy and OR Markets to submit and manage dispatch data. Some MPs also submit data via an EMI Application Programming Interface (API).</w:t>
            </w:r>
          </w:p>
        </w:tc>
      </w:tr>
      <w:tr w:rsidR="00753F31" w:rsidRPr="00D7193D" w14:paraId="218F9B8F" w14:textId="77777777" w:rsidTr="009D4475">
        <w:trPr>
          <w:trHeight w:val="57"/>
        </w:trPr>
        <w:tc>
          <w:tcPr>
            <w:cnfStyle w:val="001000000000" w:firstRow="0" w:lastRow="0" w:firstColumn="1" w:lastColumn="0" w:oddVBand="0" w:evenVBand="0" w:oddHBand="0" w:evenHBand="0" w:firstRowFirstColumn="0" w:firstRowLastColumn="0" w:lastRowFirstColumn="0" w:lastRowLastColumn="0"/>
            <w:tcW w:w="1276" w:type="dxa"/>
            <w:shd w:val="clear" w:color="auto" w:fill="067296" w:themeFill="text2"/>
          </w:tcPr>
          <w:p w14:paraId="55E37E52" w14:textId="77777777" w:rsidR="00753F31" w:rsidRPr="009D4475" w:rsidRDefault="00753F31" w:rsidP="007568A0">
            <w:pPr>
              <w:spacing w:before="0" w:after="0"/>
              <w:rPr>
                <w:color w:val="FAFAFA" w:themeColor="background1"/>
                <w:sz w:val="12"/>
                <w:szCs w:val="12"/>
              </w:rPr>
            </w:pPr>
            <w:r w:rsidRPr="009D4475">
              <w:rPr>
                <w:color w:val="FAFAFA" w:themeColor="background1"/>
                <w:sz w:val="12"/>
                <w:szCs w:val="12"/>
              </w:rPr>
              <w:t>Comm. Mediums</w:t>
            </w:r>
          </w:p>
        </w:tc>
        <w:tc>
          <w:tcPr>
            <w:tcW w:w="6804" w:type="dxa"/>
          </w:tcPr>
          <w:p w14:paraId="1371F9E4" w14:textId="55446F49" w:rsidR="00753F31" w:rsidRPr="00330E11"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Internet (user account/identity credentials required for authentication &amp; access to secure IESO web servers &amp; systems)</w:t>
            </w:r>
            <w:r w:rsidR="00FA5709" w:rsidRPr="00330E11">
              <w:rPr>
                <w:rFonts w:eastAsia="Times New Roman" w:cs="Segoe UI"/>
                <w:sz w:val="12"/>
                <w:szCs w:val="12"/>
              </w:rPr>
              <w:t>.</w:t>
            </w:r>
          </w:p>
          <w:p w14:paraId="168C5B19" w14:textId="77777777" w:rsidR="00753F31" w:rsidRPr="00330E11"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Certain information (e.g., change requests in mandatory window) must be communicated via telephone to the IESO Control Room</w:t>
            </w:r>
          </w:p>
        </w:tc>
      </w:tr>
      <w:tr w:rsidR="00753F31" w:rsidRPr="00D7193D" w14:paraId="532A9AED" w14:textId="77777777" w:rsidTr="009D447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shd w:val="clear" w:color="auto" w:fill="067296" w:themeFill="text2"/>
          </w:tcPr>
          <w:p w14:paraId="1D4F8FBF" w14:textId="77777777" w:rsidR="00753F31" w:rsidRPr="009D4475" w:rsidRDefault="00753F31" w:rsidP="007568A0">
            <w:pPr>
              <w:spacing w:before="0" w:after="0"/>
              <w:rPr>
                <w:color w:val="FAFAFA" w:themeColor="background1"/>
                <w:sz w:val="12"/>
                <w:szCs w:val="12"/>
              </w:rPr>
            </w:pPr>
            <w:r w:rsidRPr="009D4475">
              <w:rPr>
                <w:color w:val="FAFAFA" w:themeColor="background1"/>
                <w:sz w:val="12"/>
                <w:szCs w:val="12"/>
              </w:rPr>
              <w:t>Parties Involved</w:t>
            </w:r>
          </w:p>
        </w:tc>
        <w:tc>
          <w:tcPr>
            <w:tcW w:w="6804" w:type="dxa"/>
          </w:tcPr>
          <w:p w14:paraId="104A6137" w14:textId="77777777" w:rsidR="00753F31" w:rsidRPr="00330E11"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MPs participating in IAM, including generators (dispatchable, self-scheduling, intermittent, variable), electricity storage participants, dispatchable loads, hourly demand response resources, etc.</w:t>
            </w:r>
          </w:p>
          <w:p w14:paraId="21018A7D" w14:textId="2A2C0FE6" w:rsidR="00753F31" w:rsidRPr="009D4475" w:rsidRDefault="00753F31" w:rsidP="009D4475">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sz w:val="12"/>
                <w:szCs w:val="12"/>
              </w:rPr>
            </w:pPr>
            <w:r w:rsidRPr="00330E11">
              <w:rPr>
                <w:rFonts w:eastAsia="Times New Roman" w:cs="Segoe UI"/>
                <w:sz w:val="12"/>
                <w:szCs w:val="12"/>
              </w:rPr>
              <w:t>This data is received by the IESO and used by multiple internal applications within the IESO.</w:t>
            </w:r>
          </w:p>
        </w:tc>
      </w:tr>
    </w:tbl>
    <w:p w14:paraId="248654CF" w14:textId="77777777" w:rsidR="00753F31" w:rsidRPr="00F14453" w:rsidRDefault="00753F31" w:rsidP="007568A0">
      <w:pPr>
        <w:spacing w:before="0" w:after="0"/>
        <w:rPr>
          <w:sz w:val="12"/>
          <w:szCs w:val="20"/>
        </w:rPr>
      </w:pPr>
      <w:r w:rsidRPr="00F14453">
        <w:rPr>
          <w:sz w:val="8"/>
          <w:szCs w:val="16"/>
        </w:rPr>
        <w:tab/>
      </w:r>
    </w:p>
    <w:tbl>
      <w:tblPr>
        <w:tblStyle w:val="ListTable3-Accent1"/>
        <w:tblW w:w="8080" w:type="dxa"/>
        <w:tblInd w:w="137" w:type="dxa"/>
        <w:tblCellMar>
          <w:top w:w="57" w:type="dxa"/>
          <w:bottom w:w="57" w:type="dxa"/>
        </w:tblCellMar>
        <w:tblLook w:val="04A0" w:firstRow="1" w:lastRow="0" w:firstColumn="1" w:lastColumn="0" w:noHBand="0" w:noVBand="1"/>
      </w:tblPr>
      <w:tblGrid>
        <w:gridCol w:w="1134"/>
        <w:gridCol w:w="6946"/>
      </w:tblGrid>
      <w:tr w:rsidR="00E0777F" w:rsidRPr="00D7193D" w14:paraId="003E6335" w14:textId="77777777" w:rsidTr="00C9622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8080" w:type="dxa"/>
            <w:gridSpan w:val="2"/>
            <w:vAlign w:val="center"/>
          </w:tcPr>
          <w:p w14:paraId="50705374" w14:textId="77777777" w:rsidR="00753F31" w:rsidRPr="002B47B6" w:rsidRDefault="00753F31" w:rsidP="006B41FA">
            <w:pPr>
              <w:spacing w:before="0" w:after="0"/>
              <w:rPr>
                <w:sz w:val="16"/>
                <w:szCs w:val="16"/>
              </w:rPr>
            </w:pPr>
            <w:r w:rsidRPr="002B47B6">
              <w:rPr>
                <w:sz w:val="16"/>
                <w:szCs w:val="16"/>
              </w:rPr>
              <w:t>Outage Data</w:t>
            </w:r>
          </w:p>
        </w:tc>
      </w:tr>
      <w:tr w:rsidR="00753F31" w:rsidRPr="00D7193D" w14:paraId="777F417E" w14:textId="77777777" w:rsidTr="009D44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7470A877"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6946" w:type="dxa"/>
          </w:tcPr>
          <w:p w14:paraId="20FBD0A0"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Outage Data: Planned and actual start/end dates &amp; times, equipment description, equipment criticality, priority code (forced, urgent, planned, etc.), purpose code (maintenance, repair, replace, testing, etc.), constraint code (out of service, derate, protection out of service, etc.), max recall time, recurrence, MW &amp; MVAR impact. Distributor-specific: &gt;20MW deviations from average weekday demand/supply, demand control actions, etc.</w:t>
            </w:r>
          </w:p>
        </w:tc>
      </w:tr>
      <w:tr w:rsidR="00753F31" w:rsidRPr="00D7193D" w14:paraId="3D3DC9E5" w14:textId="77777777" w:rsidTr="009D4475">
        <w:trPr>
          <w:trHeight w:val="28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80087E4"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6946" w:type="dxa"/>
          </w:tcPr>
          <w:p w14:paraId="776A1F40" w14:textId="5F054759"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 xml:space="preserve">As required. Equipment criticality dictates </w:t>
            </w:r>
            <w:r w:rsidR="002E5E32">
              <w:rPr>
                <w:rFonts w:eastAsia="Times New Roman" w:cs="Segoe UI"/>
                <w:color w:val="000000"/>
                <w:sz w:val="12"/>
                <w:szCs w:val="12"/>
              </w:rPr>
              <w:t xml:space="preserve">the timeframes within which a </w:t>
            </w:r>
            <w:r w:rsidRPr="0063735B">
              <w:rPr>
                <w:rFonts w:eastAsia="Times New Roman" w:cs="Segoe UI"/>
                <w:color w:val="000000"/>
                <w:sz w:val="12"/>
                <w:szCs w:val="12"/>
              </w:rPr>
              <w:t>planned outage request must be submitted.</w:t>
            </w:r>
          </w:p>
        </w:tc>
      </w:tr>
      <w:tr w:rsidR="00753F31" w:rsidRPr="00D7193D" w14:paraId="38F70742" w14:textId="77777777" w:rsidTr="009D44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0677228C"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6946" w:type="dxa"/>
          </w:tcPr>
          <w:p w14:paraId="23750BDC" w14:textId="064EA166"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 xml:space="preserve">IESO Gateway: secure identity provider (IdP) provides access to </w:t>
            </w:r>
            <w:r w:rsidR="006E6666">
              <w:rPr>
                <w:rFonts w:eastAsia="Times New Roman" w:cs="Segoe UI"/>
                <w:color w:val="000000"/>
                <w:sz w:val="12"/>
                <w:szCs w:val="12"/>
              </w:rPr>
              <w:t>market-facing</w:t>
            </w:r>
            <w:r w:rsidRPr="0063735B">
              <w:rPr>
                <w:rFonts w:eastAsia="Times New Roman" w:cs="Segoe UI"/>
                <w:color w:val="000000"/>
                <w:sz w:val="12"/>
                <w:szCs w:val="12"/>
              </w:rPr>
              <w:t xml:space="preserve"> applications</w:t>
            </w:r>
            <w:r w:rsidR="00FA5709">
              <w:rPr>
                <w:rFonts w:eastAsia="Times New Roman" w:cs="Segoe UI"/>
                <w:color w:val="000000"/>
                <w:sz w:val="12"/>
                <w:szCs w:val="12"/>
              </w:rPr>
              <w:t>.</w:t>
            </w:r>
          </w:p>
          <w:p w14:paraId="5C54B6D6"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Outage Management Control Room Operations Window (CROW) Application: Web-based outage management system used for coordinating, scheduling and tracking outages. Some MPs also submit data via an outage management system API.</w:t>
            </w:r>
          </w:p>
        </w:tc>
      </w:tr>
      <w:tr w:rsidR="00753F31" w:rsidRPr="00D7193D" w14:paraId="2E89BFA5" w14:textId="77777777" w:rsidTr="009D4475">
        <w:trPr>
          <w:trHeight w:val="28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77DE4ECF"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6946" w:type="dxa"/>
          </w:tcPr>
          <w:p w14:paraId="26824141" w14:textId="26B5EA82"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Internet (user account/identity credentials required for authentication &amp; access to secure IESO web servers &amp; systems)</w:t>
            </w:r>
            <w:r w:rsidR="00A02CCB">
              <w:rPr>
                <w:rFonts w:eastAsia="Times New Roman" w:cs="Segoe UI"/>
                <w:color w:val="000000"/>
                <w:sz w:val="12"/>
                <w:szCs w:val="12"/>
              </w:rPr>
              <w:t>.</w:t>
            </w:r>
          </w:p>
          <w:p w14:paraId="6E0E1D5F" w14:textId="11926800"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Certain types of outages and information must be communicated via telephone to the IESO Control Room</w:t>
            </w:r>
            <w:r w:rsidR="006E6666">
              <w:rPr>
                <w:rFonts w:eastAsia="Times New Roman" w:cs="Segoe UI"/>
                <w:color w:val="000000"/>
                <w:sz w:val="12"/>
                <w:szCs w:val="12"/>
              </w:rPr>
              <w:t>.</w:t>
            </w:r>
          </w:p>
        </w:tc>
      </w:tr>
      <w:tr w:rsidR="00753F31" w:rsidRPr="00D7193D" w14:paraId="3575955C" w14:textId="77777777" w:rsidTr="009D44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7589F9C6"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6946" w:type="dxa"/>
          </w:tcPr>
          <w:p w14:paraId="49402328" w14:textId="311D7828"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Data submitted by registered MPs and Distributors connected to the ICG1</w:t>
            </w:r>
            <w:r w:rsidR="00A02CCB">
              <w:rPr>
                <w:rFonts w:eastAsia="Times New Roman" w:cs="Segoe UI"/>
                <w:color w:val="000000"/>
                <w:sz w:val="12"/>
                <w:szCs w:val="12"/>
              </w:rPr>
              <w:t>.</w:t>
            </w:r>
          </w:p>
          <w:p w14:paraId="3C9183AF"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This data is received by the IESO and used by multiple internal applications within the IESO</w:t>
            </w:r>
          </w:p>
        </w:tc>
      </w:tr>
    </w:tbl>
    <w:p w14:paraId="7AEFBA84" w14:textId="77777777" w:rsidR="00753F31" w:rsidRPr="00F14453" w:rsidRDefault="00753F31" w:rsidP="00870C1B">
      <w:pPr>
        <w:spacing w:before="0" w:after="0"/>
        <w:rPr>
          <w:sz w:val="12"/>
          <w:szCs w:val="20"/>
        </w:rPr>
      </w:pPr>
    </w:p>
    <w:tbl>
      <w:tblPr>
        <w:tblStyle w:val="ListTable3-Accent1"/>
        <w:tblW w:w="8080" w:type="dxa"/>
        <w:tblInd w:w="137" w:type="dxa"/>
        <w:tblCellMar>
          <w:top w:w="57" w:type="dxa"/>
          <w:bottom w:w="57" w:type="dxa"/>
        </w:tblCellMar>
        <w:tblLook w:val="04A0" w:firstRow="1" w:lastRow="0" w:firstColumn="1" w:lastColumn="0" w:noHBand="0" w:noVBand="1"/>
      </w:tblPr>
      <w:tblGrid>
        <w:gridCol w:w="1152"/>
        <w:gridCol w:w="6928"/>
      </w:tblGrid>
      <w:tr w:rsidR="00E0777F" w:rsidRPr="00D7193D" w14:paraId="1D3656B2" w14:textId="77777777" w:rsidTr="00C9622A">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8080" w:type="dxa"/>
            <w:gridSpan w:val="2"/>
            <w:vAlign w:val="center"/>
          </w:tcPr>
          <w:p w14:paraId="59D360D3" w14:textId="77777777" w:rsidR="00753F31" w:rsidRPr="002B47B6" w:rsidRDefault="00753F31" w:rsidP="006B41FA">
            <w:pPr>
              <w:spacing w:before="0" w:after="0"/>
              <w:rPr>
                <w:sz w:val="16"/>
                <w:szCs w:val="16"/>
              </w:rPr>
            </w:pPr>
            <w:r w:rsidRPr="002B47B6">
              <w:rPr>
                <w:sz w:val="16"/>
                <w:szCs w:val="16"/>
              </w:rPr>
              <w:t>Telemetry</w:t>
            </w:r>
          </w:p>
        </w:tc>
      </w:tr>
      <w:tr w:rsidR="00753F31" w:rsidRPr="00D7193D" w14:paraId="6611E131"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52" w:type="dxa"/>
            <w:shd w:val="clear" w:color="auto" w:fill="067296" w:themeFill="text2"/>
          </w:tcPr>
          <w:p w14:paraId="48A8AE8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6928" w:type="dxa"/>
          </w:tcPr>
          <w:p w14:paraId="0A3D206E"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Telemetry: Real Time Telemetry from Field including active power (MW), reactive power (MVar), apparent power (VA), voltage (kV), frequency (Hz), unit status, breaker status, equipment status, direction of power flow, transformer low and high side measurements, phase-to-phase voltage, state of charge, dynamic max/min power, base point, meteorological data, etc.</w:t>
            </w:r>
          </w:p>
        </w:tc>
      </w:tr>
      <w:tr w:rsidR="00753F31" w:rsidRPr="00D7193D" w14:paraId="058C08D9"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52" w:type="dxa"/>
            <w:shd w:val="clear" w:color="auto" w:fill="067296" w:themeFill="text2"/>
          </w:tcPr>
          <w:p w14:paraId="56F90EB5"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6928" w:type="dxa"/>
          </w:tcPr>
          <w:p w14:paraId="2BB623E6" w14:textId="77777777"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Telemetry monitoring and performance requirements vary by resource type and size.</w:t>
            </w:r>
          </w:p>
        </w:tc>
      </w:tr>
      <w:tr w:rsidR="00753F31" w:rsidRPr="00D7193D" w14:paraId="13812ECB"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52" w:type="dxa"/>
            <w:shd w:val="clear" w:color="auto" w:fill="067296" w:themeFill="text2"/>
          </w:tcPr>
          <w:p w14:paraId="683C1B96"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6928" w:type="dxa"/>
          </w:tcPr>
          <w:p w14:paraId="64FB3084" w14:textId="025F904B"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 xml:space="preserve">Supervisory </w:t>
            </w:r>
            <w:r w:rsidR="00853154">
              <w:rPr>
                <w:rFonts w:eastAsia="Times New Roman" w:cs="Segoe UI"/>
                <w:color w:val="000000"/>
                <w:sz w:val="12"/>
                <w:szCs w:val="12"/>
              </w:rPr>
              <w:t>C</w:t>
            </w:r>
            <w:r w:rsidRPr="0063735B">
              <w:rPr>
                <w:rFonts w:eastAsia="Times New Roman" w:cs="Segoe UI"/>
                <w:color w:val="000000"/>
                <w:sz w:val="12"/>
                <w:szCs w:val="12"/>
              </w:rPr>
              <w:t xml:space="preserve">ontrol and </w:t>
            </w:r>
            <w:r w:rsidR="00853154">
              <w:rPr>
                <w:rFonts w:eastAsia="Times New Roman" w:cs="Segoe UI"/>
                <w:color w:val="000000"/>
                <w:sz w:val="12"/>
                <w:szCs w:val="12"/>
              </w:rPr>
              <w:t>D</w:t>
            </w:r>
            <w:r w:rsidRPr="0063735B">
              <w:rPr>
                <w:rFonts w:eastAsia="Times New Roman" w:cs="Segoe UI"/>
                <w:color w:val="000000"/>
                <w:sz w:val="12"/>
                <w:szCs w:val="12"/>
              </w:rPr>
              <w:t xml:space="preserve">ata </w:t>
            </w:r>
            <w:r w:rsidR="00853154">
              <w:rPr>
                <w:rFonts w:eastAsia="Times New Roman" w:cs="Segoe UI"/>
                <w:color w:val="000000"/>
                <w:sz w:val="12"/>
                <w:szCs w:val="12"/>
              </w:rPr>
              <w:t>A</w:t>
            </w:r>
            <w:r w:rsidRPr="0063735B">
              <w:rPr>
                <w:rFonts w:eastAsia="Times New Roman" w:cs="Segoe UI"/>
                <w:color w:val="000000"/>
                <w:sz w:val="12"/>
                <w:szCs w:val="12"/>
              </w:rPr>
              <w:t>cquisition (SCADA) / Energy Management System (EMS): system of remote control and telemetry used to monitor and control the electric system.</w:t>
            </w:r>
          </w:p>
        </w:tc>
      </w:tr>
      <w:tr w:rsidR="00753F31" w:rsidRPr="00D7193D" w14:paraId="04B830D9"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52" w:type="dxa"/>
            <w:shd w:val="clear" w:color="auto" w:fill="067296" w:themeFill="text2"/>
          </w:tcPr>
          <w:p w14:paraId="5DECD85E" w14:textId="4CE2762C"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w:t>
            </w:r>
            <w:r w:rsidR="00BC0908" w:rsidRPr="009D4475">
              <w:rPr>
                <w:color w:val="FAFAFA" w:themeColor="background1"/>
                <w:sz w:val="12"/>
                <w:szCs w:val="20"/>
              </w:rPr>
              <w:t>unica</w:t>
            </w:r>
            <w:r w:rsidR="00E42912" w:rsidRPr="009D4475">
              <w:rPr>
                <w:color w:val="FAFAFA" w:themeColor="background1"/>
                <w:sz w:val="12"/>
                <w:szCs w:val="20"/>
              </w:rPr>
              <w:t>tion</w:t>
            </w:r>
            <w:r w:rsidRPr="009D4475">
              <w:rPr>
                <w:color w:val="FAFAFA" w:themeColor="background1"/>
                <w:sz w:val="12"/>
                <w:szCs w:val="20"/>
              </w:rPr>
              <w:t xml:space="preserve"> Mediums</w:t>
            </w:r>
          </w:p>
        </w:tc>
        <w:tc>
          <w:tcPr>
            <w:tcW w:w="6928" w:type="dxa"/>
          </w:tcPr>
          <w:p w14:paraId="623577F2" w14:textId="77777777"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IESO receives telemetry via one of three methods:</w:t>
            </w:r>
          </w:p>
          <w:p w14:paraId="38476B09" w14:textId="4C4291E8" w:rsidR="00753F31" w:rsidRPr="0063735B" w:rsidRDefault="00753F31" w:rsidP="00470C91">
            <w:pPr>
              <w:pStyle w:val="ListParagraph"/>
              <w:numPr>
                <w:ilvl w:val="0"/>
                <w:numId w:val="20"/>
              </w:numPr>
              <w:spacing w:before="0" w:after="0" w:line="264" w:lineRule="auto"/>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 xml:space="preserve">Remote Terminal Unit (RTU) via DNP3 (Distributed </w:t>
            </w:r>
            <w:r w:rsidR="00853154">
              <w:rPr>
                <w:rFonts w:eastAsia="Times New Roman" w:cs="Segoe UI"/>
                <w:color w:val="000000"/>
                <w:sz w:val="12"/>
                <w:szCs w:val="12"/>
              </w:rPr>
              <w:t>N</w:t>
            </w:r>
            <w:r w:rsidRPr="0063735B">
              <w:rPr>
                <w:rFonts w:eastAsia="Times New Roman" w:cs="Segoe UI"/>
                <w:color w:val="000000"/>
                <w:sz w:val="12"/>
                <w:szCs w:val="12"/>
              </w:rPr>
              <w:t xml:space="preserve">etwork </w:t>
            </w:r>
            <w:r w:rsidR="00853154">
              <w:rPr>
                <w:rFonts w:eastAsia="Times New Roman" w:cs="Segoe UI"/>
                <w:color w:val="000000"/>
                <w:sz w:val="12"/>
                <w:szCs w:val="12"/>
              </w:rPr>
              <w:t>P</w:t>
            </w:r>
            <w:r w:rsidRPr="0063735B">
              <w:rPr>
                <w:rFonts w:eastAsia="Times New Roman" w:cs="Segoe UI"/>
                <w:color w:val="000000"/>
                <w:sz w:val="12"/>
                <w:szCs w:val="12"/>
              </w:rPr>
              <w:t>rotocol 3)</w:t>
            </w:r>
          </w:p>
          <w:p w14:paraId="26E2163B" w14:textId="77777777" w:rsidR="00753F31" w:rsidRPr="0063735B" w:rsidRDefault="00753F31" w:rsidP="00470C91">
            <w:pPr>
              <w:pStyle w:val="ListParagraph"/>
              <w:numPr>
                <w:ilvl w:val="0"/>
                <w:numId w:val="20"/>
              </w:numPr>
              <w:spacing w:before="0" w:after="0" w:line="264" w:lineRule="auto"/>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Intermediate communication gateway (HUB)</w:t>
            </w:r>
          </w:p>
          <w:p w14:paraId="4A7BA6BB" w14:textId="77777777" w:rsidR="00753F31" w:rsidRPr="0063735B" w:rsidRDefault="00753F31" w:rsidP="00470C91">
            <w:pPr>
              <w:pStyle w:val="ListParagraph"/>
              <w:numPr>
                <w:ilvl w:val="0"/>
                <w:numId w:val="20"/>
              </w:numPr>
              <w:spacing w:before="0" w:after="0" w:line="264" w:lineRule="auto"/>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Inter Control Centre Communication Protocol (ICCP) link.</w:t>
            </w:r>
          </w:p>
        </w:tc>
      </w:tr>
      <w:tr w:rsidR="00753F31" w:rsidRPr="00D7193D" w14:paraId="509ED579"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52" w:type="dxa"/>
            <w:shd w:val="clear" w:color="auto" w:fill="067296" w:themeFill="text2"/>
          </w:tcPr>
          <w:p w14:paraId="2936B14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6928" w:type="dxa"/>
          </w:tcPr>
          <w:p w14:paraId="323CA0DA" w14:textId="51356572"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Telemetry submitted by registered MPs and Distributors connected to the ICG1</w:t>
            </w:r>
            <w:r w:rsidR="008616CC">
              <w:rPr>
                <w:rFonts w:eastAsia="Times New Roman" w:cs="Segoe UI"/>
                <w:color w:val="000000"/>
                <w:sz w:val="12"/>
                <w:szCs w:val="12"/>
              </w:rPr>
              <w:t>.</w:t>
            </w:r>
          </w:p>
          <w:p w14:paraId="5AF3A8C8" w14:textId="0881B696"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Telemetry data is received by the IESO and used by multiple internal applications within the IESO</w:t>
            </w:r>
            <w:r w:rsidR="008616CC">
              <w:rPr>
                <w:rFonts w:eastAsia="Times New Roman" w:cs="Segoe UI"/>
                <w:color w:val="000000"/>
                <w:sz w:val="12"/>
                <w:szCs w:val="12"/>
              </w:rPr>
              <w:t>.</w:t>
            </w:r>
          </w:p>
        </w:tc>
      </w:tr>
    </w:tbl>
    <w:p w14:paraId="78707478" w14:textId="7DE4A5EB" w:rsidR="00753F31" w:rsidRPr="00330E11" w:rsidRDefault="00753F31" w:rsidP="00870C1B">
      <w:pPr>
        <w:spacing w:before="0" w:after="0"/>
        <w:rPr>
          <w:sz w:val="2"/>
          <w:szCs w:val="2"/>
        </w:rPr>
      </w:pPr>
    </w:p>
    <w:tbl>
      <w:tblPr>
        <w:tblStyle w:val="ListTable3-Accent1"/>
        <w:tblW w:w="0" w:type="auto"/>
        <w:tblInd w:w="-5" w:type="dxa"/>
        <w:tblCellMar>
          <w:top w:w="57" w:type="dxa"/>
          <w:bottom w:w="57" w:type="dxa"/>
        </w:tblCellMar>
        <w:tblLook w:val="04A0" w:firstRow="1" w:lastRow="0" w:firstColumn="1" w:lastColumn="0" w:noHBand="0" w:noVBand="1"/>
      </w:tblPr>
      <w:tblGrid>
        <w:gridCol w:w="1134"/>
        <w:gridCol w:w="6804"/>
      </w:tblGrid>
      <w:tr w:rsidR="00B56BED" w:rsidRPr="00D7193D" w14:paraId="31AEBAA5" w14:textId="77777777" w:rsidTr="00ED5BCF">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7938" w:type="dxa"/>
            <w:gridSpan w:val="2"/>
            <w:vAlign w:val="center"/>
          </w:tcPr>
          <w:p w14:paraId="0D3126EB" w14:textId="77777777" w:rsidR="00753F31" w:rsidRPr="002B47B6" w:rsidRDefault="00753F31" w:rsidP="006B41FA">
            <w:pPr>
              <w:spacing w:before="0" w:after="0"/>
              <w:rPr>
                <w:sz w:val="16"/>
                <w:szCs w:val="16"/>
              </w:rPr>
            </w:pPr>
            <w:r w:rsidRPr="002B47B6">
              <w:rPr>
                <w:sz w:val="16"/>
                <w:szCs w:val="16"/>
              </w:rPr>
              <w:lastRenderedPageBreak/>
              <w:t>Revenue Meter Data</w:t>
            </w:r>
          </w:p>
        </w:tc>
      </w:tr>
      <w:tr w:rsidR="0013634F" w:rsidRPr="00D7193D" w14:paraId="7B0CB7B6"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173B2B67"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0" w:type="dxa"/>
          </w:tcPr>
          <w:p w14:paraId="53FCD1A1"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Metering Registration Documentation: Meter registration data including identification, name and contact of metered MP and service provider, Single line diagram of meter installation, site-specific loss adjustment, measurement error correction, conceptual drawing review, defined meter point (or embedded connection point) associated with the metering installation, etc.</w:t>
            </w:r>
          </w:p>
          <w:p w14:paraId="2502E4B5" w14:textId="3E50815F"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Revenue Metering Data: Electrical quantities measured and recorded from each metering installation registered with the IESO (original energy readings, substitutions, estimations, losses, calculated values, delivery points)</w:t>
            </w:r>
            <w:r w:rsidR="008616CC">
              <w:rPr>
                <w:rFonts w:eastAsia="Times New Roman" w:cs="Segoe UI"/>
                <w:color w:val="000000"/>
                <w:sz w:val="12"/>
                <w:szCs w:val="12"/>
              </w:rPr>
              <w:t>.</w:t>
            </w:r>
          </w:p>
        </w:tc>
      </w:tr>
      <w:tr w:rsidR="0013634F" w:rsidRPr="00D7193D" w14:paraId="48977BFA"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31F0B7A8"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0" w:type="dxa"/>
          </w:tcPr>
          <w:p w14:paraId="7AC2694A" w14:textId="77777777"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Meter setup details submitted upon registration &amp; updated as required.</w:t>
            </w:r>
          </w:p>
          <w:p w14:paraId="0F4E441B" w14:textId="6D60E837"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Metering data is made available for each metering interval (5 or 15 minutes), or in some cases, for each dispatch hour</w:t>
            </w:r>
            <w:r w:rsidR="00AE13C1">
              <w:rPr>
                <w:rFonts w:eastAsia="Times New Roman" w:cs="Segoe UI"/>
                <w:color w:val="000000"/>
                <w:sz w:val="12"/>
                <w:szCs w:val="12"/>
              </w:rPr>
              <w:t>.</w:t>
            </w:r>
          </w:p>
        </w:tc>
      </w:tr>
      <w:tr w:rsidR="0013634F" w:rsidRPr="00D7193D" w14:paraId="39E042F8"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767BFA30"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0" w:type="dxa"/>
          </w:tcPr>
          <w:p w14:paraId="0D39F183" w14:textId="3A037FA2"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Online IESO</w:t>
            </w:r>
            <w:r w:rsidR="0067509C">
              <w:rPr>
                <w:rFonts w:eastAsia="Times New Roman" w:cs="Segoe UI"/>
                <w:color w:val="000000"/>
                <w:sz w:val="12"/>
                <w:szCs w:val="12"/>
              </w:rPr>
              <w:t>.</w:t>
            </w:r>
          </w:p>
          <w:p w14:paraId="02F2DBA0" w14:textId="77777777"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Meter Data Acquisition System (MDAS): application used for registering metering installations and collecting metering data.</w:t>
            </w:r>
          </w:p>
        </w:tc>
      </w:tr>
      <w:tr w:rsidR="0013634F" w:rsidRPr="00D7193D" w14:paraId="6D9DD436"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B7606A0"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0" w:type="dxa"/>
          </w:tcPr>
          <w:p w14:paraId="29E91380" w14:textId="3344389A" w:rsidR="00753F31" w:rsidRPr="0063735B" w:rsidRDefault="00753F31" w:rsidP="00470C91">
            <w:pPr>
              <w:pStyle w:val="ListParagraph"/>
              <w:numPr>
                <w:ilvl w:val="0"/>
                <w:numId w:val="2"/>
              </w:numPr>
              <w:spacing w:before="0" w:after="0" w:line="264" w:lineRule="auto"/>
              <w:ind w:left="338" w:hanging="28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TCP/IP (Transmission Control Protocol/Internet Protocol), complying with the IESO’s TCP/IP model for site-to-site VPN (Virtual Private Network)</w:t>
            </w:r>
            <w:r w:rsidR="0067509C">
              <w:rPr>
                <w:rFonts w:eastAsia="Times New Roman" w:cs="Segoe UI"/>
                <w:color w:val="000000"/>
                <w:sz w:val="12"/>
                <w:szCs w:val="12"/>
              </w:rPr>
              <w:t>.</w:t>
            </w:r>
          </w:p>
        </w:tc>
      </w:tr>
      <w:tr w:rsidR="0013634F" w:rsidRPr="00D7193D" w14:paraId="08802A27"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5AE31D18"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0" w:type="dxa"/>
          </w:tcPr>
          <w:p w14:paraId="55DFF6C3" w14:textId="2D8128B8"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Revenue meter data is submitted by all metered market participants</w:t>
            </w:r>
            <w:r w:rsidR="00225F63">
              <w:rPr>
                <w:rFonts w:eastAsia="Times New Roman" w:cs="Segoe UI"/>
                <w:color w:val="000000"/>
                <w:sz w:val="12"/>
                <w:szCs w:val="12"/>
              </w:rPr>
              <w:t>.</w:t>
            </w:r>
          </w:p>
          <w:p w14:paraId="0C0A76E7" w14:textId="4F03DD88" w:rsidR="00753F31" w:rsidRPr="0063735B" w:rsidRDefault="00753F31" w:rsidP="00470C91">
            <w:pPr>
              <w:pStyle w:val="ListParagraph"/>
              <w:numPr>
                <w:ilvl w:val="0"/>
                <w:numId w:val="2"/>
              </w:numPr>
              <w:spacing w:before="0" w:after="0" w:line="264" w:lineRule="auto"/>
              <w:ind w:left="338" w:hanging="28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12"/>
              </w:rPr>
            </w:pPr>
            <w:r w:rsidRPr="0063735B">
              <w:rPr>
                <w:rFonts w:eastAsia="Times New Roman" w:cs="Segoe UI"/>
                <w:color w:val="000000"/>
                <w:sz w:val="12"/>
                <w:szCs w:val="12"/>
              </w:rPr>
              <w:t>Data is received by the IESO and used for settlement purposes</w:t>
            </w:r>
            <w:r w:rsidR="00225F63">
              <w:rPr>
                <w:rFonts w:eastAsia="Times New Roman" w:cs="Segoe UI"/>
                <w:color w:val="000000"/>
                <w:sz w:val="12"/>
                <w:szCs w:val="12"/>
              </w:rPr>
              <w:t>.</w:t>
            </w:r>
          </w:p>
        </w:tc>
      </w:tr>
    </w:tbl>
    <w:p w14:paraId="37DDD06B" w14:textId="77777777" w:rsidR="00753F31" w:rsidRPr="00870C1B" w:rsidRDefault="00753F31" w:rsidP="00870C1B">
      <w:pPr>
        <w:spacing w:before="0" w:after="0"/>
      </w:pPr>
    </w:p>
    <w:tbl>
      <w:tblPr>
        <w:tblStyle w:val="ListTable3-Accent1"/>
        <w:tblW w:w="0" w:type="auto"/>
        <w:tblInd w:w="-5" w:type="dxa"/>
        <w:tblCellMar>
          <w:top w:w="57" w:type="dxa"/>
          <w:bottom w:w="57" w:type="dxa"/>
        </w:tblCellMar>
        <w:tblLook w:val="04A0" w:firstRow="1" w:lastRow="0" w:firstColumn="1" w:lastColumn="0" w:noHBand="0" w:noVBand="1"/>
      </w:tblPr>
      <w:tblGrid>
        <w:gridCol w:w="1134"/>
        <w:gridCol w:w="6804"/>
      </w:tblGrid>
      <w:tr w:rsidR="00B56BED" w:rsidRPr="00D7193D" w14:paraId="0B162262"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938" w:type="dxa"/>
            <w:gridSpan w:val="2"/>
            <w:vAlign w:val="center"/>
          </w:tcPr>
          <w:p w14:paraId="53915FD4" w14:textId="77777777" w:rsidR="00753F31" w:rsidRPr="002B47B6" w:rsidRDefault="00753F31" w:rsidP="006B41FA">
            <w:pPr>
              <w:spacing w:before="0" w:after="0"/>
              <w:rPr>
                <w:sz w:val="16"/>
                <w:szCs w:val="16"/>
              </w:rPr>
            </w:pPr>
            <w:r w:rsidRPr="002B47B6">
              <w:rPr>
                <w:sz w:val="16"/>
                <w:szCs w:val="16"/>
              </w:rPr>
              <w:t>Smart Meter Data</w:t>
            </w:r>
          </w:p>
        </w:tc>
      </w:tr>
      <w:tr w:rsidR="0013634F" w:rsidRPr="00D7193D" w14:paraId="744AF325"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B31BF53"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0" w:type="dxa"/>
          </w:tcPr>
          <w:p w14:paraId="6E85B60E"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Smart Meter Data: Hourly energy usage gathered from smart meters at homes and businesses across Ontario.</w:t>
            </w:r>
          </w:p>
          <w:p w14:paraId="1AA62E4D"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SmartMeter Service &amp; Misc. Data: Incident tickets, requests for change, problem logs, record management, profile information, surveys, etc.</w:t>
            </w:r>
          </w:p>
        </w:tc>
      </w:tr>
      <w:tr w:rsidR="0013634F" w:rsidRPr="00D7193D" w14:paraId="6B64AAC2"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7A5ED4F7"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0" w:type="dxa"/>
          </w:tcPr>
          <w:p w14:paraId="231CF1C2" w14:textId="24511EA6"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Smart metering data is collected from the meter hourly</w:t>
            </w:r>
            <w:r w:rsidR="00E939DD">
              <w:rPr>
                <w:rFonts w:eastAsia="Times New Roman" w:cs="Segoe UI"/>
                <w:color w:val="000000"/>
                <w:sz w:val="12"/>
                <w:szCs w:val="20"/>
              </w:rPr>
              <w:t>.</w:t>
            </w:r>
          </w:p>
          <w:p w14:paraId="287353DA"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Service&amp; misc. data submitted as required.</w:t>
            </w:r>
          </w:p>
        </w:tc>
      </w:tr>
      <w:tr w:rsidR="0013634F" w:rsidRPr="00D7193D" w14:paraId="29F47DAA"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0FF7C925"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0" w:type="dxa"/>
          </w:tcPr>
          <w:p w14:paraId="2FEC3CE0" w14:textId="41646BE2"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 Data Management and Repository (MDM/R): Central platform for storing, processing, validating and managing smart meter data. One of the largest shared service</w:t>
            </w:r>
            <w:r w:rsidR="004A4CCB">
              <w:rPr>
                <w:rFonts w:eastAsia="Times New Roman" w:cs="Segoe UI"/>
                <w:color w:val="000000"/>
                <w:sz w:val="12"/>
                <w:szCs w:val="20"/>
              </w:rPr>
              <w:t>s</w:t>
            </w:r>
            <w:r w:rsidRPr="00870C1B">
              <w:rPr>
                <w:rFonts w:eastAsia="Times New Roman" w:cs="Segoe UI"/>
                <w:color w:val="000000"/>
                <w:sz w:val="12"/>
                <w:szCs w:val="20"/>
              </w:rPr>
              <w:t>/transactional systems in the world, supporting all of Ontario’s distributors.</w:t>
            </w:r>
          </w:p>
          <w:p w14:paraId="14E82C34"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MDM/R Service Desk: Online services management interface.</w:t>
            </w:r>
          </w:p>
        </w:tc>
      </w:tr>
      <w:tr w:rsidR="0013634F" w:rsidRPr="00D7193D" w14:paraId="7C24D85B"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2385B422"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0" w:type="dxa"/>
          </w:tcPr>
          <w:p w14:paraId="5B5C39DE"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Applicability Statement 2 (AS2), Business-to-Business (B2B) via internet, mTLS1.3</w:t>
            </w:r>
          </w:p>
        </w:tc>
      </w:tr>
      <w:tr w:rsidR="0013634F" w:rsidRPr="00D7193D" w14:paraId="4EB95BA0"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2C8D0BA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0" w:type="dxa"/>
          </w:tcPr>
          <w:p w14:paraId="3A05C5FD"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Smart meter data is submitted by all local distribution companies in Ontario.</w:t>
            </w:r>
          </w:p>
          <w:p w14:paraId="0A894218" w14:textId="304F25E6"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The IESO</w:t>
            </w:r>
            <w:r w:rsidR="00357058">
              <w:rPr>
                <w:rFonts w:eastAsia="Times New Roman" w:cs="Segoe UI"/>
                <w:color w:val="000000"/>
                <w:sz w:val="12"/>
                <w:szCs w:val="20"/>
              </w:rPr>
              <w:t>,</w:t>
            </w:r>
            <w:r w:rsidRPr="00870C1B">
              <w:rPr>
                <w:rFonts w:eastAsia="Times New Roman" w:cs="Segoe UI"/>
                <w:color w:val="000000"/>
                <w:sz w:val="12"/>
                <w:szCs w:val="20"/>
              </w:rPr>
              <w:t xml:space="preserve"> as the designated Smart Metering Entity (SME) develops, manages and protects Ontario’s MDM/R1</w:t>
            </w:r>
          </w:p>
        </w:tc>
      </w:tr>
    </w:tbl>
    <w:p w14:paraId="7A17E0DC" w14:textId="6E8283FF" w:rsidR="00753F31" w:rsidRPr="00870C1B" w:rsidRDefault="00BC5506" w:rsidP="00BF59B3">
      <w:pPr>
        <w:pStyle w:val="TOC1"/>
        <w:rPr>
          <w:rStyle w:val="Strong"/>
        </w:rPr>
      </w:pPr>
      <w:r w:rsidRPr="00870C1B">
        <w:rPr>
          <w:rStyle w:val="Strong"/>
        </w:rPr>
        <w:t>Downstream Information Requirements</w:t>
      </w:r>
      <w:r w:rsidR="00753F31" w:rsidRPr="00870C1B">
        <w:rPr>
          <w:rStyle w:val="Strong"/>
        </w:rPr>
        <w:t xml:space="preserve"> from IESO </w:t>
      </w:r>
      <w:r w:rsidRPr="00870C1B">
        <w:rPr>
          <w:rStyle w:val="Strong"/>
        </w:rPr>
        <w:t>to DSOs</w:t>
      </w:r>
    </w:p>
    <w:tbl>
      <w:tblPr>
        <w:tblStyle w:val="ListTable3-Accent1"/>
        <w:tblW w:w="0" w:type="auto"/>
        <w:tblInd w:w="-5" w:type="dxa"/>
        <w:tblCellMar>
          <w:top w:w="57" w:type="dxa"/>
          <w:bottom w:w="57" w:type="dxa"/>
        </w:tblCellMar>
        <w:tblLook w:val="04A0" w:firstRow="1" w:lastRow="0" w:firstColumn="1" w:lastColumn="0" w:noHBand="0" w:noVBand="1"/>
      </w:tblPr>
      <w:tblGrid>
        <w:gridCol w:w="1134"/>
        <w:gridCol w:w="6804"/>
      </w:tblGrid>
      <w:tr w:rsidR="00B56BED" w:rsidRPr="00D7193D" w14:paraId="67C55733"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938" w:type="dxa"/>
            <w:gridSpan w:val="2"/>
            <w:vAlign w:val="center"/>
          </w:tcPr>
          <w:p w14:paraId="011A4492" w14:textId="77777777" w:rsidR="00753F31" w:rsidRPr="002B47B6" w:rsidRDefault="00753F31" w:rsidP="006B41FA">
            <w:pPr>
              <w:spacing w:before="0" w:after="0"/>
              <w:rPr>
                <w:sz w:val="16"/>
                <w:szCs w:val="16"/>
              </w:rPr>
            </w:pPr>
            <w:r w:rsidRPr="002B47B6">
              <w:rPr>
                <w:sz w:val="16"/>
                <w:szCs w:val="16"/>
              </w:rPr>
              <w:t>Advisory Notices, Alerts &amp; Mass Notifications</w:t>
            </w:r>
          </w:p>
        </w:tc>
      </w:tr>
      <w:tr w:rsidR="0013634F" w:rsidRPr="00D7193D" w14:paraId="7A9FFA21"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18AF2848"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0" w:type="dxa"/>
          </w:tcPr>
          <w:p w14:paraId="12A90E8D"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Advisory Notices, Alerts &amp; Mass Notifications: ICG operating state notifications (emergency, high risk, conservative), security/adequacy concern advisories, emergency control action advisories, voltage control and demand control notifications, over-and under-generation advisories, notifications of IAM suspension/resumption, notification of planned outages for maintenance/upgrades to IAM software, hardware and communications systems, etc.</w:t>
            </w:r>
          </w:p>
        </w:tc>
      </w:tr>
      <w:tr w:rsidR="0013634F" w:rsidRPr="00D7193D" w14:paraId="279A32DE"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64BCC0E"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0" w:type="dxa"/>
          </w:tcPr>
          <w:p w14:paraId="04E02FE6" w14:textId="2C523452"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As required, in accordance with the conditions &amp; triggers for issuing advisory notices, alerts and mass notifications as detailed in the applicable MRs &amp; MMs1</w:t>
            </w:r>
            <w:r w:rsidR="00357058">
              <w:rPr>
                <w:rFonts w:eastAsia="Times New Roman" w:cs="Segoe UI"/>
                <w:color w:val="000000"/>
                <w:sz w:val="12"/>
                <w:szCs w:val="20"/>
              </w:rPr>
              <w:t>.</w:t>
            </w:r>
          </w:p>
        </w:tc>
      </w:tr>
      <w:tr w:rsidR="0013634F" w:rsidRPr="00D7193D" w14:paraId="5AA0515A"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19E3DD9"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0" w:type="dxa"/>
          </w:tcPr>
          <w:p w14:paraId="0EB78773" w14:textId="68ADE9CE"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Online IESO</w:t>
            </w:r>
            <w:r w:rsidR="00357058">
              <w:rPr>
                <w:rFonts w:eastAsia="Times New Roman" w:cs="Segoe UI"/>
                <w:color w:val="000000"/>
                <w:sz w:val="12"/>
                <w:szCs w:val="20"/>
              </w:rPr>
              <w:t>.</w:t>
            </w:r>
          </w:p>
          <w:p w14:paraId="31D4038C"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Obsolesced Word Now: Critical communications tool used by the IESO to send alerts and mass notifications.</w:t>
            </w:r>
          </w:p>
          <w:p w14:paraId="2D98D140" w14:textId="72EF70A1"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Advisories and notifications are available on the IESO website via the RSS feeds</w:t>
            </w:r>
            <w:r w:rsidR="00357058">
              <w:rPr>
                <w:rFonts w:eastAsia="Times New Roman" w:cs="Segoe UI"/>
                <w:color w:val="000000"/>
                <w:sz w:val="12"/>
                <w:szCs w:val="20"/>
              </w:rPr>
              <w:t>.</w:t>
            </w:r>
          </w:p>
        </w:tc>
      </w:tr>
      <w:tr w:rsidR="0013634F" w:rsidRPr="00D7193D" w14:paraId="32AD5BBF"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535DC003"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0" w:type="dxa"/>
          </w:tcPr>
          <w:p w14:paraId="4E9C1685" w14:textId="582B4A73"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Internet (Slowest &amp; RSS feeds)</w:t>
            </w:r>
            <w:r w:rsidR="00DA728A">
              <w:rPr>
                <w:rFonts w:eastAsia="Times New Roman" w:cs="Segoe UI"/>
                <w:color w:val="000000"/>
                <w:sz w:val="12"/>
                <w:szCs w:val="20"/>
              </w:rPr>
              <w:t>.</w:t>
            </w:r>
          </w:p>
          <w:p w14:paraId="5518C794" w14:textId="7363340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 certain cases, notifications or alerts may be provided over email, telephone and/or SMS</w:t>
            </w:r>
            <w:r w:rsidR="00DA728A">
              <w:rPr>
                <w:rFonts w:eastAsia="Times New Roman" w:cs="Segoe UI"/>
                <w:color w:val="000000"/>
                <w:sz w:val="12"/>
                <w:szCs w:val="20"/>
              </w:rPr>
              <w:t>.</w:t>
            </w:r>
          </w:p>
        </w:tc>
      </w:tr>
      <w:tr w:rsidR="0013634F" w:rsidRPr="00D7193D" w14:paraId="2838295E"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3FA58634"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0" w:type="dxa"/>
          </w:tcPr>
          <w:p w14:paraId="4C1A4E3C" w14:textId="22DC0F68"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The IESO issues advisories, notifications and alerts for various reasons to various audiences including MPs and Distributors</w:t>
            </w:r>
            <w:r w:rsidR="00DA728A">
              <w:rPr>
                <w:rFonts w:eastAsia="Times New Roman" w:cs="Segoe UI"/>
                <w:color w:val="000000"/>
                <w:sz w:val="12"/>
                <w:szCs w:val="20"/>
              </w:rPr>
              <w:t>.</w:t>
            </w:r>
          </w:p>
        </w:tc>
      </w:tr>
    </w:tbl>
    <w:p w14:paraId="0D97BF43" w14:textId="77777777" w:rsidR="00753F31" w:rsidRDefault="00753F31" w:rsidP="00870C1B">
      <w:pPr>
        <w:spacing w:before="0" w:after="0"/>
      </w:pPr>
    </w:p>
    <w:tbl>
      <w:tblPr>
        <w:tblStyle w:val="ListTable3-Accent1"/>
        <w:tblW w:w="0" w:type="auto"/>
        <w:tblInd w:w="137" w:type="dxa"/>
        <w:tblCellMar>
          <w:top w:w="57" w:type="dxa"/>
          <w:bottom w:w="57" w:type="dxa"/>
        </w:tblCellMar>
        <w:tblLook w:val="04A0" w:firstRow="1" w:lastRow="0" w:firstColumn="1" w:lastColumn="0" w:noHBand="0" w:noVBand="1"/>
      </w:tblPr>
      <w:tblGrid>
        <w:gridCol w:w="992"/>
        <w:gridCol w:w="6804"/>
      </w:tblGrid>
      <w:tr w:rsidR="00E0777F" w:rsidRPr="00D7193D" w14:paraId="08489C3B"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796" w:type="dxa"/>
            <w:gridSpan w:val="2"/>
            <w:vAlign w:val="center"/>
          </w:tcPr>
          <w:p w14:paraId="11912517" w14:textId="77777777" w:rsidR="00753F31" w:rsidRPr="002B47B6" w:rsidRDefault="00753F31" w:rsidP="006B41FA">
            <w:pPr>
              <w:spacing w:before="0" w:after="0"/>
              <w:rPr>
                <w:sz w:val="16"/>
                <w:szCs w:val="16"/>
              </w:rPr>
            </w:pPr>
            <w:r w:rsidRPr="002B47B6">
              <w:rPr>
                <w:sz w:val="16"/>
                <w:szCs w:val="16"/>
              </w:rPr>
              <w:lastRenderedPageBreak/>
              <w:t>Reports</w:t>
            </w:r>
          </w:p>
        </w:tc>
      </w:tr>
      <w:tr w:rsidR="00753F31" w:rsidRPr="00D7193D" w14:paraId="7074245B"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649E31B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6804" w:type="dxa"/>
          </w:tcPr>
          <w:p w14:paraId="23E7033E"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Reports: Public &amp; private reports including Ontario demand, generation &amp; transmission system capability, adequacy reports, Ontario emergency preparedness plan &amp; system restoration plan, total system load &amp; losses, transmission facility outage limits reports, market clearing prices, hourly Ontario energy price (HOEP), Shadow price report, OR shortfall report, pre-dispatch schedules, day-ahead commitment report, Real-time Energy &amp; OR schedules, HDR Standby/activation reports, etc.</w:t>
            </w:r>
          </w:p>
        </w:tc>
      </w:tr>
      <w:tr w:rsidR="00753F31" w:rsidRPr="00D7193D" w14:paraId="2BF8BE0A"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32A3B829"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6804" w:type="dxa"/>
          </w:tcPr>
          <w:p w14:paraId="4DDCD589" w14:textId="21EA2441"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Frequency &amp; timing varies by type of report, as detailed in the applicable MRs &amp; MMs1</w:t>
            </w:r>
            <w:r w:rsidR="00CE60F9">
              <w:rPr>
                <w:rFonts w:eastAsia="Times New Roman" w:cs="Segoe UI"/>
                <w:color w:val="000000"/>
                <w:sz w:val="12"/>
                <w:szCs w:val="20"/>
              </w:rPr>
              <w:t>.</w:t>
            </w:r>
          </w:p>
        </w:tc>
      </w:tr>
      <w:tr w:rsidR="00753F31" w:rsidRPr="00D7193D" w14:paraId="7777CC47"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009F543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6804" w:type="dxa"/>
          </w:tcPr>
          <w:p w14:paraId="7B6F4A06" w14:textId="7810F0E9"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Information Publishing System (IPS): Reports are generated using an IPS. Public reports are available via the IESO Reports Site. Login credentials are required to access confidential reports</w:t>
            </w:r>
            <w:r w:rsidR="00DD489C">
              <w:rPr>
                <w:rFonts w:eastAsia="Times New Roman" w:cs="Segoe UI"/>
                <w:color w:val="000000"/>
                <w:sz w:val="12"/>
                <w:szCs w:val="20"/>
              </w:rPr>
              <w:t>,</w:t>
            </w:r>
            <w:r w:rsidRPr="00870C1B">
              <w:rPr>
                <w:rFonts w:eastAsia="Times New Roman" w:cs="Segoe UI"/>
                <w:color w:val="000000"/>
                <w:sz w:val="12"/>
                <w:szCs w:val="20"/>
              </w:rPr>
              <w:t xml:space="preserve"> which are published to the MP private report portals.</w:t>
            </w:r>
          </w:p>
        </w:tc>
      </w:tr>
      <w:tr w:rsidR="00753F31" w:rsidRPr="00D7193D" w14:paraId="70FBFCFB"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49E4AE29"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6804" w:type="dxa"/>
          </w:tcPr>
          <w:p w14:paraId="64FA4A29" w14:textId="43016621"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Internet (IESO Report Site &amp; MP private report portals)</w:t>
            </w:r>
            <w:r w:rsidR="00CE60F9">
              <w:rPr>
                <w:rFonts w:eastAsia="Times New Roman" w:cs="Segoe UI"/>
                <w:color w:val="000000"/>
                <w:sz w:val="12"/>
                <w:szCs w:val="20"/>
              </w:rPr>
              <w:t>.</w:t>
            </w:r>
          </w:p>
        </w:tc>
      </w:tr>
      <w:tr w:rsidR="00753F31" w:rsidRPr="00D7193D" w14:paraId="39047B96"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0E250D37"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6804" w:type="dxa"/>
          </w:tcPr>
          <w:p w14:paraId="3E78BD57"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The IESO publishes public and private reports for various audiences including MPs and Distributors.</w:t>
            </w:r>
          </w:p>
        </w:tc>
      </w:tr>
    </w:tbl>
    <w:p w14:paraId="7C06002E" w14:textId="77777777" w:rsidR="00753F31" w:rsidRDefault="00753F31" w:rsidP="00870C1B">
      <w:pPr>
        <w:spacing w:before="0" w:after="0"/>
      </w:pPr>
    </w:p>
    <w:tbl>
      <w:tblPr>
        <w:tblStyle w:val="ListTable3-Accent1"/>
        <w:tblW w:w="0" w:type="auto"/>
        <w:tblInd w:w="137" w:type="dxa"/>
        <w:tblCellMar>
          <w:top w:w="57" w:type="dxa"/>
          <w:bottom w:w="57" w:type="dxa"/>
        </w:tblCellMar>
        <w:tblLook w:val="04A0" w:firstRow="1" w:lastRow="0" w:firstColumn="1" w:lastColumn="0" w:noHBand="0" w:noVBand="1"/>
      </w:tblPr>
      <w:tblGrid>
        <w:gridCol w:w="992"/>
        <w:gridCol w:w="6804"/>
      </w:tblGrid>
      <w:tr w:rsidR="00E0777F" w:rsidRPr="00D7193D" w14:paraId="34E08C35"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796" w:type="dxa"/>
            <w:gridSpan w:val="2"/>
            <w:vAlign w:val="center"/>
          </w:tcPr>
          <w:p w14:paraId="0D41EAFC" w14:textId="77777777" w:rsidR="00753F31" w:rsidRPr="002B47B6" w:rsidRDefault="00753F31" w:rsidP="006B41FA">
            <w:pPr>
              <w:spacing w:before="0" w:after="0"/>
              <w:rPr>
                <w:sz w:val="16"/>
                <w:szCs w:val="16"/>
              </w:rPr>
            </w:pPr>
            <w:r w:rsidRPr="002B47B6">
              <w:rPr>
                <w:sz w:val="16"/>
                <w:szCs w:val="16"/>
              </w:rPr>
              <w:t>Dispatch Instructions</w:t>
            </w:r>
          </w:p>
        </w:tc>
      </w:tr>
      <w:tr w:rsidR="00753F31" w:rsidRPr="00D7193D" w14:paraId="115E7CA1"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256F8BBF"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6804" w:type="dxa"/>
          </w:tcPr>
          <w:p w14:paraId="4350E498"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Dispatch Instructions: Real time energy dispatch instructions (MW targets) for dispatch intervals, operating reserve activation targets, pre-dispatch schedules, release notifications for variable generators, reactive support and regulation requirements during dispatch intervals, standby/activation notices for HDRs, etc.</w:t>
            </w:r>
          </w:p>
        </w:tc>
      </w:tr>
      <w:tr w:rsidR="00753F31" w:rsidRPr="00D7193D" w14:paraId="74F1E185"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70DFE50E"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6804" w:type="dxa"/>
          </w:tcPr>
          <w:p w14:paraId="58634F9B"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Every 5minutes, hourly, or as required (e.g., OR activation, one-time dispatch)</w:t>
            </w:r>
          </w:p>
        </w:tc>
      </w:tr>
      <w:tr w:rsidR="00753F31" w:rsidRPr="00D7193D" w14:paraId="77C1D688"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7E65A0F3"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6804" w:type="dxa"/>
          </w:tcPr>
          <w:p w14:paraId="1BDC9160" w14:textId="5978528A"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 xml:space="preserve">Dispatch Service: Application used by the IESO to send dispatch instructions. Dispatch Service also has a web user interface which allows MPs to retrieve and accept/reject dispatch instructions as well as search current and historical dispatch instructions. Some MPs also </w:t>
            </w:r>
            <w:r w:rsidR="00DD489C">
              <w:rPr>
                <w:rFonts w:eastAsia="Times New Roman" w:cs="Segoe UI"/>
                <w:color w:val="000000"/>
                <w:sz w:val="12"/>
                <w:szCs w:val="20"/>
              </w:rPr>
              <w:t>utilise</w:t>
            </w:r>
            <w:r w:rsidRPr="00870C1B">
              <w:rPr>
                <w:rFonts w:eastAsia="Times New Roman" w:cs="Segoe UI"/>
                <w:color w:val="000000"/>
                <w:sz w:val="12"/>
                <w:szCs w:val="20"/>
              </w:rPr>
              <w:t xml:space="preserve"> a dispatch service API.</w:t>
            </w:r>
          </w:p>
        </w:tc>
      </w:tr>
      <w:tr w:rsidR="00753F31" w:rsidRPr="00D7193D" w14:paraId="60C2336B"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62500442"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6804" w:type="dxa"/>
          </w:tcPr>
          <w:p w14:paraId="32C044B3"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Internet (user account/identity credentials required for authentication &amp; access to secure IESO web servers &amp; systems)</w:t>
            </w:r>
          </w:p>
          <w:p w14:paraId="15185003"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Communication via telephone in certain situations (e.g., verbal dispatch if MPs are disconnected from Dispatch Service)</w:t>
            </w:r>
          </w:p>
        </w:tc>
      </w:tr>
      <w:tr w:rsidR="00753F31" w:rsidRPr="00D7193D" w14:paraId="5F13DC94"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153B6FC8"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6804" w:type="dxa"/>
          </w:tcPr>
          <w:p w14:paraId="243C1251"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IESO issues dispatch instructions to MPs (ICG connected facilities and some embedded facilities)</w:t>
            </w:r>
          </w:p>
          <w:p w14:paraId="2F976BEB"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MPs interact with Dispatch Service via the IESO Gateway or API and have the ability to accept or reject dispatch instructions.</w:t>
            </w:r>
          </w:p>
        </w:tc>
      </w:tr>
    </w:tbl>
    <w:p w14:paraId="1801FB2D" w14:textId="77777777" w:rsidR="00753F31" w:rsidRDefault="00753F31" w:rsidP="00870C1B">
      <w:pPr>
        <w:spacing w:before="0" w:after="0"/>
      </w:pPr>
    </w:p>
    <w:tbl>
      <w:tblPr>
        <w:tblStyle w:val="ListTable3-Accent1"/>
        <w:tblW w:w="0" w:type="auto"/>
        <w:tblInd w:w="137" w:type="dxa"/>
        <w:tblCellMar>
          <w:top w:w="57" w:type="dxa"/>
          <w:bottom w:w="57" w:type="dxa"/>
        </w:tblCellMar>
        <w:tblLook w:val="04A0" w:firstRow="1" w:lastRow="0" w:firstColumn="1" w:lastColumn="0" w:noHBand="0" w:noVBand="1"/>
      </w:tblPr>
      <w:tblGrid>
        <w:gridCol w:w="992"/>
        <w:gridCol w:w="6804"/>
      </w:tblGrid>
      <w:tr w:rsidR="00E0777F" w:rsidRPr="00D7193D" w14:paraId="69A30787"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796" w:type="dxa"/>
            <w:gridSpan w:val="2"/>
            <w:vAlign w:val="center"/>
          </w:tcPr>
          <w:p w14:paraId="1F0DA5EC" w14:textId="77777777" w:rsidR="00753F31" w:rsidRPr="002B47B6" w:rsidRDefault="00753F31" w:rsidP="006B41FA">
            <w:pPr>
              <w:spacing w:before="0" w:after="0"/>
              <w:rPr>
                <w:sz w:val="16"/>
                <w:szCs w:val="16"/>
              </w:rPr>
            </w:pPr>
            <w:r w:rsidRPr="002B47B6">
              <w:rPr>
                <w:sz w:val="16"/>
                <w:szCs w:val="16"/>
              </w:rPr>
              <w:t>Processed Revenue Meter Data</w:t>
            </w:r>
          </w:p>
        </w:tc>
      </w:tr>
      <w:tr w:rsidR="00753F31" w:rsidRPr="00D7193D" w14:paraId="3CA891FC"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2E64BA1C"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6804" w:type="dxa"/>
          </w:tcPr>
          <w:p w14:paraId="69448582" w14:textId="63582D56"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Processed Metering Data: Metering data for settlement purposes</w:t>
            </w:r>
            <w:r w:rsidR="003752B4">
              <w:rPr>
                <w:rFonts w:eastAsia="Times New Roman" w:cs="Segoe UI"/>
                <w:color w:val="000000"/>
                <w:sz w:val="12"/>
                <w:szCs w:val="20"/>
              </w:rPr>
              <w:t>.</w:t>
            </w:r>
          </w:p>
          <w:p w14:paraId="04C2B50E" w14:textId="48D0388C"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Metering Data Reports: Metering data reports (e.g., successive versions as they are processed)</w:t>
            </w:r>
            <w:r w:rsidR="003752B4">
              <w:rPr>
                <w:rFonts w:eastAsia="Times New Roman" w:cs="Segoe UI"/>
                <w:color w:val="000000"/>
                <w:sz w:val="12"/>
                <w:szCs w:val="20"/>
              </w:rPr>
              <w:t>.</w:t>
            </w:r>
          </w:p>
        </w:tc>
      </w:tr>
      <w:tr w:rsidR="00753F31" w:rsidRPr="00D7193D" w14:paraId="77F67407"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29F5375B"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6804" w:type="dxa"/>
          </w:tcPr>
          <w:p w14:paraId="3F596A7C" w14:textId="77777777"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Processed metering data align with settlement schedules.</w:t>
            </w:r>
          </w:p>
          <w:p w14:paraId="6456FB60" w14:textId="771639CF"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Metering data reports are published as required to the private report portals based on the MP’s meter data profiles</w:t>
            </w:r>
            <w:r w:rsidR="003752B4">
              <w:rPr>
                <w:rFonts w:eastAsia="Times New Roman" w:cs="Segoe UI"/>
                <w:color w:val="000000"/>
                <w:sz w:val="12"/>
                <w:szCs w:val="20"/>
              </w:rPr>
              <w:t>.</w:t>
            </w:r>
          </w:p>
        </w:tc>
      </w:tr>
      <w:tr w:rsidR="00753F31" w:rsidRPr="00D7193D" w14:paraId="7E3CABF2"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44CE2ECC"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6804" w:type="dxa"/>
          </w:tcPr>
          <w:p w14:paraId="34E6247F" w14:textId="46F9DD55"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 Data Management System (MDMS): metering database application used to storage and manage metering data. MDMS receive data from MDAS and generates totali</w:t>
            </w:r>
            <w:r w:rsidR="000C2C24">
              <w:rPr>
                <w:rFonts w:eastAsia="Times New Roman" w:cs="Segoe UI"/>
                <w:color w:val="000000"/>
                <w:sz w:val="12"/>
                <w:szCs w:val="20"/>
              </w:rPr>
              <w:t>s</w:t>
            </w:r>
            <w:r w:rsidRPr="00870C1B">
              <w:rPr>
                <w:rFonts w:eastAsia="Times New Roman" w:cs="Segoe UI"/>
                <w:color w:val="000000"/>
                <w:sz w:val="12"/>
                <w:szCs w:val="20"/>
              </w:rPr>
              <w:t>ation tables. Processed data is then exported to Replacement Settlement System (RSS) (formerly the Commercial Reconciliation System)</w:t>
            </w:r>
            <w:r w:rsidR="003752B4">
              <w:rPr>
                <w:rFonts w:eastAsia="Times New Roman" w:cs="Segoe UI"/>
                <w:color w:val="000000"/>
                <w:sz w:val="12"/>
                <w:szCs w:val="20"/>
              </w:rPr>
              <w:t xml:space="preserve"> </w:t>
            </w:r>
            <w:r w:rsidRPr="00870C1B">
              <w:rPr>
                <w:rFonts w:eastAsia="Times New Roman" w:cs="Segoe UI"/>
                <w:color w:val="000000"/>
                <w:sz w:val="12"/>
                <w:szCs w:val="20"/>
              </w:rPr>
              <w:t>for the settlement of the IAM.</w:t>
            </w:r>
          </w:p>
          <w:p w14:paraId="7C12F48C" w14:textId="6F030EB5"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MDM-Meter Data Reports Tool: tool used to generate metering data reports based on meter data profiles</w:t>
            </w:r>
            <w:r w:rsidR="003752B4">
              <w:rPr>
                <w:rFonts w:eastAsia="Times New Roman" w:cs="Segoe UI"/>
                <w:color w:val="000000"/>
                <w:sz w:val="12"/>
                <w:szCs w:val="20"/>
              </w:rPr>
              <w:t>.</w:t>
            </w:r>
          </w:p>
        </w:tc>
      </w:tr>
      <w:tr w:rsidR="00753F31" w:rsidRPr="00D7193D" w14:paraId="296003A0"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789D6450"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6804" w:type="dxa"/>
          </w:tcPr>
          <w:p w14:paraId="491E4593" w14:textId="2AB4AA12" w:rsidR="00753F31" w:rsidRPr="00870C1B" w:rsidRDefault="003752B4"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Internet (</w:t>
            </w:r>
            <w:r w:rsidR="00753F31" w:rsidRPr="00870C1B">
              <w:rPr>
                <w:rFonts w:eastAsia="Times New Roman" w:cs="Segoe UI"/>
                <w:color w:val="000000"/>
                <w:sz w:val="12"/>
                <w:szCs w:val="20"/>
              </w:rPr>
              <w:t>user account/identity credentials required for authentication &amp; access to private report portals)</w:t>
            </w:r>
            <w:r>
              <w:rPr>
                <w:rFonts w:eastAsia="Times New Roman" w:cs="Segoe UI"/>
                <w:color w:val="000000"/>
                <w:sz w:val="12"/>
                <w:szCs w:val="20"/>
              </w:rPr>
              <w:t>.</w:t>
            </w:r>
          </w:p>
        </w:tc>
      </w:tr>
      <w:tr w:rsidR="00753F31" w:rsidRPr="00D7193D" w14:paraId="3AA332EC"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92" w:type="dxa"/>
            <w:shd w:val="clear" w:color="auto" w:fill="067296" w:themeFill="text2"/>
          </w:tcPr>
          <w:p w14:paraId="6377E831"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6804" w:type="dxa"/>
          </w:tcPr>
          <w:p w14:paraId="0A137C31"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Processed revenue meter data is used by the IESO for the settlement of all metered market participants.</w:t>
            </w:r>
          </w:p>
          <w:p w14:paraId="289015DB" w14:textId="6FED2F5B"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Metered market participants can access metering reports published by MDM-Meter Data Reports tool via their private report portals</w:t>
            </w:r>
            <w:r w:rsidR="003752B4">
              <w:rPr>
                <w:rFonts w:eastAsia="Times New Roman" w:cs="Segoe UI"/>
                <w:color w:val="000000"/>
                <w:sz w:val="12"/>
                <w:szCs w:val="20"/>
              </w:rPr>
              <w:t>.</w:t>
            </w:r>
          </w:p>
        </w:tc>
      </w:tr>
    </w:tbl>
    <w:p w14:paraId="21E562B3" w14:textId="77777777" w:rsidR="00753F31" w:rsidRDefault="00753F31" w:rsidP="00870C1B">
      <w:pPr>
        <w:spacing w:before="0" w:after="0"/>
      </w:pPr>
    </w:p>
    <w:p w14:paraId="539A18FD" w14:textId="1EADBFC2" w:rsidR="00E27C64" w:rsidRDefault="00E27C64"/>
    <w:tbl>
      <w:tblPr>
        <w:tblStyle w:val="ListTable3-Accent1"/>
        <w:tblW w:w="0" w:type="auto"/>
        <w:tblInd w:w="-5" w:type="dxa"/>
        <w:tblCellMar>
          <w:top w:w="57" w:type="dxa"/>
          <w:bottom w:w="57" w:type="dxa"/>
        </w:tblCellMar>
        <w:tblLook w:val="04A0" w:firstRow="1" w:lastRow="0" w:firstColumn="1" w:lastColumn="0" w:noHBand="0" w:noVBand="1"/>
      </w:tblPr>
      <w:tblGrid>
        <w:gridCol w:w="1134"/>
        <w:gridCol w:w="6804"/>
      </w:tblGrid>
      <w:tr w:rsidR="00B56BED" w:rsidRPr="00D7193D" w14:paraId="6DC4E4A6" w14:textId="77777777" w:rsidTr="00ED5BC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7938" w:type="dxa"/>
            <w:gridSpan w:val="2"/>
            <w:vAlign w:val="center"/>
          </w:tcPr>
          <w:p w14:paraId="78083422" w14:textId="78F46A2C" w:rsidR="00753F31" w:rsidRPr="002B47B6" w:rsidRDefault="00753F31" w:rsidP="006B41FA">
            <w:pPr>
              <w:spacing w:before="0" w:after="0"/>
              <w:rPr>
                <w:sz w:val="16"/>
                <w:szCs w:val="16"/>
              </w:rPr>
            </w:pPr>
            <w:r w:rsidRPr="002B47B6">
              <w:rPr>
                <w:sz w:val="16"/>
                <w:szCs w:val="16"/>
              </w:rPr>
              <w:lastRenderedPageBreak/>
              <w:t xml:space="preserve">Processed Smart Meter Data </w:t>
            </w:r>
          </w:p>
        </w:tc>
      </w:tr>
      <w:tr w:rsidR="0013634F" w:rsidRPr="00D7193D" w14:paraId="545DABCF"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3584AE84"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Exchanged</w:t>
            </w:r>
          </w:p>
        </w:tc>
        <w:tc>
          <w:tcPr>
            <w:tcW w:w="0" w:type="dxa"/>
          </w:tcPr>
          <w:p w14:paraId="3E27BB52" w14:textId="793EA673"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Smart Meter Datasets: Public datasets (aggregated hourly consumption data) and non-public datasets (de-identified, but more detailed data)</w:t>
            </w:r>
            <w:r w:rsidR="003752B4">
              <w:rPr>
                <w:rFonts w:eastAsia="Times New Roman" w:cs="Segoe UI"/>
                <w:color w:val="000000"/>
                <w:sz w:val="12"/>
                <w:szCs w:val="20"/>
              </w:rPr>
              <w:t>.</w:t>
            </w:r>
          </w:p>
          <w:p w14:paraId="154A0991" w14:textId="7CAE27B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Processed Consumption Data: Reports, metrics &amp; processed meter data to facilitate distributor billing (time of use, tiered pricing, ultra</w:t>
            </w:r>
            <w:r w:rsidR="00606E1A">
              <w:rPr>
                <w:rFonts w:eastAsia="Times New Roman" w:cs="Segoe UI"/>
                <w:color w:val="000000"/>
                <w:sz w:val="12"/>
                <w:szCs w:val="20"/>
              </w:rPr>
              <w:t>-</w:t>
            </w:r>
            <w:r w:rsidRPr="00870C1B">
              <w:rPr>
                <w:rFonts w:eastAsia="Times New Roman" w:cs="Segoe UI"/>
                <w:color w:val="000000"/>
                <w:sz w:val="12"/>
                <w:szCs w:val="20"/>
              </w:rPr>
              <w:t>low overnight rate) of residential and small general service customers in Ontario</w:t>
            </w:r>
            <w:r w:rsidR="003752B4">
              <w:rPr>
                <w:rFonts w:eastAsia="Times New Roman" w:cs="Segoe UI"/>
                <w:color w:val="000000"/>
                <w:sz w:val="12"/>
                <w:szCs w:val="20"/>
              </w:rPr>
              <w:t>.</w:t>
            </w:r>
          </w:p>
        </w:tc>
      </w:tr>
      <w:tr w:rsidR="0013634F" w:rsidRPr="00D7193D" w14:paraId="69E67F7D"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2894FD84"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Freq./Timing</w:t>
            </w:r>
          </w:p>
        </w:tc>
        <w:tc>
          <w:tcPr>
            <w:tcW w:w="0" w:type="dxa"/>
          </w:tcPr>
          <w:p w14:paraId="76CE7835" w14:textId="387AEA58"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Hourly Electricity Consumption Data reports published monthly. Processed consumption data aligns with distributor billing schedules</w:t>
            </w:r>
            <w:r w:rsidR="00606E1A">
              <w:rPr>
                <w:rFonts w:eastAsia="Times New Roman" w:cs="Segoe UI"/>
                <w:color w:val="000000"/>
                <w:sz w:val="12"/>
                <w:szCs w:val="20"/>
              </w:rPr>
              <w:t>.</w:t>
            </w:r>
          </w:p>
        </w:tc>
      </w:tr>
      <w:tr w:rsidR="0013634F" w:rsidRPr="00D7193D" w14:paraId="4D01568C"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4AB5D087"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Data Coordination Interfaces</w:t>
            </w:r>
          </w:p>
        </w:tc>
        <w:tc>
          <w:tcPr>
            <w:tcW w:w="0" w:type="dxa"/>
          </w:tcPr>
          <w:p w14:paraId="3C0D9705" w14:textId="4F84A65E"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Meter Data Management and Repository (MDM/R):</w:t>
            </w:r>
            <w:r w:rsidR="00606E1A">
              <w:rPr>
                <w:rFonts w:eastAsia="Times New Roman" w:cs="Segoe UI"/>
                <w:color w:val="000000"/>
                <w:sz w:val="12"/>
                <w:szCs w:val="20"/>
              </w:rPr>
              <w:t xml:space="preserve"> </w:t>
            </w:r>
            <w:r w:rsidRPr="00870C1B">
              <w:rPr>
                <w:rFonts w:eastAsia="Times New Roman" w:cs="Segoe UI"/>
                <w:color w:val="000000"/>
                <w:sz w:val="12"/>
                <w:szCs w:val="20"/>
              </w:rPr>
              <w:t xml:space="preserve">Central platform for storing, processing, validating and managing smart meter data. One of the largest shared </w:t>
            </w:r>
            <w:r w:rsidR="00606E1A" w:rsidRPr="00870C1B">
              <w:rPr>
                <w:rFonts w:eastAsia="Times New Roman" w:cs="Segoe UI"/>
                <w:color w:val="000000"/>
                <w:sz w:val="12"/>
                <w:szCs w:val="20"/>
              </w:rPr>
              <w:t>services</w:t>
            </w:r>
            <w:r w:rsidRPr="00870C1B">
              <w:rPr>
                <w:rFonts w:eastAsia="Times New Roman" w:cs="Segoe UI"/>
                <w:color w:val="000000"/>
                <w:sz w:val="12"/>
                <w:szCs w:val="20"/>
              </w:rPr>
              <w:t>/transactional systems in the world, supporting all of Ontario’s distributors.</w:t>
            </w:r>
          </w:p>
          <w:p w14:paraId="70677BB2" w14:textId="7777777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MDM/R Service Desk: Online services management interface.</w:t>
            </w:r>
          </w:p>
        </w:tc>
      </w:tr>
      <w:tr w:rsidR="0013634F" w:rsidRPr="00D7193D" w14:paraId="1CC9388B" w14:textId="77777777" w:rsidTr="009D4475">
        <w:trPr>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47620E81"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Comm. Mediums</w:t>
            </w:r>
          </w:p>
        </w:tc>
        <w:tc>
          <w:tcPr>
            <w:tcW w:w="0" w:type="dxa"/>
          </w:tcPr>
          <w:p w14:paraId="17D335F2" w14:textId="3416BD3C" w:rsidR="00753F31" w:rsidRPr="00870C1B" w:rsidRDefault="00753F31" w:rsidP="00470C91">
            <w:pPr>
              <w:pStyle w:val="ListParagraph"/>
              <w:numPr>
                <w:ilvl w:val="0"/>
                <w:numId w:val="2"/>
              </w:numPr>
              <w:spacing w:before="0" w:after="0" w:line="264" w:lineRule="auto"/>
              <w:ind w:left="234" w:hanging="234"/>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Applicability Statement 2 (AS2), Business-to-Business (B2B) via internet, mTLS1.3</w:t>
            </w:r>
            <w:r w:rsidR="00606E1A">
              <w:rPr>
                <w:rFonts w:eastAsia="Times New Roman" w:cs="Segoe UI"/>
                <w:color w:val="000000"/>
                <w:sz w:val="12"/>
                <w:szCs w:val="20"/>
              </w:rPr>
              <w:t>.</w:t>
            </w:r>
          </w:p>
        </w:tc>
      </w:tr>
      <w:tr w:rsidR="0013634F" w:rsidRPr="00D7193D" w14:paraId="421022F3" w14:textId="77777777" w:rsidTr="009D447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34" w:type="dxa"/>
            <w:shd w:val="clear" w:color="auto" w:fill="067296" w:themeFill="text2"/>
          </w:tcPr>
          <w:p w14:paraId="6E8AE5BD" w14:textId="77777777" w:rsidR="00753F31" w:rsidRPr="009D4475" w:rsidRDefault="00753F31" w:rsidP="007568A0">
            <w:pPr>
              <w:spacing w:before="0" w:after="0"/>
              <w:rPr>
                <w:color w:val="FAFAFA" w:themeColor="background1"/>
                <w:sz w:val="12"/>
                <w:szCs w:val="20"/>
              </w:rPr>
            </w:pPr>
            <w:r w:rsidRPr="009D4475">
              <w:rPr>
                <w:color w:val="FAFAFA" w:themeColor="background1"/>
                <w:sz w:val="12"/>
                <w:szCs w:val="20"/>
              </w:rPr>
              <w:t>Parties Involved</w:t>
            </w:r>
          </w:p>
        </w:tc>
        <w:tc>
          <w:tcPr>
            <w:tcW w:w="0" w:type="dxa"/>
          </w:tcPr>
          <w:p w14:paraId="619C7B2B" w14:textId="6108CE67"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Aggregated anonymi</w:t>
            </w:r>
            <w:r w:rsidR="009F1E99">
              <w:rPr>
                <w:rFonts w:eastAsia="Times New Roman" w:cs="Segoe UI"/>
                <w:color w:val="000000"/>
                <w:sz w:val="12"/>
                <w:szCs w:val="20"/>
              </w:rPr>
              <w:t>s</w:t>
            </w:r>
            <w:r w:rsidRPr="00870C1B">
              <w:rPr>
                <w:rFonts w:eastAsia="Times New Roman" w:cs="Segoe UI"/>
                <w:color w:val="000000"/>
                <w:sz w:val="12"/>
                <w:szCs w:val="20"/>
              </w:rPr>
              <w:t>ed Smart Meter datasets are available to the public, and lower levels of aggregated data is available to other eligible parties (e.g., Canadian governmental entities, municipalities, academic institutions, etc.)</w:t>
            </w:r>
            <w:r w:rsidR="00606E1A">
              <w:rPr>
                <w:rFonts w:eastAsia="Times New Roman" w:cs="Segoe UI"/>
                <w:color w:val="000000"/>
                <w:sz w:val="12"/>
                <w:szCs w:val="20"/>
              </w:rPr>
              <w:t>.</w:t>
            </w:r>
          </w:p>
          <w:p w14:paraId="4B2E1609" w14:textId="676677A4" w:rsidR="00753F31" w:rsidRPr="00870C1B" w:rsidRDefault="00753F31" w:rsidP="00470C91">
            <w:pPr>
              <w:pStyle w:val="ListParagraph"/>
              <w:numPr>
                <w:ilvl w:val="0"/>
                <w:numId w:val="2"/>
              </w:numPr>
              <w:spacing w:before="0" w:after="0" w:line="264" w:lineRule="auto"/>
              <w:ind w:left="234" w:hanging="234"/>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2"/>
                <w:szCs w:val="20"/>
              </w:rPr>
            </w:pPr>
            <w:r w:rsidRPr="00870C1B">
              <w:rPr>
                <w:rFonts w:eastAsia="Times New Roman" w:cs="Segoe UI"/>
                <w:color w:val="000000"/>
                <w:sz w:val="12"/>
                <w:szCs w:val="20"/>
              </w:rPr>
              <w:t>Processed smart meter data is received by distributors for billing purposes</w:t>
            </w:r>
            <w:r w:rsidR="00606E1A">
              <w:rPr>
                <w:rFonts w:eastAsia="Times New Roman" w:cs="Segoe UI"/>
                <w:color w:val="000000"/>
                <w:sz w:val="12"/>
                <w:szCs w:val="20"/>
              </w:rPr>
              <w:t>.</w:t>
            </w:r>
          </w:p>
        </w:tc>
      </w:tr>
    </w:tbl>
    <w:p w14:paraId="0DD13B8E" w14:textId="6914E237" w:rsidR="00632EA0" w:rsidRPr="00176ACF" w:rsidRDefault="00105DED" w:rsidP="00F14453">
      <w:pPr>
        <w:pStyle w:val="Heading2"/>
        <w:ind w:left="567" w:hanging="567"/>
      </w:pPr>
      <w:bookmarkStart w:id="74" w:name="_Toc205532850"/>
      <w:r w:rsidRPr="00176ACF">
        <w:t xml:space="preserve">Formalised </w:t>
      </w:r>
      <w:r w:rsidR="00C62B74" w:rsidRPr="00176ACF">
        <w:t>functions</w:t>
      </w:r>
      <w:r w:rsidR="00B55783" w:rsidRPr="00176ACF">
        <w:t xml:space="preserve"> and </w:t>
      </w:r>
      <w:r w:rsidR="00D03F57" w:rsidRPr="00176ACF">
        <w:t xml:space="preserve">timeframes </w:t>
      </w:r>
      <w:r w:rsidR="00632EA0" w:rsidRPr="00176ACF">
        <w:t>relevant to upstream and downstream entities</w:t>
      </w:r>
      <w:bookmarkEnd w:id="74"/>
      <w:r w:rsidR="00632EA0" w:rsidRPr="00176ACF">
        <w:t xml:space="preserve">  </w:t>
      </w:r>
    </w:p>
    <w:p w14:paraId="2DDA9C11" w14:textId="0C31E176" w:rsidR="00904511" w:rsidRPr="0050162C" w:rsidRDefault="00C75A4B" w:rsidP="0050162C">
      <w:pPr>
        <w:spacing w:before="180" w:after="120" w:line="288" w:lineRule="auto"/>
        <w:rPr>
          <w:rFonts w:cs="Calibri"/>
          <w:szCs w:val="18"/>
        </w:rPr>
      </w:pPr>
      <w:r w:rsidRPr="0050162C">
        <w:rPr>
          <w:rFonts w:cs="Calibri"/>
          <w:szCs w:val="18"/>
        </w:rPr>
        <w:t>Mapping</w:t>
      </w:r>
      <w:r w:rsidR="00370B58" w:rsidRPr="0050162C">
        <w:rPr>
          <w:rFonts w:cs="Calibri"/>
          <w:szCs w:val="18"/>
        </w:rPr>
        <w:t xml:space="preserve"> functions across </w:t>
      </w:r>
      <w:r w:rsidR="000B50F0" w:rsidRPr="0050162C">
        <w:rPr>
          <w:rFonts w:cs="Calibri"/>
          <w:szCs w:val="18"/>
        </w:rPr>
        <w:t xml:space="preserve">timeframes </w:t>
      </w:r>
      <w:r w:rsidR="00B04697" w:rsidRPr="0050162C">
        <w:rPr>
          <w:rFonts w:cs="Calibri"/>
          <w:szCs w:val="18"/>
        </w:rPr>
        <w:t xml:space="preserve">is </w:t>
      </w:r>
      <w:r w:rsidR="0022402C" w:rsidRPr="0050162C">
        <w:rPr>
          <w:rFonts w:cs="Calibri"/>
          <w:szCs w:val="18"/>
        </w:rPr>
        <w:t xml:space="preserve">tightly coupled with the assignment of roles and responsibilities </w:t>
      </w:r>
      <w:r w:rsidR="00A533FE" w:rsidRPr="0050162C">
        <w:rPr>
          <w:rFonts w:cs="Calibri"/>
          <w:szCs w:val="18"/>
        </w:rPr>
        <w:t xml:space="preserve">and </w:t>
      </w:r>
      <w:r w:rsidR="008937F4" w:rsidRPr="0050162C">
        <w:rPr>
          <w:rFonts w:cs="Calibri"/>
          <w:szCs w:val="18"/>
        </w:rPr>
        <w:t xml:space="preserve">associated </w:t>
      </w:r>
      <w:r w:rsidR="00A533FE" w:rsidRPr="0050162C">
        <w:rPr>
          <w:rFonts w:cs="Calibri"/>
          <w:szCs w:val="18"/>
        </w:rPr>
        <w:t>structural arrangements</w:t>
      </w:r>
      <w:r w:rsidR="00E024FB" w:rsidRPr="0050162C">
        <w:rPr>
          <w:rFonts w:cs="Calibri"/>
          <w:szCs w:val="18"/>
        </w:rPr>
        <w:t xml:space="preserve"> -</w:t>
      </w:r>
      <w:r w:rsidR="00EA3679" w:rsidRPr="0050162C">
        <w:rPr>
          <w:rFonts w:cs="Calibri"/>
          <w:szCs w:val="18"/>
        </w:rPr>
        <w:t xml:space="preserve"> which are jurisdiction and power system specific</w:t>
      </w:r>
      <w:r w:rsidR="008937F4" w:rsidRPr="0050162C">
        <w:rPr>
          <w:rFonts w:cs="Calibri"/>
          <w:szCs w:val="18"/>
        </w:rPr>
        <w:t>.</w:t>
      </w:r>
      <w:r w:rsidR="009B0F28" w:rsidRPr="0050162C">
        <w:rPr>
          <w:rFonts w:cs="Calibri"/>
          <w:szCs w:val="18"/>
        </w:rPr>
        <w:t xml:space="preserve"> </w:t>
      </w:r>
      <w:r w:rsidR="003A54F6" w:rsidRPr="0050162C">
        <w:rPr>
          <w:rFonts w:cs="Calibri"/>
          <w:szCs w:val="18"/>
        </w:rPr>
        <w:t xml:space="preserve">Attempts have been made </w:t>
      </w:r>
      <w:r w:rsidR="009F2D91" w:rsidRPr="0050162C">
        <w:rPr>
          <w:rFonts w:cs="Calibri"/>
          <w:szCs w:val="18"/>
        </w:rPr>
        <w:t xml:space="preserve">to </w:t>
      </w:r>
      <w:r w:rsidR="00E43DD6" w:rsidRPr="0050162C">
        <w:rPr>
          <w:rFonts w:cs="Calibri"/>
          <w:szCs w:val="18"/>
        </w:rPr>
        <w:t>provide guidance on potential mapping in a generalised sense</w:t>
      </w:r>
      <w:r w:rsidR="008C1684" w:rsidRPr="0050162C">
        <w:rPr>
          <w:rFonts w:cs="Calibri"/>
          <w:szCs w:val="18"/>
        </w:rPr>
        <w:t xml:space="preserve"> </w:t>
      </w:r>
      <w:r w:rsidR="00CF02D3" w:rsidRPr="0050162C">
        <w:rPr>
          <w:rFonts w:cs="Calibri"/>
          <w:szCs w:val="18"/>
        </w:rPr>
        <w:t>in the literature</w:t>
      </w:r>
      <w:r w:rsidR="00772EEE">
        <w:rPr>
          <w:rFonts w:cs="Calibri"/>
          <w:szCs w:val="18"/>
        </w:rPr>
        <w:t xml:space="preserve">. </w:t>
      </w:r>
      <w:r w:rsidR="00CF02D3" w:rsidRPr="0050162C">
        <w:rPr>
          <w:rFonts w:cs="Calibri"/>
          <w:szCs w:val="18"/>
        </w:rPr>
        <w:t>EPRI</w:t>
      </w:r>
      <w:r w:rsidR="000766B7" w:rsidRPr="0050162C">
        <w:rPr>
          <w:rFonts w:cs="Calibri"/>
          <w:szCs w:val="18"/>
        </w:rPr>
        <w:t xml:space="preserve"> convened a </w:t>
      </w:r>
      <w:r w:rsidR="00791DBF" w:rsidRPr="0050162C">
        <w:rPr>
          <w:rFonts w:cs="Calibri"/>
          <w:szCs w:val="18"/>
        </w:rPr>
        <w:t xml:space="preserve">diverse </w:t>
      </w:r>
      <w:r w:rsidR="000766B7" w:rsidRPr="0050162C">
        <w:rPr>
          <w:rFonts w:cs="Calibri"/>
          <w:szCs w:val="18"/>
        </w:rPr>
        <w:t xml:space="preserve">industry-wide </w:t>
      </w:r>
      <w:r w:rsidR="00791DBF" w:rsidRPr="0050162C">
        <w:rPr>
          <w:rFonts w:cs="Calibri"/>
          <w:szCs w:val="18"/>
        </w:rPr>
        <w:t>working group</w:t>
      </w:r>
      <w:r w:rsidR="00A404C9" w:rsidRPr="0050162C">
        <w:rPr>
          <w:rFonts w:cs="Calibri"/>
          <w:szCs w:val="18"/>
        </w:rPr>
        <w:t xml:space="preserve"> to </w:t>
      </w:r>
      <w:r w:rsidR="00881531" w:rsidRPr="0050162C">
        <w:rPr>
          <w:rFonts w:cs="Calibri"/>
          <w:szCs w:val="18"/>
        </w:rPr>
        <w:t xml:space="preserve">provide </w:t>
      </w:r>
      <w:r w:rsidR="00FC21DC" w:rsidRPr="0050162C">
        <w:rPr>
          <w:rFonts w:cs="Calibri"/>
          <w:szCs w:val="18"/>
        </w:rPr>
        <w:t xml:space="preserve">comprehensive </w:t>
      </w:r>
      <w:r w:rsidR="00881531" w:rsidRPr="0050162C">
        <w:rPr>
          <w:rFonts w:cs="Calibri"/>
          <w:szCs w:val="18"/>
        </w:rPr>
        <w:t xml:space="preserve">guidance </w:t>
      </w:r>
      <w:r w:rsidR="003444BD" w:rsidRPr="0050162C">
        <w:rPr>
          <w:rFonts w:cs="Calibri"/>
          <w:szCs w:val="18"/>
        </w:rPr>
        <w:t xml:space="preserve">on a generalised set of </w:t>
      </w:r>
      <w:r w:rsidR="00480789">
        <w:rPr>
          <w:rFonts w:cs="Calibri"/>
          <w:szCs w:val="18"/>
        </w:rPr>
        <w:t xml:space="preserve">TSO-DSO </w:t>
      </w:r>
      <w:r w:rsidR="003444BD" w:rsidRPr="0050162C">
        <w:rPr>
          <w:rFonts w:cs="Calibri"/>
          <w:szCs w:val="18"/>
        </w:rPr>
        <w:t>functions</w:t>
      </w:r>
      <w:r w:rsidR="00480789">
        <w:rPr>
          <w:rFonts w:cs="Calibri"/>
          <w:szCs w:val="18"/>
        </w:rPr>
        <w:t xml:space="preserve"> to support FERC Order 2222 implementation efforts</w:t>
      </w:r>
      <w:r w:rsidR="008F164A">
        <w:rPr>
          <w:rFonts w:cs="Calibri"/>
          <w:szCs w:val="18"/>
        </w:rPr>
        <w:t xml:space="preserve"> </w:t>
      </w:r>
      <w:r w:rsidR="004A4CCB" w:rsidRPr="000D4FC2">
        <w:rPr>
          <w:rFonts w:cs="Calibri"/>
          <w:noProof/>
          <w:szCs w:val="18"/>
          <w:lang w:val="en-GB"/>
        </w:rPr>
        <w:t>[16]</w:t>
      </w:r>
      <w:r w:rsidR="00480789">
        <w:rPr>
          <w:rFonts w:cs="Calibri"/>
          <w:szCs w:val="18"/>
        </w:rPr>
        <w:t>. Th</w:t>
      </w:r>
      <w:r w:rsidR="00D059AA">
        <w:rPr>
          <w:rFonts w:cs="Calibri"/>
          <w:szCs w:val="18"/>
        </w:rPr>
        <w:t>e</w:t>
      </w:r>
      <w:r w:rsidR="00480789">
        <w:rPr>
          <w:rFonts w:cs="Calibri"/>
          <w:szCs w:val="18"/>
        </w:rPr>
        <w:t xml:space="preserve"> mapping</w:t>
      </w:r>
      <w:r w:rsidR="003444BD" w:rsidRPr="0050162C">
        <w:rPr>
          <w:rFonts w:cs="Calibri"/>
          <w:szCs w:val="18"/>
        </w:rPr>
        <w:t xml:space="preserve"> </w:t>
      </w:r>
      <w:r w:rsidR="00480789">
        <w:rPr>
          <w:rFonts w:cs="Calibri"/>
          <w:szCs w:val="18"/>
        </w:rPr>
        <w:t xml:space="preserve">assumes </w:t>
      </w:r>
      <w:r w:rsidR="003444BD" w:rsidRPr="0050162C">
        <w:rPr>
          <w:rFonts w:cs="Calibri"/>
          <w:szCs w:val="18"/>
        </w:rPr>
        <w:t xml:space="preserve">a </w:t>
      </w:r>
      <w:r w:rsidR="000D549F" w:rsidRPr="0050162C">
        <w:rPr>
          <w:rFonts w:cs="Calibri"/>
          <w:szCs w:val="18"/>
        </w:rPr>
        <w:t xml:space="preserve">generic </w:t>
      </w:r>
      <w:r w:rsidR="00CC1A4D" w:rsidRPr="0050162C">
        <w:rPr>
          <w:rFonts w:cs="Calibri"/>
          <w:szCs w:val="18"/>
        </w:rPr>
        <w:t xml:space="preserve">industry structure and </w:t>
      </w:r>
      <w:r w:rsidR="008D4468" w:rsidRPr="0050162C">
        <w:rPr>
          <w:rFonts w:cs="Calibri"/>
          <w:szCs w:val="18"/>
        </w:rPr>
        <w:t>sets</w:t>
      </w:r>
      <w:r w:rsidR="00A30A2C" w:rsidRPr="0050162C">
        <w:rPr>
          <w:rFonts w:cs="Calibri"/>
          <w:szCs w:val="18"/>
        </w:rPr>
        <w:t xml:space="preserve"> of reference </w:t>
      </w:r>
      <w:r w:rsidR="00B2660D" w:rsidRPr="0050162C">
        <w:rPr>
          <w:rFonts w:cs="Calibri"/>
          <w:szCs w:val="18"/>
        </w:rPr>
        <w:t>actors</w:t>
      </w:r>
      <w:r w:rsidR="00A30A2C" w:rsidRPr="0050162C">
        <w:rPr>
          <w:rFonts w:cs="Calibri"/>
          <w:szCs w:val="18"/>
        </w:rPr>
        <w:t xml:space="preserve"> </w:t>
      </w:r>
      <w:r w:rsidR="001A64BF" w:rsidRPr="0050162C">
        <w:rPr>
          <w:rFonts w:cs="Calibri"/>
          <w:szCs w:val="18"/>
        </w:rPr>
        <w:t xml:space="preserve">across </w:t>
      </w:r>
      <w:r w:rsidR="001A64BF">
        <w:rPr>
          <w:rFonts w:cs="Calibri"/>
          <w:szCs w:val="18"/>
        </w:rPr>
        <w:t>the</w:t>
      </w:r>
      <w:r w:rsidR="00DC6A3A">
        <w:rPr>
          <w:rFonts w:cs="Calibri"/>
          <w:szCs w:val="18"/>
        </w:rPr>
        <w:t xml:space="preserve"> </w:t>
      </w:r>
      <w:r w:rsidR="00480789">
        <w:rPr>
          <w:rFonts w:cs="Calibri"/>
          <w:szCs w:val="18"/>
        </w:rPr>
        <w:t xml:space="preserve">different </w:t>
      </w:r>
      <w:r w:rsidR="005A644B" w:rsidRPr="0050162C">
        <w:rPr>
          <w:rFonts w:cs="Calibri"/>
          <w:szCs w:val="18"/>
        </w:rPr>
        <w:t>time</w:t>
      </w:r>
      <w:r w:rsidR="004B3A87">
        <w:rPr>
          <w:rFonts w:cs="Calibri"/>
          <w:szCs w:val="18"/>
        </w:rPr>
        <w:t xml:space="preserve"> horizons </w:t>
      </w:r>
      <w:r w:rsidR="00DC6A3A">
        <w:rPr>
          <w:rFonts w:cs="Calibri"/>
          <w:szCs w:val="18"/>
        </w:rPr>
        <w:t>associated with these functions</w:t>
      </w:r>
      <w:r w:rsidR="004B3A87">
        <w:rPr>
          <w:rFonts w:cs="Calibri"/>
          <w:szCs w:val="18"/>
        </w:rPr>
        <w:t xml:space="preserve"> </w:t>
      </w:r>
      <w:r w:rsidR="00D059AA">
        <w:rPr>
          <w:rFonts w:cs="Calibri"/>
          <w:szCs w:val="18"/>
        </w:rPr>
        <w:t>(</w:t>
      </w:r>
      <w:r w:rsidR="00CF3B43" w:rsidRPr="0050162C">
        <w:rPr>
          <w:rFonts w:cs="Calibri"/>
          <w:szCs w:val="18"/>
        </w:rPr>
        <w:t>leading up to and post real-time dispatch</w:t>
      </w:r>
      <w:r w:rsidR="00D059AA">
        <w:rPr>
          <w:rFonts w:cs="Calibri"/>
          <w:szCs w:val="18"/>
        </w:rPr>
        <w:t>)</w:t>
      </w:r>
      <w:r w:rsidR="0072075A">
        <w:rPr>
          <w:rFonts w:cs="Calibri"/>
          <w:szCs w:val="18"/>
        </w:rPr>
        <w:t>. This is</w:t>
      </w:r>
      <w:r w:rsidR="00CF3B43" w:rsidRPr="0050162C">
        <w:rPr>
          <w:rFonts w:cs="Calibri"/>
          <w:szCs w:val="18"/>
        </w:rPr>
        <w:t xml:space="preserve"> shown in </w:t>
      </w:r>
      <w:hyperlink w:anchor="Figure_5" w:history="1">
        <w:r w:rsidR="000B1276" w:rsidRPr="00B91EE6">
          <w:rPr>
            <w:rStyle w:val="Hyperlink"/>
            <w:rFonts w:cs="Calibri"/>
            <w:szCs w:val="18"/>
          </w:rPr>
          <w:t>Figure 5</w:t>
        </w:r>
      </w:hyperlink>
      <w:r w:rsidR="00CF3B43" w:rsidRPr="00B91EE6">
        <w:rPr>
          <w:rFonts w:cs="Calibri"/>
          <w:szCs w:val="18"/>
        </w:rPr>
        <w:t>.</w:t>
      </w:r>
      <w:r w:rsidR="00CF3B43" w:rsidRPr="0050162C">
        <w:rPr>
          <w:rFonts w:cs="Calibri"/>
          <w:szCs w:val="18"/>
        </w:rPr>
        <w:t xml:space="preserve"> </w:t>
      </w:r>
    </w:p>
    <w:p w14:paraId="48B733CB" w14:textId="77777777" w:rsidR="00477255" w:rsidRDefault="00477255">
      <w:pPr>
        <w:spacing w:before="0" w:after="160" w:line="259" w:lineRule="auto"/>
        <w:sectPr w:rsidR="00477255" w:rsidSect="00C20AD9">
          <w:pgSz w:w="11906" w:h="16838"/>
          <w:pgMar w:top="2552" w:right="1134" w:bottom="851" w:left="2552" w:header="709" w:footer="709" w:gutter="0"/>
          <w:cols w:space="708"/>
          <w:docGrid w:linePitch="360"/>
        </w:sectPr>
      </w:pPr>
    </w:p>
    <w:p w14:paraId="7090E360" w14:textId="02C94B6E" w:rsidR="00477255" w:rsidRDefault="004C5C76" w:rsidP="00477255">
      <w:pPr>
        <w:spacing w:before="0"/>
        <w:ind w:left="-426"/>
      </w:pPr>
      <w:r>
        <w:rPr>
          <w:noProof/>
        </w:rPr>
        <w:lastRenderedPageBreak/>
        <mc:AlternateContent>
          <mc:Choice Requires="wps">
            <w:drawing>
              <wp:anchor distT="0" distB="0" distL="114300" distR="114300" simplePos="0" relativeHeight="251658241" behindDoc="0" locked="0" layoutInCell="1" allowOverlap="1" wp14:anchorId="340C37E7" wp14:editId="5CB4BF99">
                <wp:simplePos x="0" y="0"/>
                <wp:positionH relativeFrom="column">
                  <wp:posOffset>-176530</wp:posOffset>
                </wp:positionH>
                <wp:positionV relativeFrom="paragraph">
                  <wp:posOffset>4533900</wp:posOffset>
                </wp:positionV>
                <wp:extent cx="10114915" cy="635"/>
                <wp:effectExtent l="0" t="0" r="0" b="0"/>
                <wp:wrapNone/>
                <wp:docPr id="1587824716" name="Text Box 1"/>
                <wp:cNvGraphicFramePr/>
                <a:graphic xmlns:a="http://schemas.openxmlformats.org/drawingml/2006/main">
                  <a:graphicData uri="http://schemas.microsoft.com/office/word/2010/wordprocessingShape">
                    <wps:wsp>
                      <wps:cNvSpPr txBox="1"/>
                      <wps:spPr>
                        <a:xfrm>
                          <a:off x="0" y="0"/>
                          <a:ext cx="10114915" cy="635"/>
                        </a:xfrm>
                        <a:prstGeom prst="rect">
                          <a:avLst/>
                        </a:prstGeom>
                        <a:solidFill>
                          <a:prstClr val="white"/>
                        </a:solidFill>
                        <a:ln>
                          <a:noFill/>
                        </a:ln>
                      </wps:spPr>
                      <wps:txbx>
                        <w:txbxContent>
                          <w:p w14:paraId="690D87DF" w14:textId="0C58B04A" w:rsidR="004C5C76" w:rsidRPr="003E24EC" w:rsidRDefault="004C5C76" w:rsidP="004C5C76">
                            <w:pPr>
                              <w:pStyle w:val="Caption"/>
                              <w:rPr>
                                <w:noProof/>
                                <w:szCs w:val="28"/>
                              </w:rPr>
                            </w:pPr>
                            <w:bookmarkStart w:id="75" w:name="_Ref195521978"/>
                            <w:bookmarkStart w:id="76" w:name="Figure_6"/>
                            <w:bookmarkStart w:id="77" w:name="_Toc205377441"/>
                            <w:r>
                              <w:t xml:space="preserve">Figure </w:t>
                            </w:r>
                            <w:fldSimple w:instr=" SEQ Figure \* ARABIC ">
                              <w:r w:rsidR="00CE6CF1">
                                <w:rPr>
                                  <w:noProof/>
                                </w:rPr>
                                <w:t>5</w:t>
                              </w:r>
                            </w:fldSimple>
                            <w:bookmarkEnd w:id="75"/>
                            <w:bookmarkEnd w:id="76"/>
                            <w:r w:rsidR="000B1276">
                              <w:t>5:</w:t>
                            </w:r>
                            <w:r w:rsidR="004A4CCB">
                              <w:t xml:space="preserve"> </w:t>
                            </w:r>
                            <w:hyperlink w:anchor="Ref_16" w:history="1">
                              <w:r w:rsidR="004A4CCB" w:rsidRPr="004A4CCB">
                                <w:rPr>
                                  <w:rStyle w:val="Hyperlink"/>
                                  <w:noProof/>
                                  <w:lang w:val="en-GB"/>
                                </w:rPr>
                                <w:t>[16]</w:t>
                              </w:r>
                              <w:bookmarkEnd w:id="77"/>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0C37E7" id="_x0000_t202" coordsize="21600,21600" o:spt="202" path="m,l,21600r21600,l21600,xe">
                <v:stroke joinstyle="miter"/>
                <v:path gradientshapeok="t" o:connecttype="rect"/>
              </v:shapetype>
              <v:shape id="Text Box 1" o:spid="_x0000_s1028" type="#_x0000_t202" style="position:absolute;left:0;text-align:left;margin-left:-13.9pt;margin-top:357pt;width:796.4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" stroked="f">
                <v:textbox style="mso-fit-shape-to-text:t" inset="0,0,0,0">
                  <w:txbxContent>
                    <w:p w14:paraId="690D87DF" w14:textId="0C58B04A" w:rsidR="004C5C76" w:rsidRPr="003E24EC" w:rsidRDefault="004C5C76" w:rsidP="004C5C76">
                      <w:pPr>
                        <w:pStyle w:val="Caption"/>
                        <w:rPr>
                          <w:noProof/>
                          <w:szCs w:val="28"/>
                        </w:rPr>
                      </w:pPr>
                      <w:bookmarkStart w:id="78" w:name="_Ref195521978"/>
                      <w:bookmarkStart w:id="79" w:name="Figure_6"/>
                      <w:bookmarkStart w:id="80" w:name="_Toc205377441"/>
                      <w:r>
                        <w:t xml:space="preserve">Figure </w:t>
                      </w:r>
                      <w:fldSimple w:instr=" SEQ Figure \* ARABIC ">
                        <w:r w:rsidR="00CE6CF1">
                          <w:rPr>
                            <w:noProof/>
                          </w:rPr>
                          <w:t>5</w:t>
                        </w:r>
                      </w:fldSimple>
                      <w:bookmarkEnd w:id="78"/>
                      <w:bookmarkEnd w:id="79"/>
                      <w:r w:rsidR="000B1276">
                        <w:t>5:</w:t>
                      </w:r>
                      <w:r w:rsidR="004A4CCB">
                        <w:t xml:space="preserve"> </w:t>
                      </w:r>
                      <w:hyperlink w:anchor="Ref_16" w:history="1">
                        <w:r w:rsidR="004A4CCB" w:rsidRPr="004A4CCB">
                          <w:rPr>
                            <w:rStyle w:val="Hyperlink"/>
                            <w:noProof/>
                            <w:lang w:val="en-GB"/>
                          </w:rPr>
                          <w:t>[16]</w:t>
                        </w:r>
                        <w:bookmarkEnd w:id="80"/>
                      </w:hyperlink>
                    </w:p>
                  </w:txbxContent>
                </v:textbox>
              </v:shape>
            </w:pict>
          </mc:Fallback>
        </mc:AlternateContent>
      </w:r>
      <w:r w:rsidR="000B1276">
        <w:rPr>
          <w:noProof/>
        </w:rPr>
        <mc:AlternateContent>
          <mc:Choice Requires="wps">
            <w:drawing>
              <wp:anchor distT="0" distB="0" distL="114300" distR="114300" simplePos="0" relativeHeight="251658250" behindDoc="0" locked="0" layoutInCell="1" allowOverlap="1" wp14:anchorId="7D7312C9" wp14:editId="4568ECD0">
                <wp:simplePos x="0" y="0"/>
                <wp:positionH relativeFrom="column">
                  <wp:posOffset>-176530</wp:posOffset>
                </wp:positionH>
                <wp:positionV relativeFrom="paragraph">
                  <wp:posOffset>4533900</wp:posOffset>
                </wp:positionV>
                <wp:extent cx="10114915" cy="635"/>
                <wp:effectExtent l="0" t="0" r="0" b="0"/>
                <wp:wrapNone/>
                <wp:docPr id="1003152088" name="Text Box 1"/>
                <wp:cNvGraphicFramePr/>
                <a:graphic xmlns:a="http://schemas.openxmlformats.org/drawingml/2006/main">
                  <a:graphicData uri="http://schemas.microsoft.com/office/word/2010/wordprocessingShape">
                    <wps:wsp>
                      <wps:cNvSpPr txBox="1"/>
                      <wps:spPr>
                        <a:xfrm>
                          <a:off x="0" y="0"/>
                          <a:ext cx="10114915" cy="635"/>
                        </a:xfrm>
                        <a:prstGeom prst="rect">
                          <a:avLst/>
                        </a:prstGeom>
                        <a:solidFill>
                          <a:prstClr val="white"/>
                        </a:solidFill>
                        <a:ln>
                          <a:noFill/>
                        </a:ln>
                      </wps:spPr>
                      <wps:txbx>
                        <w:txbxContent>
                          <w:p w14:paraId="43536FF1" w14:textId="241E9F36" w:rsidR="000B1276" w:rsidRPr="00283A06" w:rsidRDefault="000B1276" w:rsidP="000B1276">
                            <w:pPr>
                              <w:pStyle w:val="Caption"/>
                              <w:rPr>
                                <w:noProof/>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312C9" id="_x0000_s1029" type="#_x0000_t202" style="position:absolute;left:0;text-align:left;margin-left:-13.9pt;margin-top:357pt;width:796.4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" stroked="f">
                <v:textbox style="mso-fit-shape-to-text:t" inset="0,0,0,0">
                  <w:txbxContent>
                    <w:p w14:paraId="43536FF1" w14:textId="241E9F36" w:rsidR="000B1276" w:rsidRPr="00283A06" w:rsidRDefault="000B1276" w:rsidP="000B1276">
                      <w:pPr>
                        <w:pStyle w:val="Caption"/>
                        <w:rPr>
                          <w:noProof/>
                          <w:szCs w:val="28"/>
                        </w:rPr>
                      </w:pPr>
                    </w:p>
                  </w:txbxContent>
                </v:textbox>
              </v:shape>
            </w:pict>
          </mc:Fallback>
        </mc:AlternateContent>
      </w:r>
      <w:r w:rsidR="000B1276">
        <w:rPr>
          <w:noProof/>
        </w:rPr>
        <mc:AlternateContent>
          <mc:Choice Requires="wps">
            <w:drawing>
              <wp:anchor distT="0" distB="0" distL="114300" distR="114300" simplePos="0" relativeHeight="251658251" behindDoc="0" locked="0" layoutInCell="1" allowOverlap="1" wp14:anchorId="7F5F5DA6" wp14:editId="68A77BCD">
                <wp:simplePos x="0" y="0"/>
                <wp:positionH relativeFrom="column">
                  <wp:posOffset>-176530</wp:posOffset>
                </wp:positionH>
                <wp:positionV relativeFrom="paragraph">
                  <wp:posOffset>4533900</wp:posOffset>
                </wp:positionV>
                <wp:extent cx="10114915" cy="635"/>
                <wp:effectExtent l="0" t="0" r="0" b="0"/>
                <wp:wrapNone/>
                <wp:docPr id="1041853801" name="Text Box 1"/>
                <wp:cNvGraphicFramePr/>
                <a:graphic xmlns:a="http://schemas.openxmlformats.org/drawingml/2006/main">
                  <a:graphicData uri="http://schemas.microsoft.com/office/word/2010/wordprocessingShape">
                    <wps:wsp>
                      <wps:cNvSpPr txBox="1"/>
                      <wps:spPr>
                        <a:xfrm>
                          <a:off x="0" y="0"/>
                          <a:ext cx="10114915" cy="635"/>
                        </a:xfrm>
                        <a:prstGeom prst="rect">
                          <a:avLst/>
                        </a:prstGeom>
                        <a:solidFill>
                          <a:prstClr val="white"/>
                        </a:solidFill>
                        <a:ln>
                          <a:noFill/>
                        </a:ln>
                      </wps:spPr>
                      <wps:txbx>
                        <w:txbxContent>
                          <w:p w14:paraId="41D4EBC7" w14:textId="4B36B388" w:rsidR="000B1276" w:rsidRPr="00E91535" w:rsidRDefault="000B1276" w:rsidP="00E91535">
                            <w:pPr>
                              <w:pStyle w:val="Caption"/>
                            </w:pPr>
                            <w:r w:rsidRPr="00E91535">
                              <w:t>Figure 5: EPRI's Timeframes of Applicability by Identified Functions</w:t>
                            </w:r>
                            <w:r w:rsidRPr="00971A0E">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F5DA6" id="_x0000_s1030" type="#_x0000_t202" style="position:absolute;left:0;text-align:left;margin-left:-13.9pt;margin-top:357pt;width:796.4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" stroked="f">
                <v:textbox style="mso-fit-shape-to-text:t" inset="0,0,0,0">
                  <w:txbxContent>
                    <w:p w14:paraId="41D4EBC7" w14:textId="4B36B388" w:rsidR="000B1276" w:rsidRPr="00E91535" w:rsidRDefault="000B1276" w:rsidP="00E91535">
                      <w:pPr>
                        <w:pStyle w:val="Caption"/>
                      </w:pPr>
                      <w:r w:rsidRPr="00E91535">
                        <w:t xml:space="preserve">Figure 5: EPRI's Timeframes of Applicability by Identified </w:t>
                      </w:r>
                      <w:proofErr w:type="gramStart"/>
                      <w:r w:rsidRPr="00E91535">
                        <w:t>Functions</w:t>
                      </w:r>
                      <w:r w:rsidRPr="00971A0E">
                        <w:t>[</w:t>
                      </w:r>
                      <w:proofErr w:type="gramEnd"/>
                      <w:r w:rsidRPr="00971A0E">
                        <w:t>16]</w:t>
                      </w:r>
                    </w:p>
                  </w:txbxContent>
                </v:textbox>
              </v:shape>
            </w:pict>
          </mc:Fallback>
        </mc:AlternateContent>
      </w:r>
      <w:bookmarkStart w:id="81" w:name="Figure_5"/>
      <w:r>
        <w:rPr>
          <w:noProof/>
        </w:rPr>
        <mc:AlternateContent>
          <mc:Choice Requires="wpg">
            <w:drawing>
              <wp:anchor distT="0" distB="0" distL="114300" distR="114300" simplePos="0" relativeHeight="251658240" behindDoc="0" locked="0" layoutInCell="1" allowOverlap="1" wp14:anchorId="25AC450C" wp14:editId="1D751911">
                <wp:simplePos x="0" y="0"/>
                <wp:positionH relativeFrom="column">
                  <wp:posOffset>-176828</wp:posOffset>
                </wp:positionH>
                <wp:positionV relativeFrom="paragraph">
                  <wp:posOffset>-45108</wp:posOffset>
                </wp:positionV>
                <wp:extent cx="10115221" cy="4521835"/>
                <wp:effectExtent l="0" t="0" r="635" b="0"/>
                <wp:wrapNone/>
                <wp:docPr id="1683793368" name="Group 9"/>
                <wp:cNvGraphicFramePr/>
                <a:graphic xmlns:a="http://schemas.openxmlformats.org/drawingml/2006/main">
                  <a:graphicData uri="http://schemas.microsoft.com/office/word/2010/wordprocessingGroup">
                    <wpg:wgp>
                      <wpg:cNvGrpSpPr/>
                      <wpg:grpSpPr>
                        <a:xfrm>
                          <a:off x="0" y="0"/>
                          <a:ext cx="10115221" cy="4521835"/>
                          <a:chOff x="0" y="0"/>
                          <a:chExt cx="10115221" cy="4521835"/>
                        </a:xfrm>
                      </wpg:grpSpPr>
                      <pic:pic xmlns:pic="http://schemas.openxmlformats.org/drawingml/2006/picture">
                        <pic:nvPicPr>
                          <pic:cNvPr id="310182347"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21685" cy="3804285"/>
                          </a:xfrm>
                          <a:prstGeom prst="rect">
                            <a:avLst/>
                          </a:prstGeom>
                        </pic:spPr>
                      </pic:pic>
                      <pic:pic xmlns:pic="http://schemas.openxmlformats.org/drawingml/2006/picture">
                        <pic:nvPicPr>
                          <pic:cNvPr id="1856335788"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6731306" y="0"/>
                            <a:ext cx="3383915" cy="2745740"/>
                          </a:xfrm>
                          <a:prstGeom prst="rect">
                            <a:avLst/>
                          </a:prstGeom>
                        </pic:spPr>
                      </pic:pic>
                      <pic:pic xmlns:pic="http://schemas.openxmlformats.org/drawingml/2006/picture">
                        <pic:nvPicPr>
                          <pic:cNvPr id="187512611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338110" y="0"/>
                            <a:ext cx="3383915" cy="4521835"/>
                          </a:xfrm>
                          <a:prstGeom prst="rect">
                            <a:avLst/>
                          </a:prstGeom>
                        </pic:spPr>
                      </pic:pic>
                    </wpg:wgp>
                  </a:graphicData>
                </a:graphic>
              </wp:anchor>
            </w:drawing>
          </mc:Choice>
          <mc:Fallback>
            <w:pict>
              <v:group w14:anchorId="49365972" id="Group 9" o:spid="_x0000_s1026" style="position:absolute;margin-left:-13.9pt;margin-top:-3.55pt;width:796.45pt;height:356.05pt;z-index:251658240" coordsize="101152,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216;height:3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">
                  <v:imagedata r:id="rId34" o:title=""/>
                </v:shape>
                <v:shape id="Picture 1" o:spid="_x0000_s1028" type="#_x0000_t75" style="position:absolute;left:67313;width:33839;height:2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">
                  <v:imagedata r:id="rId35" o:title=""/>
                </v:shape>
                <v:shape id="Picture 1" o:spid="_x0000_s1029" type="#_x0000_t75" style="position:absolute;left:33381;width:33839;height:4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">
                  <v:imagedata r:id="rId36" o:title=""/>
                </v:shape>
              </v:group>
            </w:pict>
          </mc:Fallback>
        </mc:AlternateContent>
      </w:r>
      <w:bookmarkEnd w:id="81"/>
      <w:r w:rsidR="00477255" w:rsidRPr="00771D20">
        <w:rPr>
          <w:noProof/>
        </w:rPr>
        <w:t xml:space="preserve"> </w:t>
      </w:r>
    </w:p>
    <w:p w14:paraId="016FBD9C" w14:textId="34F93EFA" w:rsidR="00477255" w:rsidRDefault="00477255" w:rsidP="00477255"/>
    <w:p w14:paraId="36C9B428" w14:textId="6B16D6DC" w:rsidR="00477255" w:rsidRDefault="00477255" w:rsidP="00477255"/>
    <w:p w14:paraId="4B218D77" w14:textId="24944C25" w:rsidR="00477255" w:rsidRDefault="00477255">
      <w:pPr>
        <w:spacing w:before="0" w:after="160" w:line="259" w:lineRule="auto"/>
      </w:pPr>
    </w:p>
    <w:p w14:paraId="7AE19237" w14:textId="56BC9AF6" w:rsidR="00477255" w:rsidRDefault="00477255">
      <w:pPr>
        <w:spacing w:before="0" w:after="160" w:line="259" w:lineRule="auto"/>
      </w:pPr>
    </w:p>
    <w:p w14:paraId="375C164C" w14:textId="20C44688" w:rsidR="00477255" w:rsidRDefault="00D21E68">
      <w:pPr>
        <w:spacing w:before="0" w:after="160" w:line="259" w:lineRule="auto"/>
        <w:sectPr w:rsidR="00477255" w:rsidSect="00477255">
          <w:pgSz w:w="16838" w:h="11906" w:orient="landscape"/>
          <w:pgMar w:top="2552" w:right="253" w:bottom="1134" w:left="851" w:header="709" w:footer="709" w:gutter="0"/>
          <w:cols w:space="708"/>
          <w:docGrid w:linePitch="360"/>
        </w:sectPr>
      </w:pPr>
      <w:r>
        <w:br w:type="page"/>
      </w:r>
    </w:p>
    <w:p w14:paraId="33C167FB" w14:textId="445E6B21" w:rsidR="00D21E68" w:rsidRPr="0050162C" w:rsidRDefault="00DC5973" w:rsidP="0050162C">
      <w:pPr>
        <w:spacing w:before="180" w:after="120" w:line="288" w:lineRule="auto"/>
        <w:rPr>
          <w:rFonts w:cs="Calibri"/>
          <w:szCs w:val="18"/>
        </w:rPr>
      </w:pPr>
      <w:r w:rsidRPr="0050162C">
        <w:rPr>
          <w:rFonts w:cs="Calibri"/>
          <w:szCs w:val="18"/>
        </w:rPr>
        <w:lastRenderedPageBreak/>
        <w:t>T</w:t>
      </w:r>
      <w:r w:rsidR="00D12609" w:rsidRPr="0050162C">
        <w:rPr>
          <w:rFonts w:cs="Calibri"/>
          <w:szCs w:val="18"/>
        </w:rPr>
        <w:t xml:space="preserve">hese functions </w:t>
      </w:r>
      <w:r w:rsidR="008B076E" w:rsidRPr="0050162C">
        <w:rPr>
          <w:rFonts w:cs="Calibri"/>
          <w:szCs w:val="18"/>
        </w:rPr>
        <w:t xml:space="preserve">assume </w:t>
      </w:r>
      <w:r w:rsidR="0035107D" w:rsidRPr="0050162C">
        <w:rPr>
          <w:rFonts w:cs="Calibri"/>
          <w:szCs w:val="18"/>
        </w:rPr>
        <w:t xml:space="preserve">established </w:t>
      </w:r>
      <w:r w:rsidR="00BA032E" w:rsidRPr="0050162C">
        <w:rPr>
          <w:rFonts w:cs="Calibri"/>
          <w:szCs w:val="18"/>
        </w:rPr>
        <w:t xml:space="preserve">‘downstream’ </w:t>
      </w:r>
      <w:r w:rsidR="003B0529" w:rsidRPr="0050162C">
        <w:rPr>
          <w:rFonts w:cs="Calibri"/>
          <w:szCs w:val="18"/>
        </w:rPr>
        <w:t xml:space="preserve">interfaces </w:t>
      </w:r>
      <w:r w:rsidR="0035107D" w:rsidRPr="0050162C">
        <w:rPr>
          <w:rFonts w:cs="Calibri"/>
          <w:szCs w:val="18"/>
        </w:rPr>
        <w:t>to C</w:t>
      </w:r>
      <w:r w:rsidR="00D605F7" w:rsidRPr="0050162C">
        <w:rPr>
          <w:rFonts w:cs="Calibri"/>
          <w:szCs w:val="18"/>
        </w:rPr>
        <w:t>ER/DER aggregations</w:t>
      </w:r>
      <w:r w:rsidR="002A2140" w:rsidRPr="0050162C">
        <w:rPr>
          <w:rFonts w:cs="Calibri"/>
          <w:szCs w:val="18"/>
        </w:rPr>
        <w:t xml:space="preserve"> </w:t>
      </w:r>
      <w:r w:rsidRPr="0050162C">
        <w:rPr>
          <w:rFonts w:cs="Calibri"/>
          <w:szCs w:val="18"/>
        </w:rPr>
        <w:t>c</w:t>
      </w:r>
      <w:r w:rsidR="00B37DD4" w:rsidRPr="0050162C">
        <w:rPr>
          <w:rFonts w:cs="Calibri"/>
          <w:szCs w:val="18"/>
        </w:rPr>
        <w:t xml:space="preserve">apable of </w:t>
      </w:r>
      <w:r w:rsidR="001A168E" w:rsidRPr="0050162C">
        <w:rPr>
          <w:rFonts w:cs="Calibri"/>
          <w:szCs w:val="18"/>
        </w:rPr>
        <w:t xml:space="preserve">providing </w:t>
      </w:r>
      <w:r w:rsidR="00E15F35" w:rsidRPr="0050162C">
        <w:rPr>
          <w:rFonts w:cs="Calibri"/>
          <w:szCs w:val="18"/>
        </w:rPr>
        <w:t xml:space="preserve">‘upstream’ </w:t>
      </w:r>
      <w:r w:rsidR="004670E5">
        <w:rPr>
          <w:rFonts w:cs="Calibri"/>
          <w:szCs w:val="18"/>
        </w:rPr>
        <w:t>data</w:t>
      </w:r>
      <w:r w:rsidR="00DF4033">
        <w:rPr>
          <w:rFonts w:cs="Calibri"/>
          <w:szCs w:val="18"/>
        </w:rPr>
        <w:t xml:space="preserve"> and</w:t>
      </w:r>
      <w:r w:rsidR="004670E5">
        <w:rPr>
          <w:rFonts w:cs="Calibri"/>
          <w:szCs w:val="18"/>
        </w:rPr>
        <w:t xml:space="preserve"> </w:t>
      </w:r>
      <w:r w:rsidR="00A65CE0" w:rsidRPr="0050162C">
        <w:rPr>
          <w:rFonts w:cs="Calibri"/>
          <w:szCs w:val="18"/>
        </w:rPr>
        <w:t>services</w:t>
      </w:r>
      <w:r w:rsidR="00682B82" w:rsidRPr="0050162C">
        <w:rPr>
          <w:rFonts w:cs="Calibri"/>
          <w:szCs w:val="18"/>
        </w:rPr>
        <w:t xml:space="preserve"> </w:t>
      </w:r>
      <w:r w:rsidR="00517F81" w:rsidRPr="0050162C">
        <w:rPr>
          <w:rFonts w:cs="Calibri"/>
          <w:szCs w:val="18"/>
        </w:rPr>
        <w:t>to relevant entities</w:t>
      </w:r>
      <w:r w:rsidRPr="0050162C">
        <w:rPr>
          <w:rFonts w:cs="Calibri"/>
          <w:szCs w:val="18"/>
        </w:rPr>
        <w:t>.</w:t>
      </w:r>
      <w:r w:rsidR="00517F81" w:rsidRPr="0050162C">
        <w:rPr>
          <w:rFonts w:cs="Calibri"/>
          <w:szCs w:val="18"/>
        </w:rPr>
        <w:t xml:space="preserve"> </w:t>
      </w:r>
      <w:r w:rsidR="0004541C" w:rsidRPr="0050162C">
        <w:rPr>
          <w:rFonts w:cs="Calibri"/>
          <w:szCs w:val="18"/>
        </w:rPr>
        <w:t xml:space="preserve">This is consistent with </w:t>
      </w:r>
      <w:r w:rsidR="007E769E" w:rsidRPr="0050162C">
        <w:rPr>
          <w:rFonts w:cs="Calibri"/>
          <w:szCs w:val="18"/>
        </w:rPr>
        <w:t>the US</w:t>
      </w:r>
      <w:r w:rsidR="00403CD1" w:rsidRPr="0050162C">
        <w:rPr>
          <w:rFonts w:cs="Calibri"/>
          <w:szCs w:val="18"/>
        </w:rPr>
        <w:t xml:space="preserve">’s </w:t>
      </w:r>
      <w:r w:rsidR="00B40AEB" w:rsidRPr="0050162C">
        <w:rPr>
          <w:rFonts w:cs="Calibri"/>
          <w:szCs w:val="18"/>
        </w:rPr>
        <w:t xml:space="preserve">FERC Order 2222 operational </w:t>
      </w:r>
      <w:r w:rsidR="00A94B04">
        <w:rPr>
          <w:rFonts w:cs="Calibri"/>
          <w:szCs w:val="18"/>
        </w:rPr>
        <w:t>framework</w:t>
      </w:r>
      <w:r w:rsidR="00A94B04" w:rsidRPr="0050162C">
        <w:rPr>
          <w:rFonts w:cs="Calibri"/>
          <w:szCs w:val="18"/>
        </w:rPr>
        <w:t xml:space="preserve"> </w:t>
      </w:r>
      <w:r w:rsidR="00102433" w:rsidRPr="0050162C">
        <w:rPr>
          <w:rFonts w:cs="Calibri"/>
          <w:szCs w:val="18"/>
        </w:rPr>
        <w:t xml:space="preserve">and its emphasis on </w:t>
      </w:r>
      <w:r w:rsidR="00CB5520" w:rsidRPr="0050162C">
        <w:rPr>
          <w:rFonts w:cs="Calibri"/>
          <w:szCs w:val="18"/>
        </w:rPr>
        <w:t>mobilising CER/DER fo</w:t>
      </w:r>
      <w:r w:rsidR="008A06C7" w:rsidRPr="0050162C">
        <w:rPr>
          <w:rFonts w:cs="Calibri"/>
          <w:szCs w:val="18"/>
        </w:rPr>
        <w:t xml:space="preserve">r bulk system markets. </w:t>
      </w:r>
    </w:p>
    <w:p w14:paraId="7106E1DC" w14:textId="2686AC8B" w:rsidR="003C5E8C" w:rsidRPr="0050162C" w:rsidRDefault="0087747E" w:rsidP="0050162C">
      <w:pPr>
        <w:spacing w:before="180" w:after="120" w:line="288" w:lineRule="auto"/>
        <w:rPr>
          <w:rFonts w:cs="Calibri"/>
          <w:szCs w:val="18"/>
        </w:rPr>
      </w:pPr>
      <w:r w:rsidRPr="0050162C">
        <w:rPr>
          <w:rFonts w:cs="Calibri"/>
          <w:szCs w:val="18"/>
        </w:rPr>
        <w:t xml:space="preserve">In </w:t>
      </w:r>
      <w:r w:rsidR="003C5E8C" w:rsidRPr="0050162C">
        <w:rPr>
          <w:rFonts w:cs="Calibri"/>
          <w:szCs w:val="18"/>
        </w:rPr>
        <w:t xml:space="preserve">contrast, </w:t>
      </w:r>
      <w:r w:rsidR="009079EA" w:rsidRPr="0050162C">
        <w:rPr>
          <w:rFonts w:cs="Calibri"/>
          <w:szCs w:val="18"/>
        </w:rPr>
        <w:t>the EU</w:t>
      </w:r>
      <w:r w:rsidR="00485E90" w:rsidRPr="0050162C">
        <w:rPr>
          <w:rFonts w:cs="Calibri"/>
          <w:szCs w:val="18"/>
        </w:rPr>
        <w:t>-SysFlex</w:t>
      </w:r>
      <w:r w:rsidR="00A52D26" w:rsidRPr="0050162C">
        <w:rPr>
          <w:rFonts w:cs="Calibri"/>
          <w:szCs w:val="18"/>
        </w:rPr>
        <w:t xml:space="preserve"> Consortium </w:t>
      </w:r>
      <w:r w:rsidR="00905C1B" w:rsidRPr="0050162C">
        <w:rPr>
          <w:rFonts w:cs="Calibri"/>
          <w:szCs w:val="18"/>
        </w:rPr>
        <w:t>has proposed a</w:t>
      </w:r>
      <w:r w:rsidR="00B11D12" w:rsidRPr="0050162C">
        <w:rPr>
          <w:rFonts w:cs="Calibri"/>
          <w:szCs w:val="18"/>
        </w:rPr>
        <w:t xml:space="preserve"> </w:t>
      </w:r>
      <w:r w:rsidR="00264435" w:rsidRPr="0050162C">
        <w:rPr>
          <w:rFonts w:cs="Calibri"/>
          <w:szCs w:val="18"/>
        </w:rPr>
        <w:t>generic</w:t>
      </w:r>
      <w:r w:rsidR="00905C1B" w:rsidRPr="0050162C">
        <w:rPr>
          <w:rFonts w:cs="Calibri"/>
          <w:szCs w:val="18"/>
        </w:rPr>
        <w:t xml:space="preserve"> time-sequenced </w:t>
      </w:r>
      <w:r w:rsidR="00FB61F6" w:rsidRPr="0050162C">
        <w:rPr>
          <w:rFonts w:cs="Calibri"/>
          <w:szCs w:val="18"/>
        </w:rPr>
        <w:t>set of acto</w:t>
      </w:r>
      <w:r w:rsidR="00376976" w:rsidRPr="0050162C">
        <w:rPr>
          <w:rFonts w:cs="Calibri"/>
          <w:szCs w:val="18"/>
        </w:rPr>
        <w:t xml:space="preserve">r-specific </w:t>
      </w:r>
      <w:r w:rsidR="00FB61F6" w:rsidRPr="0050162C">
        <w:rPr>
          <w:rFonts w:cs="Calibri"/>
          <w:szCs w:val="18"/>
        </w:rPr>
        <w:t>function</w:t>
      </w:r>
      <w:r w:rsidR="00376976" w:rsidRPr="0050162C">
        <w:rPr>
          <w:rFonts w:cs="Calibri"/>
          <w:szCs w:val="18"/>
        </w:rPr>
        <w:t>s across</w:t>
      </w:r>
      <w:r w:rsidR="005C4F4D" w:rsidRPr="0050162C">
        <w:rPr>
          <w:rFonts w:cs="Calibri"/>
          <w:szCs w:val="18"/>
        </w:rPr>
        <w:t xml:space="preserve"> prequalification</w:t>
      </w:r>
      <w:r w:rsidR="006F0040" w:rsidRPr="0050162C">
        <w:rPr>
          <w:rFonts w:cs="Calibri"/>
          <w:szCs w:val="18"/>
        </w:rPr>
        <w:t xml:space="preserve"> </w:t>
      </w:r>
      <w:r w:rsidR="001A2778" w:rsidRPr="0050162C">
        <w:rPr>
          <w:rFonts w:cs="Calibri"/>
          <w:szCs w:val="18"/>
        </w:rPr>
        <w:t>(</w:t>
      </w:r>
      <w:hyperlink w:anchor="Figure_6" w:history="1">
        <w:r w:rsidR="000B1276" w:rsidRPr="000B1276">
          <w:rPr>
            <w:rStyle w:val="Hyperlink"/>
            <w:rFonts w:cs="Calibri"/>
            <w:szCs w:val="18"/>
          </w:rPr>
          <w:t>Figure 6</w:t>
        </w:r>
      </w:hyperlink>
      <w:r w:rsidR="001A2778" w:rsidRPr="0050162C">
        <w:rPr>
          <w:rFonts w:cs="Calibri"/>
          <w:szCs w:val="18"/>
        </w:rPr>
        <w:t>)</w:t>
      </w:r>
      <w:r w:rsidR="005C4F4D" w:rsidRPr="0050162C">
        <w:rPr>
          <w:rFonts w:cs="Calibri"/>
          <w:szCs w:val="18"/>
        </w:rPr>
        <w:t xml:space="preserve">, procurement </w:t>
      </w:r>
      <w:r w:rsidR="006F0040" w:rsidRPr="00C90848">
        <w:rPr>
          <w:rFonts w:cs="Calibri"/>
          <w:szCs w:val="18"/>
        </w:rPr>
        <w:t>(</w:t>
      </w:r>
      <w:hyperlink w:anchor="Figure_8" w:history="1">
        <w:r w:rsidR="00B91EE6" w:rsidRPr="00C90848">
          <w:rPr>
            <w:rStyle w:val="Hyperlink"/>
            <w:rFonts w:cs="Calibri"/>
            <w:szCs w:val="18"/>
          </w:rPr>
          <w:t>Figure 8</w:t>
        </w:r>
      </w:hyperlink>
      <w:r w:rsidR="00061ACF" w:rsidRPr="00C90848">
        <w:rPr>
          <w:rFonts w:cs="Calibri"/>
          <w:szCs w:val="18"/>
        </w:rPr>
        <w:t xml:space="preserve"> &amp;</w:t>
      </w:r>
      <w:r w:rsidR="00C8481E" w:rsidRPr="00C90848">
        <w:rPr>
          <w:rFonts w:cs="Calibri"/>
          <w:szCs w:val="18"/>
        </w:rPr>
        <w:t xml:space="preserve"> </w:t>
      </w:r>
      <w:hyperlink w:anchor="Figure_9" w:history="1">
        <w:r w:rsidR="00B91EE6" w:rsidRPr="00C90848">
          <w:rPr>
            <w:rStyle w:val="Hyperlink"/>
            <w:rFonts w:cs="Calibri"/>
            <w:szCs w:val="18"/>
          </w:rPr>
          <w:t>Figure 9</w:t>
        </w:r>
      </w:hyperlink>
      <w:r w:rsidR="00C8481E" w:rsidRPr="0050162C">
        <w:rPr>
          <w:rFonts w:cs="Calibri"/>
          <w:szCs w:val="18"/>
        </w:rPr>
        <w:t xml:space="preserve">) </w:t>
      </w:r>
      <w:r w:rsidR="006F0040" w:rsidRPr="0050162C">
        <w:rPr>
          <w:rFonts w:cs="Calibri"/>
          <w:szCs w:val="18"/>
        </w:rPr>
        <w:t xml:space="preserve">activation </w:t>
      </w:r>
      <w:r w:rsidR="001A2778" w:rsidRPr="00C90848">
        <w:rPr>
          <w:rFonts w:cs="Calibri"/>
          <w:szCs w:val="18"/>
        </w:rPr>
        <w:t>(</w:t>
      </w:r>
      <w:hyperlink w:anchor="Figure_10" w:history="1">
        <w:r w:rsidR="00B91EE6" w:rsidRPr="00C90848">
          <w:rPr>
            <w:rStyle w:val="Hyperlink"/>
            <w:rFonts w:cs="Calibri"/>
            <w:szCs w:val="18"/>
          </w:rPr>
          <w:t>Figure</w:t>
        </w:r>
        <w:r w:rsidR="00C90848" w:rsidRPr="00C90848">
          <w:rPr>
            <w:rStyle w:val="Hyperlink"/>
            <w:rFonts w:cs="Calibri"/>
            <w:szCs w:val="18"/>
          </w:rPr>
          <w:t xml:space="preserve"> 10</w:t>
        </w:r>
      </w:hyperlink>
      <w:r w:rsidR="00C90848" w:rsidRPr="00C90848">
        <w:rPr>
          <w:rFonts w:cs="Calibri"/>
          <w:szCs w:val="18"/>
        </w:rPr>
        <w:t xml:space="preserve"> &amp; </w:t>
      </w:r>
      <w:hyperlink w:anchor="Figure_11" w:history="1">
        <w:r w:rsidR="00C90848" w:rsidRPr="00C90848">
          <w:rPr>
            <w:rStyle w:val="Hyperlink"/>
            <w:rFonts w:cs="Calibri"/>
            <w:szCs w:val="18"/>
          </w:rPr>
          <w:t>Figure 11</w:t>
        </w:r>
        <w:r w:rsidR="001A2778" w:rsidRPr="00C117D6">
          <w:rPr>
            <w:rStyle w:val="Hyperlink"/>
            <w:rFonts w:cs="Calibri"/>
            <w:szCs w:val="18"/>
          </w:rPr>
          <w:t>)</w:t>
        </w:r>
      </w:hyperlink>
      <w:r w:rsidR="001A2778" w:rsidRPr="0050162C">
        <w:rPr>
          <w:rFonts w:cs="Calibri"/>
          <w:szCs w:val="18"/>
        </w:rPr>
        <w:t xml:space="preserve"> </w:t>
      </w:r>
      <w:r w:rsidR="0050344B" w:rsidRPr="0050162C">
        <w:rPr>
          <w:rFonts w:cs="Calibri"/>
          <w:szCs w:val="18"/>
        </w:rPr>
        <w:t>and settlement</w:t>
      </w:r>
      <w:r w:rsidR="00722ECF" w:rsidRPr="0050162C">
        <w:rPr>
          <w:rFonts w:cs="Calibri"/>
          <w:szCs w:val="18"/>
        </w:rPr>
        <w:t xml:space="preserve"> </w:t>
      </w:r>
      <w:r w:rsidR="001A2778" w:rsidRPr="00C90848">
        <w:rPr>
          <w:rFonts w:cs="Calibri"/>
          <w:szCs w:val="18"/>
        </w:rPr>
        <w:t>(</w:t>
      </w:r>
      <w:hyperlink w:anchor="Figure_12" w:history="1">
        <w:r w:rsidR="00C90848" w:rsidRPr="00C90848">
          <w:rPr>
            <w:rStyle w:val="Hyperlink"/>
            <w:rFonts w:cs="Calibri"/>
            <w:szCs w:val="18"/>
          </w:rPr>
          <w:t>Figure 12</w:t>
        </w:r>
      </w:hyperlink>
      <w:r w:rsidR="001A2778" w:rsidRPr="0050162C">
        <w:rPr>
          <w:rFonts w:cs="Calibri"/>
          <w:szCs w:val="18"/>
        </w:rPr>
        <w:t xml:space="preserve">) </w:t>
      </w:r>
      <w:r w:rsidR="00712E72">
        <w:rPr>
          <w:rFonts w:cs="Calibri"/>
          <w:szCs w:val="18"/>
        </w:rPr>
        <w:t xml:space="preserve">of available flexibility </w:t>
      </w:r>
      <w:r w:rsidR="001A2778" w:rsidRPr="0050162C">
        <w:rPr>
          <w:rFonts w:cs="Calibri"/>
          <w:szCs w:val="18"/>
        </w:rPr>
        <w:t>for</w:t>
      </w:r>
      <w:r w:rsidR="00722ECF" w:rsidRPr="0050162C">
        <w:rPr>
          <w:rFonts w:cs="Calibri"/>
          <w:szCs w:val="18"/>
        </w:rPr>
        <w:t xml:space="preserve"> both DSO and TSO needs</w:t>
      </w:r>
      <w:r w:rsidR="00CE404C">
        <w:rPr>
          <w:rFonts w:cs="Calibri"/>
          <w:szCs w:val="18"/>
        </w:rPr>
        <w:t xml:space="preserve"> </w:t>
      </w:r>
      <w:r w:rsidR="00CE404C" w:rsidRPr="000D4FC2">
        <w:rPr>
          <w:noProof/>
          <w:lang w:val="en-GB"/>
        </w:rPr>
        <w:t>[17]</w:t>
      </w:r>
      <w:r w:rsidR="0050344B" w:rsidRPr="0050162C">
        <w:rPr>
          <w:rFonts w:cs="Calibri"/>
          <w:szCs w:val="18"/>
        </w:rPr>
        <w:t xml:space="preserve">. </w:t>
      </w:r>
    </w:p>
    <w:p w14:paraId="727D3AF1" w14:textId="77777777" w:rsidR="00314017" w:rsidRDefault="000E6DBF" w:rsidP="005A6E97">
      <w:pPr>
        <w:keepNext/>
        <w:jc w:val="center"/>
      </w:pPr>
      <w:r w:rsidRPr="000E6DBF">
        <w:rPr>
          <w:noProof/>
        </w:rPr>
        <w:drawing>
          <wp:inline distT="0" distB="0" distL="0" distR="0" wp14:anchorId="620F0789" wp14:editId="66B51748">
            <wp:extent cx="4320000" cy="2523156"/>
            <wp:effectExtent l="0" t="0" r="4445" b="0"/>
            <wp:docPr id="31791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13622" name=""/>
                    <pic:cNvPicPr/>
                  </pic:nvPicPr>
                  <pic:blipFill>
                    <a:blip r:embed="rId37"/>
                    <a:stretch>
                      <a:fillRect/>
                    </a:stretch>
                  </pic:blipFill>
                  <pic:spPr>
                    <a:xfrm>
                      <a:off x="0" y="0"/>
                      <a:ext cx="4320000" cy="2523156"/>
                    </a:xfrm>
                    <a:prstGeom prst="rect">
                      <a:avLst/>
                    </a:prstGeom>
                  </pic:spPr>
                </pic:pic>
              </a:graphicData>
            </a:graphic>
          </wp:inline>
        </w:drawing>
      </w:r>
    </w:p>
    <w:p w14:paraId="619A6861" w14:textId="6AF4A47C" w:rsidR="00A6448E" w:rsidRDefault="00314017" w:rsidP="00314017">
      <w:pPr>
        <w:pStyle w:val="Caption"/>
      </w:pPr>
      <w:bookmarkStart w:id="82" w:name="_Ref195529042"/>
      <w:bookmarkStart w:id="83" w:name="_Toc205377442"/>
      <w:r>
        <w:t xml:space="preserve">Figure </w:t>
      </w:r>
      <w:fldSimple w:instr=" SEQ Figure \* ARABIC ">
        <w:r w:rsidR="00CE6CF1">
          <w:rPr>
            <w:noProof/>
          </w:rPr>
          <w:t>6</w:t>
        </w:r>
      </w:fldSimple>
      <w:bookmarkEnd w:id="82"/>
      <w:r>
        <w:t xml:space="preserve"> - EU-SysFlex Prequalification Phase</w:t>
      </w:r>
      <w:r w:rsidR="00936F74">
        <w:t xml:space="preserve"> (see footnote for acronyms)</w:t>
      </w:r>
      <w:r>
        <w:rPr>
          <w:rStyle w:val="FootnoteReference"/>
        </w:rPr>
        <w:footnoteReference w:id="2"/>
      </w:r>
      <w:bookmarkEnd w:id="83"/>
      <w:r w:rsidR="00D25E5A">
        <w:t xml:space="preserve"> </w:t>
      </w:r>
    </w:p>
    <w:p w14:paraId="2654EEC5" w14:textId="4F190908" w:rsidR="005A6E97" w:rsidRPr="0050162C" w:rsidRDefault="001A2778" w:rsidP="0050162C">
      <w:pPr>
        <w:spacing w:before="180" w:after="120" w:line="288" w:lineRule="auto"/>
        <w:rPr>
          <w:rFonts w:cs="Calibri"/>
          <w:szCs w:val="18"/>
        </w:rPr>
      </w:pPr>
      <w:r w:rsidRPr="0050162C">
        <w:rPr>
          <w:rFonts w:cs="Calibri"/>
          <w:szCs w:val="18"/>
        </w:rPr>
        <w:t>Prequalification</w:t>
      </w:r>
      <w:r w:rsidR="003B67AA" w:rsidRPr="0050162C">
        <w:rPr>
          <w:rFonts w:cs="Calibri"/>
          <w:szCs w:val="18"/>
        </w:rPr>
        <w:t xml:space="preserve"> mainly concerns</w:t>
      </w:r>
      <w:r w:rsidR="00784447" w:rsidRPr="0050162C">
        <w:rPr>
          <w:rFonts w:cs="Calibri"/>
          <w:szCs w:val="18"/>
        </w:rPr>
        <w:t xml:space="preserve"> compliance with the technical</w:t>
      </w:r>
      <w:r w:rsidR="00E85447" w:rsidRPr="0050162C">
        <w:rPr>
          <w:rFonts w:cs="Calibri"/>
          <w:szCs w:val="18"/>
        </w:rPr>
        <w:t>, financial and communication requirements necessary to participate in the market</w:t>
      </w:r>
      <w:r w:rsidR="00AF0E6B" w:rsidRPr="0050162C">
        <w:rPr>
          <w:rFonts w:cs="Calibri"/>
          <w:szCs w:val="18"/>
        </w:rPr>
        <w:t>/s</w:t>
      </w:r>
      <w:r w:rsidR="00E85447" w:rsidRPr="0050162C">
        <w:rPr>
          <w:rFonts w:cs="Calibri"/>
          <w:szCs w:val="18"/>
        </w:rPr>
        <w:t xml:space="preserve">. </w:t>
      </w:r>
      <w:r w:rsidR="005F1CD4" w:rsidRPr="0050162C">
        <w:rPr>
          <w:rFonts w:cs="Calibri"/>
          <w:szCs w:val="18"/>
        </w:rPr>
        <w:t>Under this schem</w:t>
      </w:r>
      <w:r w:rsidR="00B00814" w:rsidRPr="0050162C">
        <w:rPr>
          <w:rFonts w:cs="Calibri"/>
          <w:szCs w:val="18"/>
        </w:rPr>
        <w:t xml:space="preserve">a, </w:t>
      </w:r>
      <w:r w:rsidR="009477B0" w:rsidRPr="0050162C">
        <w:rPr>
          <w:rFonts w:cs="Calibri"/>
          <w:szCs w:val="18"/>
        </w:rPr>
        <w:t>TSO and DSO coordination supports the</w:t>
      </w:r>
      <w:r w:rsidR="00C323AB" w:rsidRPr="0050162C">
        <w:rPr>
          <w:rFonts w:cs="Calibri"/>
          <w:szCs w:val="18"/>
        </w:rPr>
        <w:t xml:space="preserve"> prequalification process, even</w:t>
      </w:r>
      <w:r w:rsidR="005F1CD4" w:rsidRPr="0050162C">
        <w:rPr>
          <w:rFonts w:cs="Calibri"/>
          <w:szCs w:val="18"/>
        </w:rPr>
        <w:t xml:space="preserve"> </w:t>
      </w:r>
      <w:r w:rsidR="007D62A1" w:rsidRPr="0050162C">
        <w:rPr>
          <w:rFonts w:cs="Calibri"/>
          <w:szCs w:val="18"/>
        </w:rPr>
        <w:t xml:space="preserve">where </w:t>
      </w:r>
      <w:r w:rsidR="000B1433">
        <w:rPr>
          <w:rFonts w:cs="Calibri"/>
          <w:szCs w:val="18"/>
        </w:rPr>
        <w:t>neither</w:t>
      </w:r>
      <w:r w:rsidR="000B1433" w:rsidRPr="0050162C">
        <w:rPr>
          <w:rFonts w:cs="Calibri"/>
          <w:szCs w:val="18"/>
        </w:rPr>
        <w:t xml:space="preserve"> </w:t>
      </w:r>
      <w:r w:rsidR="007D3620" w:rsidRPr="0050162C">
        <w:rPr>
          <w:rFonts w:cs="Calibri"/>
          <w:szCs w:val="18"/>
        </w:rPr>
        <w:t xml:space="preserve">is the buyer of the </w:t>
      </w:r>
      <w:r w:rsidR="00553A37" w:rsidRPr="0050162C">
        <w:rPr>
          <w:rFonts w:cs="Calibri"/>
          <w:szCs w:val="18"/>
        </w:rPr>
        <w:t>service</w:t>
      </w:r>
      <w:r w:rsidR="00772EEE">
        <w:rPr>
          <w:rFonts w:cs="Calibri"/>
          <w:szCs w:val="18"/>
        </w:rPr>
        <w:t xml:space="preserve">. </w:t>
      </w:r>
    </w:p>
    <w:p w14:paraId="2DCB240D" w14:textId="34D85F6C" w:rsidR="00A80CB5" w:rsidRPr="0050162C" w:rsidRDefault="00A80CB5" w:rsidP="0050162C">
      <w:pPr>
        <w:spacing w:before="180" w:after="120" w:line="288" w:lineRule="auto"/>
        <w:rPr>
          <w:rFonts w:cs="Calibri"/>
          <w:szCs w:val="18"/>
        </w:rPr>
      </w:pPr>
      <w:r w:rsidRPr="0050162C">
        <w:rPr>
          <w:rFonts w:cs="Calibri"/>
          <w:szCs w:val="18"/>
        </w:rPr>
        <w:t>The procurement phase</w:t>
      </w:r>
      <w:r w:rsidR="00047661" w:rsidRPr="0050162C">
        <w:rPr>
          <w:rFonts w:cs="Calibri"/>
          <w:szCs w:val="18"/>
        </w:rPr>
        <w:t xml:space="preserve"> </w:t>
      </w:r>
      <w:r w:rsidR="00C45B78" w:rsidRPr="0050162C">
        <w:rPr>
          <w:rFonts w:cs="Calibri"/>
          <w:szCs w:val="18"/>
        </w:rPr>
        <w:t>includes bidding and clearing of the market</w:t>
      </w:r>
      <w:r w:rsidR="00073638" w:rsidRPr="0050162C">
        <w:rPr>
          <w:rFonts w:cs="Calibri"/>
          <w:szCs w:val="18"/>
        </w:rPr>
        <w:t xml:space="preserve"> resulting in </w:t>
      </w:r>
      <w:r w:rsidR="00A22EA9" w:rsidRPr="0050162C">
        <w:rPr>
          <w:rFonts w:cs="Calibri"/>
          <w:szCs w:val="18"/>
        </w:rPr>
        <w:t xml:space="preserve">selection of resources. </w:t>
      </w:r>
      <w:r w:rsidR="00990A2A" w:rsidRPr="0050162C">
        <w:rPr>
          <w:rFonts w:cs="Calibri"/>
          <w:szCs w:val="18"/>
        </w:rPr>
        <w:t xml:space="preserve">Novel to this </w:t>
      </w:r>
      <w:r w:rsidR="001705A5" w:rsidRPr="0050162C">
        <w:rPr>
          <w:rFonts w:cs="Calibri"/>
          <w:szCs w:val="18"/>
        </w:rPr>
        <w:t>model</w:t>
      </w:r>
      <w:r w:rsidR="00990A2A" w:rsidRPr="0050162C">
        <w:rPr>
          <w:rFonts w:cs="Calibri"/>
          <w:szCs w:val="18"/>
        </w:rPr>
        <w:t xml:space="preserve"> of T-D Coordination is the role of an </w:t>
      </w:r>
      <w:r w:rsidR="00D63B8B" w:rsidRPr="0050162C">
        <w:rPr>
          <w:rFonts w:cs="Calibri"/>
          <w:szCs w:val="18"/>
        </w:rPr>
        <w:t>Optimisation</w:t>
      </w:r>
      <w:r w:rsidR="00990A2A" w:rsidRPr="0050162C">
        <w:rPr>
          <w:rFonts w:cs="Calibri"/>
          <w:szCs w:val="18"/>
        </w:rPr>
        <w:t xml:space="preserve"> Operator. </w:t>
      </w:r>
    </w:p>
    <w:p w14:paraId="7A591A08" w14:textId="77777777" w:rsidR="00D71164" w:rsidRDefault="0021685F" w:rsidP="00D71164">
      <w:pPr>
        <w:keepNext/>
        <w:spacing w:before="0" w:after="160" w:line="259" w:lineRule="auto"/>
        <w:ind w:left="426"/>
        <w:jc w:val="center"/>
      </w:pPr>
      <w:bookmarkStart w:id="84" w:name="Figure_7"/>
      <w:r w:rsidRPr="0021685F">
        <w:rPr>
          <w:noProof/>
        </w:rPr>
        <w:lastRenderedPageBreak/>
        <w:drawing>
          <wp:inline distT="0" distB="0" distL="0" distR="0" wp14:anchorId="2B5A2B53" wp14:editId="183AEB76">
            <wp:extent cx="2857550" cy="1446852"/>
            <wp:effectExtent l="0" t="0" r="0" b="1270"/>
            <wp:docPr id="38264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40944" name=""/>
                    <pic:cNvPicPr/>
                  </pic:nvPicPr>
                  <pic:blipFill>
                    <a:blip r:embed="rId38"/>
                    <a:stretch>
                      <a:fillRect/>
                    </a:stretch>
                  </pic:blipFill>
                  <pic:spPr>
                    <a:xfrm>
                      <a:off x="0" y="0"/>
                      <a:ext cx="2879308" cy="1457868"/>
                    </a:xfrm>
                    <a:prstGeom prst="rect">
                      <a:avLst/>
                    </a:prstGeom>
                  </pic:spPr>
                </pic:pic>
              </a:graphicData>
            </a:graphic>
          </wp:inline>
        </w:drawing>
      </w:r>
      <w:bookmarkEnd w:id="84"/>
    </w:p>
    <w:p w14:paraId="5F8040CC" w14:textId="28871E1D" w:rsidR="0021685F" w:rsidRPr="005A6E97" w:rsidRDefault="00D71164" w:rsidP="00D71164">
      <w:pPr>
        <w:pStyle w:val="Caption"/>
      </w:pPr>
      <w:bookmarkStart w:id="85" w:name="_Ref195531245"/>
      <w:bookmarkStart w:id="86" w:name="_Toc205377443"/>
      <w:r>
        <w:t xml:space="preserve">Figure </w:t>
      </w:r>
      <w:fldSimple w:instr=" SEQ Figure \* ARABIC ">
        <w:r w:rsidR="00CE6CF1">
          <w:rPr>
            <w:noProof/>
          </w:rPr>
          <w:t>7</w:t>
        </w:r>
      </w:fldSimple>
      <w:bookmarkEnd w:id="85"/>
      <w:r>
        <w:t xml:space="preserve"> - Procurement organisations and optimisation principles</w:t>
      </w:r>
      <w:bookmarkEnd w:id="86"/>
    </w:p>
    <w:p w14:paraId="14FAE693" w14:textId="1E7E8C0A" w:rsidR="00BD36F5" w:rsidRPr="0050162C" w:rsidRDefault="00096822" w:rsidP="0050162C">
      <w:pPr>
        <w:spacing w:before="180" w:after="120" w:line="288" w:lineRule="auto"/>
        <w:rPr>
          <w:rFonts w:cs="Calibri"/>
          <w:szCs w:val="18"/>
        </w:rPr>
      </w:pPr>
      <w:hyperlink w:anchor="Figure_7" w:history="1">
        <w:r w:rsidRPr="00DE7C67">
          <w:rPr>
            <w:rStyle w:val="Hyperlink"/>
            <w:rFonts w:cs="Calibri"/>
            <w:szCs w:val="18"/>
          </w:rPr>
          <w:t>Figure 7</w:t>
        </w:r>
      </w:hyperlink>
      <w:r w:rsidR="00BD36F5" w:rsidRPr="0050162C">
        <w:rPr>
          <w:rFonts w:cs="Calibri"/>
          <w:szCs w:val="18"/>
        </w:rPr>
        <w:t xml:space="preserve"> highlights </w:t>
      </w:r>
      <w:r w:rsidR="00CF3DE4" w:rsidRPr="0050162C">
        <w:rPr>
          <w:rFonts w:cs="Calibri"/>
          <w:szCs w:val="18"/>
        </w:rPr>
        <w:t xml:space="preserve">the </w:t>
      </w:r>
      <w:r w:rsidR="00ED4100" w:rsidRPr="0050162C">
        <w:rPr>
          <w:rFonts w:cs="Calibri"/>
          <w:szCs w:val="18"/>
        </w:rPr>
        <w:t xml:space="preserve">independence </w:t>
      </w:r>
      <w:r w:rsidR="006B5860">
        <w:rPr>
          <w:rFonts w:cs="Calibri"/>
          <w:szCs w:val="18"/>
        </w:rPr>
        <w:t>of</w:t>
      </w:r>
      <w:r w:rsidR="006B5860" w:rsidRPr="0050162C">
        <w:rPr>
          <w:rFonts w:cs="Calibri"/>
          <w:szCs w:val="18"/>
        </w:rPr>
        <w:t xml:space="preserve"> </w:t>
      </w:r>
      <w:r w:rsidR="00C55958" w:rsidRPr="0050162C">
        <w:rPr>
          <w:rFonts w:cs="Calibri"/>
          <w:szCs w:val="18"/>
        </w:rPr>
        <w:t>market</w:t>
      </w:r>
      <w:r w:rsidR="006B5860">
        <w:rPr>
          <w:rFonts w:cs="Calibri"/>
          <w:szCs w:val="18"/>
        </w:rPr>
        <w:t>/regulatory</w:t>
      </w:r>
      <w:r w:rsidR="00C55958" w:rsidRPr="0050162C">
        <w:rPr>
          <w:rFonts w:cs="Calibri"/>
          <w:szCs w:val="18"/>
        </w:rPr>
        <w:t xml:space="preserve"> organisation </w:t>
      </w:r>
      <w:r w:rsidR="002C3967">
        <w:rPr>
          <w:rFonts w:cs="Calibri"/>
          <w:szCs w:val="18"/>
        </w:rPr>
        <w:t>from</w:t>
      </w:r>
      <w:r w:rsidR="002C3967" w:rsidRPr="0050162C">
        <w:rPr>
          <w:rFonts w:cs="Calibri"/>
          <w:szCs w:val="18"/>
        </w:rPr>
        <w:t xml:space="preserve"> </w:t>
      </w:r>
      <w:r w:rsidR="00C55958" w:rsidRPr="0050162C">
        <w:rPr>
          <w:rFonts w:cs="Calibri"/>
          <w:szCs w:val="18"/>
        </w:rPr>
        <w:t>optimisation principles</w:t>
      </w:r>
      <w:r w:rsidR="00E32C13" w:rsidRPr="0050162C">
        <w:rPr>
          <w:rFonts w:cs="Calibri"/>
          <w:szCs w:val="18"/>
        </w:rPr>
        <w:t>.</w:t>
      </w:r>
      <w:r w:rsidR="00900629" w:rsidRPr="0050162C">
        <w:rPr>
          <w:rFonts w:cs="Calibri"/>
          <w:szCs w:val="18"/>
        </w:rPr>
        <w:t xml:space="preserve"> </w:t>
      </w:r>
      <w:r w:rsidR="00FB2B2F" w:rsidRPr="0050162C">
        <w:rPr>
          <w:rFonts w:cs="Calibri"/>
          <w:szCs w:val="18"/>
        </w:rPr>
        <w:t>A</w:t>
      </w:r>
      <w:r w:rsidR="0021379B" w:rsidRPr="0050162C">
        <w:rPr>
          <w:rFonts w:cs="Calibri"/>
          <w:szCs w:val="18"/>
        </w:rPr>
        <w:t xml:space="preserve"> </w:t>
      </w:r>
      <w:r w:rsidR="0044752D" w:rsidRPr="0050162C">
        <w:rPr>
          <w:rFonts w:cs="Calibri"/>
          <w:szCs w:val="18"/>
        </w:rPr>
        <w:t xml:space="preserve">key </w:t>
      </w:r>
      <w:r w:rsidR="0021379B" w:rsidRPr="0050162C">
        <w:rPr>
          <w:rFonts w:cs="Calibri"/>
          <w:szCs w:val="18"/>
        </w:rPr>
        <w:t>feature of th</w:t>
      </w:r>
      <w:r w:rsidR="00C624EE" w:rsidRPr="0050162C">
        <w:rPr>
          <w:rFonts w:cs="Calibri"/>
          <w:szCs w:val="18"/>
        </w:rPr>
        <w:t xml:space="preserve">is sequencing of functions is that aggregated CER/DER </w:t>
      </w:r>
      <w:r w:rsidR="00FA7D64" w:rsidRPr="0050162C">
        <w:rPr>
          <w:rFonts w:cs="Calibri"/>
          <w:szCs w:val="18"/>
        </w:rPr>
        <w:t>(FSP</w:t>
      </w:r>
      <w:r w:rsidR="00022982" w:rsidRPr="0050162C">
        <w:rPr>
          <w:rFonts w:cs="Calibri"/>
          <w:szCs w:val="18"/>
        </w:rPr>
        <w:t xml:space="preserve">) </w:t>
      </w:r>
      <w:r w:rsidR="00B915E4">
        <w:rPr>
          <w:rFonts w:cs="Calibri"/>
          <w:szCs w:val="18"/>
        </w:rPr>
        <w:t xml:space="preserve">may </w:t>
      </w:r>
      <w:r w:rsidR="00CE7E1C" w:rsidRPr="0050162C">
        <w:rPr>
          <w:rFonts w:cs="Calibri"/>
          <w:szCs w:val="18"/>
        </w:rPr>
        <w:t>submit offers</w:t>
      </w:r>
      <w:r w:rsidR="005B0E1F" w:rsidRPr="0050162C">
        <w:rPr>
          <w:rFonts w:cs="Calibri"/>
          <w:szCs w:val="18"/>
        </w:rPr>
        <w:t xml:space="preserve"> </w:t>
      </w:r>
      <w:r w:rsidR="00EA05A1" w:rsidRPr="0050162C">
        <w:rPr>
          <w:rFonts w:cs="Calibri"/>
          <w:szCs w:val="18"/>
        </w:rPr>
        <w:t>to multiple market</w:t>
      </w:r>
      <w:r w:rsidR="00065F30" w:rsidRPr="0050162C">
        <w:rPr>
          <w:rFonts w:cs="Calibri"/>
          <w:szCs w:val="18"/>
        </w:rPr>
        <w:t>s</w:t>
      </w:r>
      <w:r w:rsidR="00CE7E1C" w:rsidRPr="0050162C">
        <w:rPr>
          <w:rFonts w:cs="Calibri"/>
          <w:szCs w:val="18"/>
        </w:rPr>
        <w:t xml:space="preserve"> </w:t>
      </w:r>
      <w:r w:rsidR="00D367CC" w:rsidRPr="0050162C">
        <w:rPr>
          <w:rFonts w:cs="Calibri"/>
          <w:szCs w:val="18"/>
        </w:rPr>
        <w:t xml:space="preserve">via a single </w:t>
      </w:r>
      <w:r w:rsidR="005F20F2" w:rsidRPr="0050162C">
        <w:rPr>
          <w:rFonts w:cs="Calibri"/>
          <w:szCs w:val="18"/>
        </w:rPr>
        <w:t>Market Operator</w:t>
      </w:r>
      <w:r w:rsidR="00EA389E">
        <w:rPr>
          <w:rFonts w:cs="Calibri"/>
          <w:szCs w:val="18"/>
        </w:rPr>
        <w:t xml:space="preserve"> (MO)</w:t>
      </w:r>
      <w:r w:rsidR="007D2CF7" w:rsidRPr="0050162C">
        <w:rPr>
          <w:rFonts w:cs="Calibri"/>
          <w:szCs w:val="18"/>
        </w:rPr>
        <w:t xml:space="preserve"> platform</w:t>
      </w:r>
      <w:r w:rsidR="005F20F2" w:rsidRPr="0050162C">
        <w:rPr>
          <w:rFonts w:cs="Calibri"/>
          <w:szCs w:val="18"/>
        </w:rPr>
        <w:t>,</w:t>
      </w:r>
      <w:r w:rsidR="000B2047" w:rsidRPr="0050162C">
        <w:rPr>
          <w:rFonts w:cs="Calibri"/>
          <w:szCs w:val="18"/>
        </w:rPr>
        <w:t xml:space="preserve"> while the Optimisation Operator</w:t>
      </w:r>
      <w:r w:rsidR="00836260" w:rsidRPr="0050162C">
        <w:rPr>
          <w:rFonts w:cs="Calibri"/>
          <w:szCs w:val="18"/>
        </w:rPr>
        <w:t xml:space="preserve"> determines </w:t>
      </w:r>
      <w:r w:rsidR="00B07C1B" w:rsidRPr="0050162C">
        <w:rPr>
          <w:rFonts w:cs="Calibri"/>
          <w:szCs w:val="18"/>
        </w:rPr>
        <w:t>the most</w:t>
      </w:r>
      <w:r w:rsidR="006B4AA4" w:rsidRPr="0050162C">
        <w:rPr>
          <w:rFonts w:cs="Calibri"/>
          <w:szCs w:val="18"/>
        </w:rPr>
        <w:t xml:space="preserve"> cost-efficient and secure </w:t>
      </w:r>
      <w:r w:rsidR="00BD6FB2" w:rsidRPr="0050162C">
        <w:rPr>
          <w:rFonts w:cs="Calibri"/>
          <w:szCs w:val="18"/>
        </w:rPr>
        <w:t>combination of offers</w:t>
      </w:r>
      <w:r w:rsidR="00E62D9B" w:rsidRPr="0050162C">
        <w:rPr>
          <w:rFonts w:cs="Calibri"/>
          <w:szCs w:val="18"/>
        </w:rPr>
        <w:t xml:space="preserve"> </w:t>
      </w:r>
      <w:r w:rsidR="00B055CC" w:rsidRPr="0050162C">
        <w:rPr>
          <w:rFonts w:cs="Calibri"/>
          <w:szCs w:val="18"/>
        </w:rPr>
        <w:t xml:space="preserve">corresponding to </w:t>
      </w:r>
      <w:r w:rsidR="00BD0DD1">
        <w:rPr>
          <w:rFonts w:cs="Calibri"/>
          <w:szCs w:val="18"/>
        </w:rPr>
        <w:t>SO</w:t>
      </w:r>
      <w:r w:rsidR="00B055CC" w:rsidRPr="0050162C">
        <w:rPr>
          <w:rFonts w:cs="Calibri"/>
          <w:szCs w:val="18"/>
        </w:rPr>
        <w:t xml:space="preserve"> and DSO needs. </w:t>
      </w:r>
      <w:r w:rsidR="00626040" w:rsidRPr="0050162C">
        <w:rPr>
          <w:rFonts w:cs="Calibri"/>
          <w:szCs w:val="18"/>
        </w:rPr>
        <w:t xml:space="preserve">This T-D Coordination </w:t>
      </w:r>
      <w:r w:rsidR="005D203D">
        <w:rPr>
          <w:rFonts w:cs="Calibri"/>
          <w:szCs w:val="18"/>
        </w:rPr>
        <w:t>feature</w:t>
      </w:r>
      <w:r w:rsidR="005D203D" w:rsidRPr="0050162C">
        <w:rPr>
          <w:rFonts w:cs="Calibri"/>
          <w:szCs w:val="18"/>
        </w:rPr>
        <w:t xml:space="preserve"> </w:t>
      </w:r>
      <w:r w:rsidR="00626040" w:rsidRPr="0050162C">
        <w:rPr>
          <w:rFonts w:cs="Calibri"/>
          <w:szCs w:val="18"/>
        </w:rPr>
        <w:t xml:space="preserve">applies </w:t>
      </w:r>
      <w:r w:rsidR="00D30181" w:rsidRPr="0050162C">
        <w:rPr>
          <w:rFonts w:cs="Calibri"/>
          <w:szCs w:val="18"/>
        </w:rPr>
        <w:t>regardless of</w:t>
      </w:r>
      <w:r w:rsidR="00B3697B">
        <w:rPr>
          <w:rFonts w:cs="Calibri"/>
          <w:szCs w:val="18"/>
        </w:rPr>
        <w:t xml:space="preserve"> whether optimisation is</w:t>
      </w:r>
      <w:r w:rsidR="00D30181" w:rsidRPr="0050162C">
        <w:rPr>
          <w:rFonts w:cs="Calibri"/>
          <w:szCs w:val="18"/>
        </w:rPr>
        <w:t xml:space="preserve"> centralised</w:t>
      </w:r>
      <w:r w:rsidR="00BF5EDF">
        <w:rPr>
          <w:rFonts w:cs="Calibri"/>
          <w:szCs w:val="18"/>
        </w:rPr>
        <w:t>,</w:t>
      </w:r>
      <w:r w:rsidR="00061ACF" w:rsidRPr="0050162C">
        <w:rPr>
          <w:rFonts w:cs="Calibri"/>
          <w:szCs w:val="18"/>
        </w:rPr>
        <w:t xml:space="preserve"> </w:t>
      </w:r>
      <w:r w:rsidR="00BE1AAF">
        <w:rPr>
          <w:rFonts w:cs="Calibri"/>
          <w:szCs w:val="18"/>
        </w:rPr>
        <w:t xml:space="preserve">as in </w:t>
      </w:r>
      <w:hyperlink w:anchor="Figure_8" w:history="1">
        <w:r w:rsidR="00DE7C67" w:rsidRPr="00DE7C67">
          <w:rPr>
            <w:rStyle w:val="Hyperlink"/>
            <w:rFonts w:cs="Calibri"/>
            <w:szCs w:val="18"/>
          </w:rPr>
          <w:t>Figure 8</w:t>
        </w:r>
      </w:hyperlink>
      <w:r w:rsidR="0044752D" w:rsidRPr="0050162C">
        <w:rPr>
          <w:rFonts w:cs="Calibri"/>
          <w:szCs w:val="18"/>
        </w:rPr>
        <w:t xml:space="preserve"> or</w:t>
      </w:r>
      <w:r w:rsidR="00D30181" w:rsidRPr="0050162C">
        <w:rPr>
          <w:rFonts w:cs="Calibri"/>
          <w:szCs w:val="18"/>
        </w:rPr>
        <w:t xml:space="preserve"> decentralised</w:t>
      </w:r>
      <w:r w:rsidR="00BE1AAF">
        <w:rPr>
          <w:rFonts w:cs="Calibri"/>
          <w:szCs w:val="18"/>
        </w:rPr>
        <w:t>,</w:t>
      </w:r>
      <w:r w:rsidR="00D30181" w:rsidRPr="0050162C">
        <w:rPr>
          <w:rFonts w:cs="Calibri"/>
          <w:szCs w:val="18"/>
        </w:rPr>
        <w:t xml:space="preserve"> </w:t>
      </w:r>
      <w:hyperlink w:anchor="Figure_9" w:history="1">
        <w:r w:rsidR="00DE7C67" w:rsidRPr="00DE7C67">
          <w:rPr>
            <w:rStyle w:val="Hyperlink"/>
            <w:rFonts w:cs="Calibri"/>
            <w:szCs w:val="18"/>
          </w:rPr>
          <w:t>Figure 9</w:t>
        </w:r>
      </w:hyperlink>
      <w:r w:rsidR="00772EEE">
        <w:rPr>
          <w:rFonts w:cs="Calibri"/>
          <w:szCs w:val="18"/>
        </w:rPr>
        <w:t xml:space="preserve">. </w:t>
      </w:r>
    </w:p>
    <w:p w14:paraId="55DAE69E" w14:textId="4C05C8F3" w:rsidR="00DB5BE0" w:rsidRDefault="006714B5" w:rsidP="00E81817">
      <w:pPr>
        <w:keepNext/>
        <w:jc w:val="center"/>
      </w:pPr>
      <w:bookmarkStart w:id="87" w:name="Figure_8"/>
      <w:r w:rsidRPr="006714B5">
        <w:rPr>
          <w:noProof/>
        </w:rPr>
        <w:drawing>
          <wp:inline distT="0" distB="0" distL="0" distR="0" wp14:anchorId="517713B7" wp14:editId="44897959">
            <wp:extent cx="4320000" cy="2020204"/>
            <wp:effectExtent l="0" t="0" r="4445" b="0"/>
            <wp:docPr id="159288127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1276" name="Picture 1" descr="A diagram of a company&#10;&#10;AI-generated content may be incorrect."/>
                    <pic:cNvPicPr/>
                  </pic:nvPicPr>
                  <pic:blipFill>
                    <a:blip r:embed="rId39"/>
                    <a:stretch>
                      <a:fillRect/>
                    </a:stretch>
                  </pic:blipFill>
                  <pic:spPr>
                    <a:xfrm>
                      <a:off x="0" y="0"/>
                      <a:ext cx="4320000" cy="2020204"/>
                    </a:xfrm>
                    <a:prstGeom prst="rect">
                      <a:avLst/>
                    </a:prstGeom>
                  </pic:spPr>
                </pic:pic>
              </a:graphicData>
            </a:graphic>
          </wp:inline>
        </w:drawing>
      </w:r>
      <w:bookmarkEnd w:id="87"/>
    </w:p>
    <w:p w14:paraId="5B3E97E2" w14:textId="784E4859" w:rsidR="006714B5" w:rsidRDefault="00DB5BE0" w:rsidP="00DB5BE0">
      <w:pPr>
        <w:pStyle w:val="Caption"/>
      </w:pPr>
      <w:bookmarkStart w:id="88" w:name="_Ref195529049"/>
      <w:bookmarkStart w:id="89" w:name="_Toc205377444"/>
      <w:r>
        <w:t xml:space="preserve">Figure </w:t>
      </w:r>
      <w:fldSimple w:instr=" SEQ Figure \* ARABIC ">
        <w:r w:rsidR="00CE6CF1">
          <w:rPr>
            <w:noProof/>
          </w:rPr>
          <w:t>8</w:t>
        </w:r>
      </w:fldSimple>
      <w:bookmarkEnd w:id="88"/>
      <w:r>
        <w:t xml:space="preserve"> - Procurement Phase - Centralised Optimisation</w:t>
      </w:r>
      <w:bookmarkEnd w:id="89"/>
    </w:p>
    <w:p w14:paraId="021B5E43" w14:textId="77777777" w:rsidR="005A6E97" w:rsidRDefault="0044029E" w:rsidP="00E81817">
      <w:pPr>
        <w:keepNext/>
        <w:jc w:val="center"/>
      </w:pPr>
      <w:bookmarkStart w:id="90" w:name="Figure_9"/>
      <w:r w:rsidRPr="0044029E">
        <w:rPr>
          <w:noProof/>
        </w:rPr>
        <w:lastRenderedPageBreak/>
        <w:drawing>
          <wp:inline distT="0" distB="0" distL="0" distR="0" wp14:anchorId="63F9A3E6" wp14:editId="2F13B5E8">
            <wp:extent cx="5400000" cy="2481243"/>
            <wp:effectExtent l="0" t="0" r="0" b="0"/>
            <wp:docPr id="276263004"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3004" name="Picture 1" descr="A diagram of a flowchart&#10;&#10;AI-generated content may be incorrect."/>
                    <pic:cNvPicPr/>
                  </pic:nvPicPr>
                  <pic:blipFill>
                    <a:blip r:embed="rId40"/>
                    <a:stretch>
                      <a:fillRect/>
                    </a:stretch>
                  </pic:blipFill>
                  <pic:spPr>
                    <a:xfrm>
                      <a:off x="0" y="0"/>
                      <a:ext cx="5400000" cy="2481243"/>
                    </a:xfrm>
                    <a:prstGeom prst="rect">
                      <a:avLst/>
                    </a:prstGeom>
                  </pic:spPr>
                </pic:pic>
              </a:graphicData>
            </a:graphic>
          </wp:inline>
        </w:drawing>
      </w:r>
      <w:bookmarkEnd w:id="90"/>
    </w:p>
    <w:p w14:paraId="4F7FE886" w14:textId="6CC82894" w:rsidR="0044029E" w:rsidRDefault="005A6E97" w:rsidP="005A6E97">
      <w:pPr>
        <w:pStyle w:val="Caption"/>
      </w:pPr>
      <w:bookmarkStart w:id="91" w:name="_Ref195529051"/>
      <w:bookmarkStart w:id="92" w:name="_Toc205377445"/>
      <w:r>
        <w:t xml:space="preserve">Figure </w:t>
      </w:r>
      <w:fldSimple w:instr=" SEQ Figure \* ARABIC ">
        <w:r w:rsidR="00CE6CF1">
          <w:rPr>
            <w:noProof/>
          </w:rPr>
          <w:t>9</w:t>
        </w:r>
      </w:fldSimple>
      <w:bookmarkEnd w:id="91"/>
      <w:r>
        <w:t xml:space="preserve"> - Procurement Phase - Decentralised Optimisation</w:t>
      </w:r>
      <w:r w:rsidR="00146A9A">
        <w:rPr>
          <w:rStyle w:val="FootnoteReference"/>
        </w:rPr>
        <w:footnoteReference w:id="3"/>
      </w:r>
      <w:bookmarkEnd w:id="92"/>
    </w:p>
    <w:p w14:paraId="05016B9C" w14:textId="5B68E9BC" w:rsidR="004721F8" w:rsidRPr="0050162C" w:rsidRDefault="00766411" w:rsidP="0050162C">
      <w:pPr>
        <w:spacing w:before="180" w:after="120" w:line="288" w:lineRule="auto"/>
        <w:rPr>
          <w:rFonts w:cs="Calibri"/>
          <w:szCs w:val="18"/>
        </w:rPr>
      </w:pPr>
      <w:r w:rsidRPr="0050162C">
        <w:rPr>
          <w:rFonts w:cs="Calibri"/>
          <w:szCs w:val="18"/>
        </w:rPr>
        <w:t>The activation phase</w:t>
      </w:r>
      <w:r w:rsidR="00811096" w:rsidRPr="0050162C">
        <w:rPr>
          <w:rFonts w:cs="Calibri"/>
          <w:szCs w:val="18"/>
        </w:rPr>
        <w:t xml:space="preserve">, resources are dispatched </w:t>
      </w:r>
      <w:r w:rsidR="00C022AC">
        <w:rPr>
          <w:rFonts w:cs="Calibri"/>
          <w:szCs w:val="18"/>
        </w:rPr>
        <w:t>in alignment</w:t>
      </w:r>
      <w:r w:rsidR="00C022AC" w:rsidRPr="0050162C">
        <w:rPr>
          <w:rFonts w:cs="Calibri"/>
          <w:szCs w:val="18"/>
        </w:rPr>
        <w:t xml:space="preserve"> </w:t>
      </w:r>
      <w:r w:rsidR="00A96C31" w:rsidRPr="0050162C">
        <w:rPr>
          <w:rFonts w:cs="Calibri"/>
          <w:szCs w:val="18"/>
        </w:rPr>
        <w:t>with accepted offers</w:t>
      </w:r>
      <w:r w:rsidR="00495E16" w:rsidRPr="0050162C">
        <w:rPr>
          <w:rFonts w:cs="Calibri"/>
          <w:szCs w:val="18"/>
        </w:rPr>
        <w:t xml:space="preserve">. Several </w:t>
      </w:r>
      <w:r w:rsidR="00BF7924">
        <w:rPr>
          <w:rFonts w:cs="Calibri"/>
          <w:szCs w:val="18"/>
        </w:rPr>
        <w:t xml:space="preserve">activation </w:t>
      </w:r>
      <w:r w:rsidR="002E187E" w:rsidRPr="0050162C">
        <w:rPr>
          <w:rFonts w:cs="Calibri"/>
          <w:szCs w:val="18"/>
        </w:rPr>
        <w:t>mechanisms are proposed in the EU-SysFlex model, depending on the</w:t>
      </w:r>
      <w:r w:rsidR="003F6EB3" w:rsidRPr="0050162C">
        <w:rPr>
          <w:rFonts w:cs="Calibri"/>
          <w:szCs w:val="18"/>
        </w:rPr>
        <w:t xml:space="preserve"> service being provided</w:t>
      </w:r>
      <w:r w:rsidR="00C750D1" w:rsidRPr="0050162C">
        <w:rPr>
          <w:rFonts w:cs="Calibri"/>
          <w:szCs w:val="18"/>
        </w:rPr>
        <w:t xml:space="preserve"> and type of control</w:t>
      </w:r>
      <w:r w:rsidR="008A658B" w:rsidRPr="0050162C">
        <w:rPr>
          <w:rFonts w:cs="Calibri"/>
          <w:szCs w:val="18"/>
        </w:rPr>
        <w:t xml:space="preserve">. </w:t>
      </w:r>
    </w:p>
    <w:p w14:paraId="4103EFB0" w14:textId="6051579A" w:rsidR="005A6E97" w:rsidRDefault="003E7930" w:rsidP="005A6E97">
      <w:pPr>
        <w:keepNext/>
      </w:pPr>
      <w:bookmarkStart w:id="93" w:name="Figure_10"/>
      <w:r w:rsidRPr="003E7930">
        <w:rPr>
          <w:noProof/>
        </w:rPr>
        <w:drawing>
          <wp:inline distT="0" distB="0" distL="0" distR="0" wp14:anchorId="55DDF6E4" wp14:editId="0F63544D">
            <wp:extent cx="5219700" cy="2780665"/>
            <wp:effectExtent l="0" t="0" r="0" b="635"/>
            <wp:docPr id="1786726021" name="Picture 1" descr="A diagram of a network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26021" name="Picture 1" descr="A diagram of a network signal&#10;&#10;AI-generated content may be incorrect."/>
                    <pic:cNvPicPr/>
                  </pic:nvPicPr>
                  <pic:blipFill>
                    <a:blip r:embed="rId41"/>
                    <a:stretch>
                      <a:fillRect/>
                    </a:stretch>
                  </pic:blipFill>
                  <pic:spPr>
                    <a:xfrm>
                      <a:off x="0" y="0"/>
                      <a:ext cx="5219700" cy="2780665"/>
                    </a:xfrm>
                    <a:prstGeom prst="rect">
                      <a:avLst/>
                    </a:prstGeom>
                  </pic:spPr>
                </pic:pic>
              </a:graphicData>
            </a:graphic>
          </wp:inline>
        </w:drawing>
      </w:r>
      <w:bookmarkEnd w:id="93"/>
    </w:p>
    <w:p w14:paraId="269A3FDF" w14:textId="7FAC699F" w:rsidR="003E7930" w:rsidRDefault="005A6E97" w:rsidP="005A6E97">
      <w:pPr>
        <w:pStyle w:val="Caption"/>
      </w:pPr>
      <w:bookmarkStart w:id="94" w:name="_Ref195529086"/>
      <w:bookmarkStart w:id="95" w:name="_Toc205377446"/>
      <w:r>
        <w:t xml:space="preserve">Figure </w:t>
      </w:r>
      <w:fldSimple w:instr=" SEQ Figure \* ARABIC ">
        <w:r w:rsidR="00CE6CF1">
          <w:rPr>
            <w:noProof/>
          </w:rPr>
          <w:t>10</w:t>
        </w:r>
      </w:fldSimple>
      <w:bookmarkEnd w:id="94"/>
      <w:r>
        <w:t xml:space="preserve"> - Activation Phase - Automatic</w:t>
      </w:r>
      <w:bookmarkEnd w:id="95"/>
    </w:p>
    <w:p w14:paraId="162A8AF2" w14:textId="77777777" w:rsidR="005A6E97" w:rsidRDefault="0083087F" w:rsidP="005A6E97">
      <w:pPr>
        <w:keepNext/>
      </w:pPr>
      <w:bookmarkStart w:id="96" w:name="Figure_11"/>
      <w:r w:rsidRPr="0083087F">
        <w:rPr>
          <w:noProof/>
        </w:rPr>
        <w:lastRenderedPageBreak/>
        <w:drawing>
          <wp:inline distT="0" distB="0" distL="0" distR="0" wp14:anchorId="654538E0" wp14:editId="1F5D7ED5">
            <wp:extent cx="5219700" cy="2850515"/>
            <wp:effectExtent l="0" t="0" r="0" b="6985"/>
            <wp:docPr id="103871162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11621" name="Picture 1" descr="A diagram of a flowchart&#10;&#10;AI-generated content may be incorrect."/>
                    <pic:cNvPicPr/>
                  </pic:nvPicPr>
                  <pic:blipFill>
                    <a:blip r:embed="rId42"/>
                    <a:stretch>
                      <a:fillRect/>
                    </a:stretch>
                  </pic:blipFill>
                  <pic:spPr>
                    <a:xfrm>
                      <a:off x="0" y="0"/>
                      <a:ext cx="5219700" cy="2850515"/>
                    </a:xfrm>
                    <a:prstGeom prst="rect">
                      <a:avLst/>
                    </a:prstGeom>
                  </pic:spPr>
                </pic:pic>
              </a:graphicData>
            </a:graphic>
          </wp:inline>
        </w:drawing>
      </w:r>
      <w:bookmarkEnd w:id="96"/>
    </w:p>
    <w:p w14:paraId="61DEAE4E" w14:textId="4EDD40AC" w:rsidR="0083087F" w:rsidRDefault="005A6E97" w:rsidP="005A6E97">
      <w:pPr>
        <w:pStyle w:val="Caption"/>
      </w:pPr>
      <w:bookmarkStart w:id="97" w:name="_Ref195529087"/>
      <w:bookmarkStart w:id="98" w:name="_Toc205377447"/>
      <w:r>
        <w:t xml:space="preserve">Figure </w:t>
      </w:r>
      <w:fldSimple w:instr=" SEQ Figure \* ARABIC ">
        <w:r w:rsidR="00CE6CF1">
          <w:rPr>
            <w:noProof/>
          </w:rPr>
          <w:t>11</w:t>
        </w:r>
      </w:fldSimple>
      <w:bookmarkEnd w:id="97"/>
      <w:r>
        <w:t xml:space="preserve"> - Activation Phase - Manual</w:t>
      </w:r>
      <w:bookmarkEnd w:id="98"/>
    </w:p>
    <w:p w14:paraId="738AEEE3" w14:textId="207B1D64" w:rsidR="008A658B" w:rsidRPr="0050162C" w:rsidRDefault="00926054" w:rsidP="0050162C">
      <w:pPr>
        <w:spacing w:before="180" w:after="120" w:line="288" w:lineRule="auto"/>
        <w:rPr>
          <w:rFonts w:cs="Calibri"/>
          <w:szCs w:val="18"/>
        </w:rPr>
      </w:pPr>
      <w:r w:rsidRPr="0050162C">
        <w:rPr>
          <w:rFonts w:cs="Calibri"/>
          <w:szCs w:val="18"/>
        </w:rPr>
        <w:t>The settlement phase</w:t>
      </w:r>
      <w:r w:rsidR="00544C24" w:rsidRPr="0050162C">
        <w:rPr>
          <w:rFonts w:cs="Calibri"/>
          <w:szCs w:val="18"/>
        </w:rPr>
        <w:t xml:space="preserve"> </w:t>
      </w:r>
      <w:r w:rsidR="00D07567" w:rsidRPr="0050162C">
        <w:rPr>
          <w:rFonts w:cs="Calibri"/>
          <w:szCs w:val="18"/>
        </w:rPr>
        <w:t>covers</w:t>
      </w:r>
      <w:r w:rsidR="007B0380" w:rsidRPr="0050162C">
        <w:rPr>
          <w:rFonts w:cs="Calibri"/>
          <w:szCs w:val="18"/>
        </w:rPr>
        <w:t xml:space="preserve"> financial settlement between the buy</w:t>
      </w:r>
      <w:r w:rsidR="00DD2176" w:rsidRPr="0050162C">
        <w:rPr>
          <w:rFonts w:cs="Calibri"/>
          <w:szCs w:val="18"/>
        </w:rPr>
        <w:t>er</w:t>
      </w:r>
      <w:r w:rsidR="007B0380" w:rsidRPr="0050162C">
        <w:rPr>
          <w:rFonts w:cs="Calibri"/>
          <w:szCs w:val="18"/>
        </w:rPr>
        <w:t xml:space="preserve"> and seller of the service. </w:t>
      </w:r>
      <w:r w:rsidR="000C34AF" w:rsidRPr="0050162C">
        <w:rPr>
          <w:rFonts w:cs="Calibri"/>
          <w:szCs w:val="18"/>
        </w:rPr>
        <w:t>In this arrangement, meter data is provided from the</w:t>
      </w:r>
      <w:r w:rsidR="00D67423" w:rsidRPr="0050162C">
        <w:rPr>
          <w:rFonts w:cs="Calibri"/>
          <w:szCs w:val="18"/>
        </w:rPr>
        <w:t xml:space="preserve"> FSP</w:t>
      </w:r>
      <w:r w:rsidR="00035542" w:rsidRPr="0050162C">
        <w:rPr>
          <w:rFonts w:cs="Calibri"/>
          <w:szCs w:val="18"/>
        </w:rPr>
        <w:t xml:space="preserve"> to the Market </w:t>
      </w:r>
      <w:r w:rsidR="00475246" w:rsidRPr="0050162C">
        <w:rPr>
          <w:rFonts w:cs="Calibri"/>
          <w:szCs w:val="18"/>
        </w:rPr>
        <w:t>Operator</w:t>
      </w:r>
      <w:r w:rsidR="006574E3" w:rsidRPr="0050162C">
        <w:rPr>
          <w:rFonts w:cs="Calibri"/>
          <w:szCs w:val="18"/>
        </w:rPr>
        <w:t xml:space="preserve"> who validates it against </w:t>
      </w:r>
      <w:r w:rsidR="00377390" w:rsidRPr="0050162C">
        <w:rPr>
          <w:rFonts w:cs="Calibri"/>
          <w:szCs w:val="18"/>
        </w:rPr>
        <w:t xml:space="preserve">data from the </w:t>
      </w:r>
      <w:r w:rsidR="00BD0DD1">
        <w:rPr>
          <w:rFonts w:cs="Calibri"/>
          <w:szCs w:val="18"/>
        </w:rPr>
        <w:t>SO/</w:t>
      </w:r>
      <w:r w:rsidR="00377390" w:rsidRPr="0050162C">
        <w:rPr>
          <w:rFonts w:cs="Calibri"/>
          <w:szCs w:val="18"/>
        </w:rPr>
        <w:t xml:space="preserve">TSO and </w:t>
      </w:r>
      <w:r w:rsidR="00F13D35" w:rsidRPr="0050162C">
        <w:rPr>
          <w:rFonts w:cs="Calibri"/>
          <w:szCs w:val="18"/>
        </w:rPr>
        <w:t>DSO and</w:t>
      </w:r>
      <w:r w:rsidR="00C3579D" w:rsidRPr="0050162C">
        <w:rPr>
          <w:rFonts w:cs="Calibri"/>
          <w:szCs w:val="18"/>
        </w:rPr>
        <w:t xml:space="preserve"> </w:t>
      </w:r>
      <w:r w:rsidR="00C83C1A" w:rsidRPr="0050162C">
        <w:rPr>
          <w:rFonts w:cs="Calibri"/>
          <w:szCs w:val="18"/>
        </w:rPr>
        <w:t xml:space="preserve">calculates payments and penalties. </w:t>
      </w:r>
      <w:r w:rsidR="00A10FCA" w:rsidRPr="0050162C">
        <w:rPr>
          <w:rFonts w:cs="Calibri"/>
          <w:szCs w:val="18"/>
        </w:rPr>
        <w:t xml:space="preserve">The specifics of </w:t>
      </w:r>
      <w:r w:rsidR="00466D5D" w:rsidRPr="0050162C">
        <w:rPr>
          <w:rFonts w:cs="Calibri"/>
          <w:szCs w:val="18"/>
        </w:rPr>
        <w:t xml:space="preserve">data exchange </w:t>
      </w:r>
      <w:r w:rsidR="005B34DE" w:rsidRPr="0050162C">
        <w:rPr>
          <w:rFonts w:cs="Calibri"/>
          <w:szCs w:val="18"/>
        </w:rPr>
        <w:t xml:space="preserve">mechanisms </w:t>
      </w:r>
      <w:r w:rsidR="009F69FE">
        <w:rPr>
          <w:rFonts w:cs="Calibri"/>
          <w:szCs w:val="18"/>
        </w:rPr>
        <w:t xml:space="preserve">and protocols </w:t>
      </w:r>
      <w:r w:rsidR="005B34DE" w:rsidRPr="0050162C">
        <w:rPr>
          <w:rFonts w:cs="Calibri"/>
          <w:szCs w:val="18"/>
        </w:rPr>
        <w:t xml:space="preserve">are not </w:t>
      </w:r>
      <w:r w:rsidR="00F13D35" w:rsidRPr="0050162C">
        <w:rPr>
          <w:rFonts w:cs="Calibri"/>
          <w:szCs w:val="18"/>
        </w:rPr>
        <w:t>provided;</w:t>
      </w:r>
      <w:r w:rsidR="005B34DE" w:rsidRPr="0050162C">
        <w:rPr>
          <w:rFonts w:cs="Calibri"/>
          <w:szCs w:val="18"/>
        </w:rPr>
        <w:t xml:space="preserve"> however, </w:t>
      </w:r>
      <w:r w:rsidR="00222E1C" w:rsidRPr="0050162C">
        <w:rPr>
          <w:rFonts w:cs="Calibri"/>
          <w:szCs w:val="18"/>
        </w:rPr>
        <w:t>it can be assumed that this would be</w:t>
      </w:r>
      <w:r w:rsidR="009F69FE">
        <w:rPr>
          <w:rFonts w:cs="Calibri"/>
          <w:szCs w:val="18"/>
        </w:rPr>
        <w:t xml:space="preserve"> implemented</w:t>
      </w:r>
      <w:r w:rsidR="00222E1C" w:rsidRPr="0050162C">
        <w:rPr>
          <w:rFonts w:cs="Calibri"/>
          <w:szCs w:val="18"/>
        </w:rPr>
        <w:t xml:space="preserve"> by the T-D Interface. </w:t>
      </w:r>
    </w:p>
    <w:p w14:paraId="3C4FF77C" w14:textId="4767C8B0" w:rsidR="005A6E97" w:rsidRDefault="00A11C4C" w:rsidP="00762925">
      <w:pPr>
        <w:keepNext/>
        <w:jc w:val="center"/>
      </w:pPr>
      <w:bookmarkStart w:id="99" w:name="Figure_12"/>
      <w:r w:rsidRPr="00A11C4C">
        <w:rPr>
          <w:noProof/>
        </w:rPr>
        <w:drawing>
          <wp:inline distT="0" distB="0" distL="0" distR="0" wp14:anchorId="001DB95B" wp14:editId="1776A4ED">
            <wp:extent cx="4320000" cy="2227796"/>
            <wp:effectExtent l="0" t="0" r="4445" b="1270"/>
            <wp:docPr id="132593872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8723" name="Picture 1" descr="A diagram of a process&#10;&#10;AI-generated content may be incorrect."/>
                    <pic:cNvPicPr/>
                  </pic:nvPicPr>
                  <pic:blipFill>
                    <a:blip r:embed="rId43"/>
                    <a:stretch>
                      <a:fillRect/>
                    </a:stretch>
                  </pic:blipFill>
                  <pic:spPr>
                    <a:xfrm>
                      <a:off x="0" y="0"/>
                      <a:ext cx="4320000" cy="2227796"/>
                    </a:xfrm>
                    <a:prstGeom prst="rect">
                      <a:avLst/>
                    </a:prstGeom>
                  </pic:spPr>
                </pic:pic>
              </a:graphicData>
            </a:graphic>
          </wp:inline>
        </w:drawing>
      </w:r>
      <w:bookmarkEnd w:id="99"/>
    </w:p>
    <w:p w14:paraId="7AE637D0" w14:textId="2E17D736" w:rsidR="00A11C4C" w:rsidRDefault="005A6E97" w:rsidP="005A6E97">
      <w:pPr>
        <w:pStyle w:val="Caption"/>
      </w:pPr>
      <w:bookmarkStart w:id="100" w:name="_Ref195529098"/>
      <w:bookmarkStart w:id="101" w:name="_Toc205377448"/>
      <w:r>
        <w:t xml:space="preserve">Figure </w:t>
      </w:r>
      <w:fldSimple w:instr=" SEQ Figure \* ARABIC ">
        <w:r w:rsidR="00CE6CF1">
          <w:rPr>
            <w:noProof/>
          </w:rPr>
          <w:t>12</w:t>
        </w:r>
      </w:fldSimple>
      <w:bookmarkEnd w:id="100"/>
      <w:r>
        <w:t xml:space="preserve"> - Settlement Phase</w:t>
      </w:r>
      <w:r w:rsidR="00460C0B">
        <w:rPr>
          <w:rStyle w:val="FootnoteReference"/>
        </w:rPr>
        <w:footnoteReference w:id="4"/>
      </w:r>
      <w:bookmarkEnd w:id="101"/>
    </w:p>
    <w:p w14:paraId="7FBB8C61" w14:textId="77777777" w:rsidR="00181488" w:rsidRDefault="00181488">
      <w:pPr>
        <w:spacing w:before="0" w:after="160" w:line="259" w:lineRule="auto"/>
        <w:rPr>
          <w:rFonts w:cs="Calibri"/>
          <w:szCs w:val="18"/>
        </w:rPr>
      </w:pPr>
      <w:r>
        <w:rPr>
          <w:rFonts w:cs="Calibri"/>
          <w:szCs w:val="18"/>
        </w:rPr>
        <w:br w:type="page"/>
      </w:r>
    </w:p>
    <w:p w14:paraId="55A6A3DB" w14:textId="2869D391" w:rsidR="008B68D5" w:rsidRPr="0050162C" w:rsidRDefault="00F039F7" w:rsidP="0050162C">
      <w:pPr>
        <w:spacing w:before="180" w:after="120" w:line="288" w:lineRule="auto"/>
        <w:rPr>
          <w:rFonts w:cs="Calibri"/>
          <w:szCs w:val="18"/>
        </w:rPr>
      </w:pPr>
      <w:r w:rsidRPr="007D18BE">
        <w:rPr>
          <w:rFonts w:cs="Calibri"/>
          <w:szCs w:val="18"/>
        </w:rPr>
        <w:lastRenderedPageBreak/>
        <w:t xml:space="preserve">An </w:t>
      </w:r>
      <w:r w:rsidR="00F51A5E" w:rsidRPr="007D18BE">
        <w:rPr>
          <w:rFonts w:cs="Calibri"/>
          <w:szCs w:val="18"/>
        </w:rPr>
        <w:t>ENTSO-E sponsored consortium published a</w:t>
      </w:r>
      <w:r w:rsidR="00597467" w:rsidRPr="007D18BE">
        <w:rPr>
          <w:rFonts w:cs="Calibri"/>
          <w:szCs w:val="18"/>
        </w:rPr>
        <w:t xml:space="preserve"> similar European approach</w:t>
      </w:r>
      <w:r w:rsidR="004835DB" w:rsidRPr="007D18BE">
        <w:rPr>
          <w:rFonts w:cs="Calibri"/>
          <w:szCs w:val="18"/>
        </w:rPr>
        <w:t xml:space="preserve"> (</w:t>
      </w:r>
      <w:hyperlink w:anchor="Figure_13" w:history="1">
        <w:r w:rsidR="00B16696" w:rsidRPr="00B16696">
          <w:rPr>
            <w:rStyle w:val="Hyperlink"/>
            <w:rFonts w:cs="Calibri"/>
            <w:szCs w:val="18"/>
          </w:rPr>
          <w:t>Figure 13</w:t>
        </w:r>
      </w:hyperlink>
      <w:r w:rsidR="004835DB" w:rsidRPr="0050162C">
        <w:rPr>
          <w:rFonts w:cs="Calibri"/>
          <w:szCs w:val="18"/>
        </w:rPr>
        <w:t>)</w:t>
      </w:r>
      <w:r w:rsidR="000417C1" w:rsidRPr="0050162C">
        <w:rPr>
          <w:rFonts w:cs="Calibri"/>
          <w:szCs w:val="18"/>
        </w:rPr>
        <w:t xml:space="preserve"> </w:t>
      </w:r>
      <w:r w:rsidR="00695454">
        <w:rPr>
          <w:rFonts w:cs="Calibri"/>
          <w:szCs w:val="18"/>
        </w:rPr>
        <w:t xml:space="preserve">to TDC that is </w:t>
      </w:r>
      <w:r w:rsidR="000417C1" w:rsidRPr="0050162C">
        <w:rPr>
          <w:rFonts w:cs="Calibri"/>
          <w:szCs w:val="18"/>
        </w:rPr>
        <w:t xml:space="preserve">specific to </w:t>
      </w:r>
      <w:r w:rsidR="00723763" w:rsidRPr="0050162C">
        <w:rPr>
          <w:rFonts w:cs="Calibri"/>
          <w:szCs w:val="18"/>
        </w:rPr>
        <w:t xml:space="preserve">congestion management </w:t>
      </w:r>
      <w:r w:rsidR="00C168E4" w:rsidRPr="000D4FC2">
        <w:rPr>
          <w:rFonts w:cs="Calibri"/>
          <w:noProof/>
          <w:szCs w:val="18"/>
        </w:rPr>
        <w:t>[5]</w:t>
      </w:r>
      <w:r w:rsidR="00723763" w:rsidRPr="0050162C">
        <w:rPr>
          <w:rFonts w:cs="Calibri"/>
          <w:szCs w:val="18"/>
        </w:rPr>
        <w:t xml:space="preserve">. A detailed treatment of </w:t>
      </w:r>
      <w:r w:rsidR="002301BC">
        <w:rPr>
          <w:rFonts w:cs="Calibri"/>
          <w:szCs w:val="18"/>
        </w:rPr>
        <w:t>which particular functions should be</w:t>
      </w:r>
      <w:r w:rsidR="002301BC" w:rsidRPr="0050162C">
        <w:rPr>
          <w:rFonts w:cs="Calibri"/>
          <w:szCs w:val="18"/>
        </w:rPr>
        <w:t xml:space="preserve"> </w:t>
      </w:r>
      <w:r w:rsidR="001C5A22" w:rsidRPr="0050162C">
        <w:rPr>
          <w:rFonts w:cs="Calibri"/>
          <w:szCs w:val="18"/>
        </w:rPr>
        <w:t>sp</w:t>
      </w:r>
      <w:r w:rsidR="00D25FF4" w:rsidRPr="0050162C">
        <w:rPr>
          <w:rFonts w:cs="Calibri"/>
          <w:szCs w:val="18"/>
        </w:rPr>
        <w:t>ecific</w:t>
      </w:r>
      <w:r w:rsidR="001A6D3A">
        <w:rPr>
          <w:rFonts w:cs="Calibri"/>
          <w:szCs w:val="18"/>
        </w:rPr>
        <w:t xml:space="preserve"> to either</w:t>
      </w:r>
      <w:r w:rsidR="00D25FF4" w:rsidRPr="0050162C">
        <w:rPr>
          <w:rFonts w:cs="Calibri"/>
          <w:szCs w:val="18"/>
        </w:rPr>
        <w:t xml:space="preserve"> </w:t>
      </w:r>
      <w:r w:rsidR="00BD0DD1">
        <w:rPr>
          <w:rFonts w:cs="Calibri"/>
          <w:szCs w:val="18"/>
        </w:rPr>
        <w:t>SO/</w:t>
      </w:r>
      <w:r w:rsidR="00D25FF4" w:rsidRPr="0050162C">
        <w:rPr>
          <w:rFonts w:cs="Calibri"/>
          <w:szCs w:val="18"/>
        </w:rPr>
        <w:t xml:space="preserve">TSO </w:t>
      </w:r>
      <w:r w:rsidR="001A6D3A">
        <w:rPr>
          <w:rFonts w:cs="Calibri"/>
          <w:szCs w:val="18"/>
        </w:rPr>
        <w:t>or</w:t>
      </w:r>
      <w:r w:rsidR="00D25FF4" w:rsidRPr="0050162C">
        <w:rPr>
          <w:rFonts w:cs="Calibri"/>
          <w:szCs w:val="18"/>
        </w:rPr>
        <w:t xml:space="preserve"> DSO </w:t>
      </w:r>
      <w:r w:rsidR="00723763" w:rsidRPr="0050162C">
        <w:rPr>
          <w:rFonts w:cs="Calibri"/>
          <w:szCs w:val="18"/>
        </w:rPr>
        <w:t>is</w:t>
      </w:r>
      <w:r w:rsidR="00EE41E5" w:rsidRPr="0050162C">
        <w:rPr>
          <w:rFonts w:cs="Calibri"/>
          <w:szCs w:val="18"/>
        </w:rPr>
        <w:t xml:space="preserve"> </w:t>
      </w:r>
      <w:r w:rsidR="0024044C" w:rsidRPr="0050162C">
        <w:rPr>
          <w:rFonts w:cs="Calibri"/>
          <w:szCs w:val="18"/>
        </w:rPr>
        <w:t xml:space="preserve">not included, </w:t>
      </w:r>
      <w:r w:rsidR="00BE3854" w:rsidRPr="0050162C">
        <w:rPr>
          <w:rFonts w:cs="Calibri"/>
          <w:szCs w:val="18"/>
        </w:rPr>
        <w:t xml:space="preserve">but </w:t>
      </w:r>
      <w:r w:rsidR="00F530EE" w:rsidRPr="0050162C">
        <w:rPr>
          <w:rFonts w:cs="Calibri"/>
          <w:szCs w:val="18"/>
        </w:rPr>
        <w:t xml:space="preserve">the report recommends </w:t>
      </w:r>
      <w:r w:rsidR="003D1782" w:rsidRPr="0050162C">
        <w:rPr>
          <w:rFonts w:cs="Calibri"/>
          <w:szCs w:val="18"/>
        </w:rPr>
        <w:t xml:space="preserve">flexibility resources (CER/DER aggregations) </w:t>
      </w:r>
      <w:r w:rsidR="006156AE" w:rsidRPr="0050162C">
        <w:rPr>
          <w:rFonts w:cs="Calibri"/>
          <w:szCs w:val="18"/>
        </w:rPr>
        <w:t xml:space="preserve">should be shared and available to </w:t>
      </w:r>
      <w:r w:rsidR="00E01BE1">
        <w:rPr>
          <w:rFonts w:cs="Calibri"/>
          <w:szCs w:val="18"/>
        </w:rPr>
        <w:t>SO/</w:t>
      </w:r>
      <w:r w:rsidR="006156AE" w:rsidRPr="0050162C">
        <w:rPr>
          <w:rFonts w:cs="Calibri"/>
          <w:szCs w:val="18"/>
        </w:rPr>
        <w:t>TSOs and DSO</w:t>
      </w:r>
      <w:r w:rsidR="004835DB" w:rsidRPr="0050162C">
        <w:rPr>
          <w:rFonts w:cs="Calibri"/>
          <w:szCs w:val="18"/>
        </w:rPr>
        <w:t xml:space="preserve">s through a common register and mutually acceptable pre-qualification process. </w:t>
      </w:r>
      <w:r w:rsidR="001A6D3A">
        <w:rPr>
          <w:rFonts w:cs="Calibri"/>
          <w:szCs w:val="18"/>
        </w:rPr>
        <w:t>The report</w:t>
      </w:r>
      <w:r w:rsidR="001A6D3A" w:rsidRPr="0050162C">
        <w:rPr>
          <w:rFonts w:cs="Calibri"/>
          <w:szCs w:val="18"/>
        </w:rPr>
        <w:t xml:space="preserve"> </w:t>
      </w:r>
      <w:r w:rsidR="00B80206" w:rsidRPr="0050162C">
        <w:rPr>
          <w:rFonts w:cs="Calibri"/>
          <w:szCs w:val="18"/>
        </w:rPr>
        <w:t xml:space="preserve">also notes that </w:t>
      </w:r>
      <w:r w:rsidR="00E01BE1">
        <w:rPr>
          <w:rFonts w:cs="Calibri"/>
          <w:szCs w:val="18"/>
        </w:rPr>
        <w:t>T-D C</w:t>
      </w:r>
      <w:r w:rsidR="00B80206" w:rsidRPr="0050162C">
        <w:rPr>
          <w:rFonts w:cs="Calibri"/>
          <w:szCs w:val="18"/>
        </w:rPr>
        <w:t xml:space="preserve">oordination and information exchange </w:t>
      </w:r>
      <w:r w:rsidR="001E3D49" w:rsidRPr="0050162C">
        <w:rPr>
          <w:rFonts w:cs="Calibri"/>
          <w:szCs w:val="18"/>
        </w:rPr>
        <w:t>are</w:t>
      </w:r>
      <w:r w:rsidR="00B80206" w:rsidRPr="0050162C">
        <w:rPr>
          <w:rFonts w:cs="Calibri"/>
          <w:szCs w:val="18"/>
        </w:rPr>
        <w:t xml:space="preserve"> essential</w:t>
      </w:r>
      <w:r w:rsidR="00EE375F" w:rsidRPr="0050162C">
        <w:rPr>
          <w:rFonts w:cs="Calibri"/>
          <w:szCs w:val="18"/>
        </w:rPr>
        <w:t xml:space="preserve"> </w:t>
      </w:r>
      <w:r w:rsidR="00B80206" w:rsidRPr="0050162C">
        <w:rPr>
          <w:rFonts w:cs="Calibri"/>
          <w:szCs w:val="18"/>
        </w:rPr>
        <w:t>when invoking</w:t>
      </w:r>
      <w:r w:rsidR="001E3D49" w:rsidRPr="0050162C">
        <w:rPr>
          <w:rFonts w:cs="Calibri"/>
          <w:szCs w:val="18"/>
        </w:rPr>
        <w:t xml:space="preserve"> </w:t>
      </w:r>
      <w:r w:rsidR="00B80206" w:rsidRPr="0050162C">
        <w:rPr>
          <w:rFonts w:cs="Calibri"/>
          <w:szCs w:val="18"/>
        </w:rPr>
        <w:t>balancing and/or congestion management actions on</w:t>
      </w:r>
      <w:r w:rsidR="001E3D49" w:rsidRPr="0050162C">
        <w:rPr>
          <w:rFonts w:cs="Calibri"/>
          <w:szCs w:val="18"/>
        </w:rPr>
        <w:t xml:space="preserve"> </w:t>
      </w:r>
      <w:r w:rsidR="00B80206" w:rsidRPr="0050162C">
        <w:rPr>
          <w:rFonts w:cs="Calibri"/>
          <w:szCs w:val="18"/>
        </w:rPr>
        <w:t xml:space="preserve">a system </w:t>
      </w:r>
      <w:r w:rsidR="00433C59">
        <w:rPr>
          <w:rFonts w:cs="Calibri"/>
          <w:szCs w:val="18"/>
        </w:rPr>
        <w:t xml:space="preserve">scale </w:t>
      </w:r>
      <w:r w:rsidR="00433C59" w:rsidRPr="0050162C">
        <w:rPr>
          <w:rFonts w:cs="Calibri"/>
          <w:szCs w:val="18"/>
        </w:rPr>
        <w:t>to avoid any mutual harmful interference</w:t>
      </w:r>
      <w:r w:rsidR="001E0D37" w:rsidRPr="0050162C">
        <w:rPr>
          <w:rFonts w:cs="Calibri"/>
          <w:szCs w:val="18"/>
        </w:rPr>
        <w:t>.</w:t>
      </w:r>
    </w:p>
    <w:p w14:paraId="1C89B14F" w14:textId="77777777" w:rsidR="00096DB4" w:rsidRDefault="008B68D5" w:rsidP="00096DB4">
      <w:pPr>
        <w:keepNext/>
      </w:pPr>
      <w:bookmarkStart w:id="102" w:name="Figure_13"/>
      <w:r w:rsidRPr="008B68D5">
        <w:rPr>
          <w:noProof/>
        </w:rPr>
        <w:drawing>
          <wp:inline distT="0" distB="0" distL="0" distR="0" wp14:anchorId="2E9102B1" wp14:editId="5B4E5A31">
            <wp:extent cx="5219700" cy="2401570"/>
            <wp:effectExtent l="0" t="0" r="0" b="0"/>
            <wp:docPr id="110527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71738" name=""/>
                    <pic:cNvPicPr/>
                  </pic:nvPicPr>
                  <pic:blipFill>
                    <a:blip r:embed="rId44"/>
                    <a:stretch>
                      <a:fillRect/>
                    </a:stretch>
                  </pic:blipFill>
                  <pic:spPr>
                    <a:xfrm>
                      <a:off x="0" y="0"/>
                      <a:ext cx="5219700" cy="2401570"/>
                    </a:xfrm>
                    <a:prstGeom prst="rect">
                      <a:avLst/>
                    </a:prstGeom>
                  </pic:spPr>
                </pic:pic>
              </a:graphicData>
            </a:graphic>
          </wp:inline>
        </w:drawing>
      </w:r>
      <w:bookmarkEnd w:id="102"/>
    </w:p>
    <w:p w14:paraId="254AD457" w14:textId="2ADF5550" w:rsidR="008B68D5" w:rsidRDefault="00096DB4" w:rsidP="00096DB4">
      <w:pPr>
        <w:pStyle w:val="Caption"/>
      </w:pPr>
      <w:bookmarkStart w:id="103" w:name="_Ref195535660"/>
      <w:bookmarkStart w:id="104" w:name="_Toc205377449"/>
      <w:r>
        <w:t xml:space="preserve">Figure </w:t>
      </w:r>
      <w:fldSimple w:instr=" SEQ Figure \* ARABIC ">
        <w:r w:rsidR="00CE6CF1">
          <w:rPr>
            <w:noProof/>
          </w:rPr>
          <w:t>13</w:t>
        </w:r>
      </w:fldSimple>
      <w:bookmarkEnd w:id="103"/>
      <w:r>
        <w:t xml:space="preserve"> </w:t>
      </w:r>
      <w:r w:rsidR="001B4BC6">
        <w:t>–</w:t>
      </w:r>
      <w:r>
        <w:t xml:space="preserve"> </w:t>
      </w:r>
      <w:r w:rsidR="001B4BC6">
        <w:t xml:space="preserve">ENTSO-E </w:t>
      </w:r>
      <w:r w:rsidR="00293E9C">
        <w:t xml:space="preserve">Congestion Management </w:t>
      </w:r>
      <w:r w:rsidR="00423023">
        <w:t>P</w:t>
      </w:r>
      <w:r w:rsidRPr="00606033">
        <w:t xml:space="preserve">rocess </w:t>
      </w:r>
      <w:r w:rsidR="00293E9C">
        <w:t>O</w:t>
      </w:r>
      <w:r w:rsidRPr="00606033">
        <w:t>verview</w:t>
      </w:r>
      <w:bookmarkEnd w:id="104"/>
      <w:r w:rsidR="00293E9C">
        <w:t xml:space="preserve"> </w:t>
      </w:r>
    </w:p>
    <w:p w14:paraId="5E66A9B4" w14:textId="285AC6F0" w:rsidR="00315C09" w:rsidRPr="00315C09" w:rsidRDefault="009E7C3D" w:rsidP="00F14453">
      <w:pPr>
        <w:pStyle w:val="Heading2"/>
        <w:ind w:left="567" w:hanging="567"/>
      </w:pPr>
      <w:bookmarkStart w:id="105" w:name="_Toc205532851"/>
      <w:r>
        <w:t>D</w:t>
      </w:r>
      <w:r w:rsidR="00F844DA">
        <w:t>SO d</w:t>
      </w:r>
      <w:r w:rsidR="00802974">
        <w:t>ata</w:t>
      </w:r>
      <w:r w:rsidR="00A43F26">
        <w:t xml:space="preserve"> transformations</w:t>
      </w:r>
      <w:r w:rsidR="006A7717">
        <w:t xml:space="preserve"> </w:t>
      </w:r>
      <w:r w:rsidR="009558A2">
        <w:t xml:space="preserve">to provide </w:t>
      </w:r>
      <w:r w:rsidR="00463C89">
        <w:t xml:space="preserve">upstream entities with </w:t>
      </w:r>
      <w:r w:rsidR="00802974">
        <w:t xml:space="preserve">actionable </w:t>
      </w:r>
      <w:r w:rsidR="00463C89">
        <w:t>information</w:t>
      </w:r>
      <w:r>
        <w:t xml:space="preserve"> at reduced data volumes</w:t>
      </w:r>
      <w:bookmarkEnd w:id="105"/>
    </w:p>
    <w:p w14:paraId="2641594F" w14:textId="3D8EAD1E" w:rsidR="006140A1" w:rsidRPr="0050162C" w:rsidRDefault="006140A1" w:rsidP="0050162C">
      <w:pPr>
        <w:spacing w:before="180" w:after="120" w:line="288" w:lineRule="auto"/>
        <w:rPr>
          <w:rFonts w:cs="Calibri"/>
          <w:szCs w:val="18"/>
        </w:rPr>
      </w:pPr>
      <w:r w:rsidRPr="0050162C">
        <w:rPr>
          <w:rFonts w:cs="Calibri"/>
          <w:szCs w:val="18"/>
        </w:rPr>
        <w:t xml:space="preserve">Data transformation refers to the synthesis </w:t>
      </w:r>
      <w:r w:rsidR="00B87661">
        <w:rPr>
          <w:rFonts w:cs="Calibri"/>
          <w:szCs w:val="18"/>
        </w:rPr>
        <w:t xml:space="preserve">and further processing </w:t>
      </w:r>
      <w:r w:rsidRPr="0050162C">
        <w:rPr>
          <w:rFonts w:cs="Calibri"/>
          <w:szCs w:val="18"/>
        </w:rPr>
        <w:t>of data to obtain information. Data consists of measurements, observations, sensor readings, and other basic observable, measurable facts. Grid data may be produced in large volumes and at a variety of rates, depending on the source</w:t>
      </w:r>
      <w:r w:rsidR="00D17EC2">
        <w:rPr>
          <w:rFonts w:cs="Calibri"/>
          <w:szCs w:val="18"/>
        </w:rPr>
        <w:t xml:space="preserve"> and purpose</w:t>
      </w:r>
      <w:r w:rsidRPr="0050162C">
        <w:rPr>
          <w:rFonts w:cs="Calibri"/>
          <w:szCs w:val="18"/>
        </w:rPr>
        <w:t>. Raw data is typically in the form of num</w:t>
      </w:r>
      <w:r w:rsidR="00D17EC2">
        <w:rPr>
          <w:rFonts w:cs="Calibri"/>
          <w:szCs w:val="18"/>
        </w:rPr>
        <w:t>erical values</w:t>
      </w:r>
      <w:r w:rsidR="004E44A5">
        <w:rPr>
          <w:rFonts w:cs="Calibri"/>
          <w:szCs w:val="18"/>
        </w:rPr>
        <w:t xml:space="preserve">, grid state information </w:t>
      </w:r>
      <w:r w:rsidRPr="0050162C">
        <w:rPr>
          <w:rFonts w:cs="Calibri"/>
          <w:szCs w:val="18"/>
        </w:rPr>
        <w:t>or text without context except for the source (meter, line sensor, etc.). Information results from the transformation of data to extract meaning, relationships, or</w:t>
      </w:r>
      <w:r w:rsidR="00FE7649">
        <w:rPr>
          <w:rFonts w:cs="Calibri"/>
          <w:szCs w:val="18"/>
        </w:rPr>
        <w:t xml:space="preserve"> to</w:t>
      </w:r>
      <w:r w:rsidRPr="0050162C">
        <w:rPr>
          <w:rFonts w:cs="Calibri"/>
          <w:szCs w:val="18"/>
        </w:rPr>
        <w:t xml:space="preserve"> identify trends in a particular context. The purpose of extracting information is to enable decision-making and control.</w:t>
      </w:r>
    </w:p>
    <w:p w14:paraId="43B39CE1" w14:textId="499D8499" w:rsidR="00D83653" w:rsidRPr="0063735B" w:rsidRDefault="00D83653" w:rsidP="00F14453">
      <w:pPr>
        <w:spacing w:before="180" w:after="120" w:line="288" w:lineRule="auto"/>
        <w:jc w:val="center"/>
        <w:rPr>
          <w:rFonts w:cs="Calibri"/>
          <w:szCs w:val="18"/>
        </w:rPr>
      </w:pPr>
      <w:bookmarkStart w:id="106" w:name="Figure_14"/>
      <w:r>
        <w:rPr>
          <w:noProof/>
        </w:rPr>
        <w:lastRenderedPageBreak/>
        <w:drawing>
          <wp:inline distT="0" distB="0" distL="0" distR="0" wp14:anchorId="3F644717" wp14:editId="2F9E105B">
            <wp:extent cx="3508339" cy="3766141"/>
            <wp:effectExtent l="19050" t="19050" r="16510" b="25400"/>
            <wp:docPr id="723580776" name="Picture 4" descr="A screen 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1923" name="Picture 4" descr="A screen shot of a diagram"/>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532083" cy="3791630"/>
                    </a:xfrm>
                    <a:prstGeom prst="rect">
                      <a:avLst/>
                    </a:prstGeom>
                    <a:noFill/>
                    <a:ln>
                      <a:solidFill>
                        <a:schemeClr val="tx1"/>
                      </a:solidFill>
                    </a:ln>
                  </pic:spPr>
                </pic:pic>
              </a:graphicData>
            </a:graphic>
          </wp:inline>
        </w:drawing>
      </w:r>
      <w:bookmarkEnd w:id="106"/>
    </w:p>
    <w:p w14:paraId="5C964D29" w14:textId="2D6004BA" w:rsidR="00D83653" w:rsidRDefault="00D83653" w:rsidP="00D83653">
      <w:pPr>
        <w:pStyle w:val="Caption"/>
      </w:pPr>
      <w:bookmarkStart w:id="107" w:name="_Ref201325259"/>
      <w:bookmarkStart w:id="108" w:name="_Toc205377450"/>
      <w:r>
        <w:t xml:space="preserve">Figure </w:t>
      </w:r>
      <w:fldSimple w:instr=" SEQ Figure \* ARABIC ">
        <w:r w:rsidR="00CE6CF1">
          <w:rPr>
            <w:noProof/>
          </w:rPr>
          <w:t>14</w:t>
        </w:r>
      </w:fldSimple>
      <w:bookmarkEnd w:id="107"/>
      <w:r>
        <w:t xml:space="preserve"> - </w:t>
      </w:r>
      <w:r w:rsidRPr="00CF10BC">
        <w:t>Data Rates and Information Extraction Relationships</w:t>
      </w:r>
      <w:bookmarkEnd w:id="108"/>
    </w:p>
    <w:p w14:paraId="0AE4118E" w14:textId="44643E6C" w:rsidR="006140A1" w:rsidRDefault="00090D14" w:rsidP="00F14453">
      <w:r>
        <w:t>D</w:t>
      </w:r>
      <w:r w:rsidR="006140A1" w:rsidRPr="00090D14">
        <w:t>ata</w:t>
      </w:r>
      <w:r w:rsidR="006140A1" w:rsidRPr="0050162C">
        <w:rPr>
          <w:rFonts w:cs="Calibri"/>
          <w:szCs w:val="18"/>
        </w:rPr>
        <w:t xml:space="preserve"> transformation reduce</w:t>
      </w:r>
      <w:r w:rsidR="001A67E5">
        <w:rPr>
          <w:rFonts w:cs="Calibri"/>
          <w:szCs w:val="18"/>
        </w:rPr>
        <w:t>s</w:t>
      </w:r>
      <w:r w:rsidR="006140A1" w:rsidRPr="0050162C">
        <w:rPr>
          <w:rFonts w:cs="Calibri"/>
          <w:szCs w:val="18"/>
        </w:rPr>
        <w:t xml:space="preserve"> data volume while extracting information</w:t>
      </w:r>
      <w:r w:rsidR="00CE5326">
        <w:rPr>
          <w:rFonts w:cs="Calibri"/>
          <w:szCs w:val="18"/>
        </w:rPr>
        <w:t>.  T</w:t>
      </w:r>
      <w:r w:rsidR="00A4537A">
        <w:rPr>
          <w:rFonts w:cs="Calibri"/>
          <w:szCs w:val="18"/>
        </w:rPr>
        <w:t xml:space="preserve">his principle </w:t>
      </w:r>
      <w:r w:rsidR="006140A1" w:rsidRPr="0050162C">
        <w:rPr>
          <w:rFonts w:cs="Calibri"/>
          <w:szCs w:val="18"/>
        </w:rPr>
        <w:t xml:space="preserve">can be used to guide the design of multi-stage analytics, distributed data storage, and communications in complex </w:t>
      </w:r>
      <w:r w:rsidR="00A4537A">
        <w:rPr>
          <w:rFonts w:cs="Calibri"/>
          <w:szCs w:val="18"/>
        </w:rPr>
        <w:t xml:space="preserve">engineered </w:t>
      </w:r>
      <w:r w:rsidR="006140A1" w:rsidRPr="0050162C">
        <w:rPr>
          <w:rFonts w:cs="Calibri"/>
          <w:szCs w:val="18"/>
        </w:rPr>
        <w:t>systems. This leads to the concept of a sequence</w:t>
      </w:r>
      <w:r w:rsidR="00D83535">
        <w:rPr>
          <w:rFonts w:cs="Calibri"/>
          <w:szCs w:val="18"/>
        </w:rPr>
        <w:t>,</w:t>
      </w:r>
      <w:r w:rsidR="006140A1" w:rsidRPr="0050162C">
        <w:rPr>
          <w:rFonts w:cs="Calibri"/>
          <w:szCs w:val="18"/>
        </w:rPr>
        <w:t xml:space="preserve"> stack</w:t>
      </w:r>
      <w:r w:rsidR="00D83535">
        <w:rPr>
          <w:rFonts w:cs="Calibri"/>
          <w:szCs w:val="18"/>
        </w:rPr>
        <w:t>,</w:t>
      </w:r>
      <w:r w:rsidR="006140A1" w:rsidRPr="0050162C">
        <w:rPr>
          <w:rFonts w:cs="Calibri"/>
          <w:szCs w:val="18"/>
        </w:rPr>
        <w:t xml:space="preserve"> or hierarchy of data transformations as an information funnel – as we move through a processing chain, extracted information should increase at each stage, while data volume decreases. An implication of this is that information-extracting data transformations (analytics) can also serve as data quantity reduction tools (and </w:t>
      </w:r>
      <w:r w:rsidR="002B3CD0">
        <w:rPr>
          <w:rFonts w:cs="Calibri"/>
          <w:szCs w:val="18"/>
        </w:rPr>
        <w:t xml:space="preserve">not </w:t>
      </w:r>
      <w:r w:rsidR="004328F8">
        <w:rPr>
          <w:rFonts w:cs="Calibri"/>
          <w:szCs w:val="18"/>
        </w:rPr>
        <w:t xml:space="preserve">only </w:t>
      </w:r>
      <w:r w:rsidR="006140A1" w:rsidRPr="0050162C">
        <w:rPr>
          <w:rFonts w:cs="Calibri"/>
          <w:szCs w:val="18"/>
        </w:rPr>
        <w:t xml:space="preserve">by </w:t>
      </w:r>
      <w:r w:rsidR="002B3CD0">
        <w:rPr>
          <w:rFonts w:cs="Calibri"/>
          <w:szCs w:val="18"/>
        </w:rPr>
        <w:t xml:space="preserve">data </w:t>
      </w:r>
      <w:r w:rsidR="006140A1" w:rsidRPr="0050162C">
        <w:rPr>
          <w:rFonts w:cs="Calibri"/>
          <w:szCs w:val="18"/>
        </w:rPr>
        <w:t>compression)</w:t>
      </w:r>
      <w:r w:rsidR="00D9527A">
        <w:rPr>
          <w:rFonts w:cs="Calibri"/>
          <w:szCs w:val="18"/>
        </w:rPr>
        <w:t xml:space="preserve">, and so analytics can serve to facilitate the </w:t>
      </w:r>
      <w:r w:rsidR="006140A1" w:rsidRPr="0050162C">
        <w:rPr>
          <w:rFonts w:cs="Calibri"/>
          <w:szCs w:val="18"/>
        </w:rPr>
        <w:t xml:space="preserve">scalability of data flows in the information management structure. </w:t>
      </w:r>
      <w:r w:rsidR="00B61690" w:rsidRPr="00090D14">
        <w:fldChar w:fldCharType="begin"/>
      </w:r>
      <w:r w:rsidR="00B61690" w:rsidRPr="00090D14">
        <w:instrText xml:space="preserve"> REF _Ref201325259 \h </w:instrText>
      </w:r>
      <w:r w:rsidRPr="00090D14">
        <w:instrText xml:space="preserve"> \* MERGEFORMAT </w:instrText>
      </w:r>
      <w:r w:rsidR="00B61690" w:rsidRPr="00090D14">
        <w:fldChar w:fldCharType="separate"/>
      </w:r>
      <w:r w:rsidR="00CE6CF1">
        <w:t>Figure 14</w:t>
      </w:r>
      <w:r w:rsidR="00B61690" w:rsidRPr="00090D14">
        <w:fldChar w:fldCharType="end"/>
      </w:r>
      <w:r w:rsidR="006140A1" w:rsidRPr="0050162C">
        <w:rPr>
          <w:rFonts w:cs="Calibri"/>
          <w:szCs w:val="18"/>
        </w:rPr>
        <w:t xml:space="preserve"> illustrates the data rate/information relationships on either side of an analytic data transformation.</w:t>
      </w:r>
    </w:p>
    <w:p w14:paraId="6A8229B5" w14:textId="761DF9EE" w:rsidR="006140A1" w:rsidRPr="0050162C" w:rsidRDefault="006140A1" w:rsidP="0050162C">
      <w:pPr>
        <w:spacing w:before="180" w:after="120" w:line="288" w:lineRule="auto"/>
        <w:rPr>
          <w:rFonts w:cs="Calibri"/>
          <w:szCs w:val="18"/>
        </w:rPr>
      </w:pPr>
      <w:r w:rsidRPr="0050162C">
        <w:rPr>
          <w:rFonts w:cs="Calibri"/>
          <w:szCs w:val="18"/>
        </w:rPr>
        <w:t xml:space="preserve">The foregoing has significant implications for data architecture and specific functionality at the DNSP/DSO, and System Operator </w:t>
      </w:r>
      <w:r w:rsidR="00FB12AE">
        <w:rPr>
          <w:rFonts w:cs="Calibri"/>
          <w:szCs w:val="18"/>
        </w:rPr>
        <w:t>scales</w:t>
      </w:r>
      <w:r w:rsidRPr="0050162C">
        <w:rPr>
          <w:rFonts w:cs="Calibri"/>
          <w:szCs w:val="18"/>
        </w:rPr>
        <w:t xml:space="preserve">. Consider a version of the diagram in </w:t>
      </w:r>
      <w:r w:rsidR="00C5566C" w:rsidRPr="0050162C">
        <w:rPr>
          <w:rFonts w:cs="Calibri"/>
          <w:szCs w:val="18"/>
        </w:rPr>
        <w:fldChar w:fldCharType="begin"/>
      </w:r>
      <w:r w:rsidR="00C5566C" w:rsidRPr="0050162C">
        <w:rPr>
          <w:rFonts w:cs="Calibri"/>
          <w:szCs w:val="18"/>
        </w:rPr>
        <w:instrText xml:space="preserve"> REF _Ref192689598 \h </w:instrText>
      </w:r>
      <w:r w:rsidR="00CA0E86" w:rsidRPr="0050162C">
        <w:rPr>
          <w:rFonts w:cs="Calibri"/>
          <w:szCs w:val="18"/>
        </w:rPr>
        <w:instrText xml:space="preserve"> \* MERGEFORMAT </w:instrText>
      </w:r>
      <w:r w:rsidR="00C5566C" w:rsidRPr="0050162C">
        <w:rPr>
          <w:rFonts w:cs="Calibri"/>
          <w:szCs w:val="18"/>
        </w:rPr>
      </w:r>
      <w:r w:rsidR="00C5566C" w:rsidRPr="0050162C">
        <w:rPr>
          <w:rFonts w:cs="Calibri"/>
          <w:szCs w:val="18"/>
        </w:rPr>
        <w:fldChar w:fldCharType="separate"/>
      </w:r>
      <w:r w:rsidR="00CE6CF1" w:rsidRPr="00CE6CF1">
        <w:rPr>
          <w:rFonts w:cs="Calibri"/>
          <w:szCs w:val="18"/>
        </w:rPr>
        <w:t>Figure 15</w:t>
      </w:r>
      <w:r w:rsidR="00C5566C" w:rsidRPr="0050162C">
        <w:rPr>
          <w:rFonts w:cs="Calibri"/>
          <w:szCs w:val="18"/>
        </w:rPr>
        <w:fldChar w:fldCharType="end"/>
      </w:r>
      <w:r w:rsidRPr="0050162C">
        <w:rPr>
          <w:rFonts w:cs="Calibri"/>
          <w:szCs w:val="18"/>
        </w:rPr>
        <w:t xml:space="preserve"> as a modular component of the system data architecture. By choosing a set of analytics at each level</w:t>
      </w:r>
      <w:r w:rsidR="001071EB">
        <w:rPr>
          <w:rFonts w:cs="Calibri"/>
          <w:szCs w:val="18"/>
        </w:rPr>
        <w:t>,</w:t>
      </w:r>
      <w:r w:rsidRPr="0050162C">
        <w:rPr>
          <w:rFonts w:cs="Calibri"/>
          <w:szCs w:val="18"/>
        </w:rPr>
        <w:t xml:space="preserve"> moving from the distribution grid up through Distribution Operator to DSO to System Operator, it </w:t>
      </w:r>
      <w:r w:rsidR="009B548C">
        <w:rPr>
          <w:rFonts w:cs="Calibri"/>
          <w:szCs w:val="18"/>
        </w:rPr>
        <w:t xml:space="preserve">should be </w:t>
      </w:r>
      <w:r w:rsidRPr="0050162C">
        <w:rPr>
          <w:rFonts w:cs="Calibri"/>
          <w:szCs w:val="18"/>
        </w:rPr>
        <w:t xml:space="preserve">possible to </w:t>
      </w:r>
      <w:r w:rsidR="00BA4143">
        <w:rPr>
          <w:rFonts w:cs="Calibri"/>
          <w:szCs w:val="18"/>
        </w:rPr>
        <w:t>design</w:t>
      </w:r>
      <w:r w:rsidR="00267109">
        <w:rPr>
          <w:rFonts w:cs="Calibri"/>
          <w:szCs w:val="18"/>
        </w:rPr>
        <w:t xml:space="preserve"> </w:t>
      </w:r>
      <w:r w:rsidRPr="0050162C">
        <w:rPr>
          <w:rFonts w:cs="Calibri"/>
          <w:szCs w:val="18"/>
        </w:rPr>
        <w:t xml:space="preserve">the data/information funnel to </w:t>
      </w:r>
      <w:r w:rsidR="0079463D">
        <w:rPr>
          <w:rFonts w:cs="Calibri"/>
          <w:szCs w:val="18"/>
        </w:rPr>
        <w:t xml:space="preserve">avoid </w:t>
      </w:r>
      <w:r w:rsidR="00906C14">
        <w:rPr>
          <w:rFonts w:cs="Calibri"/>
          <w:szCs w:val="18"/>
        </w:rPr>
        <w:t>the</w:t>
      </w:r>
      <w:r w:rsidR="0079463D">
        <w:rPr>
          <w:rFonts w:cs="Calibri"/>
          <w:szCs w:val="18"/>
        </w:rPr>
        <w:t xml:space="preserve"> need to </w:t>
      </w:r>
      <w:r w:rsidRPr="0050162C">
        <w:rPr>
          <w:rFonts w:cs="Calibri"/>
          <w:szCs w:val="18"/>
        </w:rPr>
        <w:t>aggregate data flows into larger and larger stream</w:t>
      </w:r>
      <w:r w:rsidR="00560C63">
        <w:rPr>
          <w:rFonts w:cs="Calibri"/>
          <w:szCs w:val="18"/>
        </w:rPr>
        <w:t>s</w:t>
      </w:r>
      <w:r w:rsidRPr="0050162C">
        <w:rPr>
          <w:rFonts w:cs="Calibri"/>
          <w:szCs w:val="18"/>
        </w:rPr>
        <w:t xml:space="preserve"> as they reach the System Operator. </w:t>
      </w:r>
      <w:r w:rsidRPr="0050162C">
        <w:rPr>
          <w:rFonts w:cs="Calibri"/>
          <w:szCs w:val="18"/>
        </w:rPr>
        <w:fldChar w:fldCharType="begin"/>
      </w:r>
      <w:r w:rsidRPr="0050162C">
        <w:rPr>
          <w:rFonts w:cs="Calibri"/>
          <w:szCs w:val="18"/>
        </w:rPr>
        <w:instrText xml:space="preserve"> REF _Ref192689598 \h </w:instrText>
      </w:r>
      <w:r w:rsidR="00CA0E86" w:rsidRPr="0050162C">
        <w:rPr>
          <w:rFonts w:cs="Calibri"/>
          <w:szCs w:val="18"/>
        </w:rPr>
        <w:instrText xml:space="preserve"> \* MERGEFORMAT </w:instrText>
      </w:r>
      <w:r w:rsidRPr="0050162C">
        <w:rPr>
          <w:rFonts w:cs="Calibri"/>
          <w:szCs w:val="18"/>
        </w:rPr>
      </w:r>
      <w:r w:rsidRPr="0050162C">
        <w:rPr>
          <w:rFonts w:cs="Calibri"/>
          <w:szCs w:val="18"/>
        </w:rPr>
        <w:fldChar w:fldCharType="separate"/>
      </w:r>
      <w:r w:rsidR="00CE6CF1" w:rsidRPr="00CE6CF1">
        <w:rPr>
          <w:rFonts w:cs="Calibri"/>
          <w:szCs w:val="18"/>
        </w:rPr>
        <w:t>Figure 15</w:t>
      </w:r>
      <w:r w:rsidRPr="0050162C">
        <w:rPr>
          <w:rFonts w:cs="Calibri"/>
          <w:szCs w:val="18"/>
        </w:rPr>
        <w:fldChar w:fldCharType="end"/>
      </w:r>
      <w:r w:rsidRPr="0050162C">
        <w:rPr>
          <w:rFonts w:cs="Calibri"/>
          <w:szCs w:val="18"/>
        </w:rPr>
        <w:t xml:space="preserve"> illustrates the data reduction/information extraction concept for a power system with DSO roles.</w:t>
      </w:r>
    </w:p>
    <w:p w14:paraId="1E86FCA4" w14:textId="77777777" w:rsidR="006140A1" w:rsidRDefault="006140A1" w:rsidP="006140A1">
      <w:pPr>
        <w:keepNext/>
        <w:spacing w:before="0" w:after="160" w:line="259" w:lineRule="auto"/>
        <w:jc w:val="center"/>
      </w:pPr>
      <w:bookmarkStart w:id="109" w:name="Figure_15"/>
      <w:r>
        <w:rPr>
          <w:noProof/>
        </w:rPr>
        <w:lastRenderedPageBreak/>
        <w:drawing>
          <wp:inline distT="0" distB="0" distL="0" distR="0" wp14:anchorId="5A3EA9B6" wp14:editId="3C45BB70">
            <wp:extent cx="2738645" cy="1954396"/>
            <wp:effectExtent l="19050" t="19050" r="24130" b="27305"/>
            <wp:docPr id="910135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35379"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92431" cy="1992780"/>
                    </a:xfrm>
                    <a:prstGeom prst="rect">
                      <a:avLst/>
                    </a:prstGeom>
                    <a:noFill/>
                    <a:ln>
                      <a:solidFill>
                        <a:schemeClr val="tx1"/>
                      </a:solidFill>
                    </a:ln>
                  </pic:spPr>
                </pic:pic>
              </a:graphicData>
            </a:graphic>
          </wp:inline>
        </w:drawing>
      </w:r>
      <w:bookmarkEnd w:id="109"/>
    </w:p>
    <w:p w14:paraId="3B96EB08" w14:textId="3938450E" w:rsidR="006140A1" w:rsidRDefault="006140A1" w:rsidP="00B22DC5">
      <w:pPr>
        <w:pStyle w:val="Caption"/>
      </w:pPr>
      <w:bookmarkStart w:id="110" w:name="_Ref192689598"/>
      <w:bookmarkStart w:id="111" w:name="_Toc205377451"/>
      <w:r>
        <w:t xml:space="preserve">Figure </w:t>
      </w:r>
      <w:fldSimple w:instr=" SEQ Figure \* ARABIC ">
        <w:r w:rsidR="00CE6CF1">
          <w:rPr>
            <w:noProof/>
          </w:rPr>
          <w:t>15</w:t>
        </w:r>
      </w:fldSimple>
      <w:bookmarkEnd w:id="110"/>
      <w:r>
        <w:t xml:space="preserve"> - </w:t>
      </w:r>
      <w:r w:rsidRPr="00144B19">
        <w:t>Data/Information Funnel Effect for Power Systems with DSOs</w:t>
      </w:r>
      <w:bookmarkEnd w:id="111"/>
    </w:p>
    <w:p w14:paraId="27C36860" w14:textId="41FEFA0E" w:rsidR="006140A1" w:rsidRPr="0050162C" w:rsidRDefault="006140A1" w:rsidP="0050162C">
      <w:pPr>
        <w:spacing w:before="180" w:after="120" w:line="288" w:lineRule="auto"/>
        <w:rPr>
          <w:rFonts w:cs="Calibri"/>
          <w:szCs w:val="18"/>
        </w:rPr>
      </w:pPr>
      <w:r w:rsidRPr="0050162C">
        <w:rPr>
          <w:rFonts w:cs="Calibri"/>
          <w:szCs w:val="18"/>
        </w:rPr>
        <w:t xml:space="preserve">Each entity along the data/information flow path is going to perform analyses of incoming data for its own purposes of decision and control. Each entity below the System Operator level </w:t>
      </w:r>
      <w:r w:rsidR="009136F1">
        <w:rPr>
          <w:rFonts w:cs="Calibri"/>
          <w:szCs w:val="18"/>
        </w:rPr>
        <w:t xml:space="preserve">should be able to use </w:t>
      </w:r>
      <w:r w:rsidRPr="0050162C">
        <w:rPr>
          <w:rFonts w:cs="Calibri"/>
          <w:szCs w:val="18"/>
        </w:rPr>
        <w:t xml:space="preserve">carefully chosen analytics to extract and flow upward the information needed at the next higher level, with an attendant reduction in </w:t>
      </w:r>
      <w:r w:rsidR="00013FD8">
        <w:rPr>
          <w:rFonts w:cs="Calibri"/>
          <w:szCs w:val="18"/>
        </w:rPr>
        <w:t xml:space="preserve">raw </w:t>
      </w:r>
      <w:r w:rsidRPr="0050162C">
        <w:rPr>
          <w:rFonts w:cs="Calibri"/>
          <w:szCs w:val="18"/>
        </w:rPr>
        <w:t>data or volume. The role of the DSO in this process is especially critical</w:t>
      </w:r>
      <w:r w:rsidR="009E671E">
        <w:rPr>
          <w:rFonts w:cs="Calibri"/>
          <w:szCs w:val="18"/>
        </w:rPr>
        <w:t xml:space="preserve"> as it is </w:t>
      </w:r>
      <w:r w:rsidRPr="0050162C">
        <w:rPr>
          <w:rFonts w:cs="Calibri"/>
          <w:szCs w:val="18"/>
        </w:rPr>
        <w:t>best positioned to provide the information</w:t>
      </w:r>
      <w:r w:rsidR="00C63560">
        <w:rPr>
          <w:rFonts w:cs="Calibri"/>
          <w:szCs w:val="18"/>
        </w:rPr>
        <w:t xml:space="preserve"> </w:t>
      </w:r>
      <w:r w:rsidRPr="0050162C">
        <w:rPr>
          <w:rFonts w:cs="Calibri"/>
          <w:szCs w:val="18"/>
        </w:rPr>
        <w:t xml:space="preserve">the System Operator needs </w:t>
      </w:r>
      <w:r w:rsidR="0009608D" w:rsidRPr="0050162C">
        <w:rPr>
          <w:rFonts w:cs="Calibri"/>
          <w:szCs w:val="18"/>
        </w:rPr>
        <w:t xml:space="preserve">for market and </w:t>
      </w:r>
      <w:r w:rsidR="0087484D">
        <w:rPr>
          <w:rFonts w:cs="Calibri"/>
          <w:szCs w:val="18"/>
        </w:rPr>
        <w:t xml:space="preserve">system operations </w:t>
      </w:r>
      <w:r w:rsidR="008F3CA0">
        <w:rPr>
          <w:rFonts w:cs="Calibri"/>
          <w:szCs w:val="18"/>
        </w:rPr>
        <w:t xml:space="preserve">at the </w:t>
      </w:r>
      <w:r w:rsidR="0009608D">
        <w:rPr>
          <w:rFonts w:cs="Calibri"/>
          <w:szCs w:val="18"/>
        </w:rPr>
        <w:t>relevant T-D Interface (TDI) points</w:t>
      </w:r>
      <w:r w:rsidRPr="0050162C">
        <w:rPr>
          <w:rFonts w:cs="Calibri"/>
          <w:szCs w:val="18"/>
        </w:rPr>
        <w:t xml:space="preserve">. </w:t>
      </w:r>
      <w:r w:rsidR="0009608D">
        <w:rPr>
          <w:rFonts w:cs="Calibri"/>
          <w:szCs w:val="18"/>
        </w:rPr>
        <w:t>As</w:t>
      </w:r>
      <w:r w:rsidRPr="0050162C">
        <w:rPr>
          <w:rFonts w:cs="Calibri"/>
          <w:szCs w:val="18"/>
        </w:rPr>
        <w:t xml:space="preserve"> the System Operator will have multiple </w:t>
      </w:r>
      <w:r w:rsidR="0087484D">
        <w:rPr>
          <w:rFonts w:cs="Calibri"/>
          <w:szCs w:val="18"/>
        </w:rPr>
        <w:t>DSOs</w:t>
      </w:r>
      <w:r w:rsidRPr="0050162C">
        <w:rPr>
          <w:rFonts w:cs="Calibri"/>
          <w:szCs w:val="18"/>
        </w:rPr>
        <w:t xml:space="preserve"> supplying data, the use of multi-stage data rate reduction/information extraction funnel structure at </w:t>
      </w:r>
      <w:r w:rsidR="00AD3796">
        <w:rPr>
          <w:rFonts w:cs="Calibri"/>
          <w:szCs w:val="18"/>
        </w:rPr>
        <w:t>e</w:t>
      </w:r>
      <w:r w:rsidRPr="0050162C">
        <w:rPr>
          <w:rFonts w:cs="Calibri"/>
          <w:szCs w:val="18"/>
        </w:rPr>
        <w:t>ach DSO keep</w:t>
      </w:r>
      <w:r w:rsidR="00CA4B18">
        <w:rPr>
          <w:rFonts w:cs="Calibri"/>
          <w:szCs w:val="18"/>
        </w:rPr>
        <w:t>s</w:t>
      </w:r>
      <w:r w:rsidRPr="0050162C">
        <w:rPr>
          <w:rFonts w:cs="Calibri"/>
          <w:szCs w:val="18"/>
        </w:rPr>
        <w:t xml:space="preserve"> input data </w:t>
      </w:r>
      <w:r w:rsidR="00CA4B18" w:rsidRPr="0050162C">
        <w:rPr>
          <w:rFonts w:cs="Calibri"/>
          <w:szCs w:val="18"/>
        </w:rPr>
        <w:t xml:space="preserve">total </w:t>
      </w:r>
      <w:r w:rsidRPr="0050162C">
        <w:rPr>
          <w:rFonts w:cs="Calibri"/>
          <w:szCs w:val="18"/>
        </w:rPr>
        <w:t xml:space="preserve">rates to the System Operator manageable. A second consequence of </w:t>
      </w:r>
      <w:r w:rsidR="00F1434F">
        <w:rPr>
          <w:rFonts w:cs="Calibri"/>
          <w:szCs w:val="18"/>
        </w:rPr>
        <w:t>this</w:t>
      </w:r>
      <w:r w:rsidR="00F1434F" w:rsidRPr="0050162C">
        <w:rPr>
          <w:rFonts w:cs="Calibri"/>
          <w:szCs w:val="18"/>
        </w:rPr>
        <w:t xml:space="preserve"> </w:t>
      </w:r>
      <w:r w:rsidRPr="0050162C">
        <w:rPr>
          <w:rFonts w:cs="Calibri"/>
          <w:szCs w:val="18"/>
        </w:rPr>
        <w:t xml:space="preserve">data architecture is that data storage can and should </w:t>
      </w:r>
      <w:r w:rsidR="00FB118F">
        <w:rPr>
          <w:rFonts w:cs="Calibri"/>
          <w:szCs w:val="18"/>
        </w:rPr>
        <w:t xml:space="preserve">also </w:t>
      </w:r>
      <w:r w:rsidRPr="0050162C">
        <w:rPr>
          <w:rFonts w:cs="Calibri"/>
          <w:szCs w:val="18"/>
        </w:rPr>
        <w:t>be staged, thus eliminating the need for a massive central data repository with all its attendant disadvantages and vulnerabilities.</w:t>
      </w:r>
    </w:p>
    <w:p w14:paraId="0E87F5E2" w14:textId="1D0F0FA8" w:rsidR="006140A1" w:rsidRDefault="006140A1" w:rsidP="0050162C">
      <w:pPr>
        <w:spacing w:before="180" w:after="120" w:line="288" w:lineRule="auto"/>
        <w:rPr>
          <w:rFonts w:cs="Calibri"/>
          <w:szCs w:val="18"/>
        </w:rPr>
      </w:pPr>
      <w:r w:rsidRPr="0050162C">
        <w:rPr>
          <w:rFonts w:cs="Calibri"/>
          <w:szCs w:val="18"/>
        </w:rPr>
        <w:t xml:space="preserve">As an example of how this would work for operational data, consider the following </w:t>
      </w:r>
      <w:r w:rsidR="00B22DC5" w:rsidRPr="0050162C">
        <w:rPr>
          <w:rFonts w:cs="Calibri"/>
          <w:szCs w:val="18"/>
        </w:rPr>
        <w:t>diagram</w:t>
      </w:r>
      <w:r w:rsidRPr="0050162C">
        <w:rPr>
          <w:rFonts w:cs="Calibri"/>
          <w:szCs w:val="18"/>
        </w:rPr>
        <w:t>:</w:t>
      </w:r>
    </w:p>
    <w:p w14:paraId="7897AFF6" w14:textId="54BC29B1" w:rsidR="007C249A" w:rsidRPr="0050162C" w:rsidRDefault="00C868A6" w:rsidP="00C868A6">
      <w:pPr>
        <w:spacing w:before="180" w:after="120" w:line="288" w:lineRule="auto"/>
        <w:jc w:val="center"/>
        <w:rPr>
          <w:rFonts w:cs="Calibri"/>
          <w:szCs w:val="18"/>
        </w:rPr>
      </w:pPr>
      <w:r>
        <w:rPr>
          <w:rFonts w:cs="Calibri"/>
          <w:noProof/>
          <w:szCs w:val="18"/>
        </w:rPr>
        <w:drawing>
          <wp:inline distT="0" distB="0" distL="0" distR="0" wp14:anchorId="51985F70" wp14:editId="5A480FDC">
            <wp:extent cx="4824448" cy="2713901"/>
            <wp:effectExtent l="0" t="0" r="0" b="0"/>
            <wp:docPr id="1318573318" name="Picture 17" descr="A diagram of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73318" name="Picture 17" descr="A diagram of data flow&#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44629" cy="2725253"/>
                    </a:xfrm>
                    <a:prstGeom prst="rect">
                      <a:avLst/>
                    </a:prstGeom>
                  </pic:spPr>
                </pic:pic>
              </a:graphicData>
            </a:graphic>
          </wp:inline>
        </w:drawing>
      </w:r>
    </w:p>
    <w:p w14:paraId="5B2A2703" w14:textId="356F4023" w:rsidR="007755AD" w:rsidRPr="00B22DC5" w:rsidRDefault="00B22DC5" w:rsidP="00C868A6">
      <w:pPr>
        <w:pStyle w:val="Caption"/>
        <w:spacing w:after="0"/>
      </w:pPr>
      <w:bookmarkStart w:id="112" w:name="_Toc205377452"/>
      <w:r w:rsidRPr="00B22DC5">
        <w:t xml:space="preserve">Figure </w:t>
      </w:r>
      <w:fldSimple w:instr=" SEQ Figure \* ARABIC ">
        <w:r w:rsidR="00CE6CF1">
          <w:rPr>
            <w:noProof/>
          </w:rPr>
          <w:t>16</w:t>
        </w:r>
      </w:fldSimple>
      <w:r w:rsidRPr="00B22DC5">
        <w:t xml:space="preserve"> - Example Upstream Dataflows and Data Transformations</w:t>
      </w:r>
      <w:bookmarkEnd w:id="112"/>
    </w:p>
    <w:p w14:paraId="00005ACA" w14:textId="11B2167E" w:rsidR="00B22DC5" w:rsidRPr="0050162C" w:rsidRDefault="00CA0E86" w:rsidP="0050162C">
      <w:pPr>
        <w:spacing w:before="180" w:after="120" w:line="288" w:lineRule="auto"/>
        <w:rPr>
          <w:rFonts w:cs="Calibri"/>
          <w:szCs w:val="18"/>
        </w:rPr>
      </w:pPr>
      <w:r w:rsidRPr="0050162C">
        <w:rPr>
          <w:rFonts w:cs="Calibri"/>
          <w:szCs w:val="18"/>
        </w:rPr>
        <w:lastRenderedPageBreak/>
        <w:t xml:space="preserve">Working from upstream from the bottom of the diagram: </w:t>
      </w:r>
    </w:p>
    <w:p w14:paraId="10F08BC3" w14:textId="75F3638F" w:rsidR="006140A1" w:rsidRDefault="006140A1" w:rsidP="00470C91">
      <w:pPr>
        <w:pStyle w:val="ListParagraph"/>
        <w:numPr>
          <w:ilvl w:val="0"/>
          <w:numId w:val="3"/>
        </w:numPr>
        <w:spacing w:before="0" w:after="160" w:line="259" w:lineRule="auto"/>
        <w:ind w:hanging="371"/>
      </w:pPr>
      <w:r>
        <w:t>The distribution grid generates data from line sensors, meters, and related devices and systems.</w:t>
      </w:r>
      <w:r w:rsidR="00C67311">
        <w:t xml:space="preserve"> This occurs at different levels, from the low voltage network</w:t>
      </w:r>
      <w:r w:rsidR="00F960A2">
        <w:t xml:space="preserve"> up to the high voltage and sub-transmission levels.</w:t>
      </w:r>
    </w:p>
    <w:p w14:paraId="772E7534" w14:textId="224E42FA" w:rsidR="006140A1" w:rsidRDefault="006140A1" w:rsidP="00470C91">
      <w:pPr>
        <w:pStyle w:val="ListParagraph"/>
        <w:numPr>
          <w:ilvl w:val="0"/>
          <w:numId w:val="3"/>
        </w:numPr>
        <w:spacing w:before="0" w:after="160" w:line="259" w:lineRule="auto"/>
        <w:ind w:hanging="371"/>
      </w:pPr>
      <w:r>
        <w:t xml:space="preserve">The </w:t>
      </w:r>
      <w:r w:rsidR="00C868A6">
        <w:t>d</w:t>
      </w:r>
      <w:r>
        <w:t xml:space="preserve">istribution </w:t>
      </w:r>
      <w:r w:rsidR="00C868A6">
        <w:t xml:space="preserve">network business </w:t>
      </w:r>
      <w:r>
        <w:t xml:space="preserve">analyses the data streams for its own purposes of protection and control. It </w:t>
      </w:r>
      <w:r w:rsidR="00E876D8">
        <w:t xml:space="preserve">summarises </w:t>
      </w:r>
      <w:r>
        <w:t>the grid state and provides that to the DSO.</w:t>
      </w:r>
    </w:p>
    <w:p w14:paraId="4C534307" w14:textId="0B92F5E9" w:rsidR="006140A1" w:rsidRDefault="006140A1" w:rsidP="00470C91">
      <w:pPr>
        <w:pStyle w:val="ListParagraph"/>
        <w:numPr>
          <w:ilvl w:val="0"/>
          <w:numId w:val="3"/>
        </w:numPr>
        <w:spacing w:before="0" w:after="160" w:line="259" w:lineRule="auto"/>
        <w:ind w:hanging="371"/>
      </w:pPr>
      <w:r>
        <w:t xml:space="preserve">The DSO analyses the data from the </w:t>
      </w:r>
      <w:r w:rsidR="00C868A6">
        <w:t xml:space="preserve">distribution network business </w:t>
      </w:r>
      <w:r>
        <w:t xml:space="preserve">and other sources (such as DER aggregators) and uses it for its own purposes in managing the DSO’s resource set. The DSO also </w:t>
      </w:r>
      <w:r w:rsidR="00915D76">
        <w:t xml:space="preserve">summarises </w:t>
      </w:r>
      <w:r>
        <w:t xml:space="preserve">the information </w:t>
      </w:r>
      <w:r w:rsidR="00C868A6">
        <w:t>at</w:t>
      </w:r>
      <w:r>
        <w:t xml:space="preserve"> the</w:t>
      </w:r>
      <w:r w:rsidR="00C868A6">
        <w:t xml:space="preserve"> relevant TDI</w:t>
      </w:r>
      <w:r>
        <w:t xml:space="preserve"> point</w:t>
      </w:r>
      <w:r w:rsidR="00C868A6">
        <w:t>s</w:t>
      </w:r>
      <w:r>
        <w:t xml:space="preserve"> in its service area and passes that to the System Operator.</w:t>
      </w:r>
    </w:p>
    <w:p w14:paraId="313F3631" w14:textId="664DA0CE" w:rsidR="006140A1" w:rsidRDefault="006140A1" w:rsidP="00470C91">
      <w:pPr>
        <w:pStyle w:val="ListParagraph"/>
        <w:numPr>
          <w:ilvl w:val="0"/>
          <w:numId w:val="3"/>
        </w:numPr>
        <w:spacing w:before="0" w:after="160" w:line="259" w:lineRule="auto"/>
        <w:ind w:hanging="371"/>
      </w:pPr>
      <w:r>
        <w:t xml:space="preserve">The System Operator uses the information for its </w:t>
      </w:r>
      <w:r w:rsidR="00C868A6">
        <w:t>market and system operations purposes</w:t>
      </w:r>
      <w:r>
        <w:t>.</w:t>
      </w:r>
    </w:p>
    <w:p w14:paraId="610EB6B0" w14:textId="17614DAE" w:rsidR="006140A1" w:rsidRPr="0050162C" w:rsidRDefault="006140A1" w:rsidP="0050162C">
      <w:pPr>
        <w:spacing w:before="180" w:after="120" w:line="288" w:lineRule="auto"/>
        <w:rPr>
          <w:rFonts w:cs="Calibri"/>
          <w:szCs w:val="18"/>
        </w:rPr>
      </w:pPr>
      <w:r w:rsidRPr="0050162C">
        <w:rPr>
          <w:rFonts w:cs="Calibri"/>
          <w:szCs w:val="18"/>
        </w:rPr>
        <w:t xml:space="preserve">Note that data persistence </w:t>
      </w:r>
      <w:r w:rsidR="00A04529">
        <w:rPr>
          <w:rFonts w:cs="Calibri"/>
          <w:szCs w:val="18"/>
        </w:rPr>
        <w:t xml:space="preserve">requirements </w:t>
      </w:r>
      <w:r w:rsidRPr="0050162C">
        <w:rPr>
          <w:rFonts w:cs="Calibri"/>
          <w:szCs w:val="18"/>
        </w:rPr>
        <w:t xml:space="preserve">at each level </w:t>
      </w:r>
      <w:r w:rsidR="00F93750">
        <w:rPr>
          <w:rFonts w:cs="Calibri"/>
          <w:szCs w:val="18"/>
        </w:rPr>
        <w:t>are determined by the system functions and applications at that level,</w:t>
      </w:r>
      <w:r w:rsidRPr="0050162C">
        <w:rPr>
          <w:rFonts w:cs="Calibri"/>
          <w:szCs w:val="18"/>
        </w:rPr>
        <w:t xml:space="preserve"> and also</w:t>
      </w:r>
      <w:r w:rsidR="005C15D1">
        <w:rPr>
          <w:rFonts w:cs="Calibri"/>
          <w:szCs w:val="18"/>
        </w:rPr>
        <w:t>,</w:t>
      </w:r>
      <w:r w:rsidRPr="0050162C">
        <w:rPr>
          <w:rFonts w:cs="Calibri"/>
          <w:szCs w:val="18"/>
        </w:rPr>
        <w:t xml:space="preserve"> some data may have uses at multiple levels and on differing time scales. Also note that </w:t>
      </w:r>
      <w:r w:rsidR="00F03B4B">
        <w:rPr>
          <w:rFonts w:cs="Calibri"/>
          <w:szCs w:val="18"/>
        </w:rPr>
        <w:t>longer-term</w:t>
      </w:r>
      <w:r w:rsidRPr="0050162C">
        <w:rPr>
          <w:rFonts w:cs="Calibri"/>
          <w:szCs w:val="18"/>
        </w:rPr>
        <w:t xml:space="preserve"> planning processes usually have a slightly different industry structure </w:t>
      </w:r>
      <w:r w:rsidR="00210E35">
        <w:rPr>
          <w:rFonts w:cs="Calibri"/>
          <w:szCs w:val="18"/>
        </w:rPr>
        <w:t>from</w:t>
      </w:r>
      <w:r w:rsidR="00210E35" w:rsidRPr="0050162C">
        <w:rPr>
          <w:rFonts w:cs="Calibri"/>
          <w:szCs w:val="18"/>
        </w:rPr>
        <w:t xml:space="preserve"> </w:t>
      </w:r>
      <w:r w:rsidRPr="0050162C">
        <w:rPr>
          <w:rFonts w:cs="Calibri"/>
          <w:szCs w:val="18"/>
        </w:rPr>
        <w:t xml:space="preserve">operational ones, but the </w:t>
      </w:r>
      <w:r w:rsidR="00210E35">
        <w:rPr>
          <w:rFonts w:cs="Calibri"/>
          <w:szCs w:val="18"/>
        </w:rPr>
        <w:t xml:space="preserve">same </w:t>
      </w:r>
      <w:r w:rsidR="00070571">
        <w:rPr>
          <w:rFonts w:cs="Calibri"/>
          <w:szCs w:val="18"/>
        </w:rPr>
        <w:t>concept</w:t>
      </w:r>
      <w:r w:rsidR="00210E35">
        <w:rPr>
          <w:rFonts w:cs="Calibri"/>
          <w:szCs w:val="18"/>
        </w:rPr>
        <w:t xml:space="preserve"> of </w:t>
      </w:r>
      <w:r w:rsidRPr="0050162C">
        <w:rPr>
          <w:rFonts w:cs="Calibri"/>
          <w:szCs w:val="18"/>
        </w:rPr>
        <w:t xml:space="preserve">data rate/information rate </w:t>
      </w:r>
      <w:r w:rsidR="007E0F4E">
        <w:rPr>
          <w:rFonts w:cs="Calibri"/>
          <w:szCs w:val="18"/>
        </w:rPr>
        <w:t>concentra</w:t>
      </w:r>
      <w:r w:rsidR="00F70896">
        <w:rPr>
          <w:rFonts w:cs="Calibri"/>
          <w:szCs w:val="18"/>
        </w:rPr>
        <w:t xml:space="preserve">tion also </w:t>
      </w:r>
      <w:r w:rsidRPr="0050162C">
        <w:rPr>
          <w:rFonts w:cs="Calibri"/>
          <w:szCs w:val="18"/>
        </w:rPr>
        <w:t>applies</w:t>
      </w:r>
      <w:r w:rsidR="00F70896">
        <w:rPr>
          <w:rFonts w:cs="Calibri"/>
          <w:szCs w:val="18"/>
        </w:rPr>
        <w:t xml:space="preserve"> to planning</w:t>
      </w:r>
      <w:r w:rsidRPr="0050162C">
        <w:rPr>
          <w:rFonts w:cs="Calibri"/>
          <w:szCs w:val="18"/>
        </w:rPr>
        <w:t>.</w:t>
      </w:r>
    </w:p>
    <w:p w14:paraId="6D332448" w14:textId="50ED845E" w:rsidR="00BB7EDF" w:rsidRDefault="00C868A6" w:rsidP="005C696E">
      <w:pPr>
        <w:keepNext/>
        <w:spacing w:before="0" w:after="160" w:line="259" w:lineRule="auto"/>
      </w:pPr>
      <w:r>
        <w:rPr>
          <w:noProof/>
        </w:rPr>
        <w:drawing>
          <wp:inline distT="0" distB="0" distL="0" distR="0" wp14:anchorId="42FBE0EB" wp14:editId="5BF4D2CE">
            <wp:extent cx="5385393" cy="3029447"/>
            <wp:effectExtent l="0" t="0" r="6350" b="0"/>
            <wp:docPr id="1005422152" name="Picture 1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2152" name="Picture 16" descr="A diagram of a company&#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9801" cy="3043177"/>
                    </a:xfrm>
                    <a:prstGeom prst="rect">
                      <a:avLst/>
                    </a:prstGeom>
                  </pic:spPr>
                </pic:pic>
              </a:graphicData>
            </a:graphic>
          </wp:inline>
        </w:drawing>
      </w:r>
    </w:p>
    <w:p w14:paraId="30FE2E06" w14:textId="76B238C2" w:rsidR="00CA0E86" w:rsidRDefault="00BB7EDF" w:rsidP="00BB7EDF">
      <w:pPr>
        <w:pStyle w:val="Caption"/>
        <w:ind w:left="426"/>
      </w:pPr>
      <w:bookmarkStart w:id="113" w:name="_Ref195263310"/>
      <w:bookmarkStart w:id="114" w:name="_Toc205377453"/>
      <w:r>
        <w:t xml:space="preserve">Figure </w:t>
      </w:r>
      <w:fldSimple w:instr=" SEQ Figure \* ARABIC ">
        <w:r w:rsidR="00CE6CF1">
          <w:rPr>
            <w:noProof/>
          </w:rPr>
          <w:t>17</w:t>
        </w:r>
      </w:fldSimple>
      <w:bookmarkEnd w:id="113"/>
      <w:r>
        <w:t xml:space="preserve"> - Dataflows viewed from a whole-system perspective, highlighting the value of established data transformation approaches</w:t>
      </w:r>
      <w:bookmarkEnd w:id="114"/>
    </w:p>
    <w:p w14:paraId="0C889CE2" w14:textId="72201B40" w:rsidR="00274DAF" w:rsidRDefault="00BB7EDF" w:rsidP="0050162C">
      <w:pPr>
        <w:spacing w:before="180" w:after="120" w:line="288" w:lineRule="auto"/>
        <w:rPr>
          <w:rFonts w:cs="Calibri"/>
          <w:szCs w:val="18"/>
        </w:rPr>
      </w:pPr>
      <w:r w:rsidRPr="0050162C">
        <w:rPr>
          <w:rFonts w:cs="Calibri"/>
          <w:szCs w:val="18"/>
        </w:rPr>
        <w:fldChar w:fldCharType="begin"/>
      </w:r>
      <w:r w:rsidRPr="0050162C">
        <w:rPr>
          <w:rFonts w:cs="Calibri"/>
          <w:szCs w:val="18"/>
        </w:rPr>
        <w:instrText xml:space="preserve"> REF _Ref195263310 \h </w:instrText>
      </w:r>
      <w:r w:rsidR="0050162C">
        <w:rPr>
          <w:rFonts w:cs="Calibri"/>
          <w:szCs w:val="18"/>
        </w:rPr>
        <w:instrText xml:space="preserve"> \* MERGEFORMAT </w:instrText>
      </w:r>
      <w:r w:rsidRPr="0050162C">
        <w:rPr>
          <w:rFonts w:cs="Calibri"/>
          <w:szCs w:val="18"/>
        </w:rPr>
      </w:r>
      <w:r w:rsidRPr="0050162C">
        <w:rPr>
          <w:rFonts w:cs="Calibri"/>
          <w:szCs w:val="18"/>
        </w:rPr>
        <w:fldChar w:fldCharType="separate"/>
      </w:r>
      <w:r w:rsidR="00CE6CF1" w:rsidRPr="00CE6CF1">
        <w:rPr>
          <w:rFonts w:cs="Calibri"/>
          <w:szCs w:val="18"/>
        </w:rPr>
        <w:t>Figure 17</w:t>
      </w:r>
      <w:r w:rsidRPr="0050162C">
        <w:rPr>
          <w:rFonts w:cs="Calibri"/>
          <w:szCs w:val="18"/>
        </w:rPr>
        <w:fldChar w:fldCharType="end"/>
      </w:r>
      <w:r w:rsidRPr="0050162C">
        <w:rPr>
          <w:rFonts w:cs="Calibri"/>
          <w:szCs w:val="18"/>
        </w:rPr>
        <w:t xml:space="preserve"> </w:t>
      </w:r>
      <w:r w:rsidR="00CA0E86" w:rsidRPr="0050162C">
        <w:rPr>
          <w:rFonts w:cs="Calibri"/>
          <w:szCs w:val="18"/>
        </w:rPr>
        <w:t>emphasise the value of formalised and consistent data transformations</w:t>
      </w:r>
      <w:r w:rsidRPr="0050162C">
        <w:rPr>
          <w:rFonts w:cs="Calibri"/>
          <w:szCs w:val="18"/>
        </w:rPr>
        <w:t xml:space="preserve">. </w:t>
      </w:r>
      <w:r w:rsidR="004D0452" w:rsidRPr="0050162C">
        <w:rPr>
          <w:rFonts w:cs="Calibri"/>
          <w:szCs w:val="18"/>
        </w:rPr>
        <w:t xml:space="preserve">Viewed from a whole-system perspective, </w:t>
      </w:r>
      <w:r w:rsidR="005B33C8" w:rsidRPr="0050162C">
        <w:rPr>
          <w:rFonts w:cs="Calibri"/>
          <w:szCs w:val="18"/>
        </w:rPr>
        <w:t xml:space="preserve">providing low-level data with </w:t>
      </w:r>
      <w:r w:rsidR="00F50109">
        <w:rPr>
          <w:rFonts w:cs="Calibri"/>
          <w:szCs w:val="18"/>
        </w:rPr>
        <w:t>in</w:t>
      </w:r>
      <w:r w:rsidR="005B33C8" w:rsidRPr="0050162C">
        <w:rPr>
          <w:rFonts w:cs="Calibri"/>
          <w:szCs w:val="18"/>
        </w:rPr>
        <w:t xml:space="preserve">sufficient analytics </w:t>
      </w:r>
      <w:r w:rsidR="00735A2A">
        <w:rPr>
          <w:rFonts w:cs="Calibri"/>
          <w:szCs w:val="18"/>
        </w:rPr>
        <w:t xml:space="preserve">is not </w:t>
      </w:r>
      <w:r w:rsidR="004F3B3A">
        <w:rPr>
          <w:rFonts w:cs="Calibri"/>
          <w:szCs w:val="18"/>
        </w:rPr>
        <w:t>effective or useful for</w:t>
      </w:r>
      <w:r w:rsidR="005B33C8" w:rsidRPr="0050162C">
        <w:rPr>
          <w:rFonts w:cs="Calibri"/>
          <w:szCs w:val="18"/>
        </w:rPr>
        <w:t xml:space="preserve"> </w:t>
      </w:r>
      <w:r w:rsidR="00F41BAC" w:rsidRPr="0050162C">
        <w:rPr>
          <w:rFonts w:cs="Calibri"/>
          <w:szCs w:val="18"/>
        </w:rPr>
        <w:t xml:space="preserve">the System Operator. </w:t>
      </w:r>
      <w:r w:rsidR="004A221B" w:rsidRPr="0050162C">
        <w:rPr>
          <w:rFonts w:cs="Calibri"/>
          <w:szCs w:val="18"/>
        </w:rPr>
        <w:t xml:space="preserve">At the </w:t>
      </w:r>
      <w:r w:rsidR="001F29E1">
        <w:rPr>
          <w:rFonts w:cs="Calibri"/>
          <w:szCs w:val="18"/>
        </w:rPr>
        <w:t>level of the bulk power system</w:t>
      </w:r>
      <w:r w:rsidR="004A221B" w:rsidRPr="0050162C">
        <w:rPr>
          <w:rFonts w:cs="Calibri"/>
          <w:szCs w:val="18"/>
        </w:rPr>
        <w:t xml:space="preserve">, </w:t>
      </w:r>
      <w:r w:rsidR="001F29E1">
        <w:rPr>
          <w:rFonts w:cs="Calibri"/>
          <w:szCs w:val="18"/>
        </w:rPr>
        <w:t>the System Operator</w:t>
      </w:r>
      <w:r w:rsidR="004A221B" w:rsidRPr="0050162C">
        <w:rPr>
          <w:rFonts w:cs="Calibri"/>
          <w:szCs w:val="18"/>
        </w:rPr>
        <w:t xml:space="preserve"> </w:t>
      </w:r>
      <w:r w:rsidR="004F3B3A">
        <w:rPr>
          <w:rFonts w:cs="Calibri"/>
          <w:szCs w:val="18"/>
        </w:rPr>
        <w:t>only require</w:t>
      </w:r>
      <w:r w:rsidR="001F29E1">
        <w:rPr>
          <w:rFonts w:cs="Calibri"/>
          <w:szCs w:val="18"/>
        </w:rPr>
        <w:t>s</w:t>
      </w:r>
      <w:r w:rsidR="004F3B3A">
        <w:rPr>
          <w:rFonts w:cs="Calibri"/>
          <w:szCs w:val="18"/>
        </w:rPr>
        <w:t xml:space="preserve"> </w:t>
      </w:r>
      <w:r w:rsidR="00AE4EA0">
        <w:rPr>
          <w:rFonts w:cs="Calibri"/>
          <w:szCs w:val="18"/>
        </w:rPr>
        <w:t xml:space="preserve">an </w:t>
      </w:r>
      <w:r w:rsidR="004A221B" w:rsidRPr="0050162C">
        <w:rPr>
          <w:rFonts w:cs="Calibri"/>
          <w:szCs w:val="18"/>
        </w:rPr>
        <w:t>aggregated</w:t>
      </w:r>
      <w:r w:rsidR="004F3B3A">
        <w:rPr>
          <w:rFonts w:cs="Calibri"/>
          <w:szCs w:val="18"/>
        </w:rPr>
        <w:t xml:space="preserve"> understanding </w:t>
      </w:r>
      <w:r w:rsidR="004A221B" w:rsidRPr="0050162C">
        <w:rPr>
          <w:rFonts w:cs="Calibri"/>
          <w:szCs w:val="18"/>
        </w:rPr>
        <w:t xml:space="preserve">of </w:t>
      </w:r>
      <w:r w:rsidR="00274DAF">
        <w:rPr>
          <w:rFonts w:cs="Calibri"/>
          <w:szCs w:val="18"/>
        </w:rPr>
        <w:t>activity within the distribution operating zone</w:t>
      </w:r>
      <w:r w:rsidR="007E6FF5" w:rsidRPr="0050162C">
        <w:rPr>
          <w:rFonts w:cs="Calibri"/>
          <w:szCs w:val="18"/>
        </w:rPr>
        <w:t xml:space="preserve">. </w:t>
      </w:r>
    </w:p>
    <w:p w14:paraId="010C144F" w14:textId="53A3E4AB" w:rsidR="00B22DC5" w:rsidRPr="0050162C" w:rsidRDefault="006140A1" w:rsidP="0050162C">
      <w:pPr>
        <w:spacing w:before="180" w:after="120" w:line="288" w:lineRule="auto"/>
        <w:rPr>
          <w:rFonts w:cs="Calibri"/>
          <w:szCs w:val="18"/>
        </w:rPr>
      </w:pPr>
      <w:r w:rsidRPr="0050162C">
        <w:rPr>
          <w:rFonts w:cs="Calibri"/>
          <w:szCs w:val="18"/>
        </w:rPr>
        <w:lastRenderedPageBreak/>
        <w:t xml:space="preserve">Application of the data/information funnel concept along with the other structural principles </w:t>
      </w:r>
      <w:r w:rsidR="00D466C3">
        <w:rPr>
          <w:rFonts w:cs="Calibri"/>
          <w:szCs w:val="18"/>
        </w:rPr>
        <w:t>is highly relevant in for this purpose in a high</w:t>
      </w:r>
      <w:r w:rsidR="001F29E1">
        <w:rPr>
          <w:rFonts w:cs="Calibri"/>
          <w:szCs w:val="18"/>
        </w:rPr>
        <w:t>-CER/</w:t>
      </w:r>
      <w:r w:rsidR="00D466C3">
        <w:rPr>
          <w:rFonts w:cs="Calibri"/>
          <w:szCs w:val="18"/>
        </w:rPr>
        <w:t xml:space="preserve">DER context. </w:t>
      </w:r>
      <w:r w:rsidR="001637F4">
        <w:rPr>
          <w:rFonts w:cs="Calibri"/>
          <w:szCs w:val="18"/>
        </w:rPr>
        <w:t xml:space="preserve">This can </w:t>
      </w:r>
      <w:r w:rsidRPr="0050162C">
        <w:rPr>
          <w:rFonts w:cs="Calibri"/>
          <w:szCs w:val="18"/>
        </w:rPr>
        <w:t xml:space="preserve">provide </w:t>
      </w:r>
      <w:r w:rsidR="00BB7EDF" w:rsidRPr="0050162C">
        <w:rPr>
          <w:rFonts w:cs="Calibri"/>
          <w:szCs w:val="18"/>
        </w:rPr>
        <w:t>guidance</w:t>
      </w:r>
      <w:r w:rsidRPr="0050162C">
        <w:rPr>
          <w:rFonts w:cs="Calibri"/>
          <w:szCs w:val="18"/>
        </w:rPr>
        <w:t xml:space="preserve"> for how to design </w:t>
      </w:r>
      <w:r w:rsidR="001637F4">
        <w:rPr>
          <w:rFonts w:cs="Calibri"/>
          <w:szCs w:val="18"/>
        </w:rPr>
        <w:t xml:space="preserve">the required TDC roles and required </w:t>
      </w:r>
      <w:r w:rsidR="00AA39CD" w:rsidRPr="0050162C">
        <w:rPr>
          <w:rFonts w:cs="Calibri"/>
          <w:szCs w:val="18"/>
        </w:rPr>
        <w:t>capabilities</w:t>
      </w:r>
      <w:r w:rsidRPr="0050162C">
        <w:rPr>
          <w:rFonts w:cs="Calibri"/>
          <w:szCs w:val="18"/>
        </w:rPr>
        <w:t xml:space="preserve">, where to place functionalities, </w:t>
      </w:r>
      <w:r w:rsidR="00863BA4">
        <w:rPr>
          <w:rFonts w:cs="Calibri"/>
          <w:szCs w:val="18"/>
        </w:rPr>
        <w:t xml:space="preserve">how to specify interfaces and protocols, </w:t>
      </w:r>
      <w:r w:rsidRPr="0050162C">
        <w:rPr>
          <w:rFonts w:cs="Calibri"/>
          <w:szCs w:val="18"/>
        </w:rPr>
        <w:t>and how to align data and communications structure with entity functions.</w:t>
      </w:r>
    </w:p>
    <w:p w14:paraId="49D8E88B" w14:textId="0DD5F48B" w:rsidR="003958F5" w:rsidRPr="00887A8E" w:rsidRDefault="002A3EF6" w:rsidP="00564074">
      <w:pPr>
        <w:pStyle w:val="Heading2"/>
        <w:spacing w:before="240"/>
        <w:ind w:left="578" w:hanging="578"/>
      </w:pPr>
      <w:bookmarkStart w:id="115" w:name="_Toc205532852"/>
      <w:r w:rsidRPr="00887A8E">
        <w:t>Support</w:t>
      </w:r>
      <w:r w:rsidR="00C95221" w:rsidRPr="00887A8E">
        <w:t xml:space="preserve"> m</w:t>
      </w:r>
      <w:r w:rsidR="00D10378" w:rsidRPr="00887A8E">
        <w:t>ulti-layered o</w:t>
      </w:r>
      <w:r w:rsidR="003958F5" w:rsidRPr="00887A8E">
        <w:t>perational visibility and predictability</w:t>
      </w:r>
      <w:bookmarkEnd w:id="115"/>
      <w:r w:rsidR="003958F5" w:rsidRPr="00887A8E">
        <w:t xml:space="preserve"> </w:t>
      </w:r>
    </w:p>
    <w:p w14:paraId="388243DD" w14:textId="6E6F23C9" w:rsidR="001460F2" w:rsidRPr="0050162C" w:rsidRDefault="001460F2" w:rsidP="0050162C">
      <w:pPr>
        <w:spacing w:before="180" w:after="120" w:line="288" w:lineRule="auto"/>
        <w:rPr>
          <w:rFonts w:cs="Calibri"/>
          <w:szCs w:val="18"/>
        </w:rPr>
      </w:pPr>
      <w:r w:rsidRPr="0050162C">
        <w:rPr>
          <w:rFonts w:cs="Calibri"/>
          <w:szCs w:val="18"/>
        </w:rPr>
        <w:t xml:space="preserve">A much more bi-directional, dynamic and complex power system requires a step-change in </w:t>
      </w:r>
      <w:r w:rsidR="00D8179E" w:rsidRPr="0050162C">
        <w:rPr>
          <w:rFonts w:cs="Calibri"/>
          <w:szCs w:val="18"/>
        </w:rPr>
        <w:t xml:space="preserve">operational </w:t>
      </w:r>
      <w:r w:rsidRPr="0050162C">
        <w:rPr>
          <w:rFonts w:cs="Calibri"/>
          <w:szCs w:val="18"/>
        </w:rPr>
        <w:t xml:space="preserve">coordination between both </w:t>
      </w:r>
      <w:r w:rsidR="00602FA5">
        <w:rPr>
          <w:rFonts w:cs="Calibri"/>
          <w:szCs w:val="18"/>
        </w:rPr>
        <w:t>“</w:t>
      </w:r>
      <w:r w:rsidRPr="0050162C">
        <w:rPr>
          <w:rFonts w:cs="Calibri"/>
          <w:szCs w:val="18"/>
        </w:rPr>
        <w:t>ends</w:t>
      </w:r>
      <w:r w:rsidR="00602FA5">
        <w:rPr>
          <w:rFonts w:cs="Calibri"/>
          <w:szCs w:val="18"/>
        </w:rPr>
        <w:t>”</w:t>
      </w:r>
      <w:r w:rsidRPr="0050162C">
        <w:rPr>
          <w:rFonts w:cs="Calibri"/>
          <w:szCs w:val="18"/>
        </w:rPr>
        <w:t xml:space="preserve"> of the</w:t>
      </w:r>
      <w:r w:rsidR="00A76390">
        <w:rPr>
          <w:rFonts w:cs="Calibri"/>
          <w:szCs w:val="18"/>
        </w:rPr>
        <w:t xml:space="preserve"> electrical power</w:t>
      </w:r>
      <w:r w:rsidRPr="0050162C">
        <w:rPr>
          <w:rFonts w:cs="Calibri"/>
          <w:szCs w:val="18"/>
        </w:rPr>
        <w:t xml:space="preserve"> system. </w:t>
      </w:r>
      <w:r w:rsidR="00D8179E" w:rsidRPr="0050162C">
        <w:rPr>
          <w:rFonts w:cs="Calibri"/>
          <w:szCs w:val="18"/>
        </w:rPr>
        <w:t xml:space="preserve">A key </w:t>
      </w:r>
      <w:r w:rsidR="00A15EFF" w:rsidRPr="0050162C">
        <w:rPr>
          <w:rFonts w:cs="Calibri"/>
          <w:szCs w:val="18"/>
        </w:rPr>
        <w:t>enable</w:t>
      </w:r>
      <w:r w:rsidR="00C128A1" w:rsidRPr="0050162C">
        <w:rPr>
          <w:rFonts w:cs="Calibri"/>
          <w:szCs w:val="18"/>
        </w:rPr>
        <w:t>r</w:t>
      </w:r>
      <w:r w:rsidR="00A15EFF" w:rsidRPr="0050162C">
        <w:rPr>
          <w:rFonts w:cs="Calibri"/>
          <w:szCs w:val="18"/>
        </w:rPr>
        <w:t xml:space="preserve"> of whole-system coordination is visibility and </w:t>
      </w:r>
      <w:r w:rsidR="00BE212B" w:rsidRPr="0050162C">
        <w:rPr>
          <w:rFonts w:cs="Calibri"/>
          <w:szCs w:val="18"/>
        </w:rPr>
        <w:t xml:space="preserve">predictability. </w:t>
      </w:r>
    </w:p>
    <w:p w14:paraId="408A606E" w14:textId="65030AE9" w:rsidR="00C9258D" w:rsidRDefault="000C6BC2" w:rsidP="0050162C">
      <w:pPr>
        <w:spacing w:before="180" w:after="120" w:line="288" w:lineRule="auto"/>
        <w:rPr>
          <w:rFonts w:cs="Calibri"/>
          <w:szCs w:val="18"/>
        </w:rPr>
      </w:pPr>
      <w:r w:rsidRPr="0050162C">
        <w:rPr>
          <w:rFonts w:cs="Calibri"/>
          <w:szCs w:val="18"/>
        </w:rPr>
        <w:t>In the US, the North American Electric Reliability Corporation (NERC) highlights that the rapid growth of DPV</w:t>
      </w:r>
      <w:r w:rsidR="006C383A">
        <w:rPr>
          <w:rFonts w:cs="Calibri"/>
          <w:szCs w:val="18"/>
        </w:rPr>
        <w:t>,</w:t>
      </w:r>
      <w:r w:rsidRPr="0050162C">
        <w:rPr>
          <w:rFonts w:cs="Calibri"/>
          <w:szCs w:val="18"/>
        </w:rPr>
        <w:t xml:space="preserve"> and the increasing adoption of EVs</w:t>
      </w:r>
      <w:r w:rsidR="006C383A">
        <w:rPr>
          <w:rFonts w:cs="Calibri"/>
          <w:szCs w:val="18"/>
        </w:rPr>
        <w:t>, each</w:t>
      </w:r>
      <w:r w:rsidRPr="0050162C">
        <w:rPr>
          <w:rFonts w:cs="Calibri"/>
          <w:szCs w:val="18"/>
        </w:rPr>
        <w:t xml:space="preserve"> contribute to increased </w:t>
      </w:r>
      <w:r w:rsidR="00D856A4">
        <w:rPr>
          <w:rFonts w:cs="Calibri"/>
          <w:szCs w:val="18"/>
        </w:rPr>
        <w:t xml:space="preserve">variability in </w:t>
      </w:r>
      <w:r w:rsidRPr="0050162C">
        <w:rPr>
          <w:rFonts w:cs="Calibri"/>
          <w:szCs w:val="18"/>
        </w:rPr>
        <w:t xml:space="preserve">net load, which impacts the bulk power system's reliability. DPV generation can fluctuate significantly within short periods (e.g., cloud cover moving across a region). This intermittent nature creates challenges in maintaining a steady power </w:t>
      </w:r>
      <w:r w:rsidR="0082674C">
        <w:rPr>
          <w:rFonts w:cs="Calibri"/>
          <w:szCs w:val="18"/>
        </w:rPr>
        <w:t xml:space="preserve">balance across </w:t>
      </w:r>
      <w:r w:rsidRPr="0050162C">
        <w:rPr>
          <w:rFonts w:cs="Calibri"/>
          <w:szCs w:val="18"/>
        </w:rPr>
        <w:t xml:space="preserve">the grid, as the bulk system needs to respond to sudden drops in </w:t>
      </w:r>
      <w:r w:rsidR="00CB370B">
        <w:rPr>
          <w:rFonts w:cs="Calibri"/>
          <w:szCs w:val="18"/>
        </w:rPr>
        <w:t>distri</w:t>
      </w:r>
      <w:r w:rsidR="00AC6952">
        <w:rPr>
          <w:rFonts w:cs="Calibri"/>
          <w:szCs w:val="18"/>
        </w:rPr>
        <w:t xml:space="preserve">buted </w:t>
      </w:r>
      <w:r w:rsidRPr="0050162C">
        <w:rPr>
          <w:rFonts w:cs="Calibri"/>
          <w:szCs w:val="18"/>
        </w:rPr>
        <w:t xml:space="preserve">generation by ramping up other generation sources. </w:t>
      </w:r>
      <w:r w:rsidR="00AC6952">
        <w:rPr>
          <w:rFonts w:cs="Calibri"/>
          <w:szCs w:val="18"/>
        </w:rPr>
        <w:t xml:space="preserve">The </w:t>
      </w:r>
      <w:r w:rsidRPr="0050162C">
        <w:rPr>
          <w:rFonts w:cs="Calibri"/>
          <w:szCs w:val="18"/>
        </w:rPr>
        <w:t xml:space="preserve">Midcontinent Independent System Operator (MISO) and other ISO/RTOs have reported that DPV variability makes it difficult to </w:t>
      </w:r>
      <w:r w:rsidR="00AC6952">
        <w:rPr>
          <w:rFonts w:cs="Calibri"/>
          <w:szCs w:val="18"/>
        </w:rPr>
        <w:t xml:space="preserve">accurately </w:t>
      </w:r>
      <w:r w:rsidRPr="0050162C">
        <w:rPr>
          <w:rFonts w:cs="Calibri"/>
          <w:szCs w:val="18"/>
        </w:rPr>
        <w:t>forecast net load, exacerbating the challenges of managing supply and demand in real-time</w:t>
      </w:r>
      <w:r w:rsidR="00772EEE">
        <w:rPr>
          <w:rFonts w:cs="Calibri"/>
          <w:szCs w:val="18"/>
        </w:rPr>
        <w:t xml:space="preserve">. </w:t>
      </w:r>
      <w:r w:rsidRPr="0050162C">
        <w:rPr>
          <w:rFonts w:cs="Calibri"/>
          <w:szCs w:val="18"/>
        </w:rPr>
        <w:t xml:space="preserve">Consumer EV charging </w:t>
      </w:r>
      <w:r w:rsidR="007D6F7A">
        <w:rPr>
          <w:rFonts w:cs="Calibri"/>
          <w:szCs w:val="18"/>
        </w:rPr>
        <w:t xml:space="preserve">on the demand side </w:t>
      </w:r>
      <w:r w:rsidRPr="0050162C">
        <w:rPr>
          <w:rFonts w:cs="Calibri"/>
          <w:szCs w:val="18"/>
        </w:rPr>
        <w:t xml:space="preserve">creates another emergent </w:t>
      </w:r>
      <w:r w:rsidR="007D6F7A">
        <w:rPr>
          <w:rFonts w:cs="Calibri"/>
          <w:szCs w:val="18"/>
        </w:rPr>
        <w:t>source</w:t>
      </w:r>
      <w:r w:rsidR="007D6F7A" w:rsidRPr="0050162C">
        <w:rPr>
          <w:rFonts w:cs="Calibri"/>
          <w:szCs w:val="18"/>
        </w:rPr>
        <w:t xml:space="preserve"> </w:t>
      </w:r>
      <w:r w:rsidRPr="0050162C">
        <w:rPr>
          <w:rFonts w:cs="Calibri"/>
          <w:szCs w:val="18"/>
        </w:rPr>
        <w:t>of variability in the bulk power system. EV charging demand can be highly unpredictable, depending on consumer behaviour, such as when and where consumers charge their vehicles. This variability could lead to significant fluctuations in demand, particularly during peak demand periods when many EV</w:t>
      </w:r>
      <w:r w:rsidR="00884DBF">
        <w:rPr>
          <w:rFonts w:cs="Calibri"/>
          <w:szCs w:val="18"/>
        </w:rPr>
        <w:t xml:space="preserve"> </w:t>
      </w:r>
      <w:r w:rsidR="00AA39CD">
        <w:rPr>
          <w:rFonts w:cs="Calibri"/>
          <w:szCs w:val="18"/>
        </w:rPr>
        <w:t>chargers</w:t>
      </w:r>
      <w:r w:rsidRPr="0050162C">
        <w:rPr>
          <w:rFonts w:cs="Calibri"/>
          <w:szCs w:val="18"/>
        </w:rPr>
        <w:t xml:space="preserve"> may be plugged in simultaneously. </w:t>
      </w:r>
    </w:p>
    <w:p w14:paraId="471B1344" w14:textId="4E520A24" w:rsidR="00A53CDF" w:rsidRDefault="002E698C" w:rsidP="00DE3589">
      <w:pPr>
        <w:keepNext/>
        <w:spacing w:before="180" w:after="120" w:line="288" w:lineRule="auto"/>
        <w:jc w:val="center"/>
      </w:pPr>
      <w:bookmarkStart w:id="116" w:name="Figure_18"/>
      <w:r w:rsidRPr="002E698C">
        <w:rPr>
          <w:noProof/>
        </w:rPr>
        <w:drawing>
          <wp:inline distT="0" distB="0" distL="0" distR="0" wp14:anchorId="52B068B7" wp14:editId="4200FDBF">
            <wp:extent cx="3779162" cy="2800350"/>
            <wp:effectExtent l="0" t="0" r="0" b="0"/>
            <wp:docPr id="5031627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6375" cy="2813105"/>
                    </a:xfrm>
                    <a:prstGeom prst="rect">
                      <a:avLst/>
                    </a:prstGeom>
                    <a:noFill/>
                    <a:ln>
                      <a:noFill/>
                    </a:ln>
                  </pic:spPr>
                </pic:pic>
              </a:graphicData>
            </a:graphic>
          </wp:inline>
        </w:drawing>
      </w:r>
      <w:bookmarkEnd w:id="116"/>
    </w:p>
    <w:p w14:paraId="573542FA" w14:textId="3A06BA23" w:rsidR="00DA4754" w:rsidRDefault="00A53CDF" w:rsidP="00DE3589">
      <w:pPr>
        <w:pStyle w:val="Caption"/>
        <w:rPr>
          <w:rFonts w:cs="Calibri"/>
          <w:szCs w:val="18"/>
        </w:rPr>
      </w:pPr>
      <w:bookmarkStart w:id="117" w:name="_Toc205377454"/>
      <w:r>
        <w:t xml:space="preserve">Figure </w:t>
      </w:r>
      <w:fldSimple w:instr=" SEQ Figure \* ARABIC ">
        <w:r w:rsidR="00CE6CF1">
          <w:rPr>
            <w:noProof/>
          </w:rPr>
          <w:t>18</w:t>
        </w:r>
      </w:fldSimple>
      <w:r>
        <w:t xml:space="preserve"> - Example Solar Variability Over One Day</w:t>
      </w:r>
      <w:r w:rsidR="00EA7B34">
        <w:t xml:space="preserve"> </w:t>
      </w:r>
      <w:hyperlink w:anchor="Ref_18" w:history="1">
        <w:r w:rsidR="00EA7B34" w:rsidRPr="00EA7B34">
          <w:rPr>
            <w:rStyle w:val="Hyperlink"/>
            <w:noProof/>
            <w:lang w:val="en-GB"/>
          </w:rPr>
          <w:t>[18]</w:t>
        </w:r>
        <w:bookmarkEnd w:id="117"/>
      </w:hyperlink>
    </w:p>
    <w:p w14:paraId="2E23477E" w14:textId="5DBCD333" w:rsidR="000C6BC2" w:rsidRPr="0050162C" w:rsidRDefault="000C6BC2" w:rsidP="0050162C">
      <w:pPr>
        <w:spacing w:before="180" w:after="120" w:line="288" w:lineRule="auto"/>
        <w:rPr>
          <w:rFonts w:cs="Calibri"/>
          <w:szCs w:val="18"/>
        </w:rPr>
      </w:pPr>
      <w:r w:rsidRPr="0050162C">
        <w:rPr>
          <w:rFonts w:cs="Calibri"/>
          <w:szCs w:val="18"/>
        </w:rPr>
        <w:lastRenderedPageBreak/>
        <w:t>The combined effects of DPV and EV charging on net demand variability are increasingly significant. The New York Independent System Operator (NYISO) reported that day-ahead net load forecast errors have become “significant in magnitude and duration.” NYISO found that based on a historical analysis of 2021-2022, there were several hourly instances where the day-ahead net load forecast errors exceeded the size of the largest generator contingency</w:t>
      </w:r>
      <w:r w:rsidR="00AF5934">
        <w:rPr>
          <w:rFonts w:cs="Calibri"/>
          <w:szCs w:val="18"/>
        </w:rPr>
        <w:t xml:space="preserve">, thereby becoming the </w:t>
      </w:r>
      <w:r w:rsidR="00AA39CD">
        <w:rPr>
          <w:rFonts w:cs="Calibri"/>
          <w:szCs w:val="18"/>
        </w:rPr>
        <w:t>in-principle</w:t>
      </w:r>
      <w:r w:rsidR="00AF5934">
        <w:rPr>
          <w:rFonts w:cs="Calibri"/>
          <w:szCs w:val="18"/>
        </w:rPr>
        <w:t xml:space="preserve"> determinant of required emergency reserve capacity</w:t>
      </w:r>
      <w:r w:rsidRPr="0050162C">
        <w:rPr>
          <w:rFonts w:cs="Calibri"/>
          <w:szCs w:val="18"/>
        </w:rPr>
        <w:t xml:space="preserve">. The distribution system, including connected distributed resources and EV charging, effectively creates demand variability in the bulk power system. </w:t>
      </w:r>
    </w:p>
    <w:p w14:paraId="17CD3ED9" w14:textId="4AFD5D1B" w:rsidR="00DC232E" w:rsidRDefault="00195628" w:rsidP="0050162C">
      <w:pPr>
        <w:spacing w:before="180" w:after="120" w:line="288" w:lineRule="auto"/>
        <w:rPr>
          <w:rFonts w:cs="Calibri"/>
        </w:rPr>
      </w:pPr>
      <w:r w:rsidRPr="2ABCBCD5">
        <w:rPr>
          <w:rFonts w:cs="Calibri"/>
        </w:rPr>
        <w:t>T-D Coordination</w:t>
      </w:r>
      <w:r w:rsidR="000C6BC2" w:rsidRPr="2ABCBCD5">
        <w:rPr>
          <w:rFonts w:cs="Calibri"/>
        </w:rPr>
        <w:t xml:space="preserve"> will need to evolve in parallel with the still-maturing ability to forecast much more dynamic supply and demand. This will require new tools, data sharing and coordination mechanisms to ensure</w:t>
      </w:r>
      <w:r w:rsidR="00A87033" w:rsidRPr="00A87033">
        <w:rPr>
          <w:rFonts w:cs="Calibri"/>
        </w:rPr>
        <w:t xml:space="preserve"> </w:t>
      </w:r>
      <w:r w:rsidR="00A87033">
        <w:rPr>
          <w:rFonts w:cs="Calibri"/>
        </w:rPr>
        <w:t>the electrical power system</w:t>
      </w:r>
      <w:r w:rsidR="000C6BC2" w:rsidRPr="2ABCBCD5">
        <w:rPr>
          <w:rFonts w:cs="Calibri"/>
        </w:rPr>
        <w:t xml:space="preserve"> remains stable, reliable, and capable of integrating more DER without jeopardising system security. </w:t>
      </w:r>
      <w:r w:rsidR="00B77C3E" w:rsidRPr="2ABCBCD5">
        <w:rPr>
          <w:rFonts w:cs="Calibri"/>
        </w:rPr>
        <w:t xml:space="preserve">Currently, </w:t>
      </w:r>
      <w:r w:rsidR="00122321">
        <w:rPr>
          <w:rFonts w:cs="Calibri"/>
        </w:rPr>
        <w:t>DNSP</w:t>
      </w:r>
      <w:r w:rsidR="00122321" w:rsidRPr="2ABCBCD5">
        <w:rPr>
          <w:rFonts w:cs="Calibri"/>
        </w:rPr>
        <w:t xml:space="preserve">s </w:t>
      </w:r>
      <w:r w:rsidR="006505B5" w:rsidRPr="2ABCBCD5">
        <w:rPr>
          <w:rFonts w:cs="Calibri"/>
        </w:rPr>
        <w:t xml:space="preserve">prepare and </w:t>
      </w:r>
      <w:r w:rsidR="008D4119" w:rsidRPr="2ABCBCD5">
        <w:rPr>
          <w:rFonts w:cs="Calibri"/>
        </w:rPr>
        <w:t xml:space="preserve">act-on their own forecasting capabilities, such </w:t>
      </w:r>
      <w:r w:rsidR="00A87033">
        <w:rPr>
          <w:rFonts w:cs="Calibri"/>
        </w:rPr>
        <w:t xml:space="preserve">as for </w:t>
      </w:r>
      <w:r w:rsidR="008D4119" w:rsidRPr="2ABCBCD5">
        <w:rPr>
          <w:rFonts w:cs="Calibri"/>
        </w:rPr>
        <w:t>solar irradiance and cloud movement, for the purposes of network management</w:t>
      </w:r>
      <w:r w:rsidR="00BB2EAD" w:rsidRPr="2ABCBCD5">
        <w:rPr>
          <w:rFonts w:cs="Calibri"/>
        </w:rPr>
        <w:t xml:space="preserve"> and calculating operating envelopes</w:t>
      </w:r>
      <w:r w:rsidR="00DA154A" w:rsidRPr="2ABCBCD5">
        <w:rPr>
          <w:rFonts w:cs="Calibri"/>
        </w:rPr>
        <w:t xml:space="preserve">. </w:t>
      </w:r>
    </w:p>
    <w:p w14:paraId="66B58D48" w14:textId="7602D174" w:rsidR="007C203E" w:rsidRPr="0050162C" w:rsidRDefault="00DA154A" w:rsidP="0050162C">
      <w:pPr>
        <w:spacing w:before="180" w:after="120" w:line="288" w:lineRule="auto"/>
        <w:rPr>
          <w:rFonts w:cs="Calibri"/>
        </w:rPr>
      </w:pPr>
      <w:r w:rsidRPr="2ABCBCD5">
        <w:rPr>
          <w:rFonts w:cs="Calibri"/>
        </w:rPr>
        <w:t xml:space="preserve">These </w:t>
      </w:r>
      <w:r w:rsidR="002058CB">
        <w:rPr>
          <w:rFonts w:cs="Calibri"/>
        </w:rPr>
        <w:t xml:space="preserve">DSO </w:t>
      </w:r>
      <w:r w:rsidRPr="2ABCBCD5">
        <w:rPr>
          <w:rFonts w:cs="Calibri"/>
        </w:rPr>
        <w:t xml:space="preserve">forecasting regimes </w:t>
      </w:r>
      <w:r w:rsidR="00A975BB" w:rsidRPr="2ABCBCD5">
        <w:rPr>
          <w:rFonts w:cs="Calibri"/>
        </w:rPr>
        <w:t>may</w:t>
      </w:r>
      <w:r w:rsidR="007540CE">
        <w:rPr>
          <w:rFonts w:cs="Calibri"/>
        </w:rPr>
        <w:t>,</w:t>
      </w:r>
      <w:r w:rsidR="00A975BB" w:rsidRPr="2ABCBCD5">
        <w:rPr>
          <w:rFonts w:cs="Calibri"/>
        </w:rPr>
        <w:t xml:space="preserve"> in many instances</w:t>
      </w:r>
      <w:r w:rsidR="007540CE">
        <w:rPr>
          <w:rFonts w:cs="Calibri"/>
        </w:rPr>
        <w:t>,</w:t>
      </w:r>
      <w:r w:rsidR="00A975BB" w:rsidRPr="2ABCBCD5">
        <w:rPr>
          <w:rFonts w:cs="Calibri"/>
        </w:rPr>
        <w:t xml:space="preserve"> be superior to that of the ISO/RTO, given </w:t>
      </w:r>
      <w:r w:rsidR="00697769" w:rsidRPr="2ABCBCD5">
        <w:rPr>
          <w:rFonts w:cs="Calibri"/>
        </w:rPr>
        <w:t>organisational</w:t>
      </w:r>
      <w:r w:rsidR="00A975BB" w:rsidRPr="2ABCBCD5">
        <w:rPr>
          <w:rFonts w:cs="Calibri"/>
        </w:rPr>
        <w:t xml:space="preserve"> </w:t>
      </w:r>
      <w:r w:rsidR="00A221CE" w:rsidRPr="2ABCBCD5">
        <w:rPr>
          <w:rFonts w:cs="Calibri"/>
        </w:rPr>
        <w:t>knowledge of the service territory</w:t>
      </w:r>
      <w:r w:rsidR="003021AD" w:rsidRPr="2ABCBCD5">
        <w:rPr>
          <w:rFonts w:cs="Calibri"/>
        </w:rPr>
        <w:t xml:space="preserve"> </w:t>
      </w:r>
      <w:r w:rsidR="00A975BB" w:rsidRPr="2ABCBCD5">
        <w:rPr>
          <w:rFonts w:cs="Calibri"/>
        </w:rPr>
        <w:t xml:space="preserve">and </w:t>
      </w:r>
      <w:r w:rsidR="00F973CC" w:rsidRPr="00F973CC">
        <w:rPr>
          <w:rFonts w:cs="Calibri"/>
        </w:rPr>
        <w:t xml:space="preserve">complementary </w:t>
      </w:r>
      <w:r w:rsidR="00A975BB" w:rsidRPr="2ABCBCD5">
        <w:rPr>
          <w:rFonts w:cs="Calibri"/>
        </w:rPr>
        <w:t xml:space="preserve">data feeds </w:t>
      </w:r>
      <w:r w:rsidR="00A221CE" w:rsidRPr="2ABCBCD5">
        <w:rPr>
          <w:rFonts w:cs="Calibri"/>
        </w:rPr>
        <w:t xml:space="preserve">available to them. </w:t>
      </w:r>
      <w:r w:rsidR="0016441D" w:rsidRPr="2ABCBCD5">
        <w:rPr>
          <w:rFonts w:cs="Calibri"/>
        </w:rPr>
        <w:t>In some cases, the ISO/RTO</w:t>
      </w:r>
      <w:r w:rsidR="00873573" w:rsidRPr="2ABCBCD5">
        <w:rPr>
          <w:rFonts w:cs="Calibri"/>
        </w:rPr>
        <w:t xml:space="preserve"> will separately</w:t>
      </w:r>
      <w:r w:rsidR="00FE7730">
        <w:rPr>
          <w:rFonts w:cs="Calibri"/>
        </w:rPr>
        <w:t xml:space="preserve"> to DSOs</w:t>
      </w:r>
      <w:r w:rsidR="006B2022">
        <w:rPr>
          <w:rFonts w:cs="Calibri"/>
        </w:rPr>
        <w:t>,</w:t>
      </w:r>
      <w:r w:rsidR="00873573" w:rsidRPr="2ABCBCD5">
        <w:rPr>
          <w:rFonts w:cs="Calibri"/>
        </w:rPr>
        <w:t xml:space="preserve"> </w:t>
      </w:r>
      <w:r w:rsidR="00895E64" w:rsidRPr="2ABCBCD5">
        <w:rPr>
          <w:rFonts w:cs="Calibri"/>
        </w:rPr>
        <w:t xml:space="preserve">forecast </w:t>
      </w:r>
      <w:r w:rsidR="00107D02" w:rsidRPr="2ABCBCD5">
        <w:rPr>
          <w:rFonts w:cs="Calibri"/>
        </w:rPr>
        <w:t>variability in unscheduled distribution-connected generation</w:t>
      </w:r>
      <w:r w:rsidR="00ED5DE4" w:rsidRPr="2ABCBCD5">
        <w:rPr>
          <w:rFonts w:cs="Calibri"/>
        </w:rPr>
        <w:t xml:space="preserve"> for supply/demand balancing</w:t>
      </w:r>
      <w:r w:rsidR="00A436C4" w:rsidRPr="2ABCBCD5">
        <w:rPr>
          <w:rFonts w:cs="Calibri"/>
        </w:rPr>
        <w:t xml:space="preserve"> and calculating security constraints</w:t>
      </w:r>
      <w:r w:rsidR="00772EEE">
        <w:rPr>
          <w:rFonts w:cs="Calibri"/>
        </w:rPr>
        <w:t xml:space="preserve">. </w:t>
      </w:r>
      <w:r w:rsidR="006B2022" w:rsidRPr="2ABCBCD5">
        <w:rPr>
          <w:rFonts w:cs="Calibri"/>
        </w:rPr>
        <w:t>Harmoni</w:t>
      </w:r>
      <w:r w:rsidR="006B2022">
        <w:rPr>
          <w:rFonts w:cs="Calibri"/>
        </w:rPr>
        <w:t>s</w:t>
      </w:r>
      <w:r w:rsidR="006B2022" w:rsidRPr="2ABCBCD5">
        <w:rPr>
          <w:rFonts w:cs="Calibri"/>
        </w:rPr>
        <w:t xml:space="preserve">ing </w:t>
      </w:r>
      <w:r w:rsidR="00A436C4" w:rsidRPr="2ABCBCD5">
        <w:rPr>
          <w:rFonts w:cs="Calibri"/>
        </w:rPr>
        <w:t xml:space="preserve">these </w:t>
      </w:r>
      <w:r w:rsidR="00E93021" w:rsidRPr="2ABCBCD5">
        <w:rPr>
          <w:rFonts w:cs="Calibri"/>
        </w:rPr>
        <w:t xml:space="preserve">disparate forecasting capabilities is a key and pressing </w:t>
      </w:r>
      <w:r w:rsidR="00D427A1" w:rsidRPr="2ABCBCD5">
        <w:rPr>
          <w:rFonts w:cs="Calibri"/>
        </w:rPr>
        <w:t xml:space="preserve">need </w:t>
      </w:r>
      <w:r w:rsidR="003F5B30" w:rsidRPr="2ABCBCD5">
        <w:rPr>
          <w:rFonts w:cs="Calibri"/>
        </w:rPr>
        <w:t>that enhanced</w:t>
      </w:r>
      <w:r w:rsidR="00D427A1" w:rsidRPr="2ABCBCD5">
        <w:rPr>
          <w:rFonts w:cs="Calibri"/>
        </w:rPr>
        <w:t xml:space="preserve"> T-D Coordination</w:t>
      </w:r>
      <w:r w:rsidR="003F5B30" w:rsidRPr="2ABCBCD5">
        <w:rPr>
          <w:rFonts w:cs="Calibri"/>
        </w:rPr>
        <w:t xml:space="preserve"> </w:t>
      </w:r>
      <w:r w:rsidR="006B2022">
        <w:rPr>
          <w:rFonts w:cs="Calibri"/>
        </w:rPr>
        <w:t>could</w:t>
      </w:r>
      <w:r w:rsidR="006B2022" w:rsidRPr="2ABCBCD5">
        <w:rPr>
          <w:rFonts w:cs="Calibri"/>
        </w:rPr>
        <w:t xml:space="preserve"> </w:t>
      </w:r>
      <w:r w:rsidR="003F5B30" w:rsidRPr="2ABCBCD5">
        <w:rPr>
          <w:rFonts w:cs="Calibri"/>
        </w:rPr>
        <w:t>resolve</w:t>
      </w:r>
      <w:r w:rsidR="00D427A1" w:rsidRPr="2ABCBCD5">
        <w:rPr>
          <w:rFonts w:cs="Calibri"/>
        </w:rPr>
        <w:t xml:space="preserve">. </w:t>
      </w:r>
      <w:r w:rsidR="000C6BC2" w:rsidRPr="2ABCBCD5">
        <w:rPr>
          <w:rFonts w:cs="Calibri"/>
        </w:rPr>
        <w:t xml:space="preserve">Importantly, this may require provisioning </w:t>
      </w:r>
      <w:r w:rsidR="007C203E" w:rsidRPr="2ABCBCD5">
        <w:rPr>
          <w:rFonts w:cs="Calibri"/>
        </w:rPr>
        <w:t>the T-D Interface</w:t>
      </w:r>
      <w:r w:rsidR="000C6BC2" w:rsidRPr="2ABCBCD5">
        <w:rPr>
          <w:rFonts w:cs="Calibri"/>
        </w:rPr>
        <w:t xml:space="preserve"> to be adaptable to a distribution to bulk power system-oriented “bottom-up” paradigm when developing strategies to </w:t>
      </w:r>
      <w:r w:rsidR="00700722">
        <w:rPr>
          <w:rFonts w:cs="Calibri"/>
        </w:rPr>
        <w:t xml:space="preserve">value and </w:t>
      </w:r>
      <w:r w:rsidR="00BF749A">
        <w:rPr>
          <w:rFonts w:cs="Calibri"/>
        </w:rPr>
        <w:t xml:space="preserve">to </w:t>
      </w:r>
      <w:r w:rsidR="000C6BC2" w:rsidRPr="2ABCBCD5">
        <w:rPr>
          <w:rFonts w:cs="Calibri"/>
        </w:rPr>
        <w:t>manage DER integration and utili</w:t>
      </w:r>
      <w:r w:rsidR="0048040E" w:rsidRPr="2ABCBCD5">
        <w:rPr>
          <w:rFonts w:cs="Calibri"/>
        </w:rPr>
        <w:t>s</w:t>
      </w:r>
      <w:r w:rsidR="000C6BC2" w:rsidRPr="2ABCBCD5">
        <w:rPr>
          <w:rFonts w:cs="Calibri"/>
        </w:rPr>
        <w:t>ation, particularly in high DER and electrification scenarios</w:t>
      </w:r>
      <w:r w:rsidR="00F80583">
        <w:rPr>
          <w:rFonts w:cs="Calibri"/>
        </w:rPr>
        <w:t xml:space="preserve"> </w:t>
      </w:r>
      <w:r w:rsidR="00CE404C" w:rsidRPr="000D4FC2">
        <w:rPr>
          <w:rFonts w:cs="Calibri"/>
          <w:noProof/>
        </w:rPr>
        <w:t>[19]</w:t>
      </w:r>
      <w:r w:rsidR="007540CE">
        <w:rPr>
          <w:rFonts w:cs="Calibri"/>
        </w:rPr>
        <w:t>.</w:t>
      </w:r>
    </w:p>
    <w:p w14:paraId="221CF430" w14:textId="26AFF41C" w:rsidR="00620B1C" w:rsidRPr="00887A8E" w:rsidRDefault="002A3EF6" w:rsidP="00564074">
      <w:pPr>
        <w:pStyle w:val="Heading2"/>
        <w:spacing w:before="240"/>
        <w:ind w:left="578" w:hanging="578"/>
      </w:pPr>
      <w:bookmarkStart w:id="118" w:name="_Toc205532853"/>
      <w:r w:rsidRPr="00887A8E">
        <w:t>Support</w:t>
      </w:r>
      <w:r w:rsidR="00C95221" w:rsidRPr="00887A8E">
        <w:t xml:space="preserve"> m</w:t>
      </w:r>
      <w:r w:rsidR="00620B1C" w:rsidRPr="00887A8E">
        <w:t>ulti-layered</w:t>
      </w:r>
      <w:r w:rsidR="00C95221" w:rsidRPr="00887A8E">
        <w:t xml:space="preserve">, scalable </w:t>
      </w:r>
      <w:r w:rsidR="00620B1C" w:rsidRPr="00887A8E">
        <w:t>operational coordination</w:t>
      </w:r>
      <w:bookmarkEnd w:id="118"/>
      <w:r w:rsidR="00620B1C" w:rsidRPr="00887A8E">
        <w:t xml:space="preserve"> </w:t>
      </w:r>
    </w:p>
    <w:p w14:paraId="53FB575A" w14:textId="78C9A1EB" w:rsidR="00431A56" w:rsidRPr="0050162C" w:rsidRDefault="00A81901" w:rsidP="0050162C">
      <w:pPr>
        <w:spacing w:before="180" w:after="120" w:line="288" w:lineRule="auto"/>
        <w:rPr>
          <w:rFonts w:cs="Calibri"/>
          <w:szCs w:val="18"/>
        </w:rPr>
      </w:pPr>
      <w:bookmarkStart w:id="119" w:name="_Ref195542277"/>
      <w:r w:rsidRPr="0050162C">
        <w:rPr>
          <w:rFonts w:cs="Calibri"/>
          <w:szCs w:val="18"/>
        </w:rPr>
        <w:t>Systemic alignment</w:t>
      </w:r>
      <w:r w:rsidR="004A37FD" w:rsidRPr="0050162C">
        <w:rPr>
          <w:rFonts w:cs="Calibri"/>
          <w:szCs w:val="18"/>
        </w:rPr>
        <w:t xml:space="preserve"> of the BPS and </w:t>
      </w:r>
      <w:r w:rsidR="00094146" w:rsidRPr="0050162C">
        <w:rPr>
          <w:rFonts w:cs="Calibri"/>
          <w:szCs w:val="18"/>
        </w:rPr>
        <w:t>distribution system</w:t>
      </w:r>
      <w:r w:rsidR="00C8778F" w:rsidRPr="0050162C">
        <w:rPr>
          <w:rFonts w:cs="Calibri"/>
          <w:szCs w:val="18"/>
        </w:rPr>
        <w:t>s</w:t>
      </w:r>
      <w:r w:rsidR="00094146" w:rsidRPr="0050162C">
        <w:rPr>
          <w:rFonts w:cs="Calibri"/>
          <w:szCs w:val="18"/>
        </w:rPr>
        <w:t xml:space="preserve"> </w:t>
      </w:r>
      <w:r w:rsidR="009913D9" w:rsidRPr="0050162C">
        <w:rPr>
          <w:rFonts w:cs="Calibri"/>
          <w:szCs w:val="18"/>
        </w:rPr>
        <w:t xml:space="preserve">will become increasingly important as </w:t>
      </w:r>
      <w:r w:rsidR="000F7FBD" w:rsidRPr="0050162C">
        <w:rPr>
          <w:rFonts w:cs="Calibri"/>
          <w:szCs w:val="18"/>
        </w:rPr>
        <w:t>the</w:t>
      </w:r>
      <w:r w:rsidR="00D85B85" w:rsidRPr="0050162C">
        <w:rPr>
          <w:rFonts w:cs="Calibri"/>
          <w:szCs w:val="18"/>
        </w:rPr>
        <w:t xml:space="preserve"> materiality of </w:t>
      </w:r>
      <w:r w:rsidR="004E3A6E">
        <w:rPr>
          <w:rFonts w:cs="Calibri"/>
          <w:szCs w:val="18"/>
        </w:rPr>
        <w:t>distribution</w:t>
      </w:r>
      <w:r w:rsidR="00424A4C" w:rsidRPr="0050162C">
        <w:rPr>
          <w:rFonts w:cs="Calibri"/>
          <w:szCs w:val="18"/>
        </w:rPr>
        <w:t xml:space="preserve">-connected resources </w:t>
      </w:r>
      <w:r w:rsidR="00942853" w:rsidRPr="0050162C">
        <w:rPr>
          <w:rFonts w:cs="Calibri"/>
          <w:szCs w:val="18"/>
        </w:rPr>
        <w:t>expand</w:t>
      </w:r>
      <w:r w:rsidR="00D85B85" w:rsidRPr="0050162C">
        <w:rPr>
          <w:rFonts w:cs="Calibri"/>
          <w:szCs w:val="18"/>
        </w:rPr>
        <w:t xml:space="preserve">s. </w:t>
      </w:r>
      <w:r w:rsidR="006F5F1B" w:rsidRPr="0050162C">
        <w:rPr>
          <w:rFonts w:cs="Calibri"/>
          <w:szCs w:val="18"/>
        </w:rPr>
        <w:t xml:space="preserve">Under AEMO’s 2024 Integrated System Plan </w:t>
      </w:r>
      <w:r w:rsidR="006036C9">
        <w:rPr>
          <w:rFonts w:cs="Calibri"/>
          <w:szCs w:val="18"/>
        </w:rPr>
        <w:t>‘</w:t>
      </w:r>
      <w:r w:rsidR="006F5F1B" w:rsidRPr="0050162C">
        <w:rPr>
          <w:rFonts w:cs="Calibri"/>
          <w:szCs w:val="18"/>
        </w:rPr>
        <w:t>Step Change</w:t>
      </w:r>
      <w:r w:rsidR="006036C9">
        <w:rPr>
          <w:rFonts w:cs="Calibri"/>
          <w:szCs w:val="18"/>
        </w:rPr>
        <w:t>’</w:t>
      </w:r>
      <w:r w:rsidR="006F5F1B" w:rsidRPr="0050162C">
        <w:rPr>
          <w:rFonts w:cs="Calibri"/>
          <w:szCs w:val="18"/>
        </w:rPr>
        <w:t xml:space="preserve"> scenario, rooftop solar capacity is forecast to quadruple to 72GW of installed capacity, and CER storage is forecast to account for 66% of the NEM’s storage capacity by the year 2050</w:t>
      </w:r>
      <w:r w:rsidR="00FF5BDE" w:rsidRPr="00D10D0C">
        <w:rPr>
          <w:rFonts w:cs="Calibri"/>
          <w:noProof/>
          <w:szCs w:val="18"/>
        </w:rPr>
        <w:t xml:space="preserve"> </w:t>
      </w:r>
      <w:r w:rsidR="00FF5BDE" w:rsidRPr="000D4FC2">
        <w:rPr>
          <w:rFonts w:cs="Calibri"/>
          <w:noProof/>
          <w:szCs w:val="18"/>
        </w:rPr>
        <w:t>[9]</w:t>
      </w:r>
      <w:r w:rsidR="006F5F1B" w:rsidRPr="0050162C">
        <w:rPr>
          <w:rFonts w:cs="Calibri"/>
          <w:szCs w:val="18"/>
        </w:rPr>
        <w:t xml:space="preserve">. </w:t>
      </w:r>
      <w:r w:rsidR="004E3A6E">
        <w:rPr>
          <w:rFonts w:cs="Calibri"/>
          <w:szCs w:val="18"/>
        </w:rPr>
        <w:t>Managing</w:t>
      </w:r>
      <w:r w:rsidR="004E3A6E" w:rsidRPr="0050162C">
        <w:rPr>
          <w:rFonts w:cs="Calibri"/>
          <w:szCs w:val="18"/>
        </w:rPr>
        <w:t xml:space="preserve"> </w:t>
      </w:r>
      <w:r w:rsidR="001C645B" w:rsidRPr="0050162C">
        <w:rPr>
          <w:rFonts w:cs="Calibri"/>
          <w:szCs w:val="18"/>
        </w:rPr>
        <w:t>this volume of CER/DER</w:t>
      </w:r>
      <w:r w:rsidR="00D51E85" w:rsidRPr="0050162C">
        <w:rPr>
          <w:rFonts w:cs="Calibri"/>
          <w:szCs w:val="18"/>
        </w:rPr>
        <w:t xml:space="preserve"> </w:t>
      </w:r>
      <w:r w:rsidR="00DE2B03" w:rsidRPr="0050162C">
        <w:rPr>
          <w:rFonts w:cs="Calibri"/>
          <w:szCs w:val="18"/>
        </w:rPr>
        <w:t xml:space="preserve">becomes challenging, particularly given the expanding range of location-specific </w:t>
      </w:r>
      <w:r w:rsidR="001C037B" w:rsidRPr="0050162C">
        <w:rPr>
          <w:rFonts w:cs="Calibri"/>
          <w:szCs w:val="18"/>
        </w:rPr>
        <w:t xml:space="preserve">products </w:t>
      </w:r>
      <w:r w:rsidR="00667D0C" w:rsidRPr="0050162C">
        <w:rPr>
          <w:rFonts w:cs="Calibri"/>
          <w:szCs w:val="18"/>
        </w:rPr>
        <w:t>coordinated CER/DER</w:t>
      </w:r>
      <w:r w:rsidR="00194D88" w:rsidRPr="0050162C">
        <w:rPr>
          <w:rFonts w:cs="Calibri"/>
          <w:szCs w:val="18"/>
        </w:rPr>
        <w:t>s</w:t>
      </w:r>
      <w:r w:rsidR="00667D0C" w:rsidRPr="0050162C">
        <w:rPr>
          <w:rFonts w:cs="Calibri"/>
          <w:szCs w:val="18"/>
        </w:rPr>
        <w:t xml:space="preserve"> </w:t>
      </w:r>
      <w:r w:rsidR="00194D88" w:rsidRPr="0050162C">
        <w:rPr>
          <w:rFonts w:cs="Calibri"/>
          <w:szCs w:val="18"/>
        </w:rPr>
        <w:t xml:space="preserve">could potentially </w:t>
      </w:r>
      <w:r w:rsidR="00AA62B1" w:rsidRPr="0050162C">
        <w:rPr>
          <w:rFonts w:cs="Calibri"/>
          <w:szCs w:val="18"/>
        </w:rPr>
        <w:t>provide</w:t>
      </w:r>
      <w:r w:rsidR="00194D88" w:rsidRPr="0050162C">
        <w:rPr>
          <w:rFonts w:cs="Calibri"/>
          <w:szCs w:val="18"/>
        </w:rPr>
        <w:t xml:space="preserve"> </w:t>
      </w:r>
      <w:r w:rsidR="00CE404C" w:rsidRPr="000D4FC2">
        <w:rPr>
          <w:rFonts w:cs="Calibri"/>
          <w:noProof/>
          <w:szCs w:val="18"/>
        </w:rPr>
        <w:t>[17]</w:t>
      </w:r>
      <w:r w:rsidR="00AA62B1" w:rsidRPr="0050162C">
        <w:rPr>
          <w:rFonts w:cs="Calibri"/>
          <w:szCs w:val="18"/>
        </w:rPr>
        <w:t xml:space="preserve">. </w:t>
      </w:r>
      <w:r w:rsidR="00BA6E9F" w:rsidRPr="0050162C">
        <w:rPr>
          <w:rFonts w:cs="Calibri"/>
          <w:szCs w:val="18"/>
        </w:rPr>
        <w:t xml:space="preserve">In the literature, </w:t>
      </w:r>
      <w:r w:rsidR="00BC6013" w:rsidRPr="0050162C">
        <w:rPr>
          <w:rFonts w:cs="Calibri"/>
          <w:szCs w:val="18"/>
        </w:rPr>
        <w:t xml:space="preserve">the concept of </w:t>
      </w:r>
      <w:r w:rsidR="001C3E3D" w:rsidRPr="0050162C">
        <w:rPr>
          <w:rFonts w:cs="Calibri"/>
          <w:szCs w:val="18"/>
        </w:rPr>
        <w:t xml:space="preserve">layered decomposition </w:t>
      </w:r>
      <w:r w:rsidR="00810ABD" w:rsidRPr="0050162C">
        <w:rPr>
          <w:rFonts w:cs="Calibri"/>
          <w:szCs w:val="18"/>
        </w:rPr>
        <w:t xml:space="preserve">is often </w:t>
      </w:r>
      <w:r w:rsidR="00C44082" w:rsidRPr="0050162C">
        <w:rPr>
          <w:rFonts w:cs="Calibri"/>
          <w:szCs w:val="18"/>
        </w:rPr>
        <w:t>advocated</w:t>
      </w:r>
      <w:r w:rsidR="00810ABD" w:rsidRPr="0050162C">
        <w:rPr>
          <w:rFonts w:cs="Calibri"/>
          <w:szCs w:val="18"/>
        </w:rPr>
        <w:t xml:space="preserve"> </w:t>
      </w:r>
      <w:r w:rsidR="0039772B">
        <w:rPr>
          <w:rFonts w:cs="Calibri"/>
          <w:szCs w:val="18"/>
        </w:rPr>
        <w:t>as a decision and control architecture strategy</w:t>
      </w:r>
      <w:r w:rsidR="00F523E7">
        <w:rPr>
          <w:rFonts w:cs="Calibri"/>
          <w:szCs w:val="18"/>
        </w:rPr>
        <w:t>,</w:t>
      </w:r>
      <w:r w:rsidR="0039772B" w:rsidRPr="0050162C">
        <w:rPr>
          <w:rFonts w:cs="Calibri"/>
          <w:szCs w:val="18"/>
        </w:rPr>
        <w:t xml:space="preserve"> </w:t>
      </w:r>
      <w:r w:rsidR="00810ABD" w:rsidRPr="0050162C">
        <w:rPr>
          <w:rFonts w:cs="Calibri"/>
          <w:szCs w:val="18"/>
        </w:rPr>
        <w:t xml:space="preserve">for its </w:t>
      </w:r>
      <w:r w:rsidR="006A3250" w:rsidRPr="0050162C">
        <w:rPr>
          <w:rFonts w:cs="Calibri"/>
          <w:szCs w:val="18"/>
        </w:rPr>
        <w:t xml:space="preserve">modular </w:t>
      </w:r>
      <w:r w:rsidR="00D302CE" w:rsidRPr="0050162C">
        <w:rPr>
          <w:rFonts w:cs="Calibri"/>
          <w:szCs w:val="18"/>
        </w:rPr>
        <w:t>scalability</w:t>
      </w:r>
      <w:r w:rsidR="006A3250" w:rsidRPr="0050162C">
        <w:rPr>
          <w:rFonts w:cs="Calibri"/>
          <w:szCs w:val="18"/>
        </w:rPr>
        <w:t xml:space="preserve">, </w:t>
      </w:r>
      <w:r w:rsidR="00095D34" w:rsidRPr="0050162C">
        <w:rPr>
          <w:rFonts w:cs="Calibri"/>
          <w:szCs w:val="18"/>
        </w:rPr>
        <w:t>manageable</w:t>
      </w:r>
      <w:r w:rsidR="00D37148" w:rsidRPr="0050162C">
        <w:rPr>
          <w:rFonts w:cs="Calibri"/>
          <w:szCs w:val="18"/>
        </w:rPr>
        <w:t xml:space="preserve"> complexity, and clear </w:t>
      </w:r>
      <w:r w:rsidR="003D4FE7" w:rsidRPr="0050162C">
        <w:rPr>
          <w:rFonts w:cs="Calibri"/>
          <w:szCs w:val="18"/>
        </w:rPr>
        <w:t>separation of con</w:t>
      </w:r>
      <w:r w:rsidR="00545E17" w:rsidRPr="0050162C">
        <w:rPr>
          <w:rFonts w:cs="Calibri"/>
          <w:szCs w:val="18"/>
        </w:rPr>
        <w:t>c</w:t>
      </w:r>
      <w:r w:rsidR="003D4FE7" w:rsidRPr="0050162C">
        <w:rPr>
          <w:rFonts w:cs="Calibri"/>
          <w:szCs w:val="18"/>
        </w:rPr>
        <w:t>erns</w:t>
      </w:r>
      <w:r w:rsidR="00813A72" w:rsidRPr="00CB7A9C">
        <w:rPr>
          <w:rFonts w:cs="Calibri"/>
          <w:noProof/>
          <w:szCs w:val="18"/>
          <w:lang w:val="en-GB"/>
        </w:rPr>
        <w:t xml:space="preserve"> </w:t>
      </w:r>
      <w:r w:rsidR="00813A72" w:rsidRPr="000D4FC2">
        <w:rPr>
          <w:rFonts w:cs="Calibri"/>
          <w:noProof/>
          <w:szCs w:val="18"/>
          <w:lang w:val="en-GB"/>
        </w:rPr>
        <w:t>[20]</w:t>
      </w:r>
      <w:r w:rsidR="00772EEE">
        <w:rPr>
          <w:rFonts w:cs="Calibri"/>
          <w:szCs w:val="18"/>
        </w:rPr>
        <w:t xml:space="preserve">. </w:t>
      </w:r>
    </w:p>
    <w:p w14:paraId="10B8FF61" w14:textId="77777777" w:rsidR="00194D88" w:rsidRDefault="00815DF4" w:rsidP="00AA39CD">
      <w:pPr>
        <w:keepNext/>
        <w:spacing w:after="120"/>
        <w:ind w:left="-142"/>
        <w:jc w:val="center"/>
      </w:pPr>
      <w:bookmarkStart w:id="120" w:name="Figure_19"/>
      <w:r w:rsidRPr="00C0291E">
        <w:rPr>
          <w:noProof/>
        </w:rPr>
        <w:lastRenderedPageBreak/>
        <w:drawing>
          <wp:inline distT="0" distB="0" distL="0" distR="0" wp14:anchorId="7E159B97" wp14:editId="196217F9">
            <wp:extent cx="5168691" cy="5635256"/>
            <wp:effectExtent l="0" t="0" r="0" b="3810"/>
            <wp:docPr id="48563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2414" name=""/>
                    <pic:cNvPicPr/>
                  </pic:nvPicPr>
                  <pic:blipFill>
                    <a:blip r:embed="rId50"/>
                    <a:stretch>
                      <a:fillRect/>
                    </a:stretch>
                  </pic:blipFill>
                  <pic:spPr>
                    <a:xfrm>
                      <a:off x="0" y="0"/>
                      <a:ext cx="5189854" cy="5658329"/>
                    </a:xfrm>
                    <a:prstGeom prst="rect">
                      <a:avLst/>
                    </a:prstGeom>
                  </pic:spPr>
                </pic:pic>
              </a:graphicData>
            </a:graphic>
          </wp:inline>
        </w:drawing>
      </w:r>
      <w:bookmarkEnd w:id="120"/>
    </w:p>
    <w:p w14:paraId="2429E58F" w14:textId="54A23ABC" w:rsidR="00194D88" w:rsidRDefault="00194D88" w:rsidP="00194D88">
      <w:pPr>
        <w:pStyle w:val="Caption"/>
      </w:pPr>
      <w:bookmarkStart w:id="121" w:name="_Toc205377455"/>
      <w:r>
        <w:t xml:space="preserve">Figure </w:t>
      </w:r>
      <w:fldSimple w:instr=" SEQ Figure \* ARABIC ">
        <w:r w:rsidR="00CE6CF1">
          <w:rPr>
            <w:noProof/>
          </w:rPr>
          <w:t>19</w:t>
        </w:r>
      </w:fldSimple>
      <w:bookmarkEnd w:id="119"/>
      <w:r>
        <w:t xml:space="preserve"> - Energy products</w:t>
      </w:r>
      <w:r>
        <w:rPr>
          <w:noProof/>
        </w:rPr>
        <w:t xml:space="preserve"> that are location-specific</w:t>
      </w:r>
      <w:r w:rsidR="00DF08B3" w:rsidRPr="00DF08B3">
        <w:rPr>
          <w:noProof/>
          <w:lang w:val="en-GB"/>
        </w:rPr>
        <w:t xml:space="preserve"> </w:t>
      </w:r>
      <w:r w:rsidR="00DF08B3" w:rsidRPr="000D4FC2">
        <w:rPr>
          <w:noProof/>
          <w:lang w:val="en-GB"/>
        </w:rPr>
        <w:t>[17]</w:t>
      </w:r>
      <w:bookmarkEnd w:id="121"/>
    </w:p>
    <w:p w14:paraId="7D90C952" w14:textId="52332FAE" w:rsidR="009609EC" w:rsidRPr="0050162C" w:rsidRDefault="002845B6" w:rsidP="0050162C">
      <w:pPr>
        <w:spacing w:before="180" w:after="120" w:line="288" w:lineRule="auto"/>
        <w:rPr>
          <w:rFonts w:cs="Calibri"/>
          <w:szCs w:val="18"/>
        </w:rPr>
      </w:pPr>
      <w:r w:rsidRPr="0050162C">
        <w:rPr>
          <w:rFonts w:cs="Calibri"/>
          <w:szCs w:val="18"/>
        </w:rPr>
        <w:t xml:space="preserve">With a longer time-horizon in view, </w:t>
      </w:r>
      <w:r w:rsidR="009A33C5" w:rsidRPr="0050162C">
        <w:rPr>
          <w:rFonts w:cs="Calibri"/>
          <w:szCs w:val="18"/>
        </w:rPr>
        <w:t xml:space="preserve">and contingent on </w:t>
      </w:r>
      <w:r w:rsidR="000253B6" w:rsidRPr="0050162C">
        <w:rPr>
          <w:rFonts w:cs="Calibri"/>
          <w:szCs w:val="18"/>
        </w:rPr>
        <w:t xml:space="preserve">the evolution of customer engagement with the grid, </w:t>
      </w:r>
      <w:r w:rsidR="00A90F96" w:rsidRPr="0050162C">
        <w:rPr>
          <w:rFonts w:cs="Calibri"/>
          <w:szCs w:val="18"/>
        </w:rPr>
        <w:t xml:space="preserve">it is </w:t>
      </w:r>
      <w:r w:rsidR="00B0183A" w:rsidRPr="0050162C">
        <w:rPr>
          <w:rFonts w:cs="Calibri"/>
          <w:szCs w:val="18"/>
        </w:rPr>
        <w:t>credible</w:t>
      </w:r>
      <w:r w:rsidR="00A90F96" w:rsidRPr="0050162C">
        <w:rPr>
          <w:rFonts w:cs="Calibri"/>
          <w:szCs w:val="18"/>
        </w:rPr>
        <w:t xml:space="preserve"> that sufficient distribution-connected resources </w:t>
      </w:r>
      <w:r w:rsidR="00C04D95" w:rsidRPr="0050162C">
        <w:rPr>
          <w:rFonts w:cs="Calibri"/>
          <w:szCs w:val="18"/>
        </w:rPr>
        <w:t xml:space="preserve">will </w:t>
      </w:r>
      <w:r w:rsidR="004101A2" w:rsidRPr="0050162C">
        <w:rPr>
          <w:rFonts w:cs="Calibri"/>
          <w:szCs w:val="18"/>
        </w:rPr>
        <w:t>offer</w:t>
      </w:r>
      <w:r w:rsidR="000038A5" w:rsidRPr="0050162C">
        <w:rPr>
          <w:rFonts w:cs="Calibri"/>
          <w:szCs w:val="18"/>
        </w:rPr>
        <w:t xml:space="preserve"> </w:t>
      </w:r>
      <w:r w:rsidR="007053FF" w:rsidRPr="0050162C">
        <w:rPr>
          <w:rFonts w:cs="Calibri"/>
          <w:szCs w:val="18"/>
        </w:rPr>
        <w:t xml:space="preserve">services such that </w:t>
      </w:r>
      <w:r w:rsidR="0004284F" w:rsidRPr="0050162C">
        <w:rPr>
          <w:rFonts w:cs="Calibri"/>
          <w:szCs w:val="18"/>
        </w:rPr>
        <w:t xml:space="preserve">DSO-administered </w:t>
      </w:r>
      <w:r w:rsidR="007053FF" w:rsidRPr="0050162C">
        <w:rPr>
          <w:rFonts w:cs="Calibri"/>
          <w:szCs w:val="18"/>
        </w:rPr>
        <w:t xml:space="preserve">energy balancing at </w:t>
      </w:r>
      <w:r w:rsidR="002A1A41" w:rsidRPr="0050162C">
        <w:rPr>
          <w:rFonts w:cs="Calibri"/>
          <w:szCs w:val="18"/>
        </w:rPr>
        <w:t xml:space="preserve">T-D interconnection points is </w:t>
      </w:r>
      <w:r w:rsidR="0004284F" w:rsidRPr="0050162C">
        <w:rPr>
          <w:rFonts w:cs="Calibri"/>
          <w:szCs w:val="18"/>
        </w:rPr>
        <w:t>advantageous</w:t>
      </w:r>
      <w:r w:rsidR="002A1A41" w:rsidRPr="0050162C">
        <w:rPr>
          <w:rFonts w:cs="Calibri"/>
          <w:szCs w:val="18"/>
        </w:rPr>
        <w:t>.</w:t>
      </w:r>
      <w:r w:rsidR="0004284F" w:rsidRPr="0050162C">
        <w:rPr>
          <w:rFonts w:cs="Calibri"/>
          <w:szCs w:val="18"/>
        </w:rPr>
        <w:t xml:space="preserve"> </w:t>
      </w:r>
      <w:r w:rsidR="00451FCA" w:rsidRPr="0050162C">
        <w:rPr>
          <w:rFonts w:cs="Calibri"/>
          <w:szCs w:val="18"/>
        </w:rPr>
        <w:t xml:space="preserve">Nearer term </w:t>
      </w:r>
      <w:r w:rsidR="000B6BE9" w:rsidRPr="0050162C">
        <w:rPr>
          <w:rFonts w:cs="Calibri"/>
          <w:szCs w:val="18"/>
        </w:rPr>
        <w:t xml:space="preserve">implementations of </w:t>
      </w:r>
      <w:r w:rsidR="00AA57B6" w:rsidRPr="0050162C">
        <w:rPr>
          <w:rFonts w:cs="Calibri"/>
          <w:szCs w:val="18"/>
        </w:rPr>
        <w:t xml:space="preserve">T-D Coordination </w:t>
      </w:r>
      <w:r w:rsidR="000B6BE9" w:rsidRPr="0050162C">
        <w:rPr>
          <w:rFonts w:cs="Calibri"/>
          <w:szCs w:val="18"/>
        </w:rPr>
        <w:t xml:space="preserve">must be extensible and scalable </w:t>
      </w:r>
      <w:r w:rsidR="00010B1A" w:rsidRPr="0050162C">
        <w:rPr>
          <w:rFonts w:cs="Calibri"/>
          <w:szCs w:val="18"/>
        </w:rPr>
        <w:t xml:space="preserve">to this expanded range of capabilities. </w:t>
      </w:r>
    </w:p>
    <w:p w14:paraId="34017BCA" w14:textId="77777777" w:rsidR="00200A22" w:rsidRDefault="00200A22">
      <w:pPr>
        <w:spacing w:before="0" w:after="160" w:line="259" w:lineRule="auto"/>
        <w:rPr>
          <w:rFonts w:ascii="PP Mori SemiBold" w:eastAsiaTheme="majorEastAsia" w:hAnsi="PP Mori SemiBold" w:cstheme="majorBidi"/>
          <w:color w:val="002C38" w:themeColor="accent1" w:themeShade="BF"/>
          <w:sz w:val="26"/>
          <w:szCs w:val="33"/>
        </w:rPr>
      </w:pPr>
      <w:r>
        <w:br w:type="page"/>
      </w:r>
    </w:p>
    <w:p w14:paraId="42A53CE7" w14:textId="23BF3131" w:rsidR="0084350E" w:rsidRDefault="002A3EF6" w:rsidP="00564074">
      <w:pPr>
        <w:pStyle w:val="Heading2"/>
        <w:spacing w:before="240"/>
        <w:ind w:left="578" w:hanging="578"/>
      </w:pPr>
      <w:bookmarkStart w:id="122" w:name="_Toc205532854"/>
      <w:r>
        <w:lastRenderedPageBreak/>
        <w:t xml:space="preserve">Support the resolution of </w:t>
      </w:r>
      <w:r w:rsidR="0084350E">
        <w:t>o</w:t>
      </w:r>
      <w:r w:rsidR="0084350E" w:rsidRPr="008D051E">
        <w:t xml:space="preserve">perational </w:t>
      </w:r>
      <w:r w:rsidR="00CE5E4B">
        <w:t xml:space="preserve">and planning </w:t>
      </w:r>
      <w:r w:rsidR="0084350E" w:rsidRPr="008D051E">
        <w:t>conflicts</w:t>
      </w:r>
      <w:bookmarkEnd w:id="122"/>
    </w:p>
    <w:p w14:paraId="1724FFAB" w14:textId="7D78272F" w:rsidR="001E22F6" w:rsidRPr="0050162C" w:rsidRDefault="001E22F6" w:rsidP="0050162C">
      <w:pPr>
        <w:spacing w:before="180" w:after="120" w:line="288" w:lineRule="auto"/>
        <w:rPr>
          <w:rFonts w:cs="Calibri"/>
          <w:lang w:val="en-GB"/>
        </w:rPr>
      </w:pPr>
      <w:r w:rsidRPr="2ABCBCD5">
        <w:rPr>
          <w:rFonts w:cs="Calibri"/>
        </w:rPr>
        <w:t xml:space="preserve">Facilitating the resolution of operational conflicts is a critical function that </w:t>
      </w:r>
      <w:r w:rsidR="00B50B3D" w:rsidRPr="2ABCBCD5">
        <w:rPr>
          <w:rFonts w:cs="Calibri"/>
        </w:rPr>
        <w:t>T-D Coor</w:t>
      </w:r>
      <w:r w:rsidR="007F1A8C" w:rsidRPr="2ABCBCD5">
        <w:rPr>
          <w:rFonts w:cs="Calibri"/>
        </w:rPr>
        <w:t>dination models</w:t>
      </w:r>
      <w:r w:rsidRPr="2ABCBCD5">
        <w:rPr>
          <w:rFonts w:cs="Calibri"/>
        </w:rPr>
        <w:t xml:space="preserve"> must </w:t>
      </w:r>
      <w:r w:rsidR="00234375">
        <w:rPr>
          <w:rFonts w:cs="Calibri"/>
        </w:rPr>
        <w:t xml:space="preserve">enable and </w:t>
      </w:r>
      <w:r w:rsidRPr="2ABCBCD5">
        <w:rPr>
          <w:rFonts w:cs="Calibri"/>
        </w:rPr>
        <w:t xml:space="preserve">support. </w:t>
      </w:r>
      <w:r w:rsidR="00491D38" w:rsidRPr="2ABCBCD5">
        <w:rPr>
          <w:rFonts w:cs="Calibri"/>
        </w:rPr>
        <w:t>In the UK, in</w:t>
      </w:r>
      <w:r w:rsidR="00763F8B" w:rsidRPr="2ABCBCD5">
        <w:rPr>
          <w:rFonts w:cs="Calibri"/>
        </w:rPr>
        <w:t>sufficient</w:t>
      </w:r>
      <w:r w:rsidR="00491D38" w:rsidRPr="2ABCBCD5">
        <w:rPr>
          <w:rFonts w:cs="Calibri"/>
        </w:rPr>
        <w:t xml:space="preserve"> </w:t>
      </w:r>
      <w:r w:rsidR="00763F8B" w:rsidRPr="2ABCBCD5">
        <w:rPr>
          <w:rFonts w:cs="Calibri"/>
        </w:rPr>
        <w:t xml:space="preserve">Electricity System Operator (ESO) </w:t>
      </w:r>
      <w:r w:rsidR="00491D38" w:rsidRPr="2ABCBCD5">
        <w:rPr>
          <w:rFonts w:cs="Calibri"/>
        </w:rPr>
        <w:t>-</w:t>
      </w:r>
      <w:r w:rsidR="00763F8B" w:rsidRPr="2ABCBCD5">
        <w:rPr>
          <w:rFonts w:cs="Calibri"/>
        </w:rPr>
        <w:t xml:space="preserve"> Distribution Network Operators</w:t>
      </w:r>
      <w:r w:rsidR="00491D38" w:rsidRPr="2ABCBCD5">
        <w:rPr>
          <w:rFonts w:cs="Calibri"/>
        </w:rPr>
        <w:t xml:space="preserve"> </w:t>
      </w:r>
      <w:r w:rsidR="00763F8B" w:rsidRPr="2ABCBCD5">
        <w:rPr>
          <w:rFonts w:cs="Calibri"/>
        </w:rPr>
        <w:t xml:space="preserve">(DNO) </w:t>
      </w:r>
      <w:r w:rsidR="00491D38" w:rsidRPr="2ABCBCD5">
        <w:rPr>
          <w:rFonts w:cs="Calibri"/>
        </w:rPr>
        <w:t>Coordination</w:t>
      </w:r>
      <w:r w:rsidR="00763F8B" w:rsidRPr="2ABCBCD5">
        <w:rPr>
          <w:rFonts w:cs="Calibri"/>
        </w:rPr>
        <w:t xml:space="preserve"> </w:t>
      </w:r>
      <w:r w:rsidR="00491D38" w:rsidRPr="2ABCBCD5">
        <w:rPr>
          <w:rFonts w:cs="Calibri"/>
        </w:rPr>
        <w:t xml:space="preserve">has led to conflicts </w:t>
      </w:r>
      <w:r w:rsidR="00610792">
        <w:rPr>
          <w:rFonts w:cs="Calibri"/>
        </w:rPr>
        <w:t>over</w:t>
      </w:r>
      <w:r w:rsidR="00610792" w:rsidRPr="2ABCBCD5">
        <w:rPr>
          <w:rFonts w:cs="Calibri"/>
        </w:rPr>
        <w:t xml:space="preserve"> </w:t>
      </w:r>
      <w:r w:rsidR="00491D38" w:rsidRPr="2ABCBCD5">
        <w:rPr>
          <w:rFonts w:cs="Calibri"/>
        </w:rPr>
        <w:t xml:space="preserve">the access to DERs </w:t>
      </w:r>
      <w:r w:rsidR="00584AEA">
        <w:rPr>
          <w:rFonts w:cs="Calibri"/>
        </w:rPr>
        <w:t>on</w:t>
      </w:r>
      <w:r w:rsidR="00584AEA" w:rsidRPr="2ABCBCD5">
        <w:rPr>
          <w:rFonts w:cs="Calibri"/>
        </w:rPr>
        <w:t xml:space="preserve"> </w:t>
      </w:r>
      <w:r w:rsidR="00491D38" w:rsidRPr="2ABCBCD5">
        <w:rPr>
          <w:rFonts w:cs="Calibri"/>
        </w:rPr>
        <w:t>operational timescales, as well as planning and procurement challenges</w:t>
      </w:r>
      <w:r w:rsidR="00EA5FFD">
        <w:rPr>
          <w:rFonts w:cs="Calibri"/>
        </w:rPr>
        <w:t xml:space="preserve"> </w:t>
      </w:r>
      <w:r w:rsidR="006E7EF4" w:rsidRPr="000D4FC2">
        <w:rPr>
          <w:rFonts w:cs="Calibri"/>
          <w:noProof/>
        </w:rPr>
        <w:t>[21]</w:t>
      </w:r>
      <w:r w:rsidR="002A047A">
        <w:rPr>
          <w:rFonts w:cs="Calibri"/>
        </w:rPr>
        <w:t>.</w:t>
      </w:r>
      <w:r w:rsidR="00491D38" w:rsidRPr="2ABCBCD5">
        <w:rPr>
          <w:rFonts w:cs="Calibri"/>
        </w:rPr>
        <w:t xml:space="preserve"> </w:t>
      </w:r>
      <w:r w:rsidR="00763F8B" w:rsidRPr="2ABCBCD5">
        <w:rPr>
          <w:rFonts w:cs="Calibri"/>
        </w:rPr>
        <w:t xml:space="preserve">These </w:t>
      </w:r>
      <w:r w:rsidRPr="2ABCBCD5">
        <w:rPr>
          <w:rFonts w:cs="Calibri"/>
        </w:rPr>
        <w:t xml:space="preserve">technical conflicts </w:t>
      </w:r>
      <w:r w:rsidR="00763F8B" w:rsidRPr="2ABCBCD5">
        <w:rPr>
          <w:rFonts w:cs="Calibri"/>
        </w:rPr>
        <w:t>have been</w:t>
      </w:r>
      <w:r w:rsidRPr="2ABCBCD5">
        <w:rPr>
          <w:rFonts w:cs="Calibri"/>
        </w:rPr>
        <w:t xml:space="preserve"> examined as part of the Open Networks Programme.</w:t>
      </w:r>
      <w:r w:rsidR="00D96830" w:rsidRPr="2ABCBCD5">
        <w:rPr>
          <w:rFonts w:cs="Calibri"/>
        </w:rPr>
        <w:t xml:space="preserve"> Initial </w:t>
      </w:r>
      <w:r w:rsidRPr="2ABCBCD5">
        <w:rPr>
          <w:rFonts w:cs="Calibri"/>
        </w:rPr>
        <w:t>interrogation of Use Cases led to the identification of more than two thousand service conflicts</w:t>
      </w:r>
      <w:r w:rsidR="006E7EF4">
        <w:rPr>
          <w:rFonts w:cs="Calibri"/>
        </w:rPr>
        <w:t xml:space="preserve"> </w:t>
      </w:r>
      <w:r w:rsidR="006E7EF4" w:rsidRPr="000D4FC2">
        <w:rPr>
          <w:rFonts w:cs="Calibri"/>
          <w:noProof/>
        </w:rPr>
        <w:t>[22]</w:t>
      </w:r>
      <w:r w:rsidR="00772EEE">
        <w:rPr>
          <w:rFonts w:cs="Calibri"/>
        </w:rPr>
        <w:t xml:space="preserve">. </w:t>
      </w:r>
      <w:r w:rsidRPr="2ABCBCD5">
        <w:rPr>
          <w:rFonts w:cs="Calibri"/>
        </w:rPr>
        <w:t xml:space="preserve">For example, </w:t>
      </w:r>
      <w:r w:rsidR="00FC6BEB">
        <w:rPr>
          <w:rFonts w:cs="Calibri"/>
        </w:rPr>
        <w:t xml:space="preserve">a service conflict may occur in </w:t>
      </w:r>
      <w:r w:rsidR="00AA39CD">
        <w:rPr>
          <w:rFonts w:cs="Calibri"/>
        </w:rPr>
        <w:t xml:space="preserve">which </w:t>
      </w:r>
      <w:r w:rsidR="00AA39CD" w:rsidRPr="2ABCBCD5">
        <w:rPr>
          <w:rFonts w:cs="Calibri"/>
        </w:rPr>
        <w:t>the</w:t>
      </w:r>
      <w:r w:rsidRPr="2ABCBCD5">
        <w:rPr>
          <w:rFonts w:cs="Calibri"/>
        </w:rPr>
        <w:t xml:space="preserve"> DNO</w:t>
      </w:r>
      <w:r w:rsidR="00AA39CD">
        <w:rPr>
          <w:rFonts w:cs="Calibri"/>
        </w:rPr>
        <w:t>/DNSP</w:t>
      </w:r>
      <w:r w:rsidRPr="2ABCBCD5">
        <w:rPr>
          <w:rFonts w:cs="Calibri"/>
        </w:rPr>
        <w:t xml:space="preserve"> may procure services to increase generation </w:t>
      </w:r>
      <w:r w:rsidR="009A4B11">
        <w:rPr>
          <w:rFonts w:cs="Calibri"/>
        </w:rPr>
        <w:t>with</w:t>
      </w:r>
      <w:r w:rsidRPr="2ABCBCD5">
        <w:rPr>
          <w:rFonts w:cs="Calibri"/>
        </w:rPr>
        <w:t>in an area, whilst the ESO procure</w:t>
      </w:r>
      <w:r w:rsidR="009A4B11">
        <w:rPr>
          <w:rFonts w:cs="Calibri"/>
        </w:rPr>
        <w:t>s</w:t>
      </w:r>
      <w:r w:rsidRPr="2ABCBCD5">
        <w:rPr>
          <w:rFonts w:cs="Calibri"/>
        </w:rPr>
        <w:t xml:space="preserve"> services for the opposite from a nearby generator.</w:t>
      </w:r>
    </w:p>
    <w:p w14:paraId="6A0186FF" w14:textId="4B6ADC62" w:rsidR="001E22F6" w:rsidRPr="0050162C" w:rsidRDefault="001E22F6" w:rsidP="0050162C">
      <w:pPr>
        <w:spacing w:before="180" w:after="120" w:line="288" w:lineRule="auto"/>
        <w:rPr>
          <w:rFonts w:cs="Calibri"/>
          <w:szCs w:val="18"/>
        </w:rPr>
      </w:pPr>
      <w:r w:rsidRPr="0050162C">
        <w:rPr>
          <w:rFonts w:cs="Calibri"/>
          <w:szCs w:val="18"/>
        </w:rPr>
        <w:t>In response, the UK is progressing the development of Primacy Rules to pre-determine a hierarchy of operational needs.</w:t>
      </w:r>
      <w:r w:rsidR="002E6B9C">
        <w:rPr>
          <w:rFonts w:cs="Calibri"/>
          <w:szCs w:val="18"/>
        </w:rPr>
        <w:t xml:space="preserve"> This </w:t>
      </w:r>
      <w:r w:rsidR="00C20C65">
        <w:rPr>
          <w:rFonts w:cs="Calibri"/>
          <w:szCs w:val="18"/>
        </w:rPr>
        <w:t xml:space="preserve">is </w:t>
      </w:r>
      <w:r w:rsidR="002E6B9C">
        <w:rPr>
          <w:rFonts w:cs="Calibri"/>
          <w:szCs w:val="18"/>
        </w:rPr>
        <w:t>referred to</w:t>
      </w:r>
      <w:r w:rsidR="00C20C65">
        <w:rPr>
          <w:rFonts w:cs="Calibri"/>
          <w:szCs w:val="18"/>
        </w:rPr>
        <w:t xml:space="preserve"> in different ways across jurisdictions and depending on the context, including:</w:t>
      </w:r>
      <w:r w:rsidR="002E6B9C">
        <w:rPr>
          <w:rFonts w:cs="Calibri"/>
          <w:szCs w:val="18"/>
        </w:rPr>
        <w:t xml:space="preserve"> control hierarchy</w:t>
      </w:r>
      <w:r w:rsidR="00C20C65">
        <w:rPr>
          <w:rFonts w:cs="Calibri"/>
          <w:szCs w:val="18"/>
        </w:rPr>
        <w:t>,</w:t>
      </w:r>
      <w:r w:rsidR="002E6B9C">
        <w:rPr>
          <w:rFonts w:cs="Calibri"/>
          <w:szCs w:val="18"/>
        </w:rPr>
        <w:t xml:space="preserve"> control federation</w:t>
      </w:r>
      <w:r w:rsidR="00C20C65">
        <w:rPr>
          <w:rFonts w:cs="Calibri"/>
          <w:szCs w:val="18"/>
        </w:rPr>
        <w:t>, or functional prioritisation</w:t>
      </w:r>
      <w:r w:rsidR="002E6B9C">
        <w:rPr>
          <w:rFonts w:cs="Calibri"/>
          <w:szCs w:val="18"/>
        </w:rPr>
        <w:t>.</w:t>
      </w:r>
      <w:r w:rsidRPr="0050162C">
        <w:rPr>
          <w:rFonts w:cs="Calibri"/>
          <w:szCs w:val="18"/>
        </w:rPr>
        <w:t xml:space="preserve"> The ESO and DNOs manage the respective transmission and distribution networks in accordance with </w:t>
      </w:r>
      <w:r w:rsidR="00B17F3D" w:rsidRPr="0050162C">
        <w:rPr>
          <w:rFonts w:cs="Calibri"/>
          <w:szCs w:val="18"/>
        </w:rPr>
        <w:t xml:space="preserve">their regulated roles, </w:t>
      </w:r>
      <w:r w:rsidRPr="0050162C">
        <w:rPr>
          <w:rFonts w:cs="Calibri"/>
          <w:szCs w:val="18"/>
        </w:rPr>
        <w:t xml:space="preserve">applicable standards and licence conditions. Each organisation may require one or more </w:t>
      </w:r>
      <w:r w:rsidR="006679F2" w:rsidRPr="0050162C">
        <w:rPr>
          <w:rFonts w:cs="Calibri"/>
          <w:szCs w:val="18"/>
        </w:rPr>
        <w:t>s</w:t>
      </w:r>
      <w:r w:rsidRPr="0050162C">
        <w:rPr>
          <w:rFonts w:cs="Calibri"/>
          <w:szCs w:val="18"/>
        </w:rPr>
        <w:t>ervices</w:t>
      </w:r>
      <w:r w:rsidR="006679F2" w:rsidRPr="0050162C">
        <w:rPr>
          <w:rFonts w:cs="Calibri"/>
          <w:szCs w:val="18"/>
        </w:rPr>
        <w:t>, including those available from CER/DER aggregations</w:t>
      </w:r>
      <w:r w:rsidRPr="0050162C">
        <w:rPr>
          <w:rFonts w:cs="Calibri"/>
          <w:szCs w:val="18"/>
        </w:rPr>
        <w:t xml:space="preserve"> for this purpose. </w:t>
      </w:r>
      <w:r w:rsidR="00675B21">
        <w:rPr>
          <w:rFonts w:cs="Calibri"/>
          <w:szCs w:val="18"/>
        </w:rPr>
        <w:t>Resource demand c</w:t>
      </w:r>
      <w:r w:rsidRPr="0050162C">
        <w:rPr>
          <w:rFonts w:cs="Calibri"/>
          <w:szCs w:val="18"/>
        </w:rPr>
        <w:t xml:space="preserve">onflicts </w:t>
      </w:r>
      <w:r w:rsidR="00E53E33">
        <w:rPr>
          <w:rFonts w:cs="Calibri"/>
          <w:szCs w:val="18"/>
        </w:rPr>
        <w:t xml:space="preserve">within </w:t>
      </w:r>
      <w:r w:rsidRPr="0050162C">
        <w:rPr>
          <w:rFonts w:cs="Calibri"/>
          <w:szCs w:val="18"/>
        </w:rPr>
        <w:t>one</w:t>
      </w:r>
      <w:r w:rsidR="00BD6D35">
        <w:rPr>
          <w:rFonts w:cs="Calibri"/>
          <w:szCs w:val="18"/>
        </w:rPr>
        <w:t xml:space="preserve">, or among two or more </w:t>
      </w:r>
      <w:r w:rsidRPr="0050162C">
        <w:rPr>
          <w:rFonts w:cs="Calibri"/>
          <w:szCs w:val="18"/>
        </w:rPr>
        <w:t>of these services</w:t>
      </w:r>
      <w:r w:rsidR="00963A3E">
        <w:rPr>
          <w:rFonts w:cs="Calibri"/>
          <w:szCs w:val="18"/>
        </w:rPr>
        <w:t xml:space="preserve"> </w:t>
      </w:r>
      <w:r w:rsidR="00593E2A">
        <w:rPr>
          <w:rFonts w:cs="Calibri"/>
          <w:szCs w:val="18"/>
        </w:rPr>
        <w:t xml:space="preserve">when </w:t>
      </w:r>
      <w:r w:rsidR="00147D8C">
        <w:rPr>
          <w:rFonts w:cs="Calibri"/>
          <w:szCs w:val="18"/>
        </w:rPr>
        <w:t xml:space="preserve">called upon by </w:t>
      </w:r>
      <w:r w:rsidR="002E50B8">
        <w:rPr>
          <w:rFonts w:cs="Calibri"/>
          <w:szCs w:val="18"/>
        </w:rPr>
        <w:t xml:space="preserve">different layers </w:t>
      </w:r>
      <w:r w:rsidRPr="0050162C">
        <w:rPr>
          <w:rFonts w:cs="Calibri"/>
          <w:szCs w:val="18"/>
        </w:rPr>
        <w:t xml:space="preserve">may lead to inefficiencies within the whole electricity system. This will </w:t>
      </w:r>
      <w:r w:rsidR="00E35273">
        <w:rPr>
          <w:rFonts w:cs="Calibri"/>
          <w:szCs w:val="18"/>
        </w:rPr>
        <w:t>likely</w:t>
      </w:r>
      <w:r w:rsidRPr="0050162C">
        <w:rPr>
          <w:rFonts w:cs="Calibri"/>
          <w:szCs w:val="18"/>
        </w:rPr>
        <w:t xml:space="preserve"> increase given </w:t>
      </w:r>
      <w:r w:rsidR="009618CF">
        <w:rPr>
          <w:rFonts w:cs="Calibri"/>
          <w:szCs w:val="18"/>
        </w:rPr>
        <w:t>increase in services</w:t>
      </w:r>
      <w:r w:rsidRPr="0050162C">
        <w:rPr>
          <w:rFonts w:cs="Calibri"/>
          <w:szCs w:val="18"/>
        </w:rPr>
        <w:t xml:space="preserve"> procurement and</w:t>
      </w:r>
      <w:r w:rsidR="009618CF">
        <w:rPr>
          <w:rFonts w:cs="Calibri"/>
          <w:szCs w:val="18"/>
        </w:rPr>
        <w:t xml:space="preserve"> the</w:t>
      </w:r>
      <w:r w:rsidRPr="0050162C">
        <w:rPr>
          <w:rFonts w:cs="Calibri"/>
          <w:szCs w:val="18"/>
        </w:rPr>
        <w:t xml:space="preserve"> limited coordination to date. Hence, in order to manage this potential conflict and to enable networks to be optimised efficiently and transparently, a set of clear principles and “primacy” rules </w:t>
      </w:r>
      <w:r w:rsidR="003E5A85">
        <w:rPr>
          <w:rFonts w:cs="Calibri"/>
          <w:szCs w:val="18"/>
        </w:rPr>
        <w:t>is</w:t>
      </w:r>
      <w:r w:rsidRPr="0050162C">
        <w:rPr>
          <w:rFonts w:cs="Calibri"/>
          <w:szCs w:val="18"/>
        </w:rPr>
        <w:t xml:space="preserve"> in development. </w:t>
      </w:r>
      <w:r w:rsidR="00FC6DE6" w:rsidRPr="0050162C">
        <w:rPr>
          <w:rFonts w:cs="Calibri"/>
          <w:szCs w:val="18"/>
        </w:rPr>
        <w:t xml:space="preserve">T-D Coordination schemes have </w:t>
      </w:r>
      <w:r w:rsidRPr="0050162C">
        <w:rPr>
          <w:rFonts w:cs="Calibri"/>
          <w:szCs w:val="18"/>
        </w:rPr>
        <w:t>an important role in facilitating such mechanisms</w:t>
      </w:r>
      <w:r w:rsidR="009F262E" w:rsidRPr="0050162C">
        <w:rPr>
          <w:rFonts w:cs="Calibri"/>
          <w:szCs w:val="18"/>
        </w:rPr>
        <w:t xml:space="preserve"> by o</w:t>
      </w:r>
      <w:r w:rsidRPr="0050162C">
        <w:rPr>
          <w:rFonts w:cs="Calibri"/>
          <w:szCs w:val="18"/>
        </w:rPr>
        <w:t>perationalis</w:t>
      </w:r>
      <w:r w:rsidR="009F262E" w:rsidRPr="0050162C">
        <w:rPr>
          <w:rFonts w:cs="Calibri"/>
          <w:szCs w:val="18"/>
        </w:rPr>
        <w:t>ing</w:t>
      </w:r>
      <w:r w:rsidRPr="0050162C">
        <w:rPr>
          <w:rFonts w:cs="Calibri"/>
          <w:szCs w:val="18"/>
        </w:rPr>
        <w:t xml:space="preserve"> agreed primacy rules</w:t>
      </w:r>
      <w:r w:rsidR="0048541A" w:rsidRPr="0050162C">
        <w:rPr>
          <w:rFonts w:cs="Calibri"/>
          <w:szCs w:val="18"/>
        </w:rPr>
        <w:t>. This</w:t>
      </w:r>
      <w:r w:rsidRPr="0050162C">
        <w:rPr>
          <w:rFonts w:cs="Calibri"/>
          <w:szCs w:val="18"/>
        </w:rPr>
        <w:t xml:space="preserve"> requires sourcing and sharing supporting data to quantify or validate prioritisation</w:t>
      </w:r>
      <w:r w:rsidR="006E7EF4">
        <w:rPr>
          <w:rFonts w:cs="Calibri"/>
          <w:szCs w:val="18"/>
        </w:rPr>
        <w:t xml:space="preserve"> </w:t>
      </w:r>
      <w:r w:rsidR="006E7EF4" w:rsidRPr="000D4FC2">
        <w:rPr>
          <w:rFonts w:cs="Calibri"/>
          <w:noProof/>
          <w:szCs w:val="18"/>
        </w:rPr>
        <w:t>[23]</w:t>
      </w:r>
      <w:r w:rsidR="0048541A" w:rsidRPr="0050162C">
        <w:rPr>
          <w:rFonts w:cs="Calibri"/>
          <w:szCs w:val="18"/>
        </w:rPr>
        <w:t>.</w:t>
      </w:r>
    </w:p>
    <w:p w14:paraId="1B65C84E" w14:textId="4F6DEF05" w:rsidR="001E22F6" w:rsidRPr="0050162C" w:rsidRDefault="0048541A" w:rsidP="0050162C">
      <w:pPr>
        <w:spacing w:before="180" w:after="120" w:line="288" w:lineRule="auto"/>
        <w:rPr>
          <w:rFonts w:cs="Calibri"/>
          <w:szCs w:val="18"/>
        </w:rPr>
      </w:pPr>
      <w:r w:rsidRPr="0050162C">
        <w:rPr>
          <w:rFonts w:cs="Calibri"/>
          <w:szCs w:val="18"/>
        </w:rPr>
        <w:t xml:space="preserve">In the US, </w:t>
      </w:r>
      <w:r w:rsidR="000C6BC2" w:rsidRPr="0050162C">
        <w:rPr>
          <w:rFonts w:cs="Calibri"/>
          <w:szCs w:val="18"/>
        </w:rPr>
        <w:t>the primary focus</w:t>
      </w:r>
      <w:r w:rsidR="00781A24">
        <w:rPr>
          <w:rFonts w:cs="Calibri"/>
          <w:szCs w:val="18"/>
        </w:rPr>
        <w:t xml:space="preserve"> of T</w:t>
      </w:r>
      <w:r w:rsidR="008D39A3">
        <w:rPr>
          <w:rFonts w:cs="Calibri"/>
          <w:szCs w:val="18"/>
        </w:rPr>
        <w:t>DC</w:t>
      </w:r>
      <w:r w:rsidR="000C6BC2" w:rsidRPr="0050162C">
        <w:rPr>
          <w:rFonts w:cs="Calibri"/>
          <w:szCs w:val="18"/>
        </w:rPr>
        <w:t xml:space="preserve"> </w:t>
      </w:r>
      <w:r w:rsidR="004F6F9E" w:rsidRPr="0050162C">
        <w:rPr>
          <w:rFonts w:cs="Calibri"/>
          <w:szCs w:val="18"/>
        </w:rPr>
        <w:t>i</w:t>
      </w:r>
      <w:r w:rsidR="000C6BC2" w:rsidRPr="0050162C">
        <w:rPr>
          <w:rFonts w:cs="Calibri"/>
          <w:szCs w:val="18"/>
        </w:rPr>
        <w:t xml:space="preserve">s on using </w:t>
      </w:r>
      <w:r w:rsidR="00707354" w:rsidRPr="0050162C">
        <w:rPr>
          <w:rFonts w:cs="Calibri"/>
          <w:szCs w:val="18"/>
        </w:rPr>
        <w:t>CER/</w:t>
      </w:r>
      <w:r w:rsidR="000C6BC2" w:rsidRPr="0050162C">
        <w:rPr>
          <w:rFonts w:cs="Calibri"/>
          <w:szCs w:val="18"/>
        </w:rPr>
        <w:t>DER to solve bulk system needs</w:t>
      </w:r>
      <w:r w:rsidR="00707354" w:rsidRPr="0050162C">
        <w:rPr>
          <w:rFonts w:cs="Calibri"/>
          <w:szCs w:val="18"/>
        </w:rPr>
        <w:t xml:space="preserve"> and to </w:t>
      </w:r>
      <w:r w:rsidR="000C6BC2" w:rsidRPr="0050162C">
        <w:rPr>
          <w:rFonts w:cs="Calibri"/>
          <w:szCs w:val="18"/>
        </w:rPr>
        <w:t xml:space="preserve">concurrently solve distribution challenges through traditional top-down planning processes. However, the timing </w:t>
      </w:r>
      <w:r w:rsidR="000E1C72">
        <w:rPr>
          <w:rFonts w:cs="Calibri"/>
          <w:szCs w:val="18"/>
        </w:rPr>
        <w:t xml:space="preserve">needs for </w:t>
      </w:r>
      <w:r w:rsidR="000C6BC2" w:rsidRPr="0050162C">
        <w:rPr>
          <w:rFonts w:cs="Calibri"/>
          <w:szCs w:val="18"/>
        </w:rPr>
        <w:t xml:space="preserve">distribution and bulk power system </w:t>
      </w:r>
      <w:r w:rsidR="00AF7DF9">
        <w:rPr>
          <w:rFonts w:cs="Calibri"/>
          <w:szCs w:val="18"/>
        </w:rPr>
        <w:t xml:space="preserve">decisions </w:t>
      </w:r>
      <w:r w:rsidR="000C6BC2" w:rsidRPr="0050162C">
        <w:rPr>
          <w:rFonts w:cs="Calibri"/>
          <w:szCs w:val="18"/>
        </w:rPr>
        <w:t>are not always aligned. If the bulk system and distribution grid needs are divergent, “DER services for the respective uses may cancel each other out or exacerbate the need in the other domain</w:t>
      </w:r>
      <w:r w:rsidR="00D438DC" w:rsidRPr="0050162C">
        <w:rPr>
          <w:rFonts w:cs="Calibri"/>
          <w:szCs w:val="18"/>
        </w:rPr>
        <w:t>”</w:t>
      </w:r>
      <w:r w:rsidR="000E549C">
        <w:rPr>
          <w:rFonts w:cs="Calibri"/>
          <w:szCs w:val="18"/>
        </w:rPr>
        <w:t xml:space="preserve"> </w:t>
      </w:r>
      <w:r w:rsidR="000E549C" w:rsidRPr="000D4FC2">
        <w:rPr>
          <w:rFonts w:cs="Calibri"/>
          <w:noProof/>
          <w:szCs w:val="18"/>
        </w:rPr>
        <w:t>[19]</w:t>
      </w:r>
      <w:r w:rsidR="00772EEE">
        <w:rPr>
          <w:rFonts w:cs="Calibri"/>
          <w:szCs w:val="18"/>
        </w:rPr>
        <w:t>.</w:t>
      </w:r>
    </w:p>
    <w:p w14:paraId="10873CAA" w14:textId="2BBAB007" w:rsidR="00582064" w:rsidRDefault="0077328A">
      <w:pPr>
        <w:spacing w:before="0" w:after="160" w:line="259" w:lineRule="auto"/>
        <w:rPr>
          <w:rFonts w:ascii="PP Mori SemiBold" w:eastAsiaTheme="majorEastAsia" w:hAnsi="PP Mori SemiBold" w:cstheme="majorBidi"/>
          <w:color w:val="013C4C" w:themeColor="text1"/>
          <w:sz w:val="32"/>
          <w:szCs w:val="40"/>
          <w:lang w:val="en-GB"/>
        </w:rPr>
      </w:pPr>
      <w:r>
        <w:rPr>
          <w:rFonts w:cs="Calibri"/>
        </w:rPr>
        <w:t xml:space="preserve">It should be noted that underlying structural arrangements are the greatest determinant and mitigant of the types and frequency of operational conflicts across the T-D </w:t>
      </w:r>
      <w:r w:rsidR="005C696E">
        <w:rPr>
          <w:rFonts w:cs="Calibri"/>
        </w:rPr>
        <w:t>Interface</w:t>
      </w:r>
      <w:r>
        <w:rPr>
          <w:rFonts w:cs="Calibri"/>
        </w:rPr>
        <w:t xml:space="preserve">. </w:t>
      </w:r>
      <w:r w:rsidR="00582064">
        <w:rPr>
          <w:lang w:val="en-GB"/>
        </w:rPr>
        <w:br w:type="page"/>
      </w:r>
    </w:p>
    <w:p w14:paraId="36ED51C4" w14:textId="0C6C812A" w:rsidR="004F31F1" w:rsidRPr="00582064" w:rsidRDefault="002400C2" w:rsidP="00582064">
      <w:pPr>
        <w:pStyle w:val="Heading1"/>
        <w:rPr>
          <w:lang w:val="en-GB"/>
        </w:rPr>
      </w:pPr>
      <w:bookmarkStart w:id="123" w:name="_Ref196399537"/>
      <w:bookmarkStart w:id="124" w:name="_Toc205532855"/>
      <w:bookmarkStart w:id="125" w:name="S_6"/>
      <w:r>
        <w:rPr>
          <w:lang w:val="en-GB"/>
        </w:rPr>
        <w:lastRenderedPageBreak/>
        <w:t xml:space="preserve">Data Exchange: </w:t>
      </w:r>
      <w:r w:rsidR="00C75D5A">
        <w:rPr>
          <w:lang w:val="en-GB"/>
        </w:rPr>
        <w:t>Considerations for e</w:t>
      </w:r>
      <w:r w:rsidR="00612857">
        <w:rPr>
          <w:lang w:val="en-GB"/>
        </w:rPr>
        <w:t xml:space="preserve">nabling </w:t>
      </w:r>
      <w:r w:rsidR="0079240E">
        <w:rPr>
          <w:lang w:val="en-GB"/>
        </w:rPr>
        <w:t xml:space="preserve">secure and scalable </w:t>
      </w:r>
      <w:r w:rsidR="00612857">
        <w:rPr>
          <w:lang w:val="en-GB"/>
        </w:rPr>
        <w:t xml:space="preserve">data </w:t>
      </w:r>
      <w:r>
        <w:rPr>
          <w:lang w:val="en-GB"/>
        </w:rPr>
        <w:t>and information flow</w:t>
      </w:r>
      <w:r w:rsidR="0079240E">
        <w:rPr>
          <w:lang w:val="en-GB"/>
        </w:rPr>
        <w:t>s</w:t>
      </w:r>
      <w:bookmarkEnd w:id="123"/>
      <w:bookmarkEnd w:id="124"/>
      <w:r w:rsidR="004F31F1" w:rsidRPr="00582064">
        <w:rPr>
          <w:lang w:val="en-GB"/>
        </w:rPr>
        <w:t xml:space="preserve"> </w:t>
      </w:r>
    </w:p>
    <w:bookmarkEnd w:id="125"/>
    <w:p w14:paraId="25D6DC2A" w14:textId="5AFAA43D" w:rsidR="0059364F" w:rsidRPr="0050162C" w:rsidRDefault="00EC1C3B" w:rsidP="00F14453">
      <w:pPr>
        <w:spacing w:before="180" w:after="0" w:line="288" w:lineRule="auto"/>
        <w:rPr>
          <w:rFonts w:cs="Calibri"/>
          <w:lang w:val="en-GB"/>
        </w:rPr>
      </w:pPr>
      <w:r w:rsidRPr="2ABCBCD5">
        <w:rPr>
          <w:rFonts w:cs="Calibri"/>
        </w:rPr>
        <w:t xml:space="preserve">In highly digitalised grids, </w:t>
      </w:r>
      <w:r w:rsidR="002876F6" w:rsidRPr="2ABCBCD5">
        <w:rPr>
          <w:rFonts w:cs="Calibri"/>
        </w:rPr>
        <w:t>one of</w:t>
      </w:r>
      <w:r w:rsidRPr="2ABCBCD5">
        <w:rPr>
          <w:rFonts w:cs="Calibri"/>
        </w:rPr>
        <w:t xml:space="preserve"> the most </w:t>
      </w:r>
      <w:r w:rsidR="00281ADA" w:rsidRPr="2ABCBCD5">
        <w:rPr>
          <w:rFonts w:cs="Calibri"/>
        </w:rPr>
        <w:t xml:space="preserve">critical TDC </w:t>
      </w:r>
      <w:r w:rsidR="00EA627B" w:rsidRPr="2ABCBCD5">
        <w:rPr>
          <w:rFonts w:cs="Calibri"/>
        </w:rPr>
        <w:t xml:space="preserve">considerations </w:t>
      </w:r>
      <w:r w:rsidR="00653111" w:rsidRPr="2ABCBCD5">
        <w:rPr>
          <w:rFonts w:cs="Calibri"/>
        </w:rPr>
        <w:t xml:space="preserve">the </w:t>
      </w:r>
      <w:r w:rsidR="003F7AA6" w:rsidRPr="2ABCBCD5">
        <w:rPr>
          <w:rFonts w:cs="Calibri"/>
        </w:rPr>
        <w:t xml:space="preserve">bi-directional </w:t>
      </w:r>
      <w:r w:rsidR="00653111" w:rsidRPr="2ABCBCD5">
        <w:rPr>
          <w:rFonts w:cs="Calibri"/>
        </w:rPr>
        <w:t>data exchange</w:t>
      </w:r>
      <w:r w:rsidR="0013634F">
        <w:rPr>
          <w:rFonts w:cs="Calibri"/>
        </w:rPr>
        <w:t>,</w:t>
      </w:r>
      <w:r w:rsidRPr="2ABCBCD5">
        <w:rPr>
          <w:rFonts w:cs="Calibri"/>
        </w:rPr>
        <w:t xml:space="preserve"> between the bulk power system and subsidiary distribution networks or DSOs</w:t>
      </w:r>
      <w:r w:rsidR="007E0C9F">
        <w:rPr>
          <w:rFonts w:cs="Calibri"/>
        </w:rPr>
        <w:t>,</w:t>
      </w:r>
      <w:r w:rsidRPr="2ABCBCD5">
        <w:rPr>
          <w:rFonts w:cs="Calibri"/>
        </w:rPr>
        <w:t xml:space="preserve"> to support </w:t>
      </w:r>
      <w:r w:rsidR="007F2DCD" w:rsidRPr="2ABCBCD5">
        <w:rPr>
          <w:rFonts w:cs="Calibri"/>
        </w:rPr>
        <w:t xml:space="preserve">coordination across </w:t>
      </w:r>
      <w:r w:rsidR="00963852">
        <w:rPr>
          <w:rFonts w:cs="Calibri"/>
        </w:rPr>
        <w:t xml:space="preserve">timeframes from </w:t>
      </w:r>
      <w:r w:rsidR="00D7331D" w:rsidRPr="2ABCBCD5">
        <w:rPr>
          <w:rFonts w:cs="Calibri"/>
        </w:rPr>
        <w:t xml:space="preserve">planning through </w:t>
      </w:r>
      <w:r w:rsidRPr="2ABCBCD5">
        <w:rPr>
          <w:rFonts w:cs="Calibri"/>
        </w:rPr>
        <w:t xml:space="preserve">operational. </w:t>
      </w:r>
      <w:r w:rsidR="002F2EE7" w:rsidRPr="2ABCBCD5">
        <w:rPr>
          <w:rFonts w:cs="Calibri"/>
        </w:rPr>
        <w:t xml:space="preserve">The data requirements for different DSO </w:t>
      </w:r>
      <w:r w:rsidR="008D39A3">
        <w:rPr>
          <w:rFonts w:cs="Calibri"/>
        </w:rPr>
        <w:t>and T</w:t>
      </w:r>
      <w:r w:rsidR="001112CB" w:rsidRPr="2ABCBCD5">
        <w:rPr>
          <w:rFonts w:cs="Calibri"/>
        </w:rPr>
        <w:t xml:space="preserve">DC </w:t>
      </w:r>
      <w:r w:rsidR="00026EF9">
        <w:rPr>
          <w:rFonts w:cs="Calibri"/>
        </w:rPr>
        <w:t xml:space="preserve">models </w:t>
      </w:r>
      <w:r w:rsidR="00D85221">
        <w:rPr>
          <w:rFonts w:cs="Calibri"/>
        </w:rPr>
        <w:t>varies substantially</w:t>
      </w:r>
      <w:r w:rsidR="00286500" w:rsidRPr="2ABCBCD5">
        <w:rPr>
          <w:rFonts w:cs="Calibri"/>
        </w:rPr>
        <w:t xml:space="preserve">, and impacts </w:t>
      </w:r>
      <w:r w:rsidR="00E80810" w:rsidRPr="2ABCBCD5">
        <w:rPr>
          <w:rFonts w:cs="Calibri"/>
        </w:rPr>
        <w:t>implementation complexity, cost and scalability</w:t>
      </w:r>
      <w:r w:rsidR="00772EEE">
        <w:rPr>
          <w:rFonts w:cs="Calibri"/>
        </w:rPr>
        <w:t xml:space="preserve">. </w:t>
      </w:r>
      <w:r w:rsidR="007927C4" w:rsidRPr="2ABCBCD5">
        <w:rPr>
          <w:rFonts w:cs="Calibri"/>
        </w:rPr>
        <w:t>Therefore, as</w:t>
      </w:r>
      <w:r w:rsidR="00CC4723" w:rsidRPr="2ABCBCD5">
        <w:rPr>
          <w:rFonts w:cs="Calibri"/>
        </w:rPr>
        <w:t xml:space="preserve">certaining </w:t>
      </w:r>
      <w:r w:rsidR="00673AA0" w:rsidRPr="2ABCBCD5">
        <w:rPr>
          <w:rFonts w:cs="Calibri"/>
        </w:rPr>
        <w:t xml:space="preserve">the </w:t>
      </w:r>
      <w:r w:rsidR="001B1122">
        <w:rPr>
          <w:rFonts w:cs="Calibri"/>
        </w:rPr>
        <w:t>requirements for</w:t>
      </w:r>
      <w:r w:rsidR="001B1122" w:rsidRPr="2ABCBCD5">
        <w:rPr>
          <w:rFonts w:cs="Calibri"/>
        </w:rPr>
        <w:t xml:space="preserve"> </w:t>
      </w:r>
      <w:r w:rsidR="00CE1D6E" w:rsidRPr="2ABCBCD5">
        <w:rPr>
          <w:rFonts w:cs="Calibri"/>
        </w:rPr>
        <w:t xml:space="preserve">information </w:t>
      </w:r>
      <w:r w:rsidR="00673AA0" w:rsidRPr="2ABCBCD5">
        <w:rPr>
          <w:rFonts w:cs="Calibri"/>
        </w:rPr>
        <w:t xml:space="preserve">exchange </w:t>
      </w:r>
      <w:r w:rsidR="00CE1D6E" w:rsidRPr="2ABCBCD5">
        <w:rPr>
          <w:rFonts w:cs="Calibri"/>
        </w:rPr>
        <w:t xml:space="preserve">and supporting </w:t>
      </w:r>
      <w:r w:rsidR="00D422FB" w:rsidRPr="2ABCBCD5">
        <w:rPr>
          <w:rFonts w:cs="Calibri"/>
        </w:rPr>
        <w:t xml:space="preserve">data </w:t>
      </w:r>
      <w:r w:rsidR="00DC07B6" w:rsidRPr="2ABCBCD5">
        <w:rPr>
          <w:rFonts w:cs="Calibri"/>
        </w:rPr>
        <w:t xml:space="preserve">flows </w:t>
      </w:r>
      <w:r w:rsidR="00CE1D6E" w:rsidRPr="2ABCBCD5">
        <w:rPr>
          <w:rFonts w:cs="Calibri"/>
        </w:rPr>
        <w:t xml:space="preserve">across </w:t>
      </w:r>
      <w:r w:rsidR="00F16E93" w:rsidRPr="2ABCBCD5">
        <w:rPr>
          <w:rFonts w:cs="Calibri"/>
        </w:rPr>
        <w:t xml:space="preserve">discrete </w:t>
      </w:r>
      <w:r w:rsidR="00CE1D6E" w:rsidRPr="2ABCBCD5">
        <w:rPr>
          <w:rFonts w:cs="Calibri"/>
        </w:rPr>
        <w:t>system</w:t>
      </w:r>
      <w:r w:rsidR="00F16E93" w:rsidRPr="2ABCBCD5">
        <w:rPr>
          <w:rFonts w:cs="Calibri"/>
        </w:rPr>
        <w:t>s and</w:t>
      </w:r>
      <w:r w:rsidR="00CE1D6E" w:rsidRPr="2ABCBCD5">
        <w:rPr>
          <w:rFonts w:cs="Calibri"/>
        </w:rPr>
        <w:t xml:space="preserve"> actors is critical. This includes data </w:t>
      </w:r>
      <w:r w:rsidR="00EB3CB0" w:rsidRPr="2ABCBCD5">
        <w:rPr>
          <w:rFonts w:cs="Calibri"/>
        </w:rPr>
        <w:t xml:space="preserve">requirements, models, </w:t>
      </w:r>
      <w:r w:rsidR="008D327E" w:rsidRPr="2ABCBCD5">
        <w:rPr>
          <w:rFonts w:cs="Calibri"/>
        </w:rPr>
        <w:t>transformations, communications and security</w:t>
      </w:r>
      <w:r w:rsidR="00772EEE">
        <w:rPr>
          <w:rFonts w:cs="Calibri"/>
        </w:rPr>
        <w:t xml:space="preserve">. </w:t>
      </w:r>
      <w:r w:rsidR="00972119" w:rsidRPr="2ABCBCD5">
        <w:rPr>
          <w:rFonts w:cs="Calibri"/>
        </w:rPr>
        <w:t xml:space="preserve">The following section </w:t>
      </w:r>
      <w:r w:rsidR="003F11EE" w:rsidRPr="2ABCBCD5">
        <w:rPr>
          <w:rFonts w:cs="Calibri"/>
        </w:rPr>
        <w:t xml:space="preserve">provides </w:t>
      </w:r>
      <w:r w:rsidR="006C6C71" w:rsidRPr="2ABCBCD5">
        <w:rPr>
          <w:rFonts w:cs="Calibri"/>
        </w:rPr>
        <w:t xml:space="preserve">a </w:t>
      </w:r>
      <w:r w:rsidR="003F11EE" w:rsidRPr="2ABCBCD5">
        <w:rPr>
          <w:rFonts w:cs="Calibri"/>
        </w:rPr>
        <w:t xml:space="preserve">summary </w:t>
      </w:r>
      <w:r w:rsidR="00174AF7" w:rsidRPr="2ABCBCD5">
        <w:rPr>
          <w:rFonts w:cs="Calibri"/>
        </w:rPr>
        <w:t>of</w:t>
      </w:r>
      <w:r w:rsidR="003F11EE" w:rsidRPr="2ABCBCD5">
        <w:rPr>
          <w:rFonts w:cs="Calibri"/>
        </w:rPr>
        <w:t xml:space="preserve"> </w:t>
      </w:r>
      <w:r w:rsidR="00D74DC0" w:rsidRPr="2ABCBCD5">
        <w:rPr>
          <w:rFonts w:cs="Calibri"/>
        </w:rPr>
        <w:t>each</w:t>
      </w:r>
      <w:r w:rsidR="00CD4B5F">
        <w:rPr>
          <w:rFonts w:cs="Calibri"/>
        </w:rPr>
        <w:t>,</w:t>
      </w:r>
      <w:r w:rsidR="00D74DC0" w:rsidRPr="2ABCBCD5">
        <w:rPr>
          <w:rFonts w:cs="Calibri"/>
        </w:rPr>
        <w:t xml:space="preserve"> surfaced from </w:t>
      </w:r>
      <w:r w:rsidR="00074A46" w:rsidRPr="2ABCBCD5">
        <w:rPr>
          <w:rFonts w:cs="Calibri"/>
        </w:rPr>
        <w:t xml:space="preserve">a broad cross section of global </w:t>
      </w:r>
      <w:r w:rsidR="00F30A40" w:rsidRPr="2ABCBCD5">
        <w:rPr>
          <w:rFonts w:cs="Calibri"/>
        </w:rPr>
        <w:t>TDC</w:t>
      </w:r>
      <w:r w:rsidR="00B1243A" w:rsidRPr="2ABCBCD5">
        <w:rPr>
          <w:rFonts w:cs="Calibri"/>
        </w:rPr>
        <w:t xml:space="preserve"> </w:t>
      </w:r>
      <w:r w:rsidR="00074A46" w:rsidRPr="2ABCBCD5">
        <w:rPr>
          <w:rFonts w:cs="Calibri"/>
        </w:rPr>
        <w:t xml:space="preserve">research. </w:t>
      </w:r>
    </w:p>
    <w:p w14:paraId="40AD9442" w14:textId="3A26F08B" w:rsidR="0059364F" w:rsidRPr="00887A8E" w:rsidRDefault="0059364F" w:rsidP="00564074">
      <w:pPr>
        <w:pStyle w:val="Heading2"/>
        <w:spacing w:before="240"/>
        <w:ind w:left="578" w:hanging="578"/>
      </w:pPr>
      <w:bookmarkStart w:id="126" w:name="_Toc205532856"/>
      <w:r w:rsidRPr="00887A8E">
        <w:t>Data Requirements</w:t>
      </w:r>
      <w:bookmarkEnd w:id="126"/>
    </w:p>
    <w:p w14:paraId="18AE9422" w14:textId="5A6A2DB5" w:rsidR="005C7280" w:rsidRPr="0050162C" w:rsidRDefault="00ED5247" w:rsidP="0050162C">
      <w:pPr>
        <w:spacing w:before="180" w:after="120" w:line="288" w:lineRule="auto"/>
        <w:rPr>
          <w:rFonts w:cs="Calibri"/>
          <w:szCs w:val="18"/>
        </w:rPr>
      </w:pPr>
      <w:r w:rsidRPr="0050162C">
        <w:rPr>
          <w:rFonts w:cs="Calibri"/>
          <w:szCs w:val="18"/>
        </w:rPr>
        <w:t xml:space="preserve">Data requirements </w:t>
      </w:r>
      <w:r w:rsidR="00F46031" w:rsidRPr="0050162C">
        <w:rPr>
          <w:rFonts w:cs="Calibri"/>
          <w:szCs w:val="18"/>
        </w:rPr>
        <w:t xml:space="preserve">refer to the needed </w:t>
      </w:r>
      <w:r w:rsidRPr="0050162C">
        <w:rPr>
          <w:rFonts w:cs="Calibri"/>
          <w:szCs w:val="18"/>
        </w:rPr>
        <w:t xml:space="preserve">data for a system, application, or process to function effectively. </w:t>
      </w:r>
      <w:r w:rsidR="00532FAA" w:rsidRPr="0050162C">
        <w:rPr>
          <w:rFonts w:cs="Calibri"/>
          <w:szCs w:val="18"/>
        </w:rPr>
        <w:t>This includes</w:t>
      </w:r>
      <w:r w:rsidRPr="0050162C">
        <w:rPr>
          <w:rFonts w:cs="Calibri"/>
          <w:szCs w:val="18"/>
        </w:rPr>
        <w:t xml:space="preserve"> the types, sources, and constraints of data necessary to </w:t>
      </w:r>
      <w:r w:rsidR="00FF76E9" w:rsidRPr="0050162C">
        <w:rPr>
          <w:rFonts w:cs="Calibri"/>
          <w:szCs w:val="18"/>
        </w:rPr>
        <w:t xml:space="preserve">discharge </w:t>
      </w:r>
      <w:r w:rsidR="00073A9E" w:rsidRPr="0050162C">
        <w:rPr>
          <w:rFonts w:cs="Calibri"/>
          <w:szCs w:val="18"/>
        </w:rPr>
        <w:t xml:space="preserve">a system </w:t>
      </w:r>
      <w:r w:rsidR="003A3033" w:rsidRPr="0050162C">
        <w:rPr>
          <w:rFonts w:cs="Calibri"/>
          <w:szCs w:val="18"/>
        </w:rPr>
        <w:t>actor’s</w:t>
      </w:r>
      <w:r w:rsidR="00073A9E" w:rsidRPr="0050162C">
        <w:rPr>
          <w:rFonts w:cs="Calibri"/>
          <w:szCs w:val="18"/>
        </w:rPr>
        <w:t xml:space="preserve"> responsibilities and associated </w:t>
      </w:r>
      <w:r w:rsidRPr="0050162C">
        <w:rPr>
          <w:rFonts w:cs="Calibri"/>
          <w:szCs w:val="18"/>
        </w:rPr>
        <w:t xml:space="preserve">system functions. </w:t>
      </w:r>
      <w:r w:rsidR="00607A05" w:rsidRPr="0050162C">
        <w:rPr>
          <w:rFonts w:cs="Calibri"/>
          <w:szCs w:val="18"/>
        </w:rPr>
        <w:t xml:space="preserve">At a high-level, IRENA </w:t>
      </w:r>
      <w:r w:rsidR="00356F6C" w:rsidRPr="0050162C">
        <w:rPr>
          <w:rFonts w:cs="Calibri"/>
          <w:szCs w:val="18"/>
        </w:rPr>
        <w:t xml:space="preserve">provides a summary the key </w:t>
      </w:r>
      <w:r w:rsidR="00F351F7" w:rsidRPr="0050162C">
        <w:rPr>
          <w:rFonts w:cs="Calibri"/>
          <w:szCs w:val="18"/>
        </w:rPr>
        <w:t xml:space="preserve">activities </w:t>
      </w:r>
      <w:r w:rsidR="0014793A" w:rsidRPr="0050162C">
        <w:rPr>
          <w:rFonts w:cs="Calibri"/>
          <w:szCs w:val="18"/>
        </w:rPr>
        <w:t>that require</w:t>
      </w:r>
      <w:r w:rsidR="00AA3AF9" w:rsidRPr="0050162C">
        <w:rPr>
          <w:rFonts w:cs="Calibri"/>
          <w:szCs w:val="18"/>
        </w:rPr>
        <w:t xml:space="preserve"> a coordinated approach to</w:t>
      </w:r>
      <w:r w:rsidR="0014793A" w:rsidRPr="0050162C">
        <w:rPr>
          <w:rFonts w:cs="Calibri"/>
          <w:szCs w:val="18"/>
        </w:rPr>
        <w:t xml:space="preserve"> </w:t>
      </w:r>
      <w:r w:rsidR="00510CAF" w:rsidRPr="0050162C">
        <w:rPr>
          <w:rFonts w:cs="Calibri"/>
          <w:szCs w:val="18"/>
        </w:rPr>
        <w:t xml:space="preserve">the exchange of information between </w:t>
      </w:r>
      <w:r w:rsidR="00FC209F">
        <w:rPr>
          <w:rFonts w:cs="Calibri"/>
          <w:szCs w:val="18"/>
        </w:rPr>
        <w:t>SO/</w:t>
      </w:r>
      <w:r w:rsidR="00510CAF" w:rsidRPr="0050162C">
        <w:rPr>
          <w:rFonts w:cs="Calibri"/>
          <w:szCs w:val="18"/>
        </w:rPr>
        <w:t xml:space="preserve">TSOs and DSOs as shown in </w:t>
      </w:r>
      <w:hyperlink w:anchor="Figure_20" w:history="1">
        <w:r w:rsidR="00AC426A" w:rsidRPr="00AC426A">
          <w:rPr>
            <w:rStyle w:val="Hyperlink"/>
            <w:rFonts w:cs="Calibri"/>
            <w:szCs w:val="18"/>
          </w:rPr>
          <w:t>Figure 20</w:t>
        </w:r>
      </w:hyperlink>
      <w:r w:rsidR="00AC426A">
        <w:rPr>
          <w:rFonts w:cs="Calibri"/>
          <w:szCs w:val="18"/>
        </w:rPr>
        <w:t>.</w:t>
      </w:r>
    </w:p>
    <w:p w14:paraId="4A983225" w14:textId="59F48A1E" w:rsidR="00510CAF" w:rsidRDefault="29C75939" w:rsidP="00510CAF">
      <w:pPr>
        <w:keepNext/>
        <w:spacing w:before="0" w:after="160" w:line="259" w:lineRule="auto"/>
        <w:ind w:left="567"/>
      </w:pPr>
      <w:bookmarkStart w:id="127" w:name="Figure_20"/>
      <w:r>
        <w:rPr>
          <w:noProof/>
        </w:rPr>
        <w:drawing>
          <wp:inline distT="0" distB="0" distL="0" distR="0" wp14:anchorId="40FD5F35" wp14:editId="5CCE45F9">
            <wp:extent cx="4497061" cy="3702050"/>
            <wp:effectExtent l="0" t="0" r="0" b="0"/>
            <wp:docPr id="1861800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4507790" cy="3710883"/>
                    </a:xfrm>
                    <a:prstGeom prst="rect">
                      <a:avLst/>
                    </a:prstGeom>
                  </pic:spPr>
                </pic:pic>
              </a:graphicData>
            </a:graphic>
          </wp:inline>
        </w:drawing>
      </w:r>
      <w:bookmarkEnd w:id="127"/>
    </w:p>
    <w:p w14:paraId="0FBF820B" w14:textId="5DB6F637" w:rsidR="00AB42FF" w:rsidRDefault="00510CAF" w:rsidP="00B22DC5">
      <w:pPr>
        <w:pStyle w:val="Caption"/>
        <w:rPr>
          <w:lang w:val="en-GB"/>
        </w:rPr>
      </w:pPr>
      <w:bookmarkStart w:id="128" w:name="_Ref189558762"/>
      <w:bookmarkStart w:id="129" w:name="_Ref189558755"/>
      <w:bookmarkStart w:id="130" w:name="_Toc205377456"/>
      <w:r>
        <w:t xml:space="preserve">Figure </w:t>
      </w:r>
      <w:fldSimple w:instr=" SEQ Figure \* ARABIC ">
        <w:r w:rsidR="00CE6CF1">
          <w:rPr>
            <w:noProof/>
          </w:rPr>
          <w:t>20</w:t>
        </w:r>
      </w:fldSimple>
      <w:bookmarkEnd w:id="128"/>
      <w:r>
        <w:t xml:space="preserve"> - Important areas of coordination between</w:t>
      </w:r>
      <w:r w:rsidR="00FC209F">
        <w:t xml:space="preserve"> the SO/</w:t>
      </w:r>
      <w:r>
        <w:t>TSO and DSO</w:t>
      </w:r>
      <w:bookmarkEnd w:id="129"/>
      <w:r w:rsidR="006E7EF4">
        <w:rPr>
          <w:noProof/>
          <w:lang w:val="en-GB"/>
        </w:rPr>
        <w:t xml:space="preserve"> </w:t>
      </w:r>
      <w:r w:rsidR="006E7EF4" w:rsidRPr="003A2045">
        <w:rPr>
          <w:noProof/>
          <w:lang w:val="en-GB"/>
        </w:rPr>
        <w:t>[24]</w:t>
      </w:r>
      <w:bookmarkEnd w:id="130"/>
    </w:p>
    <w:p w14:paraId="06EF49F5" w14:textId="4C37B71E" w:rsidR="00995A68" w:rsidRDefault="00D22360" w:rsidP="0050162C">
      <w:pPr>
        <w:spacing w:before="180" w:after="120" w:line="288" w:lineRule="auto"/>
        <w:rPr>
          <w:rFonts w:cs="Calibri"/>
          <w:szCs w:val="18"/>
        </w:rPr>
        <w:sectPr w:rsidR="00995A68" w:rsidSect="00C20AD9">
          <w:pgSz w:w="11906" w:h="16838"/>
          <w:pgMar w:top="2552" w:right="1134" w:bottom="851" w:left="2552" w:header="709" w:footer="709" w:gutter="0"/>
          <w:cols w:space="708"/>
          <w:docGrid w:linePitch="360"/>
        </w:sectPr>
      </w:pPr>
      <w:r w:rsidRPr="0050162C">
        <w:rPr>
          <w:rFonts w:cs="Calibri"/>
          <w:szCs w:val="18"/>
        </w:rPr>
        <w:lastRenderedPageBreak/>
        <w:t xml:space="preserve">At a more </w:t>
      </w:r>
      <w:r w:rsidR="004B074D">
        <w:rPr>
          <w:rFonts w:cs="Calibri"/>
          <w:szCs w:val="18"/>
        </w:rPr>
        <w:t>highly resolved scale</w:t>
      </w:r>
      <w:r w:rsidRPr="0050162C">
        <w:rPr>
          <w:rFonts w:cs="Calibri"/>
          <w:szCs w:val="18"/>
        </w:rPr>
        <w:t>, s</w:t>
      </w:r>
      <w:r w:rsidR="000F4C18" w:rsidRPr="0050162C">
        <w:rPr>
          <w:rFonts w:cs="Calibri"/>
          <w:szCs w:val="18"/>
        </w:rPr>
        <w:t xml:space="preserve">everal </w:t>
      </w:r>
      <w:r w:rsidR="00193958" w:rsidRPr="0050162C">
        <w:rPr>
          <w:rFonts w:cs="Calibri"/>
          <w:szCs w:val="18"/>
        </w:rPr>
        <w:t xml:space="preserve">initiatives have advanced efforts to </w:t>
      </w:r>
      <w:r w:rsidR="00225F6C" w:rsidRPr="0050162C">
        <w:rPr>
          <w:rFonts w:cs="Calibri"/>
          <w:szCs w:val="18"/>
        </w:rPr>
        <w:t xml:space="preserve">expansively identify </w:t>
      </w:r>
      <w:r w:rsidR="00B9481A" w:rsidRPr="0050162C">
        <w:rPr>
          <w:rFonts w:cs="Calibri"/>
          <w:szCs w:val="18"/>
        </w:rPr>
        <w:t>data exchange requirements</w:t>
      </w:r>
      <w:r w:rsidR="00F8481A" w:rsidRPr="0050162C">
        <w:rPr>
          <w:rFonts w:cs="Calibri"/>
          <w:szCs w:val="18"/>
        </w:rPr>
        <w:t xml:space="preserve"> between </w:t>
      </w:r>
      <w:r w:rsidR="00CF5993">
        <w:rPr>
          <w:rFonts w:cs="Calibri"/>
          <w:szCs w:val="18"/>
        </w:rPr>
        <w:t>the System Operator</w:t>
      </w:r>
      <w:r w:rsidRPr="0050162C">
        <w:rPr>
          <w:rFonts w:cs="Calibri"/>
          <w:szCs w:val="18"/>
        </w:rPr>
        <w:t xml:space="preserve"> </w:t>
      </w:r>
      <w:r w:rsidR="002A6CF1" w:rsidRPr="0050162C">
        <w:rPr>
          <w:rFonts w:cs="Calibri"/>
          <w:szCs w:val="18"/>
        </w:rPr>
        <w:t xml:space="preserve">and DSOs. </w:t>
      </w:r>
      <w:r w:rsidR="008B5764" w:rsidRPr="0050162C">
        <w:rPr>
          <w:rFonts w:cs="Calibri"/>
          <w:szCs w:val="18"/>
        </w:rPr>
        <w:t>Commonly</w:t>
      </w:r>
      <w:r w:rsidR="005A4D8D" w:rsidRPr="0050162C">
        <w:rPr>
          <w:rFonts w:cs="Calibri"/>
          <w:szCs w:val="18"/>
        </w:rPr>
        <w:t xml:space="preserve">, these involve the development of a </w:t>
      </w:r>
      <w:r w:rsidR="00085F4A">
        <w:rPr>
          <w:rFonts w:cs="Calibri"/>
          <w:szCs w:val="18"/>
        </w:rPr>
        <w:t xml:space="preserve">data </w:t>
      </w:r>
      <w:r w:rsidR="005A4D8D" w:rsidRPr="0050162C">
        <w:rPr>
          <w:rFonts w:cs="Calibri"/>
          <w:szCs w:val="18"/>
        </w:rPr>
        <w:t xml:space="preserve">taxonomy </w:t>
      </w:r>
      <w:r w:rsidR="0010543F" w:rsidRPr="0050162C">
        <w:rPr>
          <w:rFonts w:cs="Calibri"/>
          <w:szCs w:val="18"/>
        </w:rPr>
        <w:t xml:space="preserve">to organise </w:t>
      </w:r>
      <w:r w:rsidR="00BA6D62" w:rsidRPr="0050162C">
        <w:rPr>
          <w:rFonts w:cs="Calibri"/>
          <w:szCs w:val="18"/>
        </w:rPr>
        <w:t xml:space="preserve">required </w:t>
      </w:r>
      <w:r w:rsidR="00194172" w:rsidRPr="0050162C">
        <w:rPr>
          <w:rFonts w:cs="Calibri"/>
          <w:szCs w:val="18"/>
        </w:rPr>
        <w:t>data</w:t>
      </w:r>
      <w:r w:rsidR="00765881" w:rsidRPr="0050162C">
        <w:rPr>
          <w:rFonts w:cs="Calibri"/>
          <w:szCs w:val="18"/>
        </w:rPr>
        <w:t xml:space="preserve"> </w:t>
      </w:r>
      <w:r w:rsidR="00BA6D62" w:rsidRPr="0050162C">
        <w:rPr>
          <w:rFonts w:cs="Calibri"/>
          <w:szCs w:val="18"/>
        </w:rPr>
        <w:t>exchange, often by</w:t>
      </w:r>
      <w:r w:rsidR="0010543F" w:rsidRPr="0050162C">
        <w:rPr>
          <w:rFonts w:cs="Calibri"/>
          <w:szCs w:val="18"/>
        </w:rPr>
        <w:t xml:space="preserve"> </w:t>
      </w:r>
      <w:r w:rsidR="00620E4C" w:rsidRPr="0050162C">
        <w:rPr>
          <w:rFonts w:cs="Calibri"/>
          <w:szCs w:val="18"/>
        </w:rPr>
        <w:t>system function.</w:t>
      </w:r>
      <w:r w:rsidR="00135696" w:rsidRPr="0050162C">
        <w:rPr>
          <w:rFonts w:cs="Calibri"/>
          <w:szCs w:val="18"/>
        </w:rPr>
        <w:t xml:space="preserve"> </w:t>
      </w:r>
      <w:hyperlink w:anchor="S_5_2" w:history="1">
        <w:r w:rsidR="005B5FC9" w:rsidRPr="005B5FC9">
          <w:rPr>
            <w:rStyle w:val="Hyperlink"/>
            <w:rFonts w:cs="Calibri"/>
            <w:szCs w:val="18"/>
          </w:rPr>
          <w:t>Section 5.2</w:t>
        </w:r>
      </w:hyperlink>
      <w:r w:rsidR="004D7394">
        <w:rPr>
          <w:rFonts w:cs="Calibri"/>
          <w:szCs w:val="18"/>
        </w:rPr>
        <w:t xml:space="preserve"> </w:t>
      </w:r>
      <w:r w:rsidR="00135696" w:rsidRPr="0050162C">
        <w:rPr>
          <w:rFonts w:cs="Calibri"/>
          <w:szCs w:val="18"/>
        </w:rPr>
        <w:t xml:space="preserve">includes two such examples from </w:t>
      </w:r>
      <w:r w:rsidR="004E2246" w:rsidRPr="0050162C">
        <w:rPr>
          <w:rFonts w:cs="Calibri"/>
          <w:szCs w:val="18"/>
        </w:rPr>
        <w:t>the US Department of Energy and Canada’s IESO.</w:t>
      </w:r>
      <w:r w:rsidR="00426375" w:rsidRPr="0050162C">
        <w:rPr>
          <w:rFonts w:cs="Calibri"/>
          <w:szCs w:val="18"/>
        </w:rPr>
        <w:t xml:space="preserve"> A synthesis of </w:t>
      </w:r>
      <w:r w:rsidR="00617779" w:rsidRPr="0050162C">
        <w:rPr>
          <w:rFonts w:cs="Calibri"/>
          <w:szCs w:val="18"/>
        </w:rPr>
        <w:t xml:space="preserve">the </w:t>
      </w:r>
      <w:r w:rsidR="00327F5E" w:rsidRPr="0050162C">
        <w:rPr>
          <w:rFonts w:cs="Calibri"/>
          <w:szCs w:val="18"/>
        </w:rPr>
        <w:t>broad data requirement categories</w:t>
      </w:r>
      <w:r w:rsidR="0083547C">
        <w:rPr>
          <w:rFonts w:cs="Calibri"/>
          <w:szCs w:val="18"/>
        </w:rPr>
        <w:t xml:space="preserve"> </w:t>
      </w:r>
      <w:r w:rsidR="006E698E">
        <w:rPr>
          <w:rFonts w:cs="Calibri"/>
          <w:szCs w:val="18"/>
        </w:rPr>
        <w:t xml:space="preserve">into three broad categories </w:t>
      </w:r>
      <w:r w:rsidR="00744BF2">
        <w:rPr>
          <w:rFonts w:cs="Calibri"/>
          <w:szCs w:val="18"/>
        </w:rPr>
        <w:t xml:space="preserve">is </w:t>
      </w:r>
      <w:r w:rsidR="0083547C">
        <w:rPr>
          <w:rFonts w:cs="Calibri"/>
          <w:szCs w:val="18"/>
        </w:rPr>
        <w:t xml:space="preserve">set out in </w:t>
      </w:r>
      <w:hyperlink w:anchor="Table_5" w:history="1">
        <w:r w:rsidR="001D6017" w:rsidRPr="001D6017">
          <w:rPr>
            <w:rStyle w:val="Hyperlink"/>
            <w:rFonts w:cs="Calibri"/>
            <w:szCs w:val="18"/>
          </w:rPr>
          <w:t>Table 5</w:t>
        </w:r>
      </w:hyperlink>
      <w:r w:rsidR="002E698C">
        <w:rPr>
          <w:rFonts w:cs="Calibri"/>
          <w:szCs w:val="18"/>
        </w:rPr>
        <w:t xml:space="preserve"> and expanded on in </w:t>
      </w:r>
      <w:hyperlink w:anchor="S_7" w:history="1">
        <w:r w:rsidR="002E698C" w:rsidRPr="005B5FC9">
          <w:rPr>
            <w:rStyle w:val="Hyperlink"/>
            <w:rFonts w:cs="Calibri"/>
            <w:szCs w:val="18"/>
          </w:rPr>
          <w:t>Section 7</w:t>
        </w:r>
      </w:hyperlink>
      <w:r w:rsidR="00744BF2">
        <w:rPr>
          <w:rFonts w:cs="Calibri"/>
          <w:szCs w:val="18"/>
        </w:rPr>
        <w:t>, referencing the work of</w:t>
      </w:r>
      <w:r w:rsidR="008F34B6" w:rsidRPr="008A6885">
        <w:rPr>
          <w:rFonts w:cs="Calibri"/>
          <w:noProof/>
          <w:szCs w:val="18"/>
          <w:lang w:val="en-GB"/>
        </w:rPr>
        <w:t xml:space="preserve"> </w:t>
      </w:r>
      <w:r w:rsidR="008F34B6" w:rsidRPr="000D4FC2">
        <w:rPr>
          <w:rFonts w:cs="Calibri"/>
          <w:noProof/>
          <w:szCs w:val="18"/>
          <w:lang w:val="en-GB"/>
        </w:rPr>
        <w:t>[25]</w:t>
      </w:r>
      <w:r w:rsidR="00327F5E" w:rsidRPr="0050162C">
        <w:rPr>
          <w:rFonts w:cs="Calibri"/>
          <w:szCs w:val="18"/>
        </w:rPr>
        <w:t>.</w:t>
      </w:r>
      <w:r w:rsidR="00593060" w:rsidRPr="0050162C">
        <w:rPr>
          <w:rFonts w:cs="Calibri"/>
          <w:szCs w:val="18"/>
        </w:rPr>
        <w:t xml:space="preserve"> </w:t>
      </w:r>
      <w:r w:rsidR="008217E6" w:rsidRPr="0050162C">
        <w:rPr>
          <w:rFonts w:cs="Calibri"/>
          <w:szCs w:val="18"/>
        </w:rPr>
        <w:t>T</w:t>
      </w:r>
      <w:r w:rsidR="00091C27" w:rsidRPr="0050162C">
        <w:rPr>
          <w:rFonts w:cs="Calibri"/>
          <w:szCs w:val="18"/>
        </w:rPr>
        <w:t xml:space="preserve">hese are additional to </w:t>
      </w:r>
      <w:r w:rsidR="00B472A8">
        <w:rPr>
          <w:rFonts w:cs="Calibri"/>
          <w:szCs w:val="18"/>
        </w:rPr>
        <w:t>existing</w:t>
      </w:r>
      <w:r w:rsidR="00B472A8" w:rsidRPr="0050162C">
        <w:rPr>
          <w:rFonts w:cs="Calibri"/>
          <w:szCs w:val="18"/>
        </w:rPr>
        <w:t xml:space="preserve"> </w:t>
      </w:r>
      <w:r w:rsidR="00091C27" w:rsidRPr="0050162C">
        <w:rPr>
          <w:rFonts w:cs="Calibri"/>
          <w:szCs w:val="18"/>
        </w:rPr>
        <w:t xml:space="preserve">data exchange </w:t>
      </w:r>
      <w:r w:rsidR="0007774F">
        <w:rPr>
          <w:rFonts w:cs="Calibri"/>
          <w:szCs w:val="18"/>
        </w:rPr>
        <w:t xml:space="preserve">that have already been implemented </w:t>
      </w:r>
      <w:r w:rsidR="00091C27" w:rsidRPr="0050162C">
        <w:rPr>
          <w:rFonts w:cs="Calibri"/>
          <w:szCs w:val="18"/>
        </w:rPr>
        <w:t>and a</w:t>
      </w:r>
      <w:r w:rsidR="004D7394">
        <w:rPr>
          <w:rFonts w:cs="Calibri"/>
          <w:szCs w:val="18"/>
        </w:rPr>
        <w:t>re</w:t>
      </w:r>
      <w:r w:rsidR="00091C27" w:rsidRPr="0050162C">
        <w:rPr>
          <w:rFonts w:cs="Calibri"/>
          <w:szCs w:val="18"/>
        </w:rPr>
        <w:t xml:space="preserve"> primarily driven by the </w:t>
      </w:r>
      <w:r w:rsidR="00D2359C" w:rsidRPr="0050162C">
        <w:rPr>
          <w:rFonts w:cs="Calibri"/>
          <w:szCs w:val="18"/>
        </w:rPr>
        <w:t>presence of large volumes of CER/DER on the distribution network</w:t>
      </w:r>
      <w:r w:rsidR="00FF1D46" w:rsidRPr="0050162C">
        <w:rPr>
          <w:rFonts w:cs="Calibri"/>
          <w:szCs w:val="18"/>
        </w:rPr>
        <w:t xml:space="preserve"> and resultant bi-directional power.</w:t>
      </w:r>
    </w:p>
    <w:p w14:paraId="3478C79F" w14:textId="69833385" w:rsidR="0083547C" w:rsidRDefault="0083547C" w:rsidP="00026EF9">
      <w:pPr>
        <w:pStyle w:val="Caption"/>
        <w:keepNext/>
        <w:ind w:right="-1591"/>
      </w:pPr>
      <w:bookmarkStart w:id="131" w:name="_Ref201325977"/>
      <w:r>
        <w:lastRenderedPageBreak/>
        <w:t xml:space="preserve">Table </w:t>
      </w:r>
      <w:fldSimple w:instr=" SEQ Table \* ARABIC ">
        <w:r w:rsidR="00CE6CF1">
          <w:rPr>
            <w:noProof/>
          </w:rPr>
          <w:t>5</w:t>
        </w:r>
      </w:fldSimple>
      <w:bookmarkEnd w:id="131"/>
      <w:r>
        <w:t xml:space="preserve"> - Broad </w:t>
      </w:r>
      <w:r w:rsidR="00CF5993">
        <w:t>System Operator</w:t>
      </w:r>
      <w:r>
        <w:t>-DSO data requirement categories</w:t>
      </w:r>
    </w:p>
    <w:tbl>
      <w:tblPr>
        <w:tblStyle w:val="ListTable3-Accent1"/>
        <w:tblW w:w="15168" w:type="dxa"/>
        <w:tblInd w:w="-5" w:type="dxa"/>
        <w:tblLook w:val="04A0" w:firstRow="1" w:lastRow="0" w:firstColumn="1" w:lastColumn="0" w:noHBand="0" w:noVBand="1"/>
      </w:tblPr>
      <w:tblGrid>
        <w:gridCol w:w="1276"/>
        <w:gridCol w:w="1559"/>
        <w:gridCol w:w="3500"/>
        <w:gridCol w:w="8833"/>
      </w:tblGrid>
      <w:tr w:rsidR="00BD1A9B" w:rsidRPr="0083547C" w14:paraId="1F1A06A3" w14:textId="77777777" w:rsidTr="005C696E">
        <w:trPr>
          <w:cnfStyle w:val="100000000000" w:firstRow="1" w:lastRow="0" w:firstColumn="0" w:lastColumn="0" w:oddVBand="0" w:evenVBand="0" w:oddHBand="0" w:evenHBand="0" w:firstRowFirstColumn="0" w:firstRowLastColumn="0" w:lastRowFirstColumn="0" w:lastRowLastColumn="0"/>
          <w:cantSplit/>
          <w:trHeight w:val="596"/>
        </w:trPr>
        <w:tc>
          <w:tcPr>
            <w:cnfStyle w:val="001000000100" w:firstRow="0" w:lastRow="0" w:firstColumn="1" w:lastColumn="0" w:oddVBand="0" w:evenVBand="0" w:oddHBand="0" w:evenHBand="0" w:firstRowFirstColumn="1"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14:paraId="4BF46071" w14:textId="77777777" w:rsidR="00B41988" w:rsidRPr="00F14453" w:rsidRDefault="00B41988">
            <w:pPr>
              <w:spacing w:before="60" w:after="60"/>
              <w:jc w:val="center"/>
              <w:rPr>
                <w:sz w:val="16"/>
                <w:szCs w:val="24"/>
              </w:rPr>
            </w:pPr>
          </w:p>
        </w:tc>
        <w:tc>
          <w:tcPr>
            <w:tcW w:w="13892" w:type="dxa"/>
            <w:gridSpan w:val="3"/>
            <w:tcBorders>
              <w:top w:val="single" w:sz="4" w:space="0" w:color="auto"/>
              <w:left w:val="single" w:sz="4" w:space="0" w:color="auto"/>
              <w:bottom w:val="single" w:sz="4" w:space="0" w:color="auto"/>
              <w:right w:val="single" w:sz="4" w:space="0" w:color="auto"/>
            </w:tcBorders>
            <w:vAlign w:val="center"/>
          </w:tcPr>
          <w:p w14:paraId="1F0F0AB2" w14:textId="5CD3FF42" w:rsidR="00B41988" w:rsidRPr="00F14453" w:rsidRDefault="00B41988" w:rsidP="00F14453">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24"/>
              </w:rPr>
            </w:pPr>
            <w:r w:rsidRPr="00F14453">
              <w:rPr>
                <w:sz w:val="16"/>
                <w:szCs w:val="24"/>
              </w:rPr>
              <w:t>Data Requirements by Category</w:t>
            </w:r>
          </w:p>
        </w:tc>
      </w:tr>
      <w:tr w:rsidR="0083547C" w:rsidRPr="00553A87" w14:paraId="3F9F043B" w14:textId="77777777" w:rsidTr="005C696E">
        <w:trPr>
          <w:cnfStyle w:val="000000100000" w:firstRow="0" w:lastRow="0" w:firstColumn="0" w:lastColumn="0" w:oddVBand="0" w:evenVBand="0" w:oddHBand="1" w:evenHBand="0"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067296" w:themeFill="text2"/>
          </w:tcPr>
          <w:p w14:paraId="577FEFC8" w14:textId="3B4888C9" w:rsidR="00B41988" w:rsidRPr="00F14453" w:rsidRDefault="00B41988" w:rsidP="00B41988">
            <w:pPr>
              <w:spacing w:before="120" w:after="120"/>
              <w:jc w:val="center"/>
              <w:rPr>
                <w:rFonts w:ascii="PP Mori SemiBold" w:hAnsi="PP Mori SemiBold"/>
                <w:b w:val="0"/>
                <w:bCs w:val="0"/>
                <w:color w:val="FAFAFA" w:themeColor="background1"/>
                <w:sz w:val="16"/>
                <w:szCs w:val="24"/>
              </w:rPr>
            </w:pPr>
            <w:r w:rsidRPr="00F14453">
              <w:rPr>
                <w:rFonts w:ascii="PP Mori SemiBold" w:hAnsi="PP Mori SemiBold"/>
                <w:color w:val="FAFAFA" w:themeColor="background1"/>
                <w:sz w:val="16"/>
                <w:szCs w:val="24"/>
              </w:rPr>
              <w:t>Type</w:t>
            </w: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tcPr>
          <w:p w14:paraId="447D68FE" w14:textId="6AF328EF" w:rsidR="00B41988" w:rsidRPr="00F14453" w:rsidRDefault="00B41988" w:rsidP="00F14453">
            <w:pPr>
              <w:spacing w:before="120" w:after="120"/>
              <w:jc w:val="center"/>
              <w:cnfStyle w:val="000000100000" w:firstRow="0" w:lastRow="0" w:firstColumn="0" w:lastColumn="0" w:oddVBand="0" w:evenVBand="0" w:oddHBand="1" w:evenHBand="0" w:firstRowFirstColumn="0" w:firstRowLastColumn="0" w:lastRowFirstColumn="0" w:lastRowLastColumn="0"/>
              <w:rPr>
                <w:rFonts w:ascii="PP Mori SemiBold" w:hAnsi="PP Mori SemiBold"/>
                <w:color w:val="FAFAFA" w:themeColor="background1"/>
                <w:sz w:val="16"/>
                <w:szCs w:val="24"/>
              </w:rPr>
            </w:pPr>
            <w:r w:rsidRPr="00F14453">
              <w:rPr>
                <w:rFonts w:ascii="PP Mori SemiBold" w:hAnsi="PP Mori SemiBold"/>
                <w:color w:val="FAFAFA" w:themeColor="background1"/>
                <w:sz w:val="16"/>
                <w:szCs w:val="24"/>
              </w:rPr>
              <w:t>Category</w:t>
            </w:r>
          </w:p>
        </w:tc>
        <w:tc>
          <w:tcPr>
            <w:tcW w:w="3500" w:type="dxa"/>
            <w:tcBorders>
              <w:top w:val="single" w:sz="4" w:space="0" w:color="auto"/>
              <w:left w:val="single" w:sz="4" w:space="0" w:color="auto"/>
              <w:bottom w:val="single" w:sz="4" w:space="0" w:color="auto"/>
              <w:right w:val="single" w:sz="4" w:space="0" w:color="auto"/>
            </w:tcBorders>
            <w:vAlign w:val="center"/>
          </w:tcPr>
          <w:p w14:paraId="1A31A095" w14:textId="79B756CD" w:rsidR="00B41988" w:rsidRPr="00F14453" w:rsidRDefault="00B41988" w:rsidP="00F14453">
            <w:pPr>
              <w:spacing w:before="120" w:after="120"/>
              <w:jc w:val="center"/>
              <w:cnfStyle w:val="000000100000" w:firstRow="0" w:lastRow="0" w:firstColumn="0" w:lastColumn="0" w:oddVBand="0" w:evenVBand="0" w:oddHBand="1" w:evenHBand="0" w:firstRowFirstColumn="0" w:firstRowLastColumn="0" w:lastRowFirstColumn="0" w:lastRowLastColumn="0"/>
              <w:rPr>
                <w:rFonts w:ascii="PP Mori SemiBold" w:hAnsi="PP Mori SemiBold"/>
                <w:sz w:val="16"/>
                <w:szCs w:val="24"/>
              </w:rPr>
            </w:pPr>
            <w:r w:rsidRPr="00F14453">
              <w:rPr>
                <w:rFonts w:ascii="PP Mori SemiBold" w:hAnsi="PP Mori SemiBold"/>
                <w:sz w:val="16"/>
                <w:szCs w:val="24"/>
              </w:rPr>
              <w:t>Data</w:t>
            </w:r>
          </w:p>
        </w:tc>
        <w:tc>
          <w:tcPr>
            <w:tcW w:w="8833" w:type="dxa"/>
            <w:tcBorders>
              <w:top w:val="single" w:sz="4" w:space="0" w:color="auto"/>
              <w:left w:val="single" w:sz="4" w:space="0" w:color="auto"/>
              <w:bottom w:val="single" w:sz="4" w:space="0" w:color="auto"/>
              <w:right w:val="single" w:sz="4" w:space="0" w:color="auto"/>
            </w:tcBorders>
            <w:vAlign w:val="center"/>
          </w:tcPr>
          <w:p w14:paraId="7CEA3277" w14:textId="6DA1E558" w:rsidR="00B41988" w:rsidRPr="00F14453" w:rsidRDefault="00B41988" w:rsidP="00F14453">
            <w:pPr>
              <w:spacing w:before="120" w:after="120"/>
              <w:jc w:val="center"/>
              <w:cnfStyle w:val="000000100000" w:firstRow="0" w:lastRow="0" w:firstColumn="0" w:lastColumn="0" w:oddVBand="0" w:evenVBand="0" w:oddHBand="1" w:evenHBand="0" w:firstRowFirstColumn="0" w:firstRowLastColumn="0" w:lastRowFirstColumn="0" w:lastRowLastColumn="0"/>
              <w:rPr>
                <w:rFonts w:ascii="PP Mori SemiBold" w:hAnsi="PP Mori SemiBold"/>
                <w:sz w:val="16"/>
                <w:szCs w:val="24"/>
              </w:rPr>
            </w:pPr>
            <w:r w:rsidRPr="00F14453">
              <w:rPr>
                <w:rFonts w:ascii="PP Mori SemiBold" w:hAnsi="PP Mori SemiBold"/>
                <w:sz w:val="16"/>
                <w:szCs w:val="24"/>
              </w:rPr>
              <w:t>Requirement</w:t>
            </w:r>
          </w:p>
        </w:tc>
      </w:tr>
      <w:tr w:rsidR="0013634F" w:rsidRPr="0083547C" w14:paraId="42CAA936" w14:textId="77777777" w:rsidTr="005C696E">
        <w:trPr>
          <w:cantSplit/>
          <w:trHeight w:val="113"/>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left w:val="single" w:sz="4" w:space="0" w:color="auto"/>
              <w:right w:val="single" w:sz="4" w:space="0" w:color="auto"/>
            </w:tcBorders>
            <w:shd w:val="clear" w:color="auto" w:fill="067296" w:themeFill="text2"/>
            <w:vAlign w:val="center"/>
          </w:tcPr>
          <w:p w14:paraId="508AECC4" w14:textId="603BD02E" w:rsidR="00B41988" w:rsidRPr="00F14453" w:rsidRDefault="00B41988" w:rsidP="00026EF9">
            <w:pPr>
              <w:spacing w:before="120" w:after="60"/>
              <w:jc w:val="center"/>
              <w:rPr>
                <w:bCs w:val="0"/>
                <w:color w:val="FAFAFA" w:themeColor="background1"/>
                <w:sz w:val="16"/>
                <w:szCs w:val="24"/>
              </w:rPr>
            </w:pPr>
            <w:r w:rsidRPr="00F14453">
              <w:rPr>
                <w:color w:val="FAFAFA" w:themeColor="background1"/>
                <w:sz w:val="16"/>
                <w:szCs w:val="24"/>
              </w:rPr>
              <w:t>Structural</w:t>
            </w:r>
            <w:r w:rsidR="0083547C" w:rsidRPr="00F14453">
              <w:rPr>
                <w:color w:val="FAFAFA" w:themeColor="background1"/>
                <w:sz w:val="16"/>
                <w:szCs w:val="24"/>
              </w:rPr>
              <w:t xml:space="preserve"> Data</w:t>
            </w: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52720ECB" w14:textId="27C52186" w:rsidR="00B41988" w:rsidRPr="00F14453" w:rsidRDefault="00B41988" w:rsidP="00F14453">
            <w:pPr>
              <w:spacing w:before="120" w:after="60"/>
              <w:jc w:val="center"/>
              <w:cnfStyle w:val="000000000000" w:firstRow="0" w:lastRow="0" w:firstColumn="0" w:lastColumn="0" w:oddVBand="0" w:evenVBand="0" w:oddHBand="0" w:evenHBand="0" w:firstRowFirstColumn="0" w:firstRowLastColumn="0" w:lastRowFirstColumn="0" w:lastRowLastColumn="0"/>
              <w:rPr>
                <w:color w:val="FAFAFA" w:themeColor="background1"/>
                <w:sz w:val="16"/>
                <w:szCs w:val="24"/>
              </w:rPr>
            </w:pPr>
            <w:r w:rsidRPr="00F14453">
              <w:rPr>
                <w:color w:val="FAFAFA" w:themeColor="background1"/>
                <w:sz w:val="16"/>
                <w:szCs w:val="24"/>
              </w:rPr>
              <w:t>Standing Data &amp; Asset Registrations</w:t>
            </w:r>
          </w:p>
        </w:tc>
        <w:tc>
          <w:tcPr>
            <w:tcW w:w="3500" w:type="dxa"/>
            <w:tcBorders>
              <w:top w:val="single" w:sz="4" w:space="0" w:color="auto"/>
              <w:left w:val="single" w:sz="4" w:space="0" w:color="auto"/>
              <w:bottom w:val="single" w:sz="4" w:space="0" w:color="auto"/>
              <w:right w:val="single" w:sz="4" w:space="0" w:color="auto"/>
            </w:tcBorders>
            <w:vAlign w:val="center"/>
          </w:tcPr>
          <w:p w14:paraId="7CAE66E5" w14:textId="7B8DE7B7" w:rsidR="00B41988" w:rsidRPr="00026EF9" w:rsidRDefault="00B41988" w:rsidP="00026EF9">
            <w:pPr>
              <w:spacing w:before="120"/>
              <w:jc w:val="center"/>
              <w:cnfStyle w:val="000000000000" w:firstRow="0" w:lastRow="0" w:firstColumn="0" w:lastColumn="0" w:oddVBand="0" w:evenVBand="0" w:oddHBand="0" w:evenHBand="0" w:firstRowFirstColumn="0" w:firstRowLastColumn="0" w:lastRowFirstColumn="0" w:lastRowLastColumn="0"/>
              <w:rPr>
                <w:sz w:val="16"/>
                <w:szCs w:val="24"/>
              </w:rPr>
            </w:pPr>
            <w:r w:rsidRPr="00026EF9">
              <w:rPr>
                <w:sz w:val="16"/>
                <w:szCs w:val="24"/>
              </w:rPr>
              <w:t>CER/DER identification, location, characteristics, and technical specifications, and VPP registrations.</w:t>
            </w:r>
          </w:p>
        </w:tc>
        <w:tc>
          <w:tcPr>
            <w:tcW w:w="8833" w:type="dxa"/>
            <w:tcBorders>
              <w:top w:val="single" w:sz="4" w:space="0" w:color="auto"/>
              <w:left w:val="single" w:sz="4" w:space="0" w:color="auto"/>
              <w:bottom w:val="single" w:sz="4" w:space="0" w:color="auto"/>
              <w:right w:val="single" w:sz="4" w:space="0" w:color="auto"/>
            </w:tcBorders>
          </w:tcPr>
          <w:p w14:paraId="49AE67A3" w14:textId="68396427" w:rsidR="00B41988" w:rsidRPr="00F14453" w:rsidRDefault="00B41988" w:rsidP="00D54F9D">
            <w:pPr>
              <w:spacing w:before="12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 xml:space="preserve">SOs require this data at the distribution level to avoid forecasting errors in aggregate and </w:t>
            </w:r>
            <w:r w:rsidR="00511177">
              <w:rPr>
                <w:sz w:val="16"/>
                <w:szCs w:val="24"/>
              </w:rPr>
              <w:t xml:space="preserve">at specific </w:t>
            </w:r>
            <w:r w:rsidRPr="00F14453">
              <w:rPr>
                <w:sz w:val="16"/>
                <w:szCs w:val="24"/>
              </w:rPr>
              <w:t>node</w:t>
            </w:r>
            <w:r w:rsidR="00511177">
              <w:rPr>
                <w:sz w:val="16"/>
                <w:szCs w:val="24"/>
              </w:rPr>
              <w:t>s</w:t>
            </w:r>
            <w:r w:rsidRPr="00F14453">
              <w:rPr>
                <w:sz w:val="16"/>
                <w:szCs w:val="24"/>
              </w:rPr>
              <w:t xml:space="preserve">. </w:t>
            </w:r>
            <w:sdt>
              <w:sdtPr>
                <w:rPr>
                  <w:sz w:val="16"/>
                  <w:szCs w:val="24"/>
                </w:rPr>
                <w:id w:val="-917867642"/>
                <w:citation/>
              </w:sdtPr>
              <w:sdtContent>
                <w:r w:rsidRPr="00F14453">
                  <w:rPr>
                    <w:sz w:val="16"/>
                    <w:szCs w:val="24"/>
                  </w:rPr>
                  <w:fldChar w:fldCharType="begin"/>
                </w:r>
                <w:r w:rsidRPr="00F14453">
                  <w:rPr>
                    <w:sz w:val="16"/>
                    <w:szCs w:val="24"/>
                    <w:lang w:val="en-GB"/>
                  </w:rPr>
                  <w:instrText xml:space="preserve"> CITATION IRE201 \l 2057 </w:instrText>
                </w:r>
                <w:r w:rsidRPr="00F14453">
                  <w:rPr>
                    <w:sz w:val="16"/>
                    <w:szCs w:val="24"/>
                  </w:rPr>
                  <w:fldChar w:fldCharType="separate"/>
                </w:r>
                <w:r w:rsidR="00E91535" w:rsidRPr="00E91535">
                  <w:rPr>
                    <w:noProof/>
                    <w:sz w:val="16"/>
                    <w:szCs w:val="24"/>
                    <w:lang w:val="en-GB"/>
                  </w:rPr>
                  <w:t>[1]</w:t>
                </w:r>
                <w:r w:rsidRPr="00F14453">
                  <w:rPr>
                    <w:sz w:val="16"/>
                    <w:szCs w:val="24"/>
                  </w:rPr>
                  <w:fldChar w:fldCharType="end"/>
                </w:r>
              </w:sdtContent>
            </w:sdt>
            <w:r w:rsidRPr="00F14453">
              <w:rPr>
                <w:sz w:val="16"/>
                <w:szCs w:val="24"/>
              </w:rPr>
              <w:t>. DNSPs/DSOs and VPPs/aggregators collect and retain this data through registration data, connection applications and other sources.</w:t>
            </w:r>
          </w:p>
        </w:tc>
      </w:tr>
      <w:tr w:rsidR="00F14453" w:rsidRPr="0083547C" w14:paraId="1F444BA7" w14:textId="77777777" w:rsidTr="005C696E">
        <w:trPr>
          <w:cnfStyle w:val="000000100000" w:firstRow="0" w:lastRow="0" w:firstColumn="0" w:lastColumn="0" w:oddVBand="0" w:evenVBand="0" w:oddHBand="1" w:evenHBand="0"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auto"/>
              <w:bottom w:val="single" w:sz="4" w:space="0" w:color="auto"/>
              <w:right w:val="single" w:sz="4" w:space="0" w:color="auto"/>
            </w:tcBorders>
            <w:shd w:val="clear" w:color="auto" w:fill="067296" w:themeFill="text2"/>
          </w:tcPr>
          <w:p w14:paraId="410A2E19" w14:textId="77777777" w:rsidR="00B41988" w:rsidRPr="00F14453" w:rsidRDefault="00B41988" w:rsidP="00026EF9">
            <w:pPr>
              <w:spacing w:before="120" w:after="60"/>
              <w:jc w:val="center"/>
              <w:rPr>
                <w:bCs w:val="0"/>
                <w:color w:val="FAFAFA" w:themeColor="background1"/>
                <w:sz w:val="16"/>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3E97493A" w14:textId="474D9466" w:rsidR="00B41988" w:rsidRPr="00F14453" w:rsidRDefault="00B41988">
            <w:pPr>
              <w:spacing w:before="120" w:after="60"/>
              <w:jc w:val="center"/>
              <w:cnfStyle w:val="000000100000" w:firstRow="0" w:lastRow="0" w:firstColumn="0" w:lastColumn="0" w:oddVBand="0" w:evenVBand="0" w:oddHBand="1" w:evenHBand="0" w:firstRowFirstColumn="0" w:firstRowLastColumn="0" w:lastRowFirstColumn="0" w:lastRowLastColumn="0"/>
              <w:rPr>
                <w:color w:val="FAFAFA" w:themeColor="background1"/>
                <w:sz w:val="16"/>
                <w:szCs w:val="24"/>
              </w:rPr>
            </w:pPr>
            <w:r w:rsidRPr="00F14453">
              <w:rPr>
                <w:color w:val="FAFAFA" w:themeColor="background1"/>
                <w:sz w:val="16"/>
                <w:szCs w:val="24"/>
              </w:rPr>
              <w:t>Physical Assets</w:t>
            </w:r>
            <w:r w:rsidR="00637836" w:rsidRPr="00F14453">
              <w:rPr>
                <w:color w:val="FAFAFA" w:themeColor="background1"/>
                <w:sz w:val="16"/>
                <w:szCs w:val="24"/>
              </w:rPr>
              <w:t xml:space="preserve">, </w:t>
            </w:r>
            <w:r w:rsidRPr="00F14453">
              <w:rPr>
                <w:color w:val="FAFAFA" w:themeColor="background1"/>
                <w:sz w:val="16"/>
                <w:szCs w:val="24"/>
              </w:rPr>
              <w:t>Configuration and Network Topology</w:t>
            </w:r>
          </w:p>
        </w:tc>
        <w:tc>
          <w:tcPr>
            <w:tcW w:w="3500" w:type="dxa"/>
            <w:tcBorders>
              <w:top w:val="single" w:sz="4" w:space="0" w:color="auto"/>
              <w:left w:val="single" w:sz="4" w:space="0" w:color="auto"/>
              <w:bottom w:val="single" w:sz="4" w:space="0" w:color="auto"/>
              <w:right w:val="single" w:sz="4" w:space="0" w:color="auto"/>
            </w:tcBorders>
            <w:vAlign w:val="center"/>
          </w:tcPr>
          <w:p w14:paraId="4CE10F3C" w14:textId="0B7D7FAD" w:rsidR="00B41988" w:rsidRPr="00026EF9" w:rsidRDefault="003E0861" w:rsidP="00026EF9">
            <w:pPr>
              <w:spacing w:before="120"/>
              <w:jc w:val="center"/>
              <w:cnfStyle w:val="000000100000" w:firstRow="0" w:lastRow="0" w:firstColumn="0" w:lastColumn="0" w:oddVBand="0" w:evenVBand="0" w:oddHBand="1" w:evenHBand="0" w:firstRowFirstColumn="0" w:firstRowLastColumn="0" w:lastRowFirstColumn="0" w:lastRowLastColumn="0"/>
              <w:rPr>
                <w:sz w:val="16"/>
                <w:szCs w:val="24"/>
              </w:rPr>
            </w:pPr>
            <w:r w:rsidRPr="00026EF9">
              <w:rPr>
                <w:sz w:val="16"/>
                <w:szCs w:val="24"/>
              </w:rPr>
              <w:t xml:space="preserve">CER/DER and </w:t>
            </w:r>
            <w:r w:rsidR="00637836" w:rsidRPr="00026EF9">
              <w:rPr>
                <w:sz w:val="16"/>
                <w:szCs w:val="24"/>
              </w:rPr>
              <w:t xml:space="preserve">distribution </w:t>
            </w:r>
            <w:r w:rsidRPr="00026EF9">
              <w:rPr>
                <w:sz w:val="16"/>
                <w:szCs w:val="24"/>
              </w:rPr>
              <w:t>network models</w:t>
            </w:r>
            <w:r w:rsidR="00637836" w:rsidRPr="00026EF9">
              <w:rPr>
                <w:sz w:val="16"/>
                <w:szCs w:val="24"/>
              </w:rPr>
              <w:t xml:space="preserve"> or representation</w:t>
            </w:r>
            <w:r w:rsidR="00872EAC" w:rsidRPr="00026EF9">
              <w:rPr>
                <w:sz w:val="16"/>
                <w:szCs w:val="24"/>
              </w:rPr>
              <w:t xml:space="preserve"> – appropriately ‘lumped’ or aggregated to the physical TDI</w:t>
            </w:r>
          </w:p>
        </w:tc>
        <w:tc>
          <w:tcPr>
            <w:tcW w:w="8833" w:type="dxa"/>
            <w:tcBorders>
              <w:top w:val="single" w:sz="4" w:space="0" w:color="auto"/>
              <w:left w:val="single" w:sz="4" w:space="0" w:color="auto"/>
              <w:bottom w:val="single" w:sz="4" w:space="0" w:color="auto"/>
              <w:right w:val="single" w:sz="4" w:space="0" w:color="auto"/>
            </w:tcBorders>
          </w:tcPr>
          <w:p w14:paraId="7112507A" w14:textId="1E3468E2" w:rsidR="00B41988" w:rsidRPr="00F14453" w:rsidRDefault="00590D6F" w:rsidP="00D54F9D">
            <w:pPr>
              <w:spacing w:before="12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SOs require this data for assessment of active and reactive power flows, static and dynamic security analysis, and contingency studies.</w:t>
            </w:r>
            <w:r w:rsidR="00872EAC" w:rsidRPr="00F14453">
              <w:rPr>
                <w:sz w:val="16"/>
                <w:szCs w:val="24"/>
              </w:rPr>
              <w:t xml:space="preserve"> DNSPs/DSOs are well placed to </w:t>
            </w:r>
            <w:r w:rsidR="002315BE" w:rsidRPr="00F14453">
              <w:rPr>
                <w:sz w:val="16"/>
                <w:szCs w:val="24"/>
              </w:rPr>
              <w:t>maintain</w:t>
            </w:r>
            <w:r w:rsidR="00872EAC" w:rsidRPr="00F14453">
              <w:rPr>
                <w:sz w:val="16"/>
                <w:szCs w:val="24"/>
              </w:rPr>
              <w:t xml:space="preserve"> and provide this data</w:t>
            </w:r>
            <w:r w:rsidR="002315BE" w:rsidRPr="00F14453">
              <w:rPr>
                <w:sz w:val="16"/>
                <w:szCs w:val="24"/>
              </w:rPr>
              <w:t xml:space="preserve"> to </w:t>
            </w:r>
            <w:r w:rsidR="002E3E5A">
              <w:rPr>
                <w:sz w:val="16"/>
                <w:szCs w:val="24"/>
              </w:rPr>
              <w:t>SO</w:t>
            </w:r>
            <w:r w:rsidR="002315BE" w:rsidRPr="00F14453">
              <w:rPr>
                <w:sz w:val="16"/>
                <w:szCs w:val="24"/>
              </w:rPr>
              <w:t xml:space="preserve">. </w:t>
            </w:r>
          </w:p>
        </w:tc>
      </w:tr>
      <w:tr w:rsidR="00476A74" w:rsidRPr="0083547C" w14:paraId="58277E61" w14:textId="77777777" w:rsidTr="005C696E">
        <w:trPr>
          <w:cantSplit/>
          <w:trHeight w:val="113"/>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left w:val="single" w:sz="4" w:space="0" w:color="auto"/>
              <w:right w:val="single" w:sz="4" w:space="0" w:color="auto"/>
            </w:tcBorders>
            <w:shd w:val="clear" w:color="auto" w:fill="067296" w:themeFill="text2"/>
            <w:vAlign w:val="center"/>
          </w:tcPr>
          <w:p w14:paraId="07979A09" w14:textId="22E34381" w:rsidR="00476A74" w:rsidRPr="00F14453" w:rsidRDefault="00476A74" w:rsidP="00026EF9">
            <w:pPr>
              <w:spacing w:before="120" w:after="60"/>
              <w:jc w:val="center"/>
              <w:rPr>
                <w:color w:val="FAFAFA" w:themeColor="background1"/>
                <w:sz w:val="16"/>
                <w:szCs w:val="24"/>
              </w:rPr>
            </w:pPr>
            <w:r w:rsidRPr="00F14453">
              <w:rPr>
                <w:color w:val="FAFAFA" w:themeColor="background1"/>
                <w:sz w:val="16"/>
                <w:szCs w:val="24"/>
              </w:rPr>
              <w:t>Scheduled Data</w:t>
            </w: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5DFD0AF5" w14:textId="03A17C1E" w:rsidR="00476A74" w:rsidRPr="00F14453" w:rsidRDefault="00476A74" w:rsidP="0007063C">
            <w:pPr>
              <w:spacing w:before="120" w:after="60"/>
              <w:jc w:val="center"/>
              <w:cnfStyle w:val="000000000000" w:firstRow="0" w:lastRow="0" w:firstColumn="0" w:lastColumn="0" w:oddVBand="0" w:evenVBand="0" w:oddHBand="0" w:evenHBand="0" w:firstRowFirstColumn="0" w:firstRowLastColumn="0" w:lastRowFirstColumn="0" w:lastRowLastColumn="0"/>
              <w:rPr>
                <w:color w:val="FAFAFA" w:themeColor="background1"/>
                <w:sz w:val="16"/>
                <w:szCs w:val="24"/>
              </w:rPr>
            </w:pPr>
            <w:r w:rsidRPr="00F14453">
              <w:rPr>
                <w:color w:val="FAFAFA" w:themeColor="background1"/>
                <w:sz w:val="16"/>
                <w:szCs w:val="24"/>
              </w:rPr>
              <w:t>Forecasts &amp; Schedules</w:t>
            </w:r>
          </w:p>
        </w:tc>
        <w:tc>
          <w:tcPr>
            <w:tcW w:w="3500" w:type="dxa"/>
            <w:tcBorders>
              <w:top w:val="single" w:sz="4" w:space="0" w:color="auto"/>
              <w:left w:val="single" w:sz="4" w:space="0" w:color="auto"/>
              <w:bottom w:val="single" w:sz="4" w:space="0" w:color="auto"/>
              <w:right w:val="single" w:sz="4" w:space="0" w:color="auto"/>
            </w:tcBorders>
            <w:vAlign w:val="center"/>
          </w:tcPr>
          <w:p w14:paraId="4F9A41FA" w14:textId="65232C9D" w:rsidR="00476A74" w:rsidRPr="00026EF9" w:rsidRDefault="00476A74" w:rsidP="00026EF9">
            <w:pPr>
              <w:spacing w:before="60" w:after="60" w:line="300" w:lineRule="atLeast"/>
              <w:jc w:val="center"/>
              <w:cnfStyle w:val="000000000000" w:firstRow="0" w:lastRow="0" w:firstColumn="0" w:lastColumn="0" w:oddVBand="0" w:evenVBand="0" w:oddHBand="0" w:evenHBand="0" w:firstRowFirstColumn="0" w:firstRowLastColumn="0" w:lastRowFirstColumn="0" w:lastRowLastColumn="0"/>
              <w:rPr>
                <w:sz w:val="16"/>
                <w:szCs w:val="24"/>
              </w:rPr>
            </w:pPr>
            <w:r w:rsidRPr="00026EF9">
              <w:rPr>
                <w:sz w:val="16"/>
                <w:szCs w:val="24"/>
              </w:rPr>
              <w:t>Short-term and long-term forecasts of DER output and flexible capacity.</w:t>
            </w:r>
          </w:p>
        </w:tc>
        <w:tc>
          <w:tcPr>
            <w:tcW w:w="8833" w:type="dxa"/>
            <w:tcBorders>
              <w:top w:val="single" w:sz="4" w:space="0" w:color="auto"/>
              <w:left w:val="single" w:sz="4" w:space="0" w:color="auto"/>
              <w:bottom w:val="single" w:sz="4" w:space="0" w:color="auto"/>
              <w:right w:val="single" w:sz="4" w:space="0" w:color="auto"/>
            </w:tcBorders>
          </w:tcPr>
          <w:p w14:paraId="6BE20004" w14:textId="11737933" w:rsidR="00476A74" w:rsidRPr="00F14453" w:rsidRDefault="00476A74" w:rsidP="0007063C">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24"/>
              </w:rPr>
            </w:pPr>
            <w:r w:rsidRPr="00F14453">
              <w:rPr>
                <w:rFonts w:eastAsia="Times New Roman" w:cs="Segoe UI"/>
                <w:color w:val="000000"/>
                <w:sz w:val="16"/>
                <w:szCs w:val="24"/>
              </w:rPr>
              <w:t>Both SOs and DSOs benefit from forecasts of distribution-connected CER/DER for operations and planning. This includes aggregated flexibility/curtailable resource forecasts for emergency responses. Day-ahead, intraday and pre-dispatch intentions for wholesale market participation schedules from CER/DER aggregators are also important for supply/demand balancing.</w:t>
            </w:r>
          </w:p>
        </w:tc>
      </w:tr>
      <w:tr w:rsidR="00476A74" w:rsidRPr="0083547C" w14:paraId="120D1F66" w14:textId="77777777" w:rsidTr="005C696E">
        <w:trPr>
          <w:cnfStyle w:val="000000100000" w:firstRow="0" w:lastRow="0" w:firstColumn="0" w:lastColumn="0" w:oddVBand="0" w:evenVBand="0" w:oddHBand="1" w:evenHBand="0"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auto"/>
              <w:right w:val="single" w:sz="4" w:space="0" w:color="auto"/>
            </w:tcBorders>
            <w:shd w:val="clear" w:color="auto" w:fill="067296" w:themeFill="text2"/>
            <w:vAlign w:val="center"/>
          </w:tcPr>
          <w:p w14:paraId="4ECB402C" w14:textId="77777777" w:rsidR="00476A74" w:rsidRPr="00F14453" w:rsidRDefault="00476A74" w:rsidP="00026EF9">
            <w:pPr>
              <w:spacing w:before="120" w:after="60"/>
              <w:jc w:val="center"/>
              <w:rPr>
                <w:color w:val="FAFAFA" w:themeColor="background1"/>
                <w:sz w:val="16"/>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6669BEA2" w14:textId="08D14565" w:rsidR="00476A74" w:rsidRPr="00F14453" w:rsidRDefault="00476A74" w:rsidP="00476A74">
            <w:pPr>
              <w:spacing w:before="120" w:after="60"/>
              <w:jc w:val="center"/>
              <w:cnfStyle w:val="000000100000" w:firstRow="0" w:lastRow="0" w:firstColumn="0" w:lastColumn="0" w:oddVBand="0" w:evenVBand="0" w:oddHBand="1" w:evenHBand="0" w:firstRowFirstColumn="0" w:firstRowLastColumn="0" w:lastRowFirstColumn="0" w:lastRowLastColumn="0"/>
              <w:rPr>
                <w:color w:val="FAFAFA" w:themeColor="background1"/>
                <w:sz w:val="16"/>
                <w:szCs w:val="24"/>
              </w:rPr>
            </w:pPr>
            <w:r w:rsidRPr="00F14453">
              <w:rPr>
                <w:color w:val="FAFAFA" w:themeColor="background1"/>
                <w:sz w:val="16"/>
                <w:szCs w:val="24"/>
              </w:rPr>
              <w:t>Market &amp; Dispatch Data</w:t>
            </w:r>
          </w:p>
        </w:tc>
        <w:tc>
          <w:tcPr>
            <w:tcW w:w="3500" w:type="dxa"/>
            <w:tcBorders>
              <w:top w:val="single" w:sz="4" w:space="0" w:color="auto"/>
              <w:left w:val="single" w:sz="4" w:space="0" w:color="auto"/>
              <w:bottom w:val="single" w:sz="4" w:space="0" w:color="auto"/>
              <w:right w:val="single" w:sz="4" w:space="0" w:color="auto"/>
            </w:tcBorders>
            <w:vAlign w:val="center"/>
          </w:tcPr>
          <w:p w14:paraId="01C34737" w14:textId="5F5FE5F7" w:rsidR="00476A74" w:rsidRPr="00026EF9" w:rsidRDefault="00476A74" w:rsidP="00026EF9">
            <w:pPr>
              <w:spacing w:before="60" w:after="60" w:line="300" w:lineRule="atLeast"/>
              <w:jc w:val="center"/>
              <w:cnfStyle w:val="000000100000" w:firstRow="0" w:lastRow="0" w:firstColumn="0" w:lastColumn="0" w:oddVBand="0" w:evenVBand="0" w:oddHBand="1" w:evenHBand="0" w:firstRowFirstColumn="0" w:firstRowLastColumn="0" w:lastRowFirstColumn="0" w:lastRowLastColumn="0"/>
              <w:rPr>
                <w:sz w:val="16"/>
                <w:szCs w:val="24"/>
              </w:rPr>
            </w:pPr>
            <w:r w:rsidRPr="00026EF9">
              <w:rPr>
                <w:rFonts w:eastAsia="Times New Roman" w:cs="Segoe UI"/>
                <w:color w:val="000000"/>
                <w:sz w:val="16"/>
                <w:szCs w:val="24"/>
              </w:rPr>
              <w:t>Bids/offers for flexibility services, clearing prices, and dispatch set-points.</w:t>
            </w:r>
          </w:p>
        </w:tc>
        <w:tc>
          <w:tcPr>
            <w:tcW w:w="8833" w:type="dxa"/>
            <w:tcBorders>
              <w:top w:val="single" w:sz="4" w:space="0" w:color="auto"/>
              <w:left w:val="single" w:sz="4" w:space="0" w:color="auto"/>
              <w:bottom w:val="single" w:sz="4" w:space="0" w:color="auto"/>
              <w:right w:val="single" w:sz="4" w:space="0" w:color="auto"/>
            </w:tcBorders>
          </w:tcPr>
          <w:p w14:paraId="3B8FADD9" w14:textId="717A2E62" w:rsidR="00476A74" w:rsidRPr="00F14453" w:rsidRDefault="00476A74" w:rsidP="00476A74">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24"/>
              </w:rPr>
            </w:pPr>
            <w:r w:rsidRPr="00F14453">
              <w:rPr>
                <w:rFonts w:eastAsia="Times New Roman" w:cs="Segoe UI"/>
                <w:color w:val="000000"/>
                <w:sz w:val="16"/>
                <w:szCs w:val="24"/>
              </w:rPr>
              <w:t>To integrate CER/DERs into wholesale markets, aggregators must exchange market data with the SO/Market Operator. Likewise, DSOs managing local network services markets need to receive CER/DER bids for congestion management or voltage support and communicate dispatched set-points. Exchange of market and dispatch data between SOs and DSOs supports conflict resolution, congestion management and supply/demand balancing.</w:t>
            </w:r>
          </w:p>
        </w:tc>
      </w:tr>
      <w:tr w:rsidR="00476A74" w:rsidRPr="0083547C" w14:paraId="09709DA1" w14:textId="77777777" w:rsidTr="005C696E">
        <w:trPr>
          <w:cantSplit/>
          <w:trHeight w:val="113"/>
        </w:trPr>
        <w:tc>
          <w:tcPr>
            <w:cnfStyle w:val="001000000000" w:firstRow="0" w:lastRow="0" w:firstColumn="1" w:lastColumn="0" w:oddVBand="0" w:evenVBand="0" w:oddHBand="0" w:evenHBand="0" w:firstRowFirstColumn="0" w:firstRowLastColumn="0" w:lastRowFirstColumn="0" w:lastRowLastColumn="0"/>
            <w:tcW w:w="1276" w:type="dxa"/>
            <w:vMerge/>
            <w:tcBorders>
              <w:left w:val="single" w:sz="4" w:space="0" w:color="auto"/>
              <w:bottom w:val="single" w:sz="4" w:space="0" w:color="auto"/>
              <w:right w:val="single" w:sz="4" w:space="0" w:color="auto"/>
            </w:tcBorders>
            <w:shd w:val="clear" w:color="auto" w:fill="067296" w:themeFill="text2"/>
            <w:vAlign w:val="center"/>
          </w:tcPr>
          <w:p w14:paraId="2201D79A" w14:textId="77777777" w:rsidR="00476A74" w:rsidRPr="00F14453" w:rsidRDefault="00476A74" w:rsidP="00026EF9">
            <w:pPr>
              <w:spacing w:before="120" w:after="60"/>
              <w:jc w:val="center"/>
              <w:rPr>
                <w:color w:val="FAFAFA" w:themeColor="background1"/>
                <w:sz w:val="16"/>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3BB8F06F" w14:textId="2C77BFD9" w:rsidR="00476A74" w:rsidRPr="00F14453" w:rsidRDefault="00476A74" w:rsidP="00476A74">
            <w:pPr>
              <w:spacing w:before="120" w:after="60"/>
              <w:jc w:val="center"/>
              <w:cnfStyle w:val="000000000000" w:firstRow="0" w:lastRow="0" w:firstColumn="0" w:lastColumn="0" w:oddVBand="0" w:evenVBand="0" w:oddHBand="0" w:evenHBand="0" w:firstRowFirstColumn="0" w:firstRowLastColumn="0" w:lastRowFirstColumn="0" w:lastRowLastColumn="0"/>
              <w:rPr>
                <w:color w:val="FAFAFA" w:themeColor="background1"/>
                <w:sz w:val="16"/>
                <w:szCs w:val="24"/>
              </w:rPr>
            </w:pPr>
            <w:r w:rsidRPr="00F14453">
              <w:rPr>
                <w:b/>
                <w:bCs/>
                <w:color w:val="FAFAFA" w:themeColor="background1"/>
                <w:sz w:val="16"/>
                <w:szCs w:val="24"/>
              </w:rPr>
              <w:t>Limits and Constraints</w:t>
            </w:r>
          </w:p>
        </w:tc>
        <w:tc>
          <w:tcPr>
            <w:tcW w:w="3500" w:type="dxa"/>
            <w:tcBorders>
              <w:top w:val="single" w:sz="4" w:space="0" w:color="auto"/>
              <w:left w:val="single" w:sz="4" w:space="0" w:color="auto"/>
              <w:bottom w:val="single" w:sz="4" w:space="0" w:color="auto"/>
              <w:right w:val="single" w:sz="4" w:space="0" w:color="auto"/>
            </w:tcBorders>
            <w:vAlign w:val="center"/>
          </w:tcPr>
          <w:p w14:paraId="40ECA2B9" w14:textId="0907A726" w:rsidR="00476A74" w:rsidRPr="00026EF9" w:rsidRDefault="00476A74" w:rsidP="00026EF9">
            <w:pPr>
              <w:spacing w:before="60" w:after="60" w:line="300" w:lineRule="atLeast"/>
              <w:jc w:val="center"/>
              <w:cnfStyle w:val="000000000000" w:firstRow="0" w:lastRow="0" w:firstColumn="0" w:lastColumn="0" w:oddVBand="0" w:evenVBand="0" w:oddHBand="0" w:evenHBand="0" w:firstRowFirstColumn="0" w:firstRowLastColumn="0" w:lastRowFirstColumn="0" w:lastRowLastColumn="0"/>
              <w:rPr>
                <w:sz w:val="16"/>
                <w:szCs w:val="24"/>
              </w:rPr>
            </w:pPr>
            <w:r w:rsidRPr="00026EF9">
              <w:rPr>
                <w:sz w:val="16"/>
                <w:szCs w:val="24"/>
              </w:rPr>
              <w:t>Data on distribution network limits and operational envelopes for CER/DERs.</w:t>
            </w:r>
          </w:p>
        </w:tc>
        <w:tc>
          <w:tcPr>
            <w:tcW w:w="8833" w:type="dxa"/>
            <w:tcBorders>
              <w:top w:val="single" w:sz="4" w:space="0" w:color="auto"/>
              <w:left w:val="single" w:sz="4" w:space="0" w:color="auto"/>
              <w:bottom w:val="single" w:sz="4" w:space="0" w:color="auto"/>
              <w:right w:val="single" w:sz="4" w:space="0" w:color="auto"/>
            </w:tcBorders>
          </w:tcPr>
          <w:p w14:paraId="512B6939" w14:textId="0D3F42AB" w:rsidR="00476A74" w:rsidRPr="00F14453" w:rsidRDefault="00476A74" w:rsidP="00476A74">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24"/>
              </w:rPr>
            </w:pPr>
            <w:r w:rsidRPr="00F14453">
              <w:rPr>
                <w:rFonts w:eastAsia="Times New Roman" w:cs="Segoe UI"/>
                <w:color w:val="000000"/>
                <w:sz w:val="16"/>
                <w:szCs w:val="24"/>
              </w:rPr>
              <w:t>DSOs often determine dynamic operating envelopes (DOEs) – limits on DER export or import at a given time – to prevent distribution overloads. These DOEs must be communicated to aggregators and the market operator/s. Depending on the DSO Model, DSOs may also need the ability to override or adjust SO dispatch signals under emergency conditions</w:t>
            </w:r>
            <w:r w:rsidR="006E7EF4">
              <w:rPr>
                <w:rFonts w:eastAsia="Times New Roman" w:cs="Segoe UI"/>
                <w:noProof/>
                <w:color w:val="000000"/>
                <w:sz w:val="16"/>
                <w:szCs w:val="24"/>
                <w:lang w:val="en-GB"/>
              </w:rPr>
              <w:t xml:space="preserve"> </w:t>
            </w:r>
            <w:r w:rsidR="006E7EF4" w:rsidRPr="000D4FC2">
              <w:rPr>
                <w:rFonts w:eastAsia="Times New Roman" w:cs="Segoe UI"/>
                <w:noProof/>
                <w:sz w:val="16"/>
                <w:szCs w:val="24"/>
                <w:lang w:val="en-GB"/>
              </w:rPr>
              <w:t>[26]</w:t>
            </w:r>
            <w:r w:rsidRPr="00F14453">
              <w:rPr>
                <w:rFonts w:eastAsia="Times New Roman" w:cs="Segoe UI"/>
                <w:color w:val="000000"/>
                <w:sz w:val="16"/>
                <w:szCs w:val="24"/>
              </w:rPr>
              <w:t>. This three-way data on network constraints (from DSO) and DER availability (from aggregator) over the TDI is essential for secure operation of the distribution network.</w:t>
            </w:r>
          </w:p>
        </w:tc>
      </w:tr>
      <w:tr w:rsidR="00995A68" w:rsidRPr="0083547C" w14:paraId="306CA6E6" w14:textId="77777777" w:rsidTr="005C696E">
        <w:trPr>
          <w:cnfStyle w:val="000000100000" w:firstRow="0" w:lastRow="0" w:firstColumn="0" w:lastColumn="0" w:oddVBand="0" w:evenVBand="0" w:oddHBand="1" w:evenHBand="0" w:firstRowFirstColumn="0" w:firstRowLastColumn="0" w:lastRowFirstColumn="0" w:lastRowLastColumn="0"/>
          <w:cantSplit/>
          <w:trHeight w:val="113"/>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33B856A9" w14:textId="46DC4B5C" w:rsidR="00B41988" w:rsidRPr="00F14453" w:rsidRDefault="00F615C5" w:rsidP="00026EF9">
            <w:pPr>
              <w:spacing w:before="120" w:after="60"/>
              <w:jc w:val="center"/>
              <w:rPr>
                <w:color w:val="FAFAFA" w:themeColor="background1"/>
                <w:sz w:val="16"/>
                <w:szCs w:val="24"/>
              </w:rPr>
            </w:pPr>
            <w:r w:rsidRPr="00F14453">
              <w:rPr>
                <w:color w:val="FAFAFA" w:themeColor="background1"/>
                <w:sz w:val="16"/>
                <w:szCs w:val="24"/>
              </w:rPr>
              <w:t>Real Time Data</w:t>
            </w:r>
          </w:p>
        </w:tc>
        <w:tc>
          <w:tcPr>
            <w:tcW w:w="1559"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73CA6404" w14:textId="6653B0F3" w:rsidR="00B41988" w:rsidRPr="00F14453" w:rsidRDefault="00B41988" w:rsidP="00F14453">
            <w:pPr>
              <w:spacing w:before="120" w:after="60"/>
              <w:jc w:val="center"/>
              <w:cnfStyle w:val="000000100000" w:firstRow="0" w:lastRow="0" w:firstColumn="0" w:lastColumn="0" w:oddVBand="0" w:evenVBand="0" w:oddHBand="1" w:evenHBand="0" w:firstRowFirstColumn="0" w:firstRowLastColumn="0" w:lastRowFirstColumn="0" w:lastRowLastColumn="0"/>
              <w:rPr>
                <w:color w:val="FAFAFA" w:themeColor="background1"/>
                <w:sz w:val="16"/>
                <w:szCs w:val="24"/>
              </w:rPr>
            </w:pPr>
            <w:r w:rsidRPr="00F14453">
              <w:rPr>
                <w:color w:val="FAFAFA" w:themeColor="background1"/>
                <w:sz w:val="16"/>
                <w:szCs w:val="24"/>
              </w:rPr>
              <w:t>Real Time: Telemetry &amp; Operability Status</w:t>
            </w:r>
          </w:p>
        </w:tc>
        <w:tc>
          <w:tcPr>
            <w:tcW w:w="3500" w:type="dxa"/>
            <w:tcBorders>
              <w:top w:val="single" w:sz="4" w:space="0" w:color="auto"/>
              <w:left w:val="single" w:sz="4" w:space="0" w:color="auto"/>
              <w:bottom w:val="single" w:sz="4" w:space="0" w:color="auto"/>
              <w:right w:val="single" w:sz="4" w:space="0" w:color="auto"/>
            </w:tcBorders>
            <w:vAlign w:val="center"/>
          </w:tcPr>
          <w:p w14:paraId="366BE0C5" w14:textId="71A7AD96" w:rsidR="00B41988" w:rsidRPr="00026EF9" w:rsidRDefault="00B41988" w:rsidP="00026EF9">
            <w:pPr>
              <w:spacing w:before="60" w:after="60" w:line="30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24"/>
              </w:rPr>
            </w:pPr>
            <w:r w:rsidRPr="00026EF9">
              <w:rPr>
                <w:sz w:val="16"/>
                <w:szCs w:val="24"/>
              </w:rPr>
              <w:t>Near real-time measurements of CER/DER generation/consumption, state of charge (for storage), and availability</w:t>
            </w:r>
            <w:r w:rsidR="00872EAC" w:rsidRPr="00026EF9">
              <w:rPr>
                <w:sz w:val="16"/>
                <w:szCs w:val="24"/>
              </w:rPr>
              <w:t>.</w:t>
            </w:r>
          </w:p>
        </w:tc>
        <w:tc>
          <w:tcPr>
            <w:tcW w:w="8833" w:type="dxa"/>
            <w:tcBorders>
              <w:top w:val="single" w:sz="4" w:space="0" w:color="auto"/>
              <w:left w:val="single" w:sz="4" w:space="0" w:color="auto"/>
              <w:bottom w:val="single" w:sz="4" w:space="0" w:color="auto"/>
              <w:right w:val="single" w:sz="4" w:space="0" w:color="auto"/>
            </w:tcBorders>
          </w:tcPr>
          <w:p w14:paraId="4012E875" w14:textId="0B2B398E" w:rsidR="00B41988" w:rsidRPr="00F14453" w:rsidRDefault="00B41988" w:rsidP="00567443">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24"/>
              </w:rPr>
            </w:pPr>
            <w:r w:rsidRPr="00F14453">
              <w:rPr>
                <w:rFonts w:eastAsia="Times New Roman" w:cs="Segoe UI"/>
                <w:color w:val="000000"/>
                <w:sz w:val="16"/>
                <w:szCs w:val="24"/>
              </w:rPr>
              <w:t>DNSPs/DSOs collect this data to monitor local network congestion, while SOs require an aggregated view at T-D interface points. Depending on DSO Models, the SO may also require this data for to verify compliance with dispatch instructions. Increasingly, SOs will also need to integrate distribution-level storage (including EVs) into forecasting and dispatch engines along with status of CER/DER portfolios participating in markets.</w:t>
            </w:r>
          </w:p>
        </w:tc>
      </w:tr>
    </w:tbl>
    <w:p w14:paraId="7A4F6C85" w14:textId="577A9829" w:rsidR="008B42A6" w:rsidRDefault="008B42A6"/>
    <w:p w14:paraId="7A45ACBD" w14:textId="77777777" w:rsidR="00FF5387" w:rsidRDefault="00FF5387" w:rsidP="00EC1C3B">
      <w:pPr>
        <w:spacing w:before="0" w:after="160" w:line="259" w:lineRule="auto"/>
        <w:ind w:left="567"/>
        <w:rPr>
          <w:lang w:val="en-GB"/>
        </w:rPr>
      </w:pPr>
    </w:p>
    <w:p w14:paraId="3FDF30AE" w14:textId="77777777" w:rsidR="00995A68" w:rsidRDefault="00995A68" w:rsidP="001711D1">
      <w:pPr>
        <w:pStyle w:val="Heading2"/>
        <w:sectPr w:rsidR="00995A68" w:rsidSect="00F14453">
          <w:pgSz w:w="16838" w:h="11906" w:orient="landscape"/>
          <w:pgMar w:top="2552" w:right="2552" w:bottom="1134" w:left="851" w:header="709" w:footer="709" w:gutter="0"/>
          <w:cols w:space="708"/>
          <w:docGrid w:linePitch="360"/>
        </w:sectPr>
      </w:pPr>
      <w:bookmarkStart w:id="132" w:name="_Toc192064053"/>
      <w:bookmarkStart w:id="133" w:name="_Toc192064496"/>
      <w:bookmarkStart w:id="134" w:name="_Toc192853578"/>
      <w:bookmarkStart w:id="135" w:name="_Toc192866698"/>
      <w:bookmarkStart w:id="136" w:name="_Toc192866808"/>
      <w:bookmarkStart w:id="137" w:name="_Toc192866866"/>
      <w:bookmarkStart w:id="138" w:name="_Toc192866912"/>
      <w:bookmarkStart w:id="139" w:name="_Toc192866990"/>
      <w:bookmarkStart w:id="140" w:name="_Toc192867035"/>
      <w:bookmarkStart w:id="141" w:name="_Toc192867079"/>
      <w:bookmarkStart w:id="142" w:name="_Toc192867122"/>
      <w:bookmarkStart w:id="143" w:name="_Toc192867164"/>
      <w:bookmarkStart w:id="144" w:name="_Toc192867205"/>
      <w:bookmarkEnd w:id="132"/>
      <w:bookmarkEnd w:id="133"/>
      <w:bookmarkEnd w:id="134"/>
      <w:bookmarkEnd w:id="135"/>
      <w:bookmarkEnd w:id="136"/>
      <w:bookmarkEnd w:id="137"/>
      <w:bookmarkEnd w:id="138"/>
      <w:bookmarkEnd w:id="139"/>
      <w:bookmarkEnd w:id="140"/>
      <w:bookmarkEnd w:id="141"/>
      <w:bookmarkEnd w:id="142"/>
      <w:bookmarkEnd w:id="143"/>
      <w:bookmarkEnd w:id="144"/>
    </w:p>
    <w:p w14:paraId="271B28C1" w14:textId="2AA73115" w:rsidR="00BB4D98" w:rsidRDefault="00BB4D98" w:rsidP="00026EF9">
      <w:pPr>
        <w:pStyle w:val="Heading2"/>
        <w:spacing w:before="0"/>
        <w:ind w:left="578" w:hanging="578"/>
      </w:pPr>
      <w:bookmarkStart w:id="145" w:name="_Toc205532857"/>
      <w:r>
        <w:lastRenderedPageBreak/>
        <w:t>Data Models</w:t>
      </w:r>
      <w:bookmarkEnd w:id="145"/>
    </w:p>
    <w:p w14:paraId="095D3C4F" w14:textId="54B20743" w:rsidR="002E7C80" w:rsidRDefault="00532FAA">
      <w:pPr>
        <w:spacing w:before="180" w:after="120" w:line="288" w:lineRule="auto"/>
        <w:rPr>
          <w:rFonts w:cs="Calibri"/>
          <w:szCs w:val="18"/>
        </w:rPr>
      </w:pPr>
      <w:r w:rsidRPr="0050162C">
        <w:rPr>
          <w:rFonts w:cs="Calibri"/>
          <w:szCs w:val="18"/>
        </w:rPr>
        <w:t xml:space="preserve">In contrast to data requirements, </w:t>
      </w:r>
      <w:r w:rsidR="00733D55" w:rsidRPr="0050162C">
        <w:rPr>
          <w:rFonts w:cs="Calibri"/>
          <w:szCs w:val="18"/>
        </w:rPr>
        <w:t xml:space="preserve">a data model is a structured representation of how data will be </w:t>
      </w:r>
      <w:r w:rsidR="005003F2">
        <w:rPr>
          <w:rFonts w:cs="Calibri"/>
          <w:szCs w:val="18"/>
        </w:rPr>
        <w:t>acquired</w:t>
      </w:r>
      <w:r w:rsidR="00733D55" w:rsidRPr="0050162C">
        <w:rPr>
          <w:rFonts w:cs="Calibri"/>
          <w:szCs w:val="18"/>
        </w:rPr>
        <w:t xml:space="preserve">, </w:t>
      </w:r>
      <w:r w:rsidR="005003F2">
        <w:rPr>
          <w:rFonts w:cs="Calibri"/>
          <w:szCs w:val="18"/>
        </w:rPr>
        <w:t>transmitted</w:t>
      </w:r>
      <w:r w:rsidR="00733D55" w:rsidRPr="0050162C">
        <w:rPr>
          <w:rFonts w:cs="Calibri"/>
          <w:szCs w:val="18"/>
        </w:rPr>
        <w:t xml:space="preserve">, </w:t>
      </w:r>
      <w:r w:rsidR="00DB62A3">
        <w:rPr>
          <w:rFonts w:cs="Calibri"/>
          <w:szCs w:val="18"/>
        </w:rPr>
        <w:t xml:space="preserve">organised, stored, processed </w:t>
      </w:r>
      <w:r w:rsidR="00733D55" w:rsidRPr="0050162C">
        <w:rPr>
          <w:rFonts w:cs="Calibri"/>
          <w:szCs w:val="18"/>
        </w:rPr>
        <w:t>and managed. It describes how data elements relate to each other and the rules that govern these relationships</w:t>
      </w:r>
      <w:r w:rsidR="00467ECA" w:rsidRPr="0050162C">
        <w:rPr>
          <w:rFonts w:cs="Calibri"/>
          <w:szCs w:val="18"/>
        </w:rPr>
        <w:t>.</w:t>
      </w:r>
      <w:r w:rsidR="005640DE" w:rsidRPr="0050162C">
        <w:rPr>
          <w:rFonts w:cs="Calibri"/>
          <w:szCs w:val="18"/>
        </w:rPr>
        <w:t xml:space="preserve"> Data model</w:t>
      </w:r>
      <w:r w:rsidR="008551A4">
        <w:rPr>
          <w:rFonts w:cs="Calibri"/>
          <w:szCs w:val="18"/>
        </w:rPr>
        <w:t xml:space="preserve"> specifications</w:t>
      </w:r>
      <w:r w:rsidR="005640DE" w:rsidRPr="0050162C">
        <w:rPr>
          <w:rFonts w:cs="Calibri"/>
          <w:szCs w:val="18"/>
        </w:rPr>
        <w:t xml:space="preserve"> have a direct relationship </w:t>
      </w:r>
      <w:r w:rsidR="008551A4">
        <w:rPr>
          <w:rFonts w:cs="Calibri"/>
          <w:szCs w:val="18"/>
        </w:rPr>
        <w:t>with</w:t>
      </w:r>
      <w:r w:rsidR="008551A4" w:rsidRPr="0050162C">
        <w:rPr>
          <w:rFonts w:cs="Calibri"/>
          <w:szCs w:val="18"/>
        </w:rPr>
        <w:t xml:space="preserve"> </w:t>
      </w:r>
      <w:r w:rsidR="005640DE" w:rsidRPr="0050162C">
        <w:rPr>
          <w:rFonts w:cs="Calibri"/>
          <w:szCs w:val="18"/>
        </w:rPr>
        <w:t xml:space="preserve">data </w:t>
      </w:r>
      <w:r w:rsidR="00055C22" w:rsidRPr="0050162C">
        <w:rPr>
          <w:rFonts w:cs="Calibri"/>
          <w:szCs w:val="18"/>
        </w:rPr>
        <w:t>exchange</w:t>
      </w:r>
      <w:r w:rsidR="001240DF">
        <w:rPr>
          <w:rFonts w:cs="Calibri"/>
          <w:szCs w:val="18"/>
        </w:rPr>
        <w:t xml:space="preserve"> requirements</w:t>
      </w:r>
      <w:r w:rsidR="00055C22" w:rsidRPr="0050162C">
        <w:rPr>
          <w:rFonts w:cs="Calibri"/>
          <w:szCs w:val="18"/>
        </w:rPr>
        <w:t xml:space="preserve">, as </w:t>
      </w:r>
      <w:r w:rsidR="001240DF">
        <w:rPr>
          <w:rFonts w:cs="Calibri"/>
          <w:szCs w:val="18"/>
        </w:rPr>
        <w:t xml:space="preserve">the exchange of data within </w:t>
      </w:r>
      <w:r w:rsidR="00972114" w:rsidRPr="0050162C">
        <w:rPr>
          <w:rFonts w:cs="Calibri"/>
          <w:szCs w:val="18"/>
        </w:rPr>
        <w:t>messages</w:t>
      </w:r>
      <w:r w:rsidR="00055C22" w:rsidRPr="0050162C">
        <w:rPr>
          <w:rFonts w:cs="Calibri"/>
          <w:szCs w:val="18"/>
        </w:rPr>
        <w:t xml:space="preserve"> will in</w:t>
      </w:r>
      <w:r w:rsidR="001240DF">
        <w:rPr>
          <w:rFonts w:cs="Calibri"/>
          <w:szCs w:val="18"/>
        </w:rPr>
        <w:t>,</w:t>
      </w:r>
      <w:r w:rsidR="00055C22" w:rsidRPr="0050162C">
        <w:rPr>
          <w:rFonts w:cs="Calibri"/>
          <w:szCs w:val="18"/>
        </w:rPr>
        <w:t xml:space="preserve"> most cases</w:t>
      </w:r>
      <w:r w:rsidR="001240DF">
        <w:rPr>
          <w:rFonts w:cs="Calibri"/>
          <w:szCs w:val="18"/>
        </w:rPr>
        <w:t>,</w:t>
      </w:r>
      <w:r w:rsidR="00055C22" w:rsidRPr="0050162C">
        <w:rPr>
          <w:rFonts w:cs="Calibri"/>
          <w:szCs w:val="18"/>
        </w:rPr>
        <w:t xml:space="preserve"> </w:t>
      </w:r>
      <w:r w:rsidR="00AA1CDA" w:rsidRPr="0050162C">
        <w:rPr>
          <w:rFonts w:cs="Calibri"/>
          <w:szCs w:val="18"/>
        </w:rPr>
        <w:t xml:space="preserve">result in updates to data stored in </w:t>
      </w:r>
      <w:r w:rsidR="00FD2CBC">
        <w:rPr>
          <w:rFonts w:cs="Calibri"/>
          <w:szCs w:val="18"/>
        </w:rPr>
        <w:t xml:space="preserve">persistent </w:t>
      </w:r>
      <w:r w:rsidR="00AA1CDA" w:rsidRPr="0050162C">
        <w:rPr>
          <w:rFonts w:cs="Calibri"/>
          <w:szCs w:val="18"/>
        </w:rPr>
        <w:t>data models</w:t>
      </w:r>
      <w:r w:rsidR="000F1E36">
        <w:rPr>
          <w:rFonts w:cs="Calibri"/>
          <w:szCs w:val="18"/>
        </w:rPr>
        <w:t>, data</w:t>
      </w:r>
      <w:r w:rsidR="00A121E6" w:rsidRPr="0050162C">
        <w:rPr>
          <w:rFonts w:cs="Calibri"/>
          <w:szCs w:val="18"/>
        </w:rPr>
        <w:t xml:space="preserve"> which inform</w:t>
      </w:r>
      <w:r w:rsidR="000F1E36">
        <w:rPr>
          <w:rFonts w:cs="Calibri"/>
          <w:szCs w:val="18"/>
        </w:rPr>
        <w:t>s</w:t>
      </w:r>
      <w:r w:rsidR="00A121E6" w:rsidRPr="0050162C">
        <w:rPr>
          <w:rFonts w:cs="Calibri"/>
          <w:szCs w:val="18"/>
        </w:rPr>
        <w:t xml:space="preserve"> or trigger</w:t>
      </w:r>
      <w:r w:rsidR="000F1E36">
        <w:rPr>
          <w:rFonts w:cs="Calibri"/>
          <w:szCs w:val="18"/>
        </w:rPr>
        <w:t>s</w:t>
      </w:r>
      <w:r w:rsidR="00A121E6" w:rsidRPr="0050162C">
        <w:rPr>
          <w:rFonts w:cs="Calibri"/>
          <w:szCs w:val="18"/>
        </w:rPr>
        <w:t xml:space="preserve"> </w:t>
      </w:r>
      <w:r w:rsidR="009279B0" w:rsidRPr="0050162C">
        <w:rPr>
          <w:rFonts w:cs="Calibri"/>
          <w:szCs w:val="18"/>
        </w:rPr>
        <w:t xml:space="preserve">control </w:t>
      </w:r>
      <w:r w:rsidR="00E570AC" w:rsidRPr="0050162C">
        <w:rPr>
          <w:rFonts w:cs="Calibri"/>
          <w:szCs w:val="18"/>
        </w:rPr>
        <w:t>actions</w:t>
      </w:r>
      <w:r w:rsidR="00AA1CDA" w:rsidRPr="0050162C">
        <w:rPr>
          <w:rFonts w:cs="Calibri"/>
          <w:szCs w:val="18"/>
        </w:rPr>
        <w:t>.</w:t>
      </w:r>
      <w:r w:rsidR="003725B3" w:rsidRPr="0050162C">
        <w:rPr>
          <w:rFonts w:cs="Calibri"/>
          <w:szCs w:val="18"/>
        </w:rPr>
        <w:t xml:space="preserve"> Messages </w:t>
      </w:r>
      <w:r w:rsidR="00AB21F8" w:rsidRPr="0050162C">
        <w:rPr>
          <w:rFonts w:cs="Calibri"/>
          <w:szCs w:val="18"/>
        </w:rPr>
        <w:t xml:space="preserve">exchanged under </w:t>
      </w:r>
      <w:r w:rsidR="008F1AFF" w:rsidRPr="0050162C">
        <w:rPr>
          <w:rFonts w:cs="Calibri"/>
          <w:szCs w:val="18"/>
        </w:rPr>
        <w:t>T-D Coordination</w:t>
      </w:r>
      <w:r w:rsidR="00AB21F8" w:rsidRPr="0050162C">
        <w:rPr>
          <w:rFonts w:cs="Calibri"/>
          <w:szCs w:val="18"/>
        </w:rPr>
        <w:t xml:space="preserve"> schemes must </w:t>
      </w:r>
      <w:r w:rsidR="007866BA" w:rsidRPr="0050162C">
        <w:rPr>
          <w:rFonts w:cs="Calibri"/>
          <w:szCs w:val="18"/>
        </w:rPr>
        <w:t xml:space="preserve">respect the semantic framework of </w:t>
      </w:r>
      <w:r w:rsidR="00C54EBC">
        <w:rPr>
          <w:rFonts w:cs="Calibri"/>
          <w:szCs w:val="18"/>
        </w:rPr>
        <w:t xml:space="preserve">their corresponding </w:t>
      </w:r>
      <w:r w:rsidR="007866BA" w:rsidRPr="0050162C">
        <w:rPr>
          <w:rFonts w:cs="Calibri"/>
          <w:szCs w:val="18"/>
        </w:rPr>
        <w:t xml:space="preserve">data models </w:t>
      </w:r>
      <w:r w:rsidR="00AA7A48" w:rsidRPr="0050162C">
        <w:rPr>
          <w:rFonts w:cs="Calibri"/>
          <w:szCs w:val="18"/>
        </w:rPr>
        <w:t>to ensure correct interpretation</w:t>
      </w:r>
      <w:r w:rsidR="0003657F" w:rsidRPr="0050162C">
        <w:rPr>
          <w:rFonts w:cs="Calibri"/>
          <w:szCs w:val="18"/>
        </w:rPr>
        <w:t xml:space="preserve">. </w:t>
      </w:r>
      <w:r w:rsidR="000005E5" w:rsidRPr="0050162C">
        <w:rPr>
          <w:rFonts w:cs="Calibri"/>
          <w:szCs w:val="18"/>
        </w:rPr>
        <w:t xml:space="preserve">Harmonising, standardising, and where possible, minimising the number of data models </w:t>
      </w:r>
      <w:r w:rsidR="007A1D20" w:rsidRPr="0050162C">
        <w:rPr>
          <w:rFonts w:cs="Calibri"/>
          <w:szCs w:val="18"/>
        </w:rPr>
        <w:t xml:space="preserve">involved </w:t>
      </w:r>
      <w:r w:rsidR="008B6D82">
        <w:rPr>
          <w:rFonts w:cs="Calibri"/>
          <w:szCs w:val="18"/>
        </w:rPr>
        <w:t>with</w:t>
      </w:r>
      <w:r w:rsidR="007A1D20" w:rsidRPr="0050162C">
        <w:rPr>
          <w:rFonts w:cs="Calibri"/>
          <w:szCs w:val="18"/>
        </w:rPr>
        <w:t xml:space="preserve">in the structural arrangement of </w:t>
      </w:r>
      <w:r w:rsidR="008B6D82">
        <w:rPr>
          <w:rFonts w:cs="Calibri"/>
          <w:szCs w:val="18"/>
        </w:rPr>
        <w:t xml:space="preserve">the </w:t>
      </w:r>
      <w:r w:rsidR="007A1D20" w:rsidRPr="0050162C">
        <w:rPr>
          <w:rFonts w:cs="Calibri"/>
          <w:szCs w:val="18"/>
        </w:rPr>
        <w:t xml:space="preserve">TDC </w:t>
      </w:r>
      <w:r w:rsidR="008B6D82">
        <w:rPr>
          <w:rFonts w:cs="Calibri"/>
          <w:szCs w:val="18"/>
        </w:rPr>
        <w:t xml:space="preserve">functional specification </w:t>
      </w:r>
      <w:r w:rsidR="00CF6DE2" w:rsidRPr="0050162C">
        <w:rPr>
          <w:rFonts w:cs="Calibri"/>
          <w:szCs w:val="18"/>
        </w:rPr>
        <w:t>simplifies</w:t>
      </w:r>
      <w:r w:rsidR="00B71714" w:rsidRPr="0050162C">
        <w:rPr>
          <w:rFonts w:cs="Calibri"/>
          <w:szCs w:val="18"/>
        </w:rPr>
        <w:t xml:space="preserve"> downstream</w:t>
      </w:r>
      <w:r w:rsidR="00CF6DE2" w:rsidRPr="0050162C">
        <w:rPr>
          <w:rFonts w:cs="Calibri"/>
          <w:szCs w:val="18"/>
        </w:rPr>
        <w:t xml:space="preserve"> implementation and </w:t>
      </w:r>
      <w:r w:rsidR="00B71714" w:rsidRPr="0050162C">
        <w:rPr>
          <w:rFonts w:cs="Calibri"/>
          <w:szCs w:val="18"/>
        </w:rPr>
        <w:t xml:space="preserve">reduces </w:t>
      </w:r>
      <w:r w:rsidR="00524CA4" w:rsidRPr="0050162C">
        <w:rPr>
          <w:rFonts w:cs="Calibri"/>
          <w:szCs w:val="18"/>
        </w:rPr>
        <w:t>potential model translation errors</w:t>
      </w:r>
      <w:r w:rsidR="00772EEE">
        <w:rPr>
          <w:rFonts w:cs="Calibri"/>
          <w:szCs w:val="18"/>
        </w:rPr>
        <w:t xml:space="preserve">. </w:t>
      </w:r>
    </w:p>
    <w:p w14:paraId="4FC8185C" w14:textId="6CB4323A" w:rsidR="00387274" w:rsidRDefault="00945C25" w:rsidP="00945C25">
      <w:pPr>
        <w:spacing w:before="180" w:after="120" w:line="288" w:lineRule="auto"/>
        <w:rPr>
          <w:rFonts w:cs="Calibri"/>
          <w:szCs w:val="18"/>
        </w:rPr>
      </w:pPr>
      <w:r>
        <w:rPr>
          <w:rFonts w:cs="Calibri"/>
          <w:szCs w:val="18"/>
        </w:rPr>
        <w:t>D</w:t>
      </w:r>
      <w:r w:rsidR="003E09C6" w:rsidRPr="0050162C">
        <w:rPr>
          <w:rFonts w:cs="Calibri"/>
          <w:szCs w:val="18"/>
        </w:rPr>
        <w:t xml:space="preserve">isparate data models need to </w:t>
      </w:r>
      <w:r w:rsidR="00B60CF4" w:rsidRPr="0050162C">
        <w:rPr>
          <w:rFonts w:cs="Calibri"/>
          <w:szCs w:val="18"/>
        </w:rPr>
        <w:t>‘understand each other’</w:t>
      </w:r>
      <w:r w:rsidR="00885D61" w:rsidRPr="0050162C">
        <w:rPr>
          <w:rFonts w:cs="Calibri"/>
          <w:szCs w:val="18"/>
        </w:rPr>
        <w:t xml:space="preserve"> to support more dynamic and automated operational coordination</w:t>
      </w:r>
      <w:r w:rsidR="001D2E7B" w:rsidRPr="0050162C">
        <w:rPr>
          <w:rFonts w:cs="Calibri"/>
          <w:szCs w:val="18"/>
        </w:rPr>
        <w:t xml:space="preserve"> – to varying degrees, depending on TDC structural arrangements.</w:t>
      </w:r>
      <w:r w:rsidR="00885D61" w:rsidRPr="0050162C">
        <w:rPr>
          <w:rFonts w:cs="Calibri"/>
          <w:szCs w:val="18"/>
        </w:rPr>
        <w:t xml:space="preserve"> </w:t>
      </w:r>
      <w:r w:rsidR="00CE305D" w:rsidRPr="0050162C">
        <w:rPr>
          <w:rFonts w:cs="Calibri"/>
          <w:szCs w:val="18"/>
        </w:rPr>
        <w:t>It should be noted that d</w:t>
      </w:r>
      <w:r w:rsidR="004370DA" w:rsidRPr="0050162C">
        <w:rPr>
          <w:rFonts w:cs="Calibri"/>
          <w:szCs w:val="18"/>
        </w:rPr>
        <w:t>ata models are often embedded within communications standards</w:t>
      </w:r>
      <w:r w:rsidR="00EB5B4E" w:rsidRPr="0050162C">
        <w:rPr>
          <w:rFonts w:cs="Calibri"/>
          <w:szCs w:val="18"/>
        </w:rPr>
        <w:t xml:space="preserve"> that use them. </w:t>
      </w:r>
      <w:r w:rsidR="001622E8">
        <w:rPr>
          <w:rFonts w:cs="Calibri"/>
          <w:szCs w:val="18"/>
        </w:rPr>
        <w:t xml:space="preserve">Some common data models are listed in </w:t>
      </w:r>
      <w:hyperlink w:anchor="Table_6" w:history="1">
        <w:r w:rsidR="001D6017" w:rsidRPr="001D6017">
          <w:rPr>
            <w:rStyle w:val="Hyperlink"/>
            <w:rFonts w:cs="Calibri"/>
            <w:szCs w:val="18"/>
          </w:rPr>
          <w:t>Table 6</w:t>
        </w:r>
      </w:hyperlink>
      <w:r w:rsidR="00617DC1">
        <w:rPr>
          <w:rFonts w:cs="Calibri"/>
          <w:szCs w:val="18"/>
        </w:rPr>
        <w:t xml:space="preserve"> followed by a </w:t>
      </w:r>
      <w:r w:rsidR="00CD7095">
        <w:rPr>
          <w:rFonts w:cs="Calibri"/>
          <w:szCs w:val="18"/>
        </w:rPr>
        <w:t>brief treatment of the Common Information Model</w:t>
      </w:r>
      <w:r w:rsidR="001F7B12">
        <w:rPr>
          <w:rFonts w:cs="Calibri"/>
          <w:szCs w:val="18"/>
        </w:rPr>
        <w:t>.</w:t>
      </w:r>
    </w:p>
    <w:p w14:paraId="7C14686F" w14:textId="6CACB195" w:rsidR="00F369A2" w:rsidRDefault="00F369A2" w:rsidP="00DE3589">
      <w:pPr>
        <w:pStyle w:val="Caption"/>
        <w:keepNext/>
      </w:pPr>
      <w:bookmarkStart w:id="146" w:name="_Ref198910282"/>
      <w:bookmarkStart w:id="147" w:name="_Ref198910261"/>
      <w:r>
        <w:t xml:space="preserve">Table </w:t>
      </w:r>
      <w:fldSimple w:instr=" SEQ Table \* ARABIC ">
        <w:r w:rsidR="00CE6CF1">
          <w:rPr>
            <w:noProof/>
          </w:rPr>
          <w:t>6</w:t>
        </w:r>
      </w:fldSimple>
      <w:bookmarkEnd w:id="146"/>
      <w:r>
        <w:t xml:space="preserve"> - Common Data Model standards</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971"/>
        <w:gridCol w:w="1943"/>
        <w:gridCol w:w="3296"/>
      </w:tblGrid>
      <w:tr w:rsidR="00C87ED4" w:rsidRPr="00C87ED4" w14:paraId="19F9B086" w14:textId="77777777" w:rsidTr="00ED5BCF">
        <w:trPr>
          <w:tblHeader/>
        </w:trPr>
        <w:tc>
          <w:tcPr>
            <w:tcW w:w="0" w:type="auto"/>
            <w:shd w:val="clear" w:color="auto" w:fill="013C4C" w:themeFill="accent1"/>
            <w:vAlign w:val="center"/>
            <w:hideMark/>
          </w:tcPr>
          <w:p w14:paraId="0C0CD91C" w14:textId="77777777" w:rsidR="00C87ED4" w:rsidRPr="00DE3589" w:rsidRDefault="00C87ED4" w:rsidP="00F14453">
            <w:pPr>
              <w:spacing w:before="180" w:after="120" w:line="288" w:lineRule="auto"/>
              <w:jc w:val="center"/>
              <w:rPr>
                <w:rFonts w:ascii="PP Mori SemiBold" w:hAnsi="PP Mori SemiBold" w:cs="Calibri"/>
                <w:b/>
                <w:bCs/>
                <w:szCs w:val="18"/>
              </w:rPr>
            </w:pPr>
            <w:bookmarkStart w:id="148" w:name="Table_6"/>
            <w:r w:rsidRPr="00DE3589">
              <w:rPr>
                <w:rFonts w:ascii="PP Mori SemiBold" w:hAnsi="PP Mori SemiBold" w:cs="Calibri"/>
                <w:b/>
                <w:bCs/>
                <w:szCs w:val="18"/>
              </w:rPr>
              <w:t>Name</w:t>
            </w:r>
          </w:p>
        </w:tc>
        <w:tc>
          <w:tcPr>
            <w:tcW w:w="0" w:type="auto"/>
            <w:shd w:val="clear" w:color="auto" w:fill="013C4C" w:themeFill="accent1"/>
            <w:vAlign w:val="center"/>
            <w:hideMark/>
          </w:tcPr>
          <w:p w14:paraId="63F1B9BF" w14:textId="77777777" w:rsidR="00C87ED4" w:rsidRPr="00DE3589" w:rsidRDefault="00C87ED4" w:rsidP="00F14453">
            <w:pPr>
              <w:spacing w:before="180" w:after="120" w:line="288" w:lineRule="auto"/>
              <w:jc w:val="center"/>
              <w:rPr>
                <w:rFonts w:ascii="PP Mori SemiBold" w:hAnsi="PP Mori SemiBold" w:cs="Calibri"/>
                <w:b/>
                <w:bCs/>
                <w:szCs w:val="18"/>
              </w:rPr>
            </w:pPr>
            <w:r w:rsidRPr="00DE3589">
              <w:rPr>
                <w:rFonts w:ascii="PP Mori SemiBold" w:hAnsi="PP Mori SemiBold" w:cs="Calibri"/>
                <w:b/>
                <w:bCs/>
                <w:szCs w:val="18"/>
              </w:rPr>
              <w:t>Domain</w:t>
            </w:r>
          </w:p>
        </w:tc>
        <w:tc>
          <w:tcPr>
            <w:tcW w:w="0" w:type="auto"/>
            <w:shd w:val="clear" w:color="auto" w:fill="013C4C" w:themeFill="accent1"/>
            <w:vAlign w:val="center"/>
            <w:hideMark/>
          </w:tcPr>
          <w:p w14:paraId="4B6FC587" w14:textId="77777777" w:rsidR="00C87ED4" w:rsidRPr="00DE3589" w:rsidRDefault="00C87ED4" w:rsidP="00F14453">
            <w:pPr>
              <w:spacing w:before="180" w:after="120" w:line="288" w:lineRule="auto"/>
              <w:jc w:val="center"/>
              <w:rPr>
                <w:rFonts w:ascii="PP Mori SemiBold" w:hAnsi="PP Mori SemiBold" w:cs="Calibri"/>
                <w:b/>
                <w:bCs/>
                <w:szCs w:val="18"/>
              </w:rPr>
            </w:pPr>
            <w:r w:rsidRPr="00DE3589">
              <w:rPr>
                <w:rFonts w:ascii="PP Mori SemiBold" w:hAnsi="PP Mori SemiBold" w:cs="Calibri"/>
                <w:b/>
                <w:bCs/>
                <w:szCs w:val="18"/>
              </w:rPr>
              <w:t>Description</w:t>
            </w:r>
          </w:p>
        </w:tc>
      </w:tr>
      <w:tr w:rsidR="00C87ED4" w:rsidRPr="00C87ED4" w14:paraId="515A209A" w14:textId="77777777" w:rsidTr="00ED5BCF">
        <w:tc>
          <w:tcPr>
            <w:tcW w:w="0" w:type="auto"/>
            <w:shd w:val="clear" w:color="auto" w:fill="067296" w:themeFill="text2"/>
            <w:vAlign w:val="center"/>
            <w:hideMark/>
          </w:tcPr>
          <w:p w14:paraId="1AF5CE69" w14:textId="2AD44F24"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t>CIM (IEC 61970/61968/62325)</w:t>
            </w:r>
            <w:r w:rsidR="00617DC1" w:rsidRPr="00F14453">
              <w:rPr>
                <w:rFonts w:cs="Calibri"/>
                <w:b/>
                <w:color w:val="FAFAFA" w:themeColor="background1"/>
                <w:szCs w:val="18"/>
              </w:rPr>
              <w:t xml:space="preserve"> – expanded on below</w:t>
            </w:r>
          </w:p>
        </w:tc>
        <w:tc>
          <w:tcPr>
            <w:tcW w:w="0" w:type="auto"/>
            <w:vAlign w:val="center"/>
            <w:hideMark/>
          </w:tcPr>
          <w:p w14:paraId="62FC61CB" w14:textId="77777777" w:rsidR="00C87ED4" w:rsidRPr="00C87ED4" w:rsidRDefault="00C87ED4" w:rsidP="00C87ED4">
            <w:pPr>
              <w:spacing w:before="180" w:after="120" w:line="288" w:lineRule="auto"/>
              <w:rPr>
                <w:rFonts w:cs="Calibri"/>
                <w:szCs w:val="18"/>
              </w:rPr>
            </w:pPr>
            <w:r w:rsidRPr="00C87ED4">
              <w:rPr>
                <w:rFonts w:cs="Calibri"/>
                <w:szCs w:val="18"/>
              </w:rPr>
              <w:t>Transmission, Distribution, Market</w:t>
            </w:r>
          </w:p>
        </w:tc>
        <w:tc>
          <w:tcPr>
            <w:tcW w:w="0" w:type="auto"/>
            <w:vAlign w:val="center"/>
            <w:hideMark/>
          </w:tcPr>
          <w:p w14:paraId="074085D0" w14:textId="77777777" w:rsidR="00C87ED4" w:rsidRPr="00C87ED4" w:rsidRDefault="00C87ED4" w:rsidP="00C87ED4">
            <w:pPr>
              <w:spacing w:before="180" w:after="120" w:line="288" w:lineRule="auto"/>
              <w:rPr>
                <w:rFonts w:cs="Calibri"/>
                <w:szCs w:val="18"/>
              </w:rPr>
            </w:pPr>
            <w:r w:rsidRPr="00C87ED4">
              <w:rPr>
                <w:rFonts w:cs="Calibri"/>
                <w:szCs w:val="18"/>
              </w:rPr>
              <w:t>Semantic model for grid assets, markets, and system operations</w:t>
            </w:r>
          </w:p>
        </w:tc>
      </w:tr>
      <w:tr w:rsidR="00C87ED4" w:rsidRPr="00C87ED4" w14:paraId="751C3ED9" w14:textId="77777777" w:rsidTr="00ED5BCF">
        <w:tc>
          <w:tcPr>
            <w:tcW w:w="0" w:type="auto"/>
            <w:shd w:val="clear" w:color="auto" w:fill="067296" w:themeFill="text2"/>
            <w:vAlign w:val="center"/>
            <w:hideMark/>
          </w:tcPr>
          <w:p w14:paraId="09A19BF3" w14:textId="77777777"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t>IEC 61850 Logical Nodes</w:t>
            </w:r>
          </w:p>
        </w:tc>
        <w:tc>
          <w:tcPr>
            <w:tcW w:w="0" w:type="auto"/>
            <w:vAlign w:val="center"/>
            <w:hideMark/>
          </w:tcPr>
          <w:p w14:paraId="17E87140" w14:textId="77777777" w:rsidR="00C87ED4" w:rsidRPr="00C87ED4" w:rsidRDefault="00C87ED4" w:rsidP="00C87ED4">
            <w:pPr>
              <w:spacing w:before="180" w:after="120" w:line="288" w:lineRule="auto"/>
              <w:rPr>
                <w:rFonts w:cs="Calibri"/>
                <w:szCs w:val="18"/>
              </w:rPr>
            </w:pPr>
            <w:r w:rsidRPr="00C87ED4">
              <w:rPr>
                <w:rFonts w:cs="Calibri"/>
                <w:szCs w:val="18"/>
              </w:rPr>
              <w:t>Substations, Protection</w:t>
            </w:r>
          </w:p>
        </w:tc>
        <w:tc>
          <w:tcPr>
            <w:tcW w:w="0" w:type="auto"/>
            <w:vAlign w:val="center"/>
            <w:hideMark/>
          </w:tcPr>
          <w:p w14:paraId="4B4D7206" w14:textId="77777777" w:rsidR="00C87ED4" w:rsidRPr="00C87ED4" w:rsidRDefault="00C87ED4" w:rsidP="00C87ED4">
            <w:pPr>
              <w:spacing w:before="180" w:after="120" w:line="288" w:lineRule="auto"/>
              <w:rPr>
                <w:rFonts w:cs="Calibri"/>
                <w:szCs w:val="18"/>
              </w:rPr>
            </w:pPr>
            <w:r w:rsidRPr="00C87ED4">
              <w:rPr>
                <w:rFonts w:cs="Calibri"/>
                <w:szCs w:val="18"/>
              </w:rPr>
              <w:t>Object-oriented model for substation automation; defines logical nodes</w:t>
            </w:r>
          </w:p>
        </w:tc>
      </w:tr>
      <w:tr w:rsidR="00C87ED4" w:rsidRPr="00C87ED4" w14:paraId="7F04805B" w14:textId="77777777" w:rsidTr="00ED5BCF">
        <w:tc>
          <w:tcPr>
            <w:tcW w:w="0" w:type="auto"/>
            <w:shd w:val="clear" w:color="auto" w:fill="067296" w:themeFill="text2"/>
            <w:vAlign w:val="center"/>
            <w:hideMark/>
          </w:tcPr>
          <w:p w14:paraId="57A3EF89" w14:textId="77777777"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t>MultiSpeak</w:t>
            </w:r>
          </w:p>
        </w:tc>
        <w:tc>
          <w:tcPr>
            <w:tcW w:w="0" w:type="auto"/>
            <w:vAlign w:val="center"/>
            <w:hideMark/>
          </w:tcPr>
          <w:p w14:paraId="47293967" w14:textId="4E95580A" w:rsidR="00C87ED4" w:rsidRPr="00C87ED4" w:rsidRDefault="00C87ED4" w:rsidP="00C87ED4">
            <w:pPr>
              <w:spacing w:before="180" w:after="120" w:line="288" w:lineRule="auto"/>
              <w:rPr>
                <w:rFonts w:cs="Calibri"/>
                <w:szCs w:val="18"/>
              </w:rPr>
            </w:pPr>
            <w:r w:rsidRPr="00C87ED4">
              <w:rPr>
                <w:rFonts w:cs="Calibri"/>
                <w:szCs w:val="18"/>
              </w:rPr>
              <w:t>Distribution</w:t>
            </w:r>
          </w:p>
        </w:tc>
        <w:tc>
          <w:tcPr>
            <w:tcW w:w="0" w:type="auto"/>
            <w:vAlign w:val="center"/>
            <w:hideMark/>
          </w:tcPr>
          <w:p w14:paraId="138C0E12" w14:textId="77777777" w:rsidR="00C87ED4" w:rsidRPr="00C87ED4" w:rsidRDefault="00C87ED4" w:rsidP="00C87ED4">
            <w:pPr>
              <w:spacing w:before="180" w:after="120" w:line="288" w:lineRule="auto"/>
              <w:rPr>
                <w:rFonts w:cs="Calibri"/>
                <w:szCs w:val="18"/>
              </w:rPr>
            </w:pPr>
            <w:r w:rsidRPr="00C87ED4">
              <w:rPr>
                <w:rFonts w:cs="Calibri"/>
                <w:szCs w:val="18"/>
              </w:rPr>
              <w:t>Focuses on enterprise integration: CIS, OMS, GIS, etc.</w:t>
            </w:r>
          </w:p>
        </w:tc>
      </w:tr>
      <w:tr w:rsidR="00C87ED4" w:rsidRPr="00C87ED4" w14:paraId="03D3F585" w14:textId="77777777" w:rsidTr="00ED5BCF">
        <w:tc>
          <w:tcPr>
            <w:tcW w:w="0" w:type="auto"/>
            <w:shd w:val="clear" w:color="auto" w:fill="067296" w:themeFill="text2"/>
            <w:vAlign w:val="center"/>
            <w:hideMark/>
          </w:tcPr>
          <w:p w14:paraId="6ABD2F9F" w14:textId="77777777"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t>IEEE 1547.3</w:t>
            </w:r>
          </w:p>
        </w:tc>
        <w:tc>
          <w:tcPr>
            <w:tcW w:w="0" w:type="auto"/>
            <w:vAlign w:val="center"/>
            <w:hideMark/>
          </w:tcPr>
          <w:p w14:paraId="76D8DDAB" w14:textId="77777777" w:rsidR="00C87ED4" w:rsidRPr="00C87ED4" w:rsidRDefault="00C87ED4" w:rsidP="00C87ED4">
            <w:pPr>
              <w:spacing w:before="180" w:after="120" w:line="288" w:lineRule="auto"/>
              <w:rPr>
                <w:rFonts w:cs="Calibri"/>
                <w:szCs w:val="18"/>
              </w:rPr>
            </w:pPr>
            <w:r w:rsidRPr="00C87ED4">
              <w:rPr>
                <w:rFonts w:cs="Calibri"/>
                <w:szCs w:val="18"/>
              </w:rPr>
              <w:t>DER telemetry and controls</w:t>
            </w:r>
          </w:p>
        </w:tc>
        <w:tc>
          <w:tcPr>
            <w:tcW w:w="0" w:type="auto"/>
            <w:vAlign w:val="center"/>
            <w:hideMark/>
          </w:tcPr>
          <w:p w14:paraId="78BCF370" w14:textId="77777777" w:rsidR="00C87ED4" w:rsidRPr="00C87ED4" w:rsidRDefault="00C87ED4" w:rsidP="00C87ED4">
            <w:pPr>
              <w:spacing w:before="180" w:after="120" w:line="288" w:lineRule="auto"/>
              <w:rPr>
                <w:rFonts w:cs="Calibri"/>
                <w:szCs w:val="18"/>
              </w:rPr>
            </w:pPr>
            <w:r w:rsidRPr="00C87ED4">
              <w:rPr>
                <w:rFonts w:cs="Calibri"/>
                <w:szCs w:val="18"/>
              </w:rPr>
              <w:t>Defines a data model for DER communications and controls</w:t>
            </w:r>
          </w:p>
        </w:tc>
      </w:tr>
      <w:tr w:rsidR="00C87ED4" w:rsidRPr="00C87ED4" w14:paraId="4783F1E5" w14:textId="77777777" w:rsidTr="00ED5BCF">
        <w:tc>
          <w:tcPr>
            <w:tcW w:w="0" w:type="auto"/>
            <w:shd w:val="clear" w:color="auto" w:fill="067296" w:themeFill="text2"/>
            <w:vAlign w:val="center"/>
            <w:hideMark/>
          </w:tcPr>
          <w:p w14:paraId="757E9D18" w14:textId="77777777"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t>OpenADR (Model Layer)</w:t>
            </w:r>
          </w:p>
        </w:tc>
        <w:tc>
          <w:tcPr>
            <w:tcW w:w="0" w:type="auto"/>
            <w:vAlign w:val="center"/>
            <w:hideMark/>
          </w:tcPr>
          <w:p w14:paraId="155DA140" w14:textId="77777777" w:rsidR="00C87ED4" w:rsidRPr="00C87ED4" w:rsidRDefault="00C87ED4" w:rsidP="00C87ED4">
            <w:pPr>
              <w:spacing w:before="180" w:after="120" w:line="288" w:lineRule="auto"/>
              <w:rPr>
                <w:rFonts w:cs="Calibri"/>
                <w:szCs w:val="18"/>
              </w:rPr>
            </w:pPr>
            <w:r w:rsidRPr="00C87ED4">
              <w:rPr>
                <w:rFonts w:cs="Calibri"/>
                <w:szCs w:val="18"/>
              </w:rPr>
              <w:t>Demand Response</w:t>
            </w:r>
          </w:p>
        </w:tc>
        <w:tc>
          <w:tcPr>
            <w:tcW w:w="0" w:type="auto"/>
            <w:vAlign w:val="center"/>
            <w:hideMark/>
          </w:tcPr>
          <w:p w14:paraId="43FFCDB8" w14:textId="32698E80" w:rsidR="00C87ED4" w:rsidRPr="00C87ED4" w:rsidRDefault="00C87ED4" w:rsidP="00C87ED4">
            <w:pPr>
              <w:spacing w:before="180" w:after="120" w:line="288" w:lineRule="auto"/>
              <w:rPr>
                <w:rFonts w:cs="Calibri"/>
                <w:szCs w:val="18"/>
              </w:rPr>
            </w:pPr>
            <w:r w:rsidRPr="00C87ED4">
              <w:rPr>
                <w:rFonts w:cs="Calibri"/>
                <w:szCs w:val="18"/>
              </w:rPr>
              <w:t xml:space="preserve">Event and price </w:t>
            </w:r>
            <w:r w:rsidR="000D49FC" w:rsidRPr="00C87ED4">
              <w:rPr>
                <w:rFonts w:cs="Calibri"/>
                <w:szCs w:val="18"/>
              </w:rPr>
              <w:t>signalling</w:t>
            </w:r>
            <w:r w:rsidRPr="00C87ED4">
              <w:rPr>
                <w:rFonts w:cs="Calibri"/>
                <w:szCs w:val="18"/>
              </w:rPr>
              <w:t xml:space="preserve"> model for DR automation</w:t>
            </w:r>
          </w:p>
        </w:tc>
      </w:tr>
      <w:tr w:rsidR="00C87ED4" w:rsidRPr="00C87ED4" w14:paraId="42355CB7" w14:textId="77777777" w:rsidTr="00ED5BCF">
        <w:tc>
          <w:tcPr>
            <w:tcW w:w="0" w:type="auto"/>
            <w:shd w:val="clear" w:color="auto" w:fill="067296" w:themeFill="text2"/>
            <w:vAlign w:val="center"/>
            <w:hideMark/>
          </w:tcPr>
          <w:p w14:paraId="2BE3C72B" w14:textId="77777777" w:rsidR="00C87ED4" w:rsidRPr="00F14453" w:rsidRDefault="00C87ED4" w:rsidP="00F14453">
            <w:pPr>
              <w:spacing w:before="180" w:after="120" w:line="288" w:lineRule="auto"/>
              <w:jc w:val="center"/>
              <w:rPr>
                <w:rFonts w:cs="Calibri"/>
                <w:color w:val="FAFAFA" w:themeColor="background1"/>
                <w:szCs w:val="18"/>
              </w:rPr>
            </w:pPr>
            <w:r w:rsidRPr="00F14453">
              <w:rPr>
                <w:rFonts w:cs="Calibri"/>
                <w:b/>
                <w:color w:val="FAFAFA" w:themeColor="background1"/>
                <w:szCs w:val="18"/>
              </w:rPr>
              <w:lastRenderedPageBreak/>
              <w:t>OASIS (NAESB Standards)</w:t>
            </w:r>
          </w:p>
        </w:tc>
        <w:tc>
          <w:tcPr>
            <w:tcW w:w="0" w:type="auto"/>
            <w:vAlign w:val="center"/>
            <w:hideMark/>
          </w:tcPr>
          <w:p w14:paraId="5C5C8274" w14:textId="77777777" w:rsidR="00C87ED4" w:rsidRPr="00C87ED4" w:rsidRDefault="00C87ED4" w:rsidP="00C87ED4">
            <w:pPr>
              <w:spacing w:before="180" w:after="120" w:line="288" w:lineRule="auto"/>
              <w:rPr>
                <w:rFonts w:cs="Calibri"/>
                <w:szCs w:val="18"/>
              </w:rPr>
            </w:pPr>
            <w:r w:rsidRPr="00C87ED4">
              <w:rPr>
                <w:rFonts w:cs="Calibri"/>
                <w:szCs w:val="18"/>
              </w:rPr>
              <w:t>Market Scheduling</w:t>
            </w:r>
          </w:p>
        </w:tc>
        <w:tc>
          <w:tcPr>
            <w:tcW w:w="0" w:type="auto"/>
            <w:vAlign w:val="center"/>
            <w:hideMark/>
          </w:tcPr>
          <w:p w14:paraId="64058111" w14:textId="77777777" w:rsidR="00C87ED4" w:rsidRPr="00C87ED4" w:rsidRDefault="00C87ED4" w:rsidP="00C87ED4">
            <w:pPr>
              <w:spacing w:before="180" w:after="120" w:line="288" w:lineRule="auto"/>
              <w:rPr>
                <w:rFonts w:cs="Calibri"/>
                <w:szCs w:val="18"/>
              </w:rPr>
            </w:pPr>
            <w:r w:rsidRPr="00C87ED4">
              <w:rPr>
                <w:rFonts w:cs="Calibri"/>
                <w:szCs w:val="18"/>
              </w:rPr>
              <w:t>Defines data structures for transfer capacity and scheduling</w:t>
            </w:r>
          </w:p>
        </w:tc>
      </w:tr>
    </w:tbl>
    <w:p w14:paraId="3CCCA3CD" w14:textId="77777777" w:rsidR="00932D8D" w:rsidRPr="00582064" w:rsidRDefault="00932D8D" w:rsidP="00932D8D">
      <w:pPr>
        <w:pStyle w:val="Heading3TextOnly"/>
      </w:pPr>
      <w:bookmarkStart w:id="149" w:name="_Toc201823526"/>
      <w:bookmarkStart w:id="150" w:name="_Toc205369842"/>
      <w:bookmarkStart w:id="151" w:name="_Toc205532858"/>
      <w:bookmarkEnd w:id="148"/>
      <w:r w:rsidRPr="00582064">
        <w:t>Common Information Model (CIM)</w:t>
      </w:r>
      <w:bookmarkEnd w:id="149"/>
      <w:bookmarkEnd w:id="150"/>
      <w:bookmarkEnd w:id="151"/>
    </w:p>
    <w:p w14:paraId="11B4C15F" w14:textId="171F9C19" w:rsidR="00932D8D" w:rsidRPr="0050162C" w:rsidRDefault="00932D8D" w:rsidP="00932D8D">
      <w:pPr>
        <w:spacing w:before="180" w:after="120" w:line="288" w:lineRule="auto"/>
        <w:rPr>
          <w:rFonts w:cs="Calibri"/>
        </w:rPr>
      </w:pPr>
      <w:r w:rsidRPr="0C4E642B">
        <w:rPr>
          <w:rFonts w:cs="Calibri"/>
        </w:rPr>
        <w:t xml:space="preserve">Dating back to the 1980s, the CIM was developed by EPRI in the US to address the need for better interoperability across the utility industry. </w:t>
      </w:r>
      <w:r w:rsidR="002E3E5A">
        <w:rPr>
          <w:rFonts w:cs="Calibri"/>
        </w:rPr>
        <w:t>System Operators</w:t>
      </w:r>
      <w:r w:rsidRPr="0C4E642B">
        <w:rPr>
          <w:rFonts w:cs="Calibri"/>
        </w:rPr>
        <w:t xml:space="preserve"> commonly use CIM in power system models used for transmission network topology, Energy Management Systems (EMS), state estimation and grid stability, market operations and grid congestion management</w:t>
      </w:r>
      <w:r w:rsidR="005F53D4" w:rsidRPr="0C4E642B">
        <w:rPr>
          <w:rFonts w:cs="Calibri"/>
        </w:rPr>
        <w:t xml:space="preserve">. </w:t>
      </w:r>
      <w:r w:rsidRPr="0C4E642B">
        <w:rPr>
          <w:rFonts w:cs="Calibri"/>
        </w:rPr>
        <w:t xml:space="preserve">It consists of several standardised classes and subclasses defined using UML to capture and share data about the power system </w:t>
      </w:r>
      <w:r w:rsidR="00D0306B">
        <w:rPr>
          <w:rFonts w:cs="Calibri"/>
          <w:szCs w:val="18"/>
        </w:rPr>
        <w:t xml:space="preserve">see </w:t>
      </w:r>
      <w:hyperlink w:anchor="Ref_27" w:history="1">
        <w:r w:rsidR="00D0306B" w:rsidRPr="000C5D0E">
          <w:rPr>
            <w:rStyle w:val="Hyperlink"/>
            <w:rFonts w:cs="Calibri"/>
            <w:szCs w:val="18"/>
          </w:rPr>
          <w:t>[27]</w:t>
        </w:r>
      </w:hyperlink>
      <w:r w:rsidR="00D0306B">
        <w:rPr>
          <w:rFonts w:cs="Calibri"/>
          <w:szCs w:val="18"/>
        </w:rPr>
        <w:t>.</w:t>
      </w:r>
      <w:r w:rsidRPr="0050162C">
        <w:rPr>
          <w:rFonts w:cs="Calibri"/>
          <w:szCs w:val="18"/>
        </w:rPr>
        <w:t xml:space="preserve"> </w:t>
      </w:r>
    </w:p>
    <w:p w14:paraId="5E6B2171" w14:textId="77777777" w:rsidR="00932D8D" w:rsidRDefault="00932D8D" w:rsidP="00026EF9">
      <w:pPr>
        <w:keepNext/>
        <w:jc w:val="center"/>
      </w:pPr>
      <w:bookmarkStart w:id="152" w:name="Figure_21"/>
      <w:r>
        <w:rPr>
          <w:noProof/>
        </w:rPr>
        <w:drawing>
          <wp:inline distT="0" distB="0" distL="0" distR="0" wp14:anchorId="6552ABE5" wp14:editId="7E932804">
            <wp:extent cx="4986284" cy="3248363"/>
            <wp:effectExtent l="0" t="0" r="5080" b="9525"/>
            <wp:docPr id="646299082" name="Picture 5" descr="A diagram of 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29091" name="Picture 5" descr="A diagram of a pro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7459" cy="3255643"/>
                    </a:xfrm>
                    <a:prstGeom prst="rect">
                      <a:avLst/>
                    </a:prstGeom>
                    <a:noFill/>
                    <a:ln>
                      <a:noFill/>
                    </a:ln>
                  </pic:spPr>
                </pic:pic>
              </a:graphicData>
            </a:graphic>
          </wp:inline>
        </w:drawing>
      </w:r>
      <w:bookmarkEnd w:id="152"/>
    </w:p>
    <w:p w14:paraId="4EEED447" w14:textId="3A3411B6" w:rsidR="00932D8D" w:rsidRDefault="00932D8D" w:rsidP="00932D8D">
      <w:pPr>
        <w:pStyle w:val="Caption"/>
      </w:pPr>
      <w:bookmarkStart w:id="153" w:name="_Toc205377457"/>
      <w:r>
        <w:t xml:space="preserve">Figure </w:t>
      </w:r>
      <w:fldSimple w:instr=" SEQ Figure \* ARABIC ">
        <w:r w:rsidR="00CE6CF1">
          <w:rPr>
            <w:noProof/>
          </w:rPr>
          <w:t>21</w:t>
        </w:r>
      </w:fldSimple>
      <w:r>
        <w:t xml:space="preserve"> - Example CIM UML class: Voltage </w:t>
      </w:r>
      <w:r w:rsidR="0082365B" w:rsidRPr="000D4FC2">
        <w:rPr>
          <w:noProof/>
          <w:lang w:val="en-GB"/>
        </w:rPr>
        <w:t>[27]</w:t>
      </w:r>
      <w:bookmarkEnd w:id="153"/>
    </w:p>
    <w:p w14:paraId="3B5274AC" w14:textId="63D40E1E" w:rsidR="00932D8D" w:rsidRDefault="00932D8D" w:rsidP="00932D8D">
      <w:pPr>
        <w:spacing w:before="180" w:after="120" w:line="288" w:lineRule="auto"/>
        <w:rPr>
          <w:rFonts w:cs="Calibri"/>
          <w:szCs w:val="18"/>
        </w:rPr>
      </w:pPr>
      <w:r w:rsidRPr="0050162C">
        <w:rPr>
          <w:rFonts w:cs="Calibri"/>
          <w:szCs w:val="18"/>
        </w:rPr>
        <w:t xml:space="preserve">More recently, derivatives of the CIM such as the ENTSO-E’s Common Grid Model Exchange Specification (CGMES) have been investigated for their suitability for data exchange between different grid operators. The TDX-ASSIST project, funded by the European Union's Horizon 2020 program, explored the potential for adapting ENTSO-E’s CGMES) to be used as a scalable and secure information systems and data exchange between TSOs, DSOs and market participants. This included a standardised data model, which specifies relations, hierarchy and a storage format </w:t>
      </w:r>
      <w:r w:rsidR="00EA35D0" w:rsidRPr="000D4FC2">
        <w:rPr>
          <w:rFonts w:cs="Calibri"/>
          <w:noProof/>
          <w:szCs w:val="18"/>
        </w:rPr>
        <w:t>[28]</w:t>
      </w:r>
      <w:r w:rsidRPr="0050162C">
        <w:rPr>
          <w:rFonts w:cs="Calibri"/>
          <w:szCs w:val="18"/>
        </w:rPr>
        <w:t xml:space="preserve">. </w:t>
      </w:r>
    </w:p>
    <w:p w14:paraId="5120CD8E" w14:textId="2FC17974" w:rsidR="00263B32" w:rsidRPr="00D742A6" w:rsidRDefault="002B38AC" w:rsidP="00564074">
      <w:pPr>
        <w:pStyle w:val="Heading2"/>
        <w:spacing w:before="240"/>
        <w:ind w:left="578" w:hanging="578"/>
      </w:pPr>
      <w:bookmarkStart w:id="154" w:name="_Toc205532859"/>
      <w:r w:rsidRPr="00D742A6">
        <w:lastRenderedPageBreak/>
        <w:t xml:space="preserve">Data </w:t>
      </w:r>
      <w:r w:rsidR="0002367F" w:rsidRPr="00D742A6">
        <w:t>Communications</w:t>
      </w:r>
      <w:bookmarkEnd w:id="154"/>
    </w:p>
    <w:p w14:paraId="18DA0AFF" w14:textId="6BD5260D" w:rsidR="00E31E9F" w:rsidRPr="0050162C" w:rsidRDefault="00C93A3F" w:rsidP="0050162C">
      <w:pPr>
        <w:spacing w:before="180" w:after="120" w:line="288" w:lineRule="auto"/>
        <w:rPr>
          <w:rFonts w:cs="Calibri"/>
          <w:szCs w:val="18"/>
        </w:rPr>
      </w:pPr>
      <w:r w:rsidRPr="0050162C">
        <w:rPr>
          <w:rFonts w:cs="Calibri"/>
          <w:szCs w:val="18"/>
        </w:rPr>
        <w:t>Power systems are transitioning</w:t>
      </w:r>
      <w:r w:rsidR="000B1E7D" w:rsidRPr="0050162C">
        <w:rPr>
          <w:rFonts w:cs="Calibri"/>
          <w:szCs w:val="18"/>
        </w:rPr>
        <w:t xml:space="preserve"> from </w:t>
      </w:r>
      <w:r w:rsidR="00CF4EF9" w:rsidRPr="0050162C">
        <w:rPr>
          <w:rFonts w:cs="Calibri"/>
          <w:szCs w:val="18"/>
        </w:rPr>
        <w:t xml:space="preserve">exclusively </w:t>
      </w:r>
      <w:r w:rsidR="000B1E7D" w:rsidRPr="0050162C">
        <w:rPr>
          <w:rFonts w:cs="Calibri"/>
          <w:szCs w:val="18"/>
        </w:rPr>
        <w:t xml:space="preserve">centralised, </w:t>
      </w:r>
      <w:r w:rsidR="00A61E2C" w:rsidRPr="0050162C">
        <w:rPr>
          <w:rFonts w:cs="Calibri"/>
          <w:szCs w:val="18"/>
        </w:rPr>
        <w:t>operator or network</w:t>
      </w:r>
      <w:r w:rsidR="000B1E7D" w:rsidRPr="0050162C">
        <w:rPr>
          <w:rFonts w:cs="Calibri"/>
          <w:szCs w:val="18"/>
        </w:rPr>
        <w:t xml:space="preserve">-owned communications systems to </w:t>
      </w:r>
      <w:r w:rsidR="006B4CE5" w:rsidRPr="0050162C">
        <w:rPr>
          <w:rFonts w:cs="Calibri"/>
          <w:szCs w:val="18"/>
        </w:rPr>
        <w:t xml:space="preserve">public </w:t>
      </w:r>
      <w:r w:rsidR="00793D3C" w:rsidRPr="0050162C">
        <w:rPr>
          <w:rFonts w:cs="Calibri"/>
          <w:szCs w:val="18"/>
        </w:rPr>
        <w:t>and consumer-administered communications</w:t>
      </w:r>
      <w:r w:rsidR="003A1CFE" w:rsidRPr="0050162C">
        <w:rPr>
          <w:rFonts w:cs="Calibri"/>
          <w:szCs w:val="18"/>
        </w:rPr>
        <w:t xml:space="preserve">, </w:t>
      </w:r>
      <w:r w:rsidR="0020724A" w:rsidRPr="0050162C">
        <w:rPr>
          <w:rFonts w:cs="Calibri"/>
          <w:szCs w:val="18"/>
        </w:rPr>
        <w:t xml:space="preserve">while also </w:t>
      </w:r>
      <w:r w:rsidR="003A1CFE" w:rsidRPr="0050162C">
        <w:rPr>
          <w:rFonts w:cs="Calibri"/>
          <w:szCs w:val="18"/>
        </w:rPr>
        <w:t xml:space="preserve">experiencing </w:t>
      </w:r>
      <w:r w:rsidR="00B2773A" w:rsidRPr="0050162C">
        <w:rPr>
          <w:rFonts w:cs="Calibri"/>
          <w:szCs w:val="18"/>
        </w:rPr>
        <w:t xml:space="preserve">much </w:t>
      </w:r>
      <w:r w:rsidR="00824982" w:rsidRPr="0050162C">
        <w:rPr>
          <w:rFonts w:cs="Calibri"/>
          <w:szCs w:val="18"/>
        </w:rPr>
        <w:t>faster system dynamics</w:t>
      </w:r>
      <w:r w:rsidR="003A1CFE" w:rsidRPr="0050162C">
        <w:rPr>
          <w:rFonts w:cs="Calibri"/>
          <w:szCs w:val="18"/>
        </w:rPr>
        <w:t xml:space="preserve">, </w:t>
      </w:r>
      <w:r w:rsidR="000A2E67" w:rsidRPr="0050162C">
        <w:rPr>
          <w:rFonts w:cs="Calibri"/>
          <w:szCs w:val="18"/>
        </w:rPr>
        <w:t xml:space="preserve">accommodating </w:t>
      </w:r>
      <w:r w:rsidR="00AF5933" w:rsidRPr="0050162C">
        <w:rPr>
          <w:rFonts w:cs="Calibri"/>
          <w:szCs w:val="18"/>
        </w:rPr>
        <w:t>expanding number of active participants</w:t>
      </w:r>
      <w:r w:rsidR="000A2E67" w:rsidRPr="0050162C">
        <w:rPr>
          <w:rFonts w:cs="Calibri"/>
          <w:szCs w:val="18"/>
        </w:rPr>
        <w:t xml:space="preserve">, and becoming increasingly </w:t>
      </w:r>
      <w:r w:rsidR="00831370" w:rsidRPr="0050162C">
        <w:rPr>
          <w:rFonts w:cs="Calibri"/>
          <w:szCs w:val="18"/>
        </w:rPr>
        <w:t>digitalised</w:t>
      </w:r>
      <w:r w:rsidR="000A2E67" w:rsidRPr="0050162C">
        <w:rPr>
          <w:rFonts w:cs="Calibri"/>
          <w:szCs w:val="18"/>
        </w:rPr>
        <w:t xml:space="preserve">. </w:t>
      </w:r>
      <w:r w:rsidR="00831370" w:rsidRPr="0050162C">
        <w:rPr>
          <w:rFonts w:cs="Calibri"/>
          <w:szCs w:val="18"/>
        </w:rPr>
        <w:t xml:space="preserve">All this both elevates the </w:t>
      </w:r>
      <w:r w:rsidR="00E63E17" w:rsidRPr="0050162C">
        <w:rPr>
          <w:rFonts w:cs="Calibri"/>
          <w:szCs w:val="18"/>
        </w:rPr>
        <w:t>centrality</w:t>
      </w:r>
      <w:r w:rsidR="00831370" w:rsidRPr="0050162C">
        <w:rPr>
          <w:rFonts w:cs="Calibri"/>
          <w:szCs w:val="18"/>
        </w:rPr>
        <w:t xml:space="preserve"> of the communication networks that support power system </w:t>
      </w:r>
      <w:r w:rsidR="003E2DEA" w:rsidRPr="0050162C">
        <w:rPr>
          <w:rFonts w:cs="Calibri"/>
          <w:szCs w:val="18"/>
        </w:rPr>
        <w:t>operation,</w:t>
      </w:r>
      <w:r w:rsidR="00831370" w:rsidRPr="0050162C">
        <w:rPr>
          <w:rFonts w:cs="Calibri"/>
          <w:szCs w:val="18"/>
        </w:rPr>
        <w:t xml:space="preserve"> and the </w:t>
      </w:r>
      <w:r w:rsidR="00CD6304" w:rsidRPr="0050162C">
        <w:rPr>
          <w:rFonts w:cs="Calibri"/>
          <w:szCs w:val="18"/>
        </w:rPr>
        <w:t xml:space="preserve">risks associated with </w:t>
      </w:r>
      <w:r w:rsidR="003E2DEA" w:rsidRPr="0050162C">
        <w:rPr>
          <w:rFonts w:cs="Calibri"/>
          <w:szCs w:val="18"/>
        </w:rPr>
        <w:t xml:space="preserve">the </w:t>
      </w:r>
      <w:r w:rsidR="00CD6304" w:rsidRPr="0050162C">
        <w:rPr>
          <w:rFonts w:cs="Calibri"/>
          <w:szCs w:val="18"/>
        </w:rPr>
        <w:t xml:space="preserve">sub-optimal performance or failure of them. </w:t>
      </w:r>
    </w:p>
    <w:p w14:paraId="241D4952" w14:textId="00E97B01" w:rsidR="0038506A" w:rsidRDefault="0038506A" w:rsidP="008707CD">
      <w:pPr>
        <w:pStyle w:val="Heading3"/>
      </w:pPr>
      <w:bookmarkStart w:id="155" w:name="_Toc205532860"/>
      <w:r>
        <w:t>Application-layer Protocols</w:t>
      </w:r>
      <w:bookmarkEnd w:id="155"/>
    </w:p>
    <w:p w14:paraId="23795111" w14:textId="7E05F302" w:rsidR="00DE34E5" w:rsidRPr="00F86686" w:rsidRDefault="001B7E7F" w:rsidP="00DE3589">
      <w:pPr>
        <w:spacing w:before="180" w:after="120" w:line="288" w:lineRule="auto"/>
        <w:rPr>
          <w:rFonts w:cs="Calibri"/>
          <w:szCs w:val="18"/>
        </w:rPr>
      </w:pPr>
      <w:r w:rsidRPr="001B7E7F">
        <w:rPr>
          <w:rFonts w:cs="Calibri"/>
          <w:szCs w:val="18"/>
        </w:rPr>
        <w:t xml:space="preserve">Effective Transmission-Distribution </w:t>
      </w:r>
      <w:r>
        <w:rPr>
          <w:rFonts w:cs="Calibri"/>
          <w:szCs w:val="18"/>
        </w:rPr>
        <w:t>C</w:t>
      </w:r>
      <w:r w:rsidRPr="001B7E7F">
        <w:rPr>
          <w:rFonts w:cs="Calibri"/>
          <w:szCs w:val="18"/>
        </w:rPr>
        <w:t xml:space="preserve">oordination relies on interoperable data exchange between SOs, DSOs, and </w:t>
      </w:r>
      <w:r w:rsidR="00F261E7">
        <w:rPr>
          <w:rFonts w:cs="Calibri"/>
          <w:szCs w:val="18"/>
        </w:rPr>
        <w:t>CER/DER and their agents</w:t>
      </w:r>
      <w:r w:rsidRPr="001B7E7F">
        <w:rPr>
          <w:rFonts w:cs="Calibri"/>
          <w:szCs w:val="18"/>
        </w:rPr>
        <w:t>. This requires careful alignment between application-layer protocols, their embedded data models, and utility-level models like the Common Information Model (CIM). Protocols such as IEC 61850, OpenADR, and IEEE 2030.5 define both how data is exchanged and what it means, embedding specific semantic models. If these are not harmoni</w:t>
      </w:r>
      <w:r w:rsidR="00F66AD3">
        <w:rPr>
          <w:rFonts w:cs="Calibri"/>
          <w:szCs w:val="18"/>
        </w:rPr>
        <w:t>s</w:t>
      </w:r>
      <w:r w:rsidRPr="001B7E7F">
        <w:rPr>
          <w:rFonts w:cs="Calibri"/>
          <w:szCs w:val="18"/>
        </w:rPr>
        <w:t xml:space="preserve">ed with broader utility models, semantic mismatches can cause data loss, control errors, or integration failures. Ensuring compatibility across these layers allows consistent interpretation of information from field devices to system operators, supporting accurate forecasting, dispatch, and fault response. A protocol-model approach that considers both transport and semantics is essential for automation, reliability, and real-time decision-making. </w:t>
      </w:r>
      <w:hyperlink w:anchor="Figure_22" w:history="1">
        <w:r w:rsidR="00DB56BE" w:rsidRPr="00DB56BE">
          <w:rPr>
            <w:rStyle w:val="Hyperlink"/>
            <w:rFonts w:cs="Calibri"/>
            <w:szCs w:val="18"/>
          </w:rPr>
          <w:t>Figure 22</w:t>
        </w:r>
      </w:hyperlink>
      <w:r w:rsidR="00925D6D">
        <w:rPr>
          <w:rFonts w:cs="Calibri"/>
          <w:szCs w:val="18"/>
        </w:rPr>
        <w:t xml:space="preserve"> </w:t>
      </w:r>
      <w:r w:rsidR="00E925CF">
        <w:rPr>
          <w:rFonts w:cs="Calibri"/>
          <w:szCs w:val="18"/>
        </w:rPr>
        <w:t xml:space="preserve">provides an example of the number and diversity of protocols </w:t>
      </w:r>
      <w:r w:rsidR="00EC5B5F">
        <w:rPr>
          <w:rFonts w:cs="Calibri"/>
          <w:szCs w:val="18"/>
        </w:rPr>
        <w:t>deployed across the power system which require increasing levels of integration.</w:t>
      </w:r>
      <w:r w:rsidR="00975677">
        <w:rPr>
          <w:rFonts w:cs="Calibri"/>
          <w:szCs w:val="18"/>
        </w:rPr>
        <w:t xml:space="preserve"> An expanded treatment of </w:t>
      </w:r>
      <w:r w:rsidR="00975677" w:rsidRPr="00975677">
        <w:rPr>
          <w:rFonts w:cs="Calibri"/>
          <w:szCs w:val="18"/>
        </w:rPr>
        <w:t>IEC 61850</w:t>
      </w:r>
      <w:r w:rsidR="00975677">
        <w:rPr>
          <w:rFonts w:cs="Calibri"/>
          <w:szCs w:val="18"/>
        </w:rPr>
        <w:t xml:space="preserve">, </w:t>
      </w:r>
      <w:r w:rsidR="00975677" w:rsidRPr="00975677">
        <w:rPr>
          <w:rFonts w:cs="Calibri"/>
          <w:szCs w:val="18"/>
        </w:rPr>
        <w:t>IEEE2030.5 and OpenADR</w:t>
      </w:r>
      <w:r w:rsidR="00975677">
        <w:rPr>
          <w:rFonts w:cs="Calibri"/>
          <w:szCs w:val="18"/>
        </w:rPr>
        <w:t xml:space="preserve"> the follows.</w:t>
      </w:r>
    </w:p>
    <w:p w14:paraId="21008B08" w14:textId="77777777" w:rsidR="00DE34E5" w:rsidRDefault="00DE34E5" w:rsidP="00DE3589">
      <w:pPr>
        <w:keepNext/>
        <w:jc w:val="center"/>
      </w:pPr>
      <w:bookmarkStart w:id="156" w:name="Figure_22"/>
      <w:r>
        <w:rPr>
          <w:noProof/>
        </w:rPr>
        <w:drawing>
          <wp:inline distT="0" distB="0" distL="0" distR="0" wp14:anchorId="64CC7884" wp14:editId="21D53B4D">
            <wp:extent cx="5327345" cy="2690037"/>
            <wp:effectExtent l="0" t="0" r="6985" b="0"/>
            <wp:docPr id="1567764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64244" name="Picture 1567764244"/>
                    <pic:cNvPicPr/>
                  </pic:nvPicPr>
                  <pic:blipFill rotWithShape="1">
                    <a:blip r:embed="rId53" cstate="print">
                      <a:extLst>
                        <a:ext uri="{28A0092B-C50C-407E-A947-70E740481C1C}">
                          <a14:useLocalDpi xmlns:a14="http://schemas.microsoft.com/office/drawing/2010/main" val="0"/>
                        </a:ext>
                      </a:extLst>
                    </a:blip>
                    <a:srcRect t="10217"/>
                    <a:stretch/>
                  </pic:blipFill>
                  <pic:spPr bwMode="auto">
                    <a:xfrm>
                      <a:off x="0" y="0"/>
                      <a:ext cx="5343756" cy="2698324"/>
                    </a:xfrm>
                    <a:prstGeom prst="rect">
                      <a:avLst/>
                    </a:prstGeom>
                    <a:ln>
                      <a:noFill/>
                    </a:ln>
                    <a:extLst>
                      <a:ext uri="{53640926-AAD7-44D8-BBD7-CCE9431645EC}">
                        <a14:shadowObscured xmlns:a14="http://schemas.microsoft.com/office/drawing/2010/main"/>
                      </a:ext>
                    </a:extLst>
                  </pic:spPr>
                </pic:pic>
              </a:graphicData>
            </a:graphic>
          </wp:inline>
        </w:drawing>
      </w:r>
      <w:bookmarkEnd w:id="156"/>
    </w:p>
    <w:p w14:paraId="189AC4E3" w14:textId="3E9D087B" w:rsidR="00245547" w:rsidRPr="00245547" w:rsidRDefault="00DE34E5" w:rsidP="00DE3589">
      <w:pPr>
        <w:pStyle w:val="Caption"/>
      </w:pPr>
      <w:bookmarkStart w:id="157" w:name="_Ref198912044"/>
      <w:bookmarkStart w:id="158" w:name="_Ref198912031"/>
      <w:bookmarkStart w:id="159" w:name="_Toc205377458"/>
      <w:r>
        <w:t xml:space="preserve">Figure </w:t>
      </w:r>
      <w:fldSimple w:instr=" SEQ Figure \* ARABIC ">
        <w:r w:rsidR="00CE6CF1">
          <w:rPr>
            <w:noProof/>
          </w:rPr>
          <w:t>22</w:t>
        </w:r>
      </w:fldSimple>
      <w:bookmarkEnd w:id="157"/>
      <w:r>
        <w:t xml:space="preserve"> - Example Partial Protocol Stack for Electric Utilities</w:t>
      </w:r>
      <w:bookmarkEnd w:id="158"/>
      <w:bookmarkEnd w:id="159"/>
    </w:p>
    <w:p w14:paraId="34D7A36B" w14:textId="7B8B74EC" w:rsidR="003F6ECB" w:rsidRDefault="00245547" w:rsidP="00DE3589">
      <w:pPr>
        <w:pStyle w:val="Heading3TextOnly"/>
      </w:pPr>
      <w:bookmarkStart w:id="160" w:name="_Toc195603344"/>
      <w:bookmarkStart w:id="161" w:name="_Toc201823529"/>
      <w:bookmarkStart w:id="162" w:name="_Toc205369845"/>
      <w:bookmarkStart w:id="163" w:name="_Toc205532861"/>
      <w:r>
        <w:lastRenderedPageBreak/>
        <w:t>Automation</w:t>
      </w:r>
      <w:r w:rsidR="003F6ECB">
        <w:t xml:space="preserve"> Systems: IEC 61850</w:t>
      </w:r>
      <w:bookmarkEnd w:id="160"/>
      <w:bookmarkEnd w:id="161"/>
      <w:bookmarkEnd w:id="162"/>
      <w:bookmarkEnd w:id="163"/>
    </w:p>
    <w:p w14:paraId="63E6257B" w14:textId="0A72AA8E" w:rsidR="00E23775" w:rsidRDefault="00797F7E" w:rsidP="003F6ECB">
      <w:pPr>
        <w:spacing w:before="180" w:after="120" w:line="288" w:lineRule="auto"/>
        <w:rPr>
          <w:rFonts w:cs="Calibri"/>
          <w:szCs w:val="18"/>
        </w:rPr>
      </w:pPr>
      <w:r w:rsidRPr="00797F7E">
        <w:rPr>
          <w:rFonts w:cs="Calibri"/>
          <w:szCs w:val="18"/>
        </w:rPr>
        <w:t>International Electrotechnical Commission</w:t>
      </w:r>
      <w:r>
        <w:rPr>
          <w:rFonts w:cs="Calibri"/>
          <w:szCs w:val="18"/>
        </w:rPr>
        <w:t xml:space="preserve"> (</w:t>
      </w:r>
      <w:r w:rsidR="003F6ECB" w:rsidRPr="0050162C">
        <w:rPr>
          <w:rFonts w:cs="Calibri"/>
          <w:szCs w:val="18"/>
        </w:rPr>
        <w:t>IEC</w:t>
      </w:r>
      <w:r>
        <w:rPr>
          <w:rFonts w:cs="Calibri"/>
          <w:szCs w:val="18"/>
        </w:rPr>
        <w:t>)</w:t>
      </w:r>
      <w:r w:rsidR="003F6ECB" w:rsidRPr="0050162C">
        <w:rPr>
          <w:rFonts w:cs="Calibri"/>
          <w:szCs w:val="18"/>
        </w:rPr>
        <w:t xml:space="preserve"> 61850 (communication networks and systems for power utility automation) is an expansive open international standard for MV and LV utility automation and communication between substations, protection relays, SCADA systems, and CER/DER. It </w:t>
      </w:r>
      <w:r w:rsidR="00DE34E5">
        <w:rPr>
          <w:rFonts w:cs="Calibri"/>
          <w:szCs w:val="18"/>
        </w:rPr>
        <w:t>includes</w:t>
      </w:r>
      <w:r w:rsidR="003F6ECB" w:rsidRPr="0050162C">
        <w:rPr>
          <w:rFonts w:cs="Calibri"/>
          <w:szCs w:val="18"/>
        </w:rPr>
        <w:t xml:space="preserve"> a hierarchical, object-oriented data model to represent electrical power system components (known as Intelligent Electronic Devices, or IED) and their behaviours. A key concept within the data model is Logical Nodes, which correspond to a specific protection, control or monitoring functions of an IED. </w:t>
      </w:r>
    </w:p>
    <w:p w14:paraId="4FA51E5B" w14:textId="74FBFC50" w:rsidR="003F6ECB" w:rsidRPr="0050162C" w:rsidRDefault="003F6ECB" w:rsidP="003F6ECB">
      <w:pPr>
        <w:spacing w:before="180" w:after="120" w:line="288" w:lineRule="auto"/>
        <w:rPr>
          <w:rFonts w:cs="Calibri"/>
          <w:szCs w:val="18"/>
        </w:rPr>
      </w:pPr>
      <w:r w:rsidRPr="0050162C">
        <w:rPr>
          <w:rFonts w:cs="Calibri"/>
          <w:szCs w:val="18"/>
        </w:rPr>
        <w:t>Each Logical Node is further defined by a set of Data Objects that describe device status and behaviour, the values of which are known as Data Attributes. IEC 61850 is being adopted by utilities in many countries as part of grid modernisation programs. This has led to several initiatives to understand its practical value to TDC, including by the EU as part of the Horizon 2020 program and subsequent OneNet initiative</w:t>
      </w:r>
      <w:r w:rsidR="00EA35D0">
        <w:rPr>
          <w:rFonts w:cs="Calibri"/>
          <w:noProof/>
          <w:szCs w:val="18"/>
        </w:rPr>
        <w:t xml:space="preserve"> </w:t>
      </w:r>
      <w:r w:rsidR="00EA35D0" w:rsidRPr="000D4FC2">
        <w:rPr>
          <w:rFonts w:cs="Calibri"/>
          <w:noProof/>
          <w:szCs w:val="18"/>
        </w:rPr>
        <w:t>[29]</w:t>
      </w:r>
      <w:r w:rsidRPr="0050162C">
        <w:rPr>
          <w:rFonts w:cs="Calibri"/>
          <w:szCs w:val="18"/>
        </w:rPr>
        <w:t>.</w:t>
      </w:r>
    </w:p>
    <w:p w14:paraId="0C8A64C6" w14:textId="77777777" w:rsidR="003F6ECB" w:rsidRDefault="003F6ECB" w:rsidP="00F14453">
      <w:pPr>
        <w:keepNext/>
        <w:jc w:val="center"/>
      </w:pPr>
      <w:bookmarkStart w:id="164" w:name="Figure_23"/>
      <w:r>
        <w:rPr>
          <w:noProof/>
        </w:rPr>
        <w:drawing>
          <wp:inline distT="0" distB="0" distL="0" distR="0" wp14:anchorId="04365492" wp14:editId="580CF4F6">
            <wp:extent cx="3769113" cy="3769113"/>
            <wp:effectExtent l="0" t="0" r="3175" b="3175"/>
            <wp:docPr id="82680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1944" cy="3771944"/>
                    </a:xfrm>
                    <a:prstGeom prst="rect">
                      <a:avLst/>
                    </a:prstGeom>
                    <a:noFill/>
                    <a:ln>
                      <a:noFill/>
                    </a:ln>
                  </pic:spPr>
                </pic:pic>
              </a:graphicData>
            </a:graphic>
          </wp:inline>
        </w:drawing>
      </w:r>
      <w:bookmarkEnd w:id="164"/>
    </w:p>
    <w:p w14:paraId="3448BFFF" w14:textId="5F965EEC" w:rsidR="003F6ECB" w:rsidRPr="00723B80" w:rsidRDefault="003F6ECB" w:rsidP="003F6ECB">
      <w:pPr>
        <w:pStyle w:val="Caption"/>
      </w:pPr>
      <w:bookmarkStart w:id="165" w:name="_Toc205377459"/>
      <w:r>
        <w:t xml:space="preserve">Figure </w:t>
      </w:r>
      <w:fldSimple w:instr=" SEQ Figure \* ARABIC ">
        <w:r w:rsidR="00CE6CF1">
          <w:rPr>
            <w:noProof/>
          </w:rPr>
          <w:t>23</w:t>
        </w:r>
      </w:fldSimple>
      <w:r>
        <w:t xml:space="preserve"> - Example contents of a Substation Configuration </w:t>
      </w:r>
      <w:r>
        <w:rPr>
          <w:noProof/>
        </w:rPr>
        <w:t xml:space="preserve">Language </w:t>
      </w:r>
      <w:r>
        <w:rPr>
          <w:noProof/>
        </w:rPr>
        <w:br/>
        <w:t>file with embedded data model</w:t>
      </w:r>
      <w:r w:rsidR="00B2695D">
        <w:rPr>
          <w:noProof/>
        </w:rPr>
        <w:t xml:space="preserve"> </w:t>
      </w:r>
      <w:r w:rsidR="00B2695D" w:rsidRPr="000D4FC2">
        <w:rPr>
          <w:noProof/>
        </w:rPr>
        <w:t>[30]</w:t>
      </w:r>
      <w:bookmarkEnd w:id="165"/>
    </w:p>
    <w:p w14:paraId="3B4A2738" w14:textId="54248BFE" w:rsidR="00DD495F" w:rsidRDefault="00F5162E" w:rsidP="00F5162E">
      <w:pPr>
        <w:spacing w:before="180" w:line="288" w:lineRule="auto"/>
        <w:rPr>
          <w:rFonts w:cs="Calibri"/>
          <w:szCs w:val="18"/>
        </w:rPr>
      </w:pPr>
      <w:bookmarkStart w:id="166" w:name="_Toc195603345"/>
      <w:r w:rsidRPr="00F5162E">
        <w:rPr>
          <w:rFonts w:cs="Calibri"/>
          <w:szCs w:val="18"/>
        </w:rPr>
        <w:t xml:space="preserve"> </w:t>
      </w:r>
    </w:p>
    <w:p w14:paraId="65FA58B9" w14:textId="188ED9E7" w:rsidR="003F6ECB" w:rsidRDefault="003F6ECB" w:rsidP="0013634F">
      <w:pPr>
        <w:pStyle w:val="Heading3TextOnly"/>
      </w:pPr>
      <w:bookmarkStart w:id="167" w:name="_Toc201823530"/>
      <w:bookmarkStart w:id="168" w:name="_Toc205369846"/>
      <w:bookmarkStart w:id="169" w:name="_Toc205532862"/>
      <w:r>
        <w:lastRenderedPageBreak/>
        <w:t>IEEE2030.5 and OpenADR</w:t>
      </w:r>
      <w:bookmarkEnd w:id="166"/>
      <w:bookmarkEnd w:id="167"/>
      <w:bookmarkEnd w:id="168"/>
      <w:bookmarkEnd w:id="169"/>
    </w:p>
    <w:p w14:paraId="502AAF29" w14:textId="3F91CD37" w:rsidR="003F6ECB" w:rsidRPr="0050162C" w:rsidRDefault="007444A8" w:rsidP="003F6ECB">
      <w:pPr>
        <w:spacing w:before="180" w:after="120" w:line="288" w:lineRule="auto"/>
        <w:rPr>
          <w:rFonts w:cs="Calibri"/>
          <w:szCs w:val="18"/>
        </w:rPr>
      </w:pPr>
      <w:r>
        <w:rPr>
          <w:noProof/>
        </w:rPr>
        <mc:AlternateContent>
          <mc:Choice Requires="wps">
            <w:drawing>
              <wp:anchor distT="0" distB="0" distL="114300" distR="114300" simplePos="0" relativeHeight="251658246" behindDoc="0" locked="0" layoutInCell="1" allowOverlap="1" wp14:anchorId="53D9DE53" wp14:editId="064D3BEC">
                <wp:simplePos x="0" y="0"/>
                <wp:positionH relativeFrom="column">
                  <wp:posOffset>60503</wp:posOffset>
                </wp:positionH>
                <wp:positionV relativeFrom="paragraph">
                  <wp:posOffset>3116707</wp:posOffset>
                </wp:positionV>
                <wp:extent cx="4972050" cy="635"/>
                <wp:effectExtent l="0" t="0" r="0" b="0"/>
                <wp:wrapTopAndBottom/>
                <wp:docPr id="932571336" name="Text Box 1"/>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14:paraId="49BD1936" w14:textId="61708913" w:rsidR="003F6ECB" w:rsidRPr="00C71D33" w:rsidRDefault="003F6ECB" w:rsidP="003F6ECB">
                            <w:pPr>
                              <w:pStyle w:val="Caption"/>
                              <w:rPr>
                                <w:noProof/>
                                <w:szCs w:val="28"/>
                              </w:rPr>
                            </w:pPr>
                            <w:bookmarkStart w:id="170" w:name="_Toc205377460"/>
                            <w:r>
                              <w:t xml:space="preserve">Figure </w:t>
                            </w:r>
                            <w:fldSimple w:instr=" SEQ Figure \* ARABIC ">
                              <w:r w:rsidR="00CE6CF1">
                                <w:rPr>
                                  <w:noProof/>
                                </w:rPr>
                                <w:t>24</w:t>
                              </w:r>
                            </w:fldSimple>
                            <w:r>
                              <w:t xml:space="preserve"> - Example IEEE2030.5 JSON formatted data model</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D9DE53" id="_x0000_s1031" type="#_x0000_t202" style="position:absolute;margin-left:4.75pt;margin-top:245.4pt;width:391.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" stroked="f">
                <v:textbox style="mso-fit-shape-to-text:t" inset="0,0,0,0">
                  <w:txbxContent>
                    <w:p w14:paraId="49BD1936" w14:textId="61708913" w:rsidR="003F6ECB" w:rsidRPr="00C71D33" w:rsidRDefault="003F6ECB" w:rsidP="003F6ECB">
                      <w:pPr>
                        <w:pStyle w:val="Caption"/>
                        <w:rPr>
                          <w:noProof/>
                          <w:szCs w:val="28"/>
                        </w:rPr>
                      </w:pPr>
                      <w:bookmarkStart w:id="171" w:name="_Toc205377460"/>
                      <w:r>
                        <w:t xml:space="preserve">Figure </w:t>
                      </w:r>
                      <w:fldSimple w:instr=" SEQ Figure \* ARABIC ">
                        <w:r w:rsidR="00CE6CF1">
                          <w:rPr>
                            <w:noProof/>
                          </w:rPr>
                          <w:t>24</w:t>
                        </w:r>
                      </w:fldSimple>
                      <w:r>
                        <w:t xml:space="preserve"> - Example IEEE2030.5 JSON formatted data model</w:t>
                      </w:r>
                      <w:bookmarkEnd w:id="171"/>
                    </w:p>
                  </w:txbxContent>
                </v:textbox>
                <w10:wrap type="topAndBottom"/>
              </v:shape>
            </w:pict>
          </mc:Fallback>
        </mc:AlternateContent>
      </w:r>
      <w:r w:rsidR="002E1742">
        <w:rPr>
          <w:noProof/>
        </w:rPr>
        <mc:AlternateContent>
          <mc:Choice Requires="wps">
            <w:drawing>
              <wp:anchor distT="45720" distB="45720" distL="114300" distR="114300" simplePos="0" relativeHeight="251658243" behindDoc="0" locked="0" layoutInCell="1" allowOverlap="1" wp14:anchorId="07CE56B0" wp14:editId="40E90953">
                <wp:simplePos x="0" y="0"/>
                <wp:positionH relativeFrom="margin">
                  <wp:posOffset>337185</wp:posOffset>
                </wp:positionH>
                <wp:positionV relativeFrom="paragraph">
                  <wp:posOffset>3520923</wp:posOffset>
                </wp:positionV>
                <wp:extent cx="4529455" cy="3644265"/>
                <wp:effectExtent l="0" t="0" r="23495" b="13335"/>
                <wp:wrapTopAndBottom/>
                <wp:docPr id="608768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644265"/>
                        </a:xfrm>
                        <a:prstGeom prst="rect">
                          <a:avLst/>
                        </a:prstGeom>
                        <a:solidFill>
                          <a:srgbClr val="FFFFFF"/>
                        </a:solidFill>
                        <a:ln w="9525">
                          <a:solidFill>
                            <a:srgbClr val="000000"/>
                          </a:solidFill>
                          <a:miter lim="800000"/>
                          <a:headEnd/>
                          <a:tailEnd/>
                        </a:ln>
                      </wps:spPr>
                      <wps:txbx>
                        <w:txbxContent>
                          <w:p w14:paraId="1B3E17BC"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&lt;oadrPayload xmlns="http://openadr.org/oadr-2.0b/2012/07"&gt;</w:t>
                            </w:r>
                          </w:p>
                          <w:p w14:paraId="38214A4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&lt;oadrSignedObject&gt;</w:t>
                            </w:r>
                          </w:p>
                          <w:p w14:paraId="702B94D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&lt;oadrEvent&gt;</w:t>
                            </w:r>
                          </w:p>
                          <w:p w14:paraId="52F97FB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&lt;eiEvent&gt;</w:t>
                            </w:r>
                          </w:p>
                          <w:p w14:paraId="48A4EB7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&lt;eventDescriptor&gt;</w:t>
                            </w:r>
                          </w:p>
                          <w:p w14:paraId="79E919B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&lt;eventID&gt;DR-Event-56789&lt;/eventID&gt;</w:t>
                            </w:r>
                          </w:p>
                          <w:p w14:paraId="7E8CDFF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&lt;modificationNumber&gt;0&lt;/modificationNumber&gt;</w:t>
                            </w:r>
                          </w:p>
                          <w:p w14:paraId="7D7805A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&lt;priority&gt;1&lt;/priority&gt;</w:t>
                            </w:r>
                          </w:p>
                          <w:p w14:paraId="007CCCAE"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&lt;eventStatus&gt;far&lt;/eventStatus&gt;</w:t>
                            </w:r>
                          </w:p>
                          <w:p w14:paraId="4EC4E4E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&lt;createdDateTime&gt;2025-03-11T13:00:00Z&lt;/createdDateTime&gt;</w:t>
                            </w:r>
                          </w:p>
                          <w:p w14:paraId="728F87B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&lt;/eventDescriptor&gt;</w:t>
                            </w:r>
                          </w:p>
                          <w:p w14:paraId="0756ED4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&lt;eiActivePeriod&gt;</w:t>
                            </w:r>
                          </w:p>
                          <w:p w14:paraId="2CD85B56"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&lt;properties&gt;</w:t>
                            </w:r>
                          </w:p>
                          <w:p w14:paraId="0334B6B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&lt;dtstart&gt;</w:t>
                            </w:r>
                          </w:p>
                          <w:p w14:paraId="1852D82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&lt;date-time&gt;2025-03-11T14:00:00Z&lt;/date-time&gt;</w:t>
                            </w:r>
                          </w:p>
                          <w:p w14:paraId="3D3B67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bookmarkStart w:id="172" w:name="Figure_25"/>
                            <w:bookmarkEnd w:id="172"/>
                            <w:r w:rsidRPr="00B446D5">
                              <w:rPr>
                                <w:rFonts w:ascii="Courier New" w:hAnsi="Courier New" w:cs="Courier New"/>
                                <w:b/>
                                <w:bCs/>
                                <w:sz w:val="16"/>
                                <w:szCs w:val="24"/>
                              </w:rPr>
                              <w:t xml:space="preserve"> &lt;/dtstart&gt;</w:t>
                            </w:r>
                          </w:p>
                          <w:p w14:paraId="2AFF6D3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w:t>
                            </w:r>
                          </w:p>
                          <w:p w14:paraId="240E12F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&lt;duration&gt;PT30M&lt;/duration&gt;</w:t>
                            </w:r>
                          </w:p>
                          <w:p w14:paraId="4AFAD08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w:t>
                            </w:r>
                          </w:p>
                          <w:p w14:paraId="131F48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&lt;/properties&gt;</w:t>
                            </w:r>
                          </w:p>
                          <w:p w14:paraId="322E295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&lt;/eiActivePeriod&gt;</w:t>
                            </w:r>
                          </w:p>
                          <w:p w14:paraId="2FF43D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&lt;eiEventSignals&gt;</w:t>
                            </w:r>
                          </w:p>
                          <w:p w14:paraId="47E93ED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&lt;eiEventSignal&gt;</w:t>
                            </w:r>
                          </w:p>
                          <w:p w14:paraId="5A1D371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&lt;signalName&gt;simple&lt;/signalName&gt;</w:t>
                            </w:r>
                          </w:p>
                          <w:p w14:paraId="2DD75DE6"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&lt;signalType&gt;level&lt;/signalType&gt;</w:t>
                            </w:r>
                          </w:p>
                          <w:p w14:paraId="3A3A13A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&lt;currentValue&gt;2&lt;/currentValue&gt;</w:t>
                            </w:r>
                          </w:p>
                          <w:p w14:paraId="6110B20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&lt;/eiEventSignal&gt;</w:t>
                            </w:r>
                          </w:p>
                          <w:p w14:paraId="58899D0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&lt;/eiEventSignals&gt;</w:t>
                            </w:r>
                          </w:p>
                          <w:p w14:paraId="32597553"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&lt;/eiEvent&gt;</w:t>
                            </w:r>
                          </w:p>
                          <w:p w14:paraId="2CF6C6F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&lt;/oadrEvent&gt;</w:t>
                            </w:r>
                          </w:p>
                          <w:p w14:paraId="123B0AE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&lt;/oadrSignedObject&gt;</w:t>
                            </w:r>
                          </w:p>
                          <w:p w14:paraId="7E1F1E3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&lt;/oadrPayload&gt;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E56B0" id="_x0000_s1032" type="#_x0000_t202" style="position:absolute;margin-left:26.55pt;margin-top:277.25pt;width:356.65pt;height:286.9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">
                <v:textbox>
                  <w:txbxContent>
                    <w:p w14:paraId="1B3E17BC"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&lt;</w:t>
                      </w:r>
                      <w:proofErr w:type="spellStart"/>
                      <w:r w:rsidRPr="00B446D5">
                        <w:rPr>
                          <w:rFonts w:ascii="Courier New" w:hAnsi="Courier New" w:cs="Courier New"/>
                          <w:b/>
                          <w:bCs/>
                          <w:sz w:val="16"/>
                          <w:szCs w:val="24"/>
                        </w:rPr>
                        <w:t>oadrPayload</w:t>
                      </w:r>
                      <w:proofErr w:type="spellEnd"/>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xmlns</w:t>
                      </w:r>
                      <w:proofErr w:type="spellEnd"/>
                      <w:r w:rsidRPr="00B446D5">
                        <w:rPr>
                          <w:rFonts w:ascii="Courier New" w:hAnsi="Courier New" w:cs="Courier New"/>
                          <w:b/>
                          <w:bCs/>
                          <w:sz w:val="16"/>
                          <w:szCs w:val="24"/>
                        </w:rPr>
                        <w:t>="http://openadr.org/oadr-2.0b/2012/07"&gt;</w:t>
                      </w:r>
                    </w:p>
                    <w:p w14:paraId="38214A4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oadrSignedObject</w:t>
                      </w:r>
                      <w:proofErr w:type="spellEnd"/>
                      <w:r w:rsidRPr="00B446D5">
                        <w:rPr>
                          <w:rFonts w:ascii="Courier New" w:hAnsi="Courier New" w:cs="Courier New"/>
                          <w:b/>
                          <w:bCs/>
                          <w:sz w:val="16"/>
                          <w:szCs w:val="24"/>
                        </w:rPr>
                        <w:t>&gt;</w:t>
                      </w:r>
                    </w:p>
                    <w:p w14:paraId="702B94D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oadrEvent</w:t>
                      </w:r>
                      <w:proofErr w:type="spellEnd"/>
                      <w:r w:rsidRPr="00B446D5">
                        <w:rPr>
                          <w:rFonts w:ascii="Courier New" w:hAnsi="Courier New" w:cs="Courier New"/>
                          <w:b/>
                          <w:bCs/>
                          <w:sz w:val="16"/>
                          <w:szCs w:val="24"/>
                        </w:rPr>
                        <w:t>&gt;</w:t>
                      </w:r>
                    </w:p>
                    <w:p w14:paraId="52F97FB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w:t>
                      </w:r>
                      <w:proofErr w:type="spellEnd"/>
                      <w:r w:rsidRPr="00B446D5">
                        <w:rPr>
                          <w:rFonts w:ascii="Courier New" w:hAnsi="Courier New" w:cs="Courier New"/>
                          <w:b/>
                          <w:bCs/>
                          <w:sz w:val="16"/>
                          <w:szCs w:val="24"/>
                        </w:rPr>
                        <w:t>&gt;</w:t>
                      </w:r>
                    </w:p>
                    <w:p w14:paraId="48A4EB7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eventDescriptor</w:t>
                      </w:r>
                      <w:proofErr w:type="spellEnd"/>
                      <w:r w:rsidRPr="00B446D5">
                        <w:rPr>
                          <w:rFonts w:ascii="Courier New" w:hAnsi="Courier New" w:cs="Courier New"/>
                          <w:b/>
                          <w:bCs/>
                          <w:sz w:val="16"/>
                          <w:szCs w:val="24"/>
                        </w:rPr>
                        <w:t>&gt;</w:t>
                      </w:r>
                    </w:p>
                    <w:p w14:paraId="79E919B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eventID</w:t>
                      </w:r>
                      <w:proofErr w:type="spellEnd"/>
                      <w:r w:rsidRPr="00B446D5">
                        <w:rPr>
                          <w:rFonts w:ascii="Courier New" w:hAnsi="Courier New" w:cs="Courier New"/>
                          <w:b/>
                          <w:bCs/>
                          <w:sz w:val="16"/>
                          <w:szCs w:val="24"/>
                        </w:rPr>
                        <w:t>&gt;DR-Event-56789&lt;/</w:t>
                      </w:r>
                      <w:proofErr w:type="spellStart"/>
                      <w:r w:rsidRPr="00B446D5">
                        <w:rPr>
                          <w:rFonts w:ascii="Courier New" w:hAnsi="Courier New" w:cs="Courier New"/>
                          <w:b/>
                          <w:bCs/>
                          <w:sz w:val="16"/>
                          <w:szCs w:val="24"/>
                        </w:rPr>
                        <w:t>eventID</w:t>
                      </w:r>
                      <w:proofErr w:type="spellEnd"/>
                      <w:r w:rsidRPr="00B446D5">
                        <w:rPr>
                          <w:rFonts w:ascii="Courier New" w:hAnsi="Courier New" w:cs="Courier New"/>
                          <w:b/>
                          <w:bCs/>
                          <w:sz w:val="16"/>
                          <w:szCs w:val="24"/>
                        </w:rPr>
                        <w:t>&gt;</w:t>
                      </w:r>
                    </w:p>
                    <w:p w14:paraId="7E8CDFF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modificationNumber</w:t>
                      </w:r>
                      <w:proofErr w:type="spellEnd"/>
                      <w:r w:rsidRPr="00B446D5">
                        <w:rPr>
                          <w:rFonts w:ascii="Courier New" w:hAnsi="Courier New" w:cs="Courier New"/>
                          <w:b/>
                          <w:bCs/>
                          <w:sz w:val="16"/>
                          <w:szCs w:val="24"/>
                        </w:rPr>
                        <w:t>&gt;0&lt;/</w:t>
                      </w:r>
                      <w:proofErr w:type="spellStart"/>
                      <w:r w:rsidRPr="00B446D5">
                        <w:rPr>
                          <w:rFonts w:ascii="Courier New" w:hAnsi="Courier New" w:cs="Courier New"/>
                          <w:b/>
                          <w:bCs/>
                          <w:sz w:val="16"/>
                          <w:szCs w:val="24"/>
                        </w:rPr>
                        <w:t>modificationNumber</w:t>
                      </w:r>
                      <w:proofErr w:type="spellEnd"/>
                      <w:r w:rsidRPr="00B446D5">
                        <w:rPr>
                          <w:rFonts w:ascii="Courier New" w:hAnsi="Courier New" w:cs="Courier New"/>
                          <w:b/>
                          <w:bCs/>
                          <w:sz w:val="16"/>
                          <w:szCs w:val="24"/>
                        </w:rPr>
                        <w:t>&gt;</w:t>
                      </w:r>
                    </w:p>
                    <w:p w14:paraId="7D7805A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&lt;priority&gt;1&lt;/priority&gt;</w:t>
                      </w:r>
                    </w:p>
                    <w:p w14:paraId="007CCCAE"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eventStatus</w:t>
                      </w:r>
                      <w:proofErr w:type="spellEnd"/>
                      <w:r w:rsidRPr="00B446D5">
                        <w:rPr>
                          <w:rFonts w:ascii="Courier New" w:hAnsi="Courier New" w:cs="Courier New"/>
                          <w:b/>
                          <w:bCs/>
                          <w:sz w:val="16"/>
                          <w:szCs w:val="24"/>
                        </w:rPr>
                        <w:t>&gt;far&lt;/</w:t>
                      </w:r>
                      <w:proofErr w:type="spellStart"/>
                      <w:r w:rsidRPr="00B446D5">
                        <w:rPr>
                          <w:rFonts w:ascii="Courier New" w:hAnsi="Courier New" w:cs="Courier New"/>
                          <w:b/>
                          <w:bCs/>
                          <w:sz w:val="16"/>
                          <w:szCs w:val="24"/>
                        </w:rPr>
                        <w:t>eventStatus</w:t>
                      </w:r>
                      <w:proofErr w:type="spellEnd"/>
                      <w:r w:rsidRPr="00B446D5">
                        <w:rPr>
                          <w:rFonts w:ascii="Courier New" w:hAnsi="Courier New" w:cs="Courier New"/>
                          <w:b/>
                          <w:bCs/>
                          <w:sz w:val="16"/>
                          <w:szCs w:val="24"/>
                        </w:rPr>
                        <w:t>&gt;</w:t>
                      </w:r>
                    </w:p>
                    <w:p w14:paraId="4EC4E4E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createdDateTime</w:t>
                      </w:r>
                      <w:proofErr w:type="spellEnd"/>
                      <w:r w:rsidRPr="00B446D5">
                        <w:rPr>
                          <w:rFonts w:ascii="Courier New" w:hAnsi="Courier New" w:cs="Courier New"/>
                          <w:b/>
                          <w:bCs/>
                          <w:sz w:val="16"/>
                          <w:szCs w:val="24"/>
                        </w:rPr>
                        <w:t>&gt;2025-03-11T13:00:00Z&lt;/</w:t>
                      </w:r>
                      <w:proofErr w:type="spellStart"/>
                      <w:r w:rsidRPr="00B446D5">
                        <w:rPr>
                          <w:rFonts w:ascii="Courier New" w:hAnsi="Courier New" w:cs="Courier New"/>
                          <w:b/>
                          <w:bCs/>
                          <w:sz w:val="16"/>
                          <w:szCs w:val="24"/>
                        </w:rPr>
                        <w:t>createdDateTime</w:t>
                      </w:r>
                      <w:proofErr w:type="spellEnd"/>
                      <w:r w:rsidRPr="00B446D5">
                        <w:rPr>
                          <w:rFonts w:ascii="Courier New" w:hAnsi="Courier New" w:cs="Courier New"/>
                          <w:b/>
                          <w:bCs/>
                          <w:sz w:val="16"/>
                          <w:szCs w:val="24"/>
                        </w:rPr>
                        <w:t>&gt;</w:t>
                      </w:r>
                    </w:p>
                    <w:p w14:paraId="728F87B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eventDescriptor</w:t>
                      </w:r>
                      <w:proofErr w:type="spellEnd"/>
                      <w:r w:rsidRPr="00B446D5">
                        <w:rPr>
                          <w:rFonts w:ascii="Courier New" w:hAnsi="Courier New" w:cs="Courier New"/>
                          <w:b/>
                          <w:bCs/>
                          <w:sz w:val="16"/>
                          <w:szCs w:val="24"/>
                        </w:rPr>
                        <w:t>&gt;</w:t>
                      </w:r>
                    </w:p>
                    <w:p w14:paraId="0756ED4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eiActivePeriod</w:t>
                      </w:r>
                      <w:proofErr w:type="spellEnd"/>
                      <w:r w:rsidRPr="00B446D5">
                        <w:rPr>
                          <w:rFonts w:ascii="Courier New" w:hAnsi="Courier New" w:cs="Courier New"/>
                          <w:b/>
                          <w:bCs/>
                          <w:sz w:val="16"/>
                          <w:szCs w:val="24"/>
                        </w:rPr>
                        <w:t>&gt;</w:t>
                      </w:r>
                    </w:p>
                    <w:p w14:paraId="2CD85B56"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&lt;properties&gt;</w:t>
                      </w:r>
                    </w:p>
                    <w:p w14:paraId="0334B6B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dtstart</w:t>
                      </w:r>
                      <w:proofErr w:type="spellEnd"/>
                      <w:r w:rsidRPr="00B446D5">
                        <w:rPr>
                          <w:rFonts w:ascii="Courier New" w:hAnsi="Courier New" w:cs="Courier New"/>
                          <w:b/>
                          <w:bCs/>
                          <w:sz w:val="16"/>
                          <w:szCs w:val="24"/>
                        </w:rPr>
                        <w:t>&gt;</w:t>
                      </w:r>
                    </w:p>
                    <w:p w14:paraId="1852D82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&lt;date-time&gt;2025-03-11T14:00:00Z&lt;/date-time&gt;</w:t>
                      </w:r>
                    </w:p>
                    <w:p w14:paraId="3D3B67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bookmarkStart w:id="173" w:name="Figure_25"/>
                      <w:bookmarkEnd w:id="173"/>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dtstart</w:t>
                      </w:r>
                      <w:proofErr w:type="spellEnd"/>
                      <w:r w:rsidRPr="00B446D5">
                        <w:rPr>
                          <w:rFonts w:ascii="Courier New" w:hAnsi="Courier New" w:cs="Courier New"/>
                          <w:b/>
                          <w:bCs/>
                          <w:sz w:val="16"/>
                          <w:szCs w:val="24"/>
                        </w:rPr>
                        <w:t>&gt;</w:t>
                      </w:r>
                    </w:p>
                    <w:p w14:paraId="2AFF6D3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w:t>
                      </w:r>
                    </w:p>
                    <w:p w14:paraId="240E12FA"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&lt;duration&gt;PT30M&lt;/duration&gt;</w:t>
                      </w:r>
                    </w:p>
                    <w:p w14:paraId="4AFAD08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&lt;/duration&gt;</w:t>
                      </w:r>
                    </w:p>
                    <w:p w14:paraId="131F48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&lt;/properties&gt;</w:t>
                      </w:r>
                    </w:p>
                    <w:p w14:paraId="322E295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eiActivePeriod</w:t>
                      </w:r>
                      <w:proofErr w:type="spellEnd"/>
                      <w:r w:rsidRPr="00B446D5">
                        <w:rPr>
                          <w:rFonts w:ascii="Courier New" w:hAnsi="Courier New" w:cs="Courier New"/>
                          <w:b/>
                          <w:bCs/>
                          <w:sz w:val="16"/>
                          <w:szCs w:val="24"/>
                        </w:rPr>
                        <w:t>&gt;</w:t>
                      </w:r>
                    </w:p>
                    <w:p w14:paraId="2FF43D8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eiEventSignals</w:t>
                      </w:r>
                      <w:proofErr w:type="spellEnd"/>
                      <w:r w:rsidRPr="00B446D5">
                        <w:rPr>
                          <w:rFonts w:ascii="Courier New" w:hAnsi="Courier New" w:cs="Courier New"/>
                          <w:b/>
                          <w:bCs/>
                          <w:sz w:val="16"/>
                          <w:szCs w:val="24"/>
                        </w:rPr>
                        <w:t>&gt;</w:t>
                      </w:r>
                    </w:p>
                    <w:p w14:paraId="47E93ED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eiEventSignal</w:t>
                      </w:r>
                      <w:proofErr w:type="spellEnd"/>
                      <w:r w:rsidRPr="00B446D5">
                        <w:rPr>
                          <w:rFonts w:ascii="Courier New" w:hAnsi="Courier New" w:cs="Courier New"/>
                          <w:b/>
                          <w:bCs/>
                          <w:sz w:val="16"/>
                          <w:szCs w:val="24"/>
                        </w:rPr>
                        <w:t>&gt;</w:t>
                      </w:r>
                    </w:p>
                    <w:p w14:paraId="5A1D371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signalName</w:t>
                      </w:r>
                      <w:proofErr w:type="spellEnd"/>
                      <w:r w:rsidRPr="00B446D5">
                        <w:rPr>
                          <w:rFonts w:ascii="Courier New" w:hAnsi="Courier New" w:cs="Courier New"/>
                          <w:b/>
                          <w:bCs/>
                          <w:sz w:val="16"/>
                          <w:szCs w:val="24"/>
                        </w:rPr>
                        <w:t>&gt;simple&lt;/</w:t>
                      </w:r>
                      <w:proofErr w:type="spellStart"/>
                      <w:r w:rsidRPr="00B446D5">
                        <w:rPr>
                          <w:rFonts w:ascii="Courier New" w:hAnsi="Courier New" w:cs="Courier New"/>
                          <w:b/>
                          <w:bCs/>
                          <w:sz w:val="16"/>
                          <w:szCs w:val="24"/>
                        </w:rPr>
                        <w:t>signalName</w:t>
                      </w:r>
                      <w:proofErr w:type="spellEnd"/>
                      <w:r w:rsidRPr="00B446D5">
                        <w:rPr>
                          <w:rFonts w:ascii="Courier New" w:hAnsi="Courier New" w:cs="Courier New"/>
                          <w:b/>
                          <w:bCs/>
                          <w:sz w:val="16"/>
                          <w:szCs w:val="24"/>
                        </w:rPr>
                        <w:t>&gt;</w:t>
                      </w:r>
                    </w:p>
                    <w:p w14:paraId="2DD75DE6"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signalType</w:t>
                      </w:r>
                      <w:proofErr w:type="spellEnd"/>
                      <w:r w:rsidRPr="00B446D5">
                        <w:rPr>
                          <w:rFonts w:ascii="Courier New" w:hAnsi="Courier New" w:cs="Courier New"/>
                          <w:b/>
                          <w:bCs/>
                          <w:sz w:val="16"/>
                          <w:szCs w:val="24"/>
                        </w:rPr>
                        <w:t>&gt;level&lt;/</w:t>
                      </w:r>
                      <w:proofErr w:type="spellStart"/>
                      <w:r w:rsidRPr="00B446D5">
                        <w:rPr>
                          <w:rFonts w:ascii="Courier New" w:hAnsi="Courier New" w:cs="Courier New"/>
                          <w:b/>
                          <w:bCs/>
                          <w:sz w:val="16"/>
                          <w:szCs w:val="24"/>
                        </w:rPr>
                        <w:t>signalType</w:t>
                      </w:r>
                      <w:proofErr w:type="spellEnd"/>
                      <w:r w:rsidRPr="00B446D5">
                        <w:rPr>
                          <w:rFonts w:ascii="Courier New" w:hAnsi="Courier New" w:cs="Courier New"/>
                          <w:b/>
                          <w:bCs/>
                          <w:sz w:val="16"/>
                          <w:szCs w:val="24"/>
                        </w:rPr>
                        <w:t>&gt;</w:t>
                      </w:r>
                    </w:p>
                    <w:p w14:paraId="3A3A13A7"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currentValue</w:t>
                      </w:r>
                      <w:proofErr w:type="spellEnd"/>
                      <w:r w:rsidRPr="00B446D5">
                        <w:rPr>
                          <w:rFonts w:ascii="Courier New" w:hAnsi="Courier New" w:cs="Courier New"/>
                          <w:b/>
                          <w:bCs/>
                          <w:sz w:val="16"/>
                          <w:szCs w:val="24"/>
                        </w:rPr>
                        <w:t>&gt;2&lt;/</w:t>
                      </w:r>
                      <w:proofErr w:type="spellStart"/>
                      <w:r w:rsidRPr="00B446D5">
                        <w:rPr>
                          <w:rFonts w:ascii="Courier New" w:hAnsi="Courier New" w:cs="Courier New"/>
                          <w:b/>
                          <w:bCs/>
                          <w:sz w:val="16"/>
                          <w:szCs w:val="24"/>
                        </w:rPr>
                        <w:t>currentValue</w:t>
                      </w:r>
                      <w:proofErr w:type="spellEnd"/>
                      <w:r w:rsidRPr="00B446D5">
                        <w:rPr>
                          <w:rFonts w:ascii="Courier New" w:hAnsi="Courier New" w:cs="Courier New"/>
                          <w:b/>
                          <w:bCs/>
                          <w:sz w:val="16"/>
                          <w:szCs w:val="24"/>
                        </w:rPr>
                        <w:t>&gt;</w:t>
                      </w:r>
                    </w:p>
                    <w:p w14:paraId="6110B200"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eiEventSignal</w:t>
                      </w:r>
                      <w:proofErr w:type="spellEnd"/>
                      <w:r w:rsidRPr="00B446D5">
                        <w:rPr>
                          <w:rFonts w:ascii="Courier New" w:hAnsi="Courier New" w:cs="Courier New"/>
                          <w:b/>
                          <w:bCs/>
                          <w:sz w:val="16"/>
                          <w:szCs w:val="24"/>
                        </w:rPr>
                        <w:t>&gt;</w:t>
                      </w:r>
                    </w:p>
                    <w:p w14:paraId="58899D0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eiEventSignals</w:t>
                      </w:r>
                      <w:proofErr w:type="spellEnd"/>
                      <w:r w:rsidRPr="00B446D5">
                        <w:rPr>
                          <w:rFonts w:ascii="Courier New" w:hAnsi="Courier New" w:cs="Courier New"/>
                          <w:b/>
                          <w:bCs/>
                          <w:sz w:val="16"/>
                          <w:szCs w:val="24"/>
                        </w:rPr>
                        <w:t>&gt;</w:t>
                      </w:r>
                    </w:p>
                    <w:p w14:paraId="32597553"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eiEvent</w:t>
                      </w:r>
                      <w:proofErr w:type="spellEnd"/>
                      <w:r w:rsidRPr="00B446D5">
                        <w:rPr>
                          <w:rFonts w:ascii="Courier New" w:hAnsi="Courier New" w:cs="Courier New"/>
                          <w:b/>
                          <w:bCs/>
                          <w:sz w:val="16"/>
                          <w:szCs w:val="24"/>
                        </w:rPr>
                        <w:t>&gt;</w:t>
                      </w:r>
                    </w:p>
                    <w:p w14:paraId="2CF6C6F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oadrEvent</w:t>
                      </w:r>
                      <w:proofErr w:type="spellEnd"/>
                      <w:r w:rsidRPr="00B446D5">
                        <w:rPr>
                          <w:rFonts w:ascii="Courier New" w:hAnsi="Courier New" w:cs="Courier New"/>
                          <w:b/>
                          <w:bCs/>
                          <w:sz w:val="16"/>
                          <w:szCs w:val="24"/>
                        </w:rPr>
                        <w:t>&gt;</w:t>
                      </w:r>
                    </w:p>
                    <w:p w14:paraId="123B0AE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&lt;/</w:t>
                      </w:r>
                      <w:proofErr w:type="spellStart"/>
                      <w:r w:rsidRPr="00B446D5">
                        <w:rPr>
                          <w:rFonts w:ascii="Courier New" w:hAnsi="Courier New" w:cs="Courier New"/>
                          <w:b/>
                          <w:bCs/>
                          <w:sz w:val="16"/>
                          <w:szCs w:val="24"/>
                        </w:rPr>
                        <w:t>oadrSignedObject</w:t>
                      </w:r>
                      <w:proofErr w:type="spellEnd"/>
                      <w:r w:rsidRPr="00B446D5">
                        <w:rPr>
                          <w:rFonts w:ascii="Courier New" w:hAnsi="Courier New" w:cs="Courier New"/>
                          <w:b/>
                          <w:bCs/>
                          <w:sz w:val="16"/>
                          <w:szCs w:val="24"/>
                        </w:rPr>
                        <w:t>&gt;</w:t>
                      </w:r>
                    </w:p>
                    <w:p w14:paraId="7E1F1E3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&lt;/</w:t>
                      </w:r>
                      <w:proofErr w:type="spellStart"/>
                      <w:r w:rsidRPr="00B446D5">
                        <w:rPr>
                          <w:rFonts w:ascii="Courier New" w:hAnsi="Courier New" w:cs="Courier New"/>
                          <w:b/>
                          <w:bCs/>
                          <w:sz w:val="16"/>
                          <w:szCs w:val="24"/>
                        </w:rPr>
                        <w:t>oadrPayload</w:t>
                      </w:r>
                      <w:proofErr w:type="spellEnd"/>
                      <w:r w:rsidRPr="00B446D5">
                        <w:rPr>
                          <w:rFonts w:ascii="Courier New" w:hAnsi="Courier New" w:cs="Courier New"/>
                          <w:b/>
                          <w:bCs/>
                          <w:sz w:val="16"/>
                          <w:szCs w:val="24"/>
                        </w:rPr>
                        <w:t>&gt;</w:t>
                      </w:r>
                    </w:p>
                  </w:txbxContent>
                </v:textbox>
                <w10:wrap type="topAndBottom" anchorx="margin"/>
              </v:shape>
            </w:pict>
          </mc:Fallback>
        </mc:AlternateContent>
      </w:r>
      <w:r w:rsidR="002E1742">
        <w:rPr>
          <w:noProof/>
        </w:rPr>
        <mc:AlternateContent>
          <mc:Choice Requires="wps">
            <w:drawing>
              <wp:anchor distT="0" distB="0" distL="114300" distR="114300" simplePos="0" relativeHeight="251658247" behindDoc="0" locked="0" layoutInCell="1" allowOverlap="1" wp14:anchorId="318D7805" wp14:editId="69E29AED">
                <wp:simplePos x="0" y="0"/>
                <wp:positionH relativeFrom="margin">
                  <wp:align>center</wp:align>
                </wp:positionH>
                <wp:positionV relativeFrom="paragraph">
                  <wp:posOffset>7392050</wp:posOffset>
                </wp:positionV>
                <wp:extent cx="4972050" cy="635"/>
                <wp:effectExtent l="0" t="0" r="0" b="0"/>
                <wp:wrapTopAndBottom/>
                <wp:docPr id="583782902" name="Text Box 1"/>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14:paraId="0AD6B79E" w14:textId="320A307D" w:rsidR="003F6ECB" w:rsidRPr="00BD712B" w:rsidRDefault="003F6ECB" w:rsidP="003F6ECB">
                            <w:pPr>
                              <w:pStyle w:val="Caption"/>
                              <w:rPr>
                                <w:noProof/>
                                <w:szCs w:val="28"/>
                              </w:rPr>
                            </w:pPr>
                            <w:bookmarkStart w:id="173" w:name="_Toc205377461"/>
                            <w:r>
                              <w:t xml:space="preserve">Figure </w:t>
                            </w:r>
                            <w:fldSimple w:instr=" SEQ Figure \* ARABIC ">
                              <w:r w:rsidR="00CE6CF1">
                                <w:rPr>
                                  <w:noProof/>
                                </w:rPr>
                                <w:t>25</w:t>
                              </w:r>
                            </w:fldSimple>
                            <w:r>
                              <w:t xml:space="preserve"> - OpenADR XML formatted data model</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D7805" id="_x0000_s1033" type="#_x0000_t202" style="position:absolute;margin-left:0;margin-top:582.05pt;width:391.5pt;height:.05pt;z-index:25165824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" stroked="f">
                <v:textbox style="mso-fit-shape-to-text:t" inset="0,0,0,0">
                  <w:txbxContent>
                    <w:p w14:paraId="0AD6B79E" w14:textId="320A307D" w:rsidR="003F6ECB" w:rsidRPr="00BD712B" w:rsidRDefault="003F6ECB" w:rsidP="003F6ECB">
                      <w:pPr>
                        <w:pStyle w:val="Caption"/>
                        <w:rPr>
                          <w:noProof/>
                          <w:szCs w:val="28"/>
                        </w:rPr>
                      </w:pPr>
                      <w:bookmarkStart w:id="174" w:name="_Toc205377461"/>
                      <w:r>
                        <w:t xml:space="preserve">Figure </w:t>
                      </w:r>
                      <w:fldSimple w:instr=" SEQ Figure \* ARABIC ">
                        <w:r w:rsidR="00CE6CF1">
                          <w:rPr>
                            <w:noProof/>
                          </w:rPr>
                          <w:t>25</w:t>
                        </w:r>
                      </w:fldSimple>
                      <w:r>
                        <w:t xml:space="preserve"> - OpenADR XML formatted data model</w:t>
                      </w:r>
                      <w:bookmarkEnd w:id="174"/>
                    </w:p>
                  </w:txbxContent>
                </v:textbox>
                <w10:wrap type="topAndBottom" anchorx="margin"/>
              </v:shape>
            </w:pict>
          </mc:Fallback>
        </mc:AlternateContent>
      </w:r>
      <w:r w:rsidR="002E1742">
        <w:rPr>
          <w:noProof/>
        </w:rPr>
        <mc:AlternateContent>
          <mc:Choice Requires="wps">
            <w:drawing>
              <wp:anchor distT="45720" distB="45720" distL="114300" distR="114300" simplePos="0" relativeHeight="251658245" behindDoc="0" locked="0" layoutInCell="1" allowOverlap="1" wp14:anchorId="64C5AB02" wp14:editId="32B8508A">
                <wp:simplePos x="0" y="0"/>
                <wp:positionH relativeFrom="margin">
                  <wp:align>center</wp:align>
                </wp:positionH>
                <wp:positionV relativeFrom="paragraph">
                  <wp:posOffset>946327</wp:posOffset>
                </wp:positionV>
                <wp:extent cx="4529455" cy="2105025"/>
                <wp:effectExtent l="0" t="0" r="23495" b="28575"/>
                <wp:wrapTopAndBottom/>
                <wp:docPr id="1372808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2105025"/>
                        </a:xfrm>
                        <a:prstGeom prst="rect">
                          <a:avLst/>
                        </a:prstGeom>
                        <a:solidFill>
                          <a:srgbClr val="FFFFFF"/>
                        </a:solidFill>
                        <a:ln w="9525">
                          <a:solidFill>
                            <a:srgbClr val="000000"/>
                          </a:solidFill>
                          <a:miter lim="800000"/>
                          <a:headEnd/>
                          <a:tailEnd/>
                        </a:ln>
                      </wps:spPr>
                      <wps:txbx>
                        <w:txbxContent>
                          <w:p w14:paraId="6A4ECC4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w:t>
                            </w:r>
                          </w:p>
                          <w:p w14:paraId="6C000CF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"DERControl": {</w:t>
                            </w:r>
                          </w:p>
                          <w:p w14:paraId="58FD867D"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"href": "/der/12345/control",</w:t>
                            </w:r>
                          </w:p>
                          <w:p w14:paraId="111D5CE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"creationTime": "2025-03-11T14:00:00Z",</w:t>
                            </w:r>
                          </w:p>
                          <w:p w14:paraId="2E80D3B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"duration": "PT30M",</w:t>
                            </w:r>
                          </w:p>
                          <w:p w14:paraId="1F4610BC"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"modesSupported": ["Charge", "Discharge"],</w:t>
                            </w:r>
                          </w:p>
                          <w:p w14:paraId="5DFCB13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"currentPowerLimit": {</w:t>
                            </w:r>
                          </w:p>
                          <w:p w14:paraId="4226AE25"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"value": 1000, </w:t>
                            </w:r>
                            <w:bookmarkStart w:id="175" w:name="Figure_24"/>
                            <w:bookmarkEnd w:id="175"/>
                          </w:p>
                          <w:p w14:paraId="60F3994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"multiplier": 0, </w:t>
                            </w:r>
                          </w:p>
                          <w:p w14:paraId="7C4B4E5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"unit": "W"</w:t>
                            </w:r>
                          </w:p>
                          <w:p w14:paraId="7008755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0F8B0EA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"override": {</w:t>
                            </w:r>
                          </w:p>
                          <w:p w14:paraId="64BF1555"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"reason": "Demand Response Event",</w:t>
                            </w:r>
                          </w:p>
                          <w:p w14:paraId="11A23BD8"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"requestedBy": "Utility"</w:t>
                            </w:r>
                          </w:p>
                          <w:p w14:paraId="17DE7868"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4CBDE45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2BED4D5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5AB02" id="_x0000_s1034" type="#_x0000_t202" style="position:absolute;margin-left:0;margin-top:74.5pt;width:356.65pt;height:165.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">
                <v:textbox>
                  <w:txbxContent>
                    <w:p w14:paraId="6A4ECC4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w:t>
                      </w:r>
                    </w:p>
                    <w:p w14:paraId="6C000CF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DERControl</w:t>
                      </w:r>
                      <w:proofErr w:type="spellEnd"/>
                      <w:r w:rsidRPr="00B446D5">
                        <w:rPr>
                          <w:rFonts w:ascii="Courier New" w:hAnsi="Courier New" w:cs="Courier New"/>
                          <w:b/>
                          <w:bCs/>
                          <w:sz w:val="16"/>
                          <w:szCs w:val="24"/>
                        </w:rPr>
                        <w:t>": {</w:t>
                      </w:r>
                    </w:p>
                    <w:p w14:paraId="58FD867D"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href</w:t>
                      </w:r>
                      <w:proofErr w:type="spellEnd"/>
                      <w:r w:rsidRPr="00B446D5">
                        <w:rPr>
                          <w:rFonts w:ascii="Courier New" w:hAnsi="Courier New" w:cs="Courier New"/>
                          <w:b/>
                          <w:bCs/>
                          <w:sz w:val="16"/>
                          <w:szCs w:val="24"/>
                        </w:rPr>
                        <w:t>": "/der/12345/control",</w:t>
                      </w:r>
                    </w:p>
                    <w:p w14:paraId="111D5CE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creationTime</w:t>
                      </w:r>
                      <w:proofErr w:type="spellEnd"/>
                      <w:r w:rsidRPr="00B446D5">
                        <w:rPr>
                          <w:rFonts w:ascii="Courier New" w:hAnsi="Courier New" w:cs="Courier New"/>
                          <w:b/>
                          <w:bCs/>
                          <w:sz w:val="16"/>
                          <w:szCs w:val="24"/>
                        </w:rPr>
                        <w:t>": "2025-03-11T14:00:00Z",</w:t>
                      </w:r>
                    </w:p>
                    <w:p w14:paraId="2E80D3B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"duration": "PT30M",</w:t>
                      </w:r>
                    </w:p>
                    <w:p w14:paraId="1F4610BC"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modesSupported</w:t>
                      </w:r>
                      <w:proofErr w:type="spellEnd"/>
                      <w:r w:rsidRPr="00B446D5">
                        <w:rPr>
                          <w:rFonts w:ascii="Courier New" w:hAnsi="Courier New" w:cs="Courier New"/>
                          <w:b/>
                          <w:bCs/>
                          <w:sz w:val="16"/>
                          <w:szCs w:val="24"/>
                        </w:rPr>
                        <w:t>": ["Charge", "Discharge"],</w:t>
                      </w:r>
                    </w:p>
                    <w:p w14:paraId="5DFCB132"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currentPowerLimit</w:t>
                      </w:r>
                      <w:proofErr w:type="spellEnd"/>
                      <w:r w:rsidRPr="00B446D5">
                        <w:rPr>
                          <w:rFonts w:ascii="Courier New" w:hAnsi="Courier New" w:cs="Courier New"/>
                          <w:b/>
                          <w:bCs/>
                          <w:sz w:val="16"/>
                          <w:szCs w:val="24"/>
                        </w:rPr>
                        <w:t>": {</w:t>
                      </w:r>
                    </w:p>
                    <w:p w14:paraId="4226AE25"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"value": 1000, </w:t>
                      </w:r>
                      <w:bookmarkStart w:id="177" w:name="Figure_24"/>
                      <w:bookmarkEnd w:id="177"/>
                    </w:p>
                    <w:p w14:paraId="60F3994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"multiplier": 0, </w:t>
                      </w:r>
                    </w:p>
                    <w:p w14:paraId="7C4B4E51"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"unit": "W"</w:t>
                      </w:r>
                    </w:p>
                    <w:p w14:paraId="7008755B"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0F8B0EAF"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"override": {</w:t>
                      </w:r>
                    </w:p>
                    <w:p w14:paraId="64BF1555"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"reason": "Demand Response Event",</w:t>
                      </w:r>
                    </w:p>
                    <w:p w14:paraId="11A23BD8"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roofErr w:type="spellStart"/>
                      <w:r w:rsidRPr="00B446D5">
                        <w:rPr>
                          <w:rFonts w:ascii="Courier New" w:hAnsi="Courier New" w:cs="Courier New"/>
                          <w:b/>
                          <w:bCs/>
                          <w:sz w:val="16"/>
                          <w:szCs w:val="24"/>
                        </w:rPr>
                        <w:t>requestedBy</w:t>
                      </w:r>
                      <w:proofErr w:type="spellEnd"/>
                      <w:r w:rsidRPr="00B446D5">
                        <w:rPr>
                          <w:rFonts w:ascii="Courier New" w:hAnsi="Courier New" w:cs="Courier New"/>
                          <w:b/>
                          <w:bCs/>
                          <w:sz w:val="16"/>
                          <w:szCs w:val="24"/>
                        </w:rPr>
                        <w:t>": "Utility"</w:t>
                      </w:r>
                    </w:p>
                    <w:p w14:paraId="17DE7868"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4CBDE454"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 xml:space="preserve">  }</w:t>
                      </w:r>
                    </w:p>
                    <w:p w14:paraId="2BED4D59" w14:textId="77777777" w:rsidR="003F6ECB" w:rsidRPr="00B446D5" w:rsidRDefault="003F6ECB" w:rsidP="003F6ECB">
                      <w:pPr>
                        <w:spacing w:before="0" w:after="0" w:line="276" w:lineRule="auto"/>
                        <w:rPr>
                          <w:rFonts w:ascii="Courier New" w:hAnsi="Courier New" w:cs="Courier New"/>
                          <w:b/>
                          <w:bCs/>
                          <w:sz w:val="16"/>
                          <w:szCs w:val="24"/>
                        </w:rPr>
                      </w:pPr>
                      <w:r w:rsidRPr="00B446D5">
                        <w:rPr>
                          <w:rFonts w:ascii="Courier New" w:hAnsi="Courier New" w:cs="Courier New"/>
                          <w:b/>
                          <w:bCs/>
                          <w:sz w:val="16"/>
                          <w:szCs w:val="24"/>
                        </w:rPr>
                        <w:t>}</w:t>
                      </w:r>
                    </w:p>
                  </w:txbxContent>
                </v:textbox>
                <w10:wrap type="topAndBottom" anchorx="margin"/>
              </v:shape>
            </w:pict>
          </mc:Fallback>
        </mc:AlternateContent>
      </w:r>
      <w:r w:rsidR="003F6ECB" w:rsidRPr="0050162C">
        <w:rPr>
          <w:rFonts w:cs="Calibri"/>
          <w:szCs w:val="18"/>
        </w:rPr>
        <w:t xml:space="preserve">IEEE2030.5 and OpenADR are </w:t>
      </w:r>
      <w:r w:rsidR="00C81326">
        <w:rPr>
          <w:rFonts w:cs="Calibri"/>
          <w:szCs w:val="18"/>
        </w:rPr>
        <w:t xml:space="preserve">both </w:t>
      </w:r>
      <w:r w:rsidR="003F6ECB" w:rsidRPr="0050162C">
        <w:rPr>
          <w:rFonts w:cs="Calibri"/>
          <w:szCs w:val="18"/>
        </w:rPr>
        <w:t>communication standards for DNSP/DSO interaction with customer-sited CER/DER. Both specify XML and JSON-based data models as a core part of their specifications. DNSPs/DSOs must integrate these data models with other systems to provide aggregated information to the bulk power system.</w:t>
      </w:r>
    </w:p>
    <w:p w14:paraId="4C3F4E64" w14:textId="637C31EC" w:rsidR="00CB2CD0" w:rsidRDefault="007E6072" w:rsidP="008707CD">
      <w:pPr>
        <w:pStyle w:val="Heading3"/>
      </w:pPr>
      <w:bookmarkStart w:id="176" w:name="_Toc205532863"/>
      <w:r>
        <w:lastRenderedPageBreak/>
        <w:t xml:space="preserve">Data </w:t>
      </w:r>
      <w:r w:rsidR="00975677">
        <w:t>Transfer</w:t>
      </w:r>
      <w:bookmarkEnd w:id="176"/>
    </w:p>
    <w:p w14:paraId="28CF62F9" w14:textId="7861A644" w:rsidR="00401D6F" w:rsidRPr="0050162C" w:rsidRDefault="00342BEA" w:rsidP="0050162C">
      <w:pPr>
        <w:spacing w:before="180" w:after="120" w:line="288" w:lineRule="auto"/>
        <w:rPr>
          <w:rFonts w:cs="Calibri"/>
          <w:szCs w:val="18"/>
        </w:rPr>
      </w:pPr>
      <w:r w:rsidRPr="0050162C">
        <w:rPr>
          <w:rFonts w:cs="Calibri"/>
          <w:szCs w:val="18"/>
        </w:rPr>
        <w:t xml:space="preserve">Key </w:t>
      </w:r>
      <w:r w:rsidR="00B516A4">
        <w:rPr>
          <w:rFonts w:cs="Calibri"/>
          <w:szCs w:val="18"/>
        </w:rPr>
        <w:t xml:space="preserve">performance requirements </w:t>
      </w:r>
      <w:r w:rsidRPr="0050162C">
        <w:rPr>
          <w:rFonts w:cs="Calibri"/>
          <w:szCs w:val="18"/>
        </w:rPr>
        <w:t xml:space="preserve">for data </w:t>
      </w:r>
      <w:r w:rsidR="00C45F0B" w:rsidRPr="0050162C">
        <w:rPr>
          <w:rFonts w:cs="Calibri"/>
          <w:szCs w:val="18"/>
        </w:rPr>
        <w:t>transfer</w:t>
      </w:r>
      <w:r w:rsidRPr="0050162C">
        <w:rPr>
          <w:rFonts w:cs="Calibri"/>
          <w:szCs w:val="18"/>
        </w:rPr>
        <w:t xml:space="preserve"> relevant to the </w:t>
      </w:r>
      <w:r w:rsidR="007F5D53" w:rsidRPr="0050162C">
        <w:rPr>
          <w:rFonts w:cs="Calibri"/>
          <w:szCs w:val="18"/>
        </w:rPr>
        <w:t>determining</w:t>
      </w:r>
      <w:r w:rsidR="00B54424" w:rsidRPr="0050162C">
        <w:rPr>
          <w:rFonts w:cs="Calibri"/>
          <w:szCs w:val="18"/>
        </w:rPr>
        <w:t xml:space="preserve"> </w:t>
      </w:r>
      <w:r w:rsidR="00163F20" w:rsidRPr="0050162C">
        <w:rPr>
          <w:rFonts w:cs="Calibri"/>
          <w:szCs w:val="18"/>
        </w:rPr>
        <w:t xml:space="preserve">TDC </w:t>
      </w:r>
      <w:r w:rsidR="00996B83" w:rsidRPr="0050162C">
        <w:rPr>
          <w:rFonts w:cs="Calibri"/>
          <w:szCs w:val="18"/>
        </w:rPr>
        <w:t xml:space="preserve">structural </w:t>
      </w:r>
      <w:r w:rsidR="008036FD" w:rsidRPr="0050162C">
        <w:rPr>
          <w:rFonts w:cs="Calibri"/>
          <w:szCs w:val="18"/>
        </w:rPr>
        <w:t xml:space="preserve">approach </w:t>
      </w:r>
      <w:r w:rsidR="00163F20" w:rsidRPr="0050162C">
        <w:rPr>
          <w:rFonts w:cs="Calibri"/>
          <w:szCs w:val="18"/>
        </w:rPr>
        <w:t xml:space="preserve">and supporting </w:t>
      </w:r>
      <w:r w:rsidRPr="0050162C">
        <w:rPr>
          <w:rFonts w:cs="Calibri"/>
          <w:szCs w:val="18"/>
        </w:rPr>
        <w:t xml:space="preserve">TDI mechanisms </w:t>
      </w:r>
      <w:r w:rsidR="00C73C7A" w:rsidRPr="0050162C">
        <w:rPr>
          <w:rFonts w:cs="Calibri"/>
          <w:szCs w:val="18"/>
        </w:rPr>
        <w:t>include</w:t>
      </w:r>
      <w:r w:rsidRPr="0050162C">
        <w:rPr>
          <w:rFonts w:cs="Calibri"/>
          <w:szCs w:val="18"/>
        </w:rPr>
        <w:t xml:space="preserve"> bandwidth, throughput, packet loss, availability, security, latency, and jitter</w:t>
      </w:r>
      <w:r w:rsidR="003F07FE" w:rsidRPr="0050162C">
        <w:rPr>
          <w:rFonts w:cs="Calibri"/>
          <w:szCs w:val="18"/>
        </w:rPr>
        <w:t>.</w:t>
      </w:r>
      <w:r w:rsidR="00E245D6" w:rsidRPr="0050162C">
        <w:rPr>
          <w:rFonts w:cs="Calibri"/>
          <w:szCs w:val="18"/>
        </w:rPr>
        <w:t xml:space="preserve"> </w:t>
      </w:r>
      <w:r w:rsidR="0006222B" w:rsidRPr="0050162C">
        <w:rPr>
          <w:rFonts w:cs="Calibri"/>
          <w:szCs w:val="18"/>
        </w:rPr>
        <w:t>Alternative</w:t>
      </w:r>
      <w:r w:rsidR="00017260" w:rsidRPr="0050162C">
        <w:rPr>
          <w:rFonts w:cs="Calibri"/>
          <w:szCs w:val="18"/>
        </w:rPr>
        <w:t xml:space="preserve"> </w:t>
      </w:r>
      <w:r w:rsidR="005E5EE7" w:rsidRPr="0050162C">
        <w:rPr>
          <w:rFonts w:cs="Calibri"/>
          <w:szCs w:val="18"/>
        </w:rPr>
        <w:t xml:space="preserve">TDC </w:t>
      </w:r>
      <w:r w:rsidR="0006222B" w:rsidRPr="0050162C">
        <w:rPr>
          <w:rFonts w:cs="Calibri"/>
          <w:szCs w:val="18"/>
        </w:rPr>
        <w:t>structural arrangements</w:t>
      </w:r>
      <w:r w:rsidR="00017260" w:rsidRPr="0050162C">
        <w:rPr>
          <w:rFonts w:cs="Calibri"/>
          <w:szCs w:val="18"/>
        </w:rPr>
        <w:t xml:space="preserve"> will </w:t>
      </w:r>
      <w:r w:rsidR="00226FF5" w:rsidRPr="0050162C">
        <w:rPr>
          <w:rFonts w:cs="Calibri"/>
          <w:szCs w:val="18"/>
        </w:rPr>
        <w:t xml:space="preserve">either exacerbate </w:t>
      </w:r>
      <w:r w:rsidR="006E5637" w:rsidRPr="0050162C">
        <w:rPr>
          <w:rFonts w:cs="Calibri"/>
          <w:szCs w:val="18"/>
        </w:rPr>
        <w:t xml:space="preserve">or mitigate </w:t>
      </w:r>
      <w:r w:rsidR="007954E8" w:rsidRPr="0050162C">
        <w:rPr>
          <w:rFonts w:cs="Calibri"/>
          <w:szCs w:val="18"/>
        </w:rPr>
        <w:t>data transmission</w:t>
      </w:r>
      <w:r w:rsidR="002C5AA8" w:rsidRPr="0050162C">
        <w:rPr>
          <w:rFonts w:cs="Calibri"/>
          <w:szCs w:val="18"/>
        </w:rPr>
        <w:t xml:space="preserve"> constraints</w:t>
      </w:r>
      <w:r w:rsidR="006F0C61" w:rsidRPr="0050162C">
        <w:rPr>
          <w:rFonts w:cs="Calibri"/>
          <w:szCs w:val="18"/>
        </w:rPr>
        <w:t xml:space="preserve"> </w:t>
      </w:r>
      <w:r w:rsidR="006C1994" w:rsidRPr="0050162C">
        <w:rPr>
          <w:rFonts w:cs="Calibri"/>
          <w:szCs w:val="18"/>
        </w:rPr>
        <w:t>depending on</w:t>
      </w:r>
      <w:r w:rsidR="005E5EE7" w:rsidRPr="0050162C">
        <w:rPr>
          <w:rFonts w:cs="Calibri"/>
          <w:szCs w:val="18"/>
        </w:rPr>
        <w:t xml:space="preserve"> </w:t>
      </w:r>
      <w:r w:rsidR="007F3EDC" w:rsidRPr="0050162C">
        <w:rPr>
          <w:rFonts w:cs="Calibri"/>
          <w:szCs w:val="18"/>
        </w:rPr>
        <w:t xml:space="preserve">the </w:t>
      </w:r>
      <w:r w:rsidR="00940C9C" w:rsidRPr="0050162C">
        <w:rPr>
          <w:rFonts w:cs="Calibri"/>
          <w:szCs w:val="18"/>
        </w:rPr>
        <w:t xml:space="preserve">required data volumes and </w:t>
      </w:r>
      <w:r w:rsidR="00D22206" w:rsidRPr="0050162C">
        <w:rPr>
          <w:rFonts w:cs="Calibri"/>
          <w:szCs w:val="18"/>
        </w:rPr>
        <w:t xml:space="preserve">cadence required to facilitate them. </w:t>
      </w:r>
    </w:p>
    <w:tbl>
      <w:tblPr>
        <w:tblStyle w:val="ListTable3-Accent1"/>
        <w:tblW w:w="0" w:type="auto"/>
        <w:tblInd w:w="-5" w:type="dxa"/>
        <w:tblLook w:val="04A0" w:firstRow="1" w:lastRow="0" w:firstColumn="1" w:lastColumn="0" w:noHBand="0" w:noVBand="1"/>
      </w:tblPr>
      <w:tblGrid>
        <w:gridCol w:w="1701"/>
        <w:gridCol w:w="2127"/>
        <w:gridCol w:w="4392"/>
      </w:tblGrid>
      <w:tr w:rsidR="00E750BF" w:rsidRPr="00D7193D" w14:paraId="3619942E" w14:textId="77777777" w:rsidTr="00ED5BCF">
        <w:trPr>
          <w:cnfStyle w:val="100000000000" w:firstRow="1" w:lastRow="0" w:firstColumn="0" w:lastColumn="0" w:oddVBand="0" w:evenVBand="0" w:oddHBand="0" w:evenHBand="0" w:firstRowFirstColumn="0" w:firstRowLastColumn="0" w:lastRowFirstColumn="0" w:lastRowLastColumn="0"/>
          <w:trHeight w:val="637"/>
        </w:trPr>
        <w:tc>
          <w:tcPr>
            <w:cnfStyle w:val="001000000100" w:firstRow="0" w:lastRow="0" w:firstColumn="1" w:lastColumn="0" w:oddVBand="0" w:evenVBand="0" w:oddHBand="0" w:evenHBand="0" w:firstRowFirstColumn="1" w:firstRowLastColumn="0" w:lastRowFirstColumn="0" w:lastRowLastColumn="0"/>
            <w:tcW w:w="8220" w:type="dxa"/>
            <w:gridSpan w:val="3"/>
            <w:vAlign w:val="center"/>
          </w:tcPr>
          <w:p w14:paraId="32EC80E5" w14:textId="0D54C49F" w:rsidR="00E750BF" w:rsidRPr="00D7193D" w:rsidRDefault="00E750BF" w:rsidP="00F14453">
            <w:pPr>
              <w:spacing w:before="60" w:after="60"/>
              <w:jc w:val="center"/>
            </w:pPr>
            <w:r>
              <w:t>Key Data Communications Considerations</w:t>
            </w:r>
            <w:r w:rsidR="009D6A0C">
              <w:t xml:space="preserve"> </w:t>
            </w:r>
            <w:r w:rsidR="00C90583" w:rsidRPr="0066605A">
              <w:rPr>
                <w:b w:val="0"/>
                <w:bCs w:val="0"/>
                <w:noProof/>
                <w:lang w:val="en-GB"/>
              </w:rPr>
              <w:t>[31]</w:t>
            </w:r>
            <w:r w:rsidR="00AC705D">
              <w:rPr>
                <w:rStyle w:val="FootnoteReference"/>
              </w:rPr>
              <w:footnoteReference w:id="5"/>
            </w:r>
          </w:p>
        </w:tc>
      </w:tr>
      <w:tr w:rsidR="00E750BF" w:rsidRPr="00D7193D" w14:paraId="26B855CF" w14:textId="77777777" w:rsidTr="00ED5BC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vAlign w:val="center"/>
          </w:tcPr>
          <w:p w14:paraId="7CCA14EA" w14:textId="2C3B28CE" w:rsidR="00E750BF" w:rsidRPr="00F14453" w:rsidRDefault="006C11D1" w:rsidP="00F14453">
            <w:pPr>
              <w:spacing w:before="120" w:after="120"/>
              <w:jc w:val="center"/>
              <w:rPr>
                <w:rFonts w:ascii="PP Mori SemiBold" w:hAnsi="PP Mori SemiBold"/>
                <w:color w:val="FAFAFA" w:themeColor="background1"/>
              </w:rPr>
            </w:pPr>
            <w:r w:rsidRPr="00F14453">
              <w:rPr>
                <w:rFonts w:ascii="PP Mori SemiBold" w:hAnsi="PP Mori SemiBold"/>
                <w:color w:val="FAFAFA" w:themeColor="background1"/>
              </w:rPr>
              <w:t>Concept</w:t>
            </w:r>
          </w:p>
        </w:tc>
        <w:tc>
          <w:tcPr>
            <w:tcW w:w="2127" w:type="dxa"/>
            <w:vAlign w:val="center"/>
          </w:tcPr>
          <w:p w14:paraId="6F915F2C" w14:textId="5C9AB9DE" w:rsidR="00E750BF" w:rsidRPr="00EF63B9" w:rsidRDefault="006C11D1" w:rsidP="00F14453">
            <w:pPr>
              <w:spacing w:before="120" w:after="120"/>
              <w:jc w:val="center"/>
              <w:cnfStyle w:val="000000100000" w:firstRow="0" w:lastRow="0" w:firstColumn="0" w:lastColumn="0" w:oddVBand="0" w:evenVBand="0" w:oddHBand="1" w:evenHBand="0" w:firstRowFirstColumn="0" w:firstRowLastColumn="0" w:lastRowFirstColumn="0" w:lastRowLastColumn="0"/>
              <w:rPr>
                <w:rFonts w:ascii="PP Mori SemiBold" w:hAnsi="PP Mori SemiBold"/>
              </w:rPr>
            </w:pPr>
            <w:r w:rsidRPr="00EF63B9">
              <w:rPr>
                <w:rFonts w:ascii="PP Mori SemiBold" w:hAnsi="PP Mori SemiBold"/>
              </w:rPr>
              <w:t>Definition</w:t>
            </w:r>
          </w:p>
        </w:tc>
        <w:tc>
          <w:tcPr>
            <w:tcW w:w="4392" w:type="dxa"/>
            <w:vAlign w:val="center"/>
          </w:tcPr>
          <w:p w14:paraId="36FD1917" w14:textId="45ACA9AA" w:rsidR="00E750BF" w:rsidRPr="00EF63B9" w:rsidRDefault="006C11D1" w:rsidP="00F14453">
            <w:pPr>
              <w:spacing w:before="120" w:after="120"/>
              <w:jc w:val="center"/>
              <w:cnfStyle w:val="000000100000" w:firstRow="0" w:lastRow="0" w:firstColumn="0" w:lastColumn="0" w:oddVBand="0" w:evenVBand="0" w:oddHBand="1" w:evenHBand="0" w:firstRowFirstColumn="0" w:firstRowLastColumn="0" w:lastRowFirstColumn="0" w:lastRowLastColumn="0"/>
              <w:rPr>
                <w:rFonts w:ascii="PP Mori SemiBold" w:hAnsi="PP Mori SemiBold"/>
              </w:rPr>
            </w:pPr>
            <w:r w:rsidRPr="00EF63B9">
              <w:rPr>
                <w:rFonts w:ascii="PP Mori SemiBold" w:hAnsi="PP Mori SemiBold"/>
              </w:rPr>
              <w:t>Relevance</w:t>
            </w:r>
          </w:p>
        </w:tc>
      </w:tr>
      <w:tr w:rsidR="00E750BF" w:rsidRPr="00D7193D" w14:paraId="5E7890AF" w14:textId="77777777" w:rsidTr="00ED5BCF">
        <w:trPr>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0E566B07" w14:textId="7098036A" w:rsidR="00E750BF" w:rsidRPr="00F14453" w:rsidRDefault="00E750BF" w:rsidP="00F14453">
            <w:pPr>
              <w:spacing w:before="120" w:after="60"/>
              <w:jc w:val="center"/>
              <w:rPr>
                <w:color w:val="FAFAFA" w:themeColor="background1"/>
              </w:rPr>
            </w:pPr>
            <w:r w:rsidRPr="00F14453">
              <w:rPr>
                <w:color w:val="FAFAFA" w:themeColor="background1"/>
              </w:rPr>
              <w:t>Bandwidth</w:t>
            </w:r>
          </w:p>
        </w:tc>
        <w:tc>
          <w:tcPr>
            <w:tcW w:w="2127" w:type="dxa"/>
          </w:tcPr>
          <w:p w14:paraId="00ADA1E9" w14:textId="69EC59FF" w:rsidR="00E750BF" w:rsidRPr="006F6BA2" w:rsidRDefault="00AA06A5" w:rsidP="006F6BA2">
            <w:pPr>
              <w:spacing w:before="120"/>
              <w:cnfStyle w:val="000000000000" w:firstRow="0" w:lastRow="0" w:firstColumn="0" w:lastColumn="0" w:oddVBand="0" w:evenVBand="0" w:oddHBand="0" w:evenHBand="0" w:firstRowFirstColumn="0" w:firstRowLastColumn="0" w:lastRowFirstColumn="0" w:lastRowLastColumn="0"/>
            </w:pPr>
            <w:r w:rsidRPr="006F6BA2">
              <w:t>The maximum amount of</w:t>
            </w:r>
            <w:r w:rsidR="006F6BA2" w:rsidRPr="006F6BA2">
              <w:t xml:space="preserve"> </w:t>
            </w:r>
            <w:r w:rsidRPr="006F6BA2">
              <w:t xml:space="preserve">data that can be transmitted over a link </w:t>
            </w:r>
            <w:r w:rsidR="006F6BA2">
              <w:t xml:space="preserve">over </w:t>
            </w:r>
            <w:r w:rsidRPr="006F6BA2">
              <w:t>time between the sender and receiver</w:t>
            </w:r>
            <w:r w:rsidR="00821570">
              <w:t>.</w:t>
            </w:r>
          </w:p>
        </w:tc>
        <w:tc>
          <w:tcPr>
            <w:tcW w:w="4392" w:type="dxa"/>
          </w:tcPr>
          <w:p w14:paraId="5BF844E9" w14:textId="027466F4" w:rsidR="00E750BF" w:rsidRPr="006F6BA2" w:rsidRDefault="00744AB0" w:rsidP="006F6BA2">
            <w:pPr>
              <w:spacing w:before="120"/>
              <w:cnfStyle w:val="000000000000" w:firstRow="0" w:lastRow="0" w:firstColumn="0" w:lastColumn="0" w:oddVBand="0" w:evenVBand="0" w:oddHBand="0" w:evenHBand="0" w:firstRowFirstColumn="0" w:firstRowLastColumn="0" w:lastRowFirstColumn="0" w:lastRowLastColumn="0"/>
            </w:pPr>
            <w:r w:rsidRPr="00744AB0">
              <w:t>Adequate bandwidth is essential for efficiently transmitting large volumes of data from multiple sources, such as smart meters and sensors. Insufficient bandwidth can lead to delays in data transmission, affecting real-time decision-making in grid operations.</w:t>
            </w:r>
          </w:p>
        </w:tc>
      </w:tr>
      <w:tr w:rsidR="00E750BF" w:rsidRPr="00D7193D" w14:paraId="1425A785" w14:textId="77777777" w:rsidTr="00ED5BC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525374F2" w14:textId="23422B8E" w:rsidR="00E750BF" w:rsidRPr="00F14453" w:rsidRDefault="008B1A67" w:rsidP="00F14453">
            <w:pPr>
              <w:spacing w:before="120" w:after="60"/>
              <w:jc w:val="center"/>
              <w:rPr>
                <w:color w:val="FAFAFA" w:themeColor="background1"/>
              </w:rPr>
            </w:pPr>
            <w:r w:rsidRPr="00F14453">
              <w:rPr>
                <w:color w:val="FAFAFA" w:themeColor="background1"/>
              </w:rPr>
              <w:t>Throughput</w:t>
            </w:r>
          </w:p>
        </w:tc>
        <w:tc>
          <w:tcPr>
            <w:tcW w:w="2127" w:type="dxa"/>
          </w:tcPr>
          <w:p w14:paraId="434ADCB3" w14:textId="10D9B998" w:rsidR="00E750BF" w:rsidRPr="006F6BA2" w:rsidRDefault="006F6BA2" w:rsidP="006F6BA2">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Pr>
                <w:rFonts w:eastAsia="Times New Roman" w:cs="Segoe UI"/>
                <w:color w:val="000000"/>
                <w:szCs w:val="21"/>
              </w:rPr>
              <w:t>T</w:t>
            </w:r>
            <w:r w:rsidRPr="006F6BA2">
              <w:rPr>
                <w:rFonts w:eastAsia="Times New Roman" w:cs="Segoe UI"/>
                <w:color w:val="000000"/>
                <w:szCs w:val="21"/>
              </w:rPr>
              <w:t xml:space="preserve">he </w:t>
            </w:r>
            <w:r w:rsidR="001E5F2B">
              <w:rPr>
                <w:rFonts w:eastAsia="Times New Roman" w:cs="Segoe UI"/>
                <w:color w:val="000000"/>
                <w:szCs w:val="21"/>
              </w:rPr>
              <w:t xml:space="preserve">actual </w:t>
            </w:r>
            <w:r w:rsidRPr="006F6BA2">
              <w:rPr>
                <w:rFonts w:eastAsia="Times New Roman" w:cs="Segoe UI"/>
                <w:color w:val="000000"/>
                <w:szCs w:val="21"/>
              </w:rPr>
              <w:t xml:space="preserve">rate of the message delivery over a </w:t>
            </w:r>
            <w:r w:rsidR="00821570">
              <w:rPr>
                <w:rFonts w:eastAsia="Times New Roman" w:cs="Segoe UI"/>
                <w:color w:val="000000"/>
                <w:szCs w:val="21"/>
              </w:rPr>
              <w:t>c</w:t>
            </w:r>
            <w:r w:rsidRPr="006F6BA2">
              <w:rPr>
                <w:rFonts w:eastAsia="Times New Roman" w:cs="Segoe UI"/>
                <w:color w:val="000000"/>
                <w:szCs w:val="21"/>
              </w:rPr>
              <w:t>ommunication channel</w:t>
            </w:r>
            <w:r w:rsidR="00821570">
              <w:rPr>
                <w:rFonts w:eastAsia="Times New Roman" w:cs="Segoe UI"/>
                <w:color w:val="000000"/>
                <w:szCs w:val="21"/>
              </w:rPr>
              <w:t>.</w:t>
            </w:r>
          </w:p>
        </w:tc>
        <w:tc>
          <w:tcPr>
            <w:tcW w:w="4392" w:type="dxa"/>
          </w:tcPr>
          <w:p w14:paraId="66BA4CEA" w14:textId="4ED80AC1" w:rsidR="00E750BF" w:rsidRPr="008B1A67" w:rsidRDefault="00DC54C3" w:rsidP="00DD2865">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sidRPr="00DC54C3">
              <w:rPr>
                <w:rFonts w:eastAsia="Times New Roman" w:cs="Segoe UI"/>
                <w:color w:val="000000"/>
                <w:szCs w:val="21"/>
              </w:rPr>
              <w:t>In IP-based network</w:t>
            </w:r>
            <w:r>
              <w:rPr>
                <w:rFonts w:eastAsia="Times New Roman" w:cs="Segoe UI"/>
                <w:color w:val="000000"/>
                <w:szCs w:val="21"/>
              </w:rPr>
              <w:t>s</w:t>
            </w:r>
            <w:r w:rsidRPr="00DC54C3">
              <w:rPr>
                <w:rFonts w:eastAsia="Times New Roman" w:cs="Segoe UI"/>
                <w:color w:val="000000"/>
                <w:szCs w:val="21"/>
              </w:rPr>
              <w:t xml:space="preserve">, which </w:t>
            </w:r>
            <w:r>
              <w:rPr>
                <w:rFonts w:eastAsia="Times New Roman" w:cs="Segoe UI"/>
                <w:color w:val="000000"/>
                <w:szCs w:val="21"/>
              </w:rPr>
              <w:t>are</w:t>
            </w:r>
            <w:r w:rsidRPr="00DC54C3">
              <w:rPr>
                <w:rFonts w:eastAsia="Times New Roman" w:cs="Segoe UI"/>
                <w:color w:val="000000"/>
                <w:szCs w:val="21"/>
              </w:rPr>
              <w:t xml:space="preserve"> dynamically routed, the throughput and bandwidth may not be equal</w:t>
            </w:r>
            <w:r w:rsidR="00DD2865">
              <w:rPr>
                <w:rFonts w:eastAsia="Times New Roman" w:cs="Segoe UI"/>
                <w:color w:val="000000"/>
                <w:szCs w:val="21"/>
              </w:rPr>
              <w:t xml:space="preserve"> causing unpredictability</w:t>
            </w:r>
            <w:r w:rsidR="00B91A08">
              <w:rPr>
                <w:rFonts w:eastAsia="Times New Roman" w:cs="Segoe UI"/>
                <w:color w:val="000000"/>
                <w:szCs w:val="21"/>
              </w:rPr>
              <w:t xml:space="preserve">. </w:t>
            </w:r>
            <w:r w:rsidR="00DD2865">
              <w:rPr>
                <w:rFonts w:eastAsia="Times New Roman" w:cs="Segoe UI"/>
                <w:color w:val="000000"/>
                <w:szCs w:val="21"/>
              </w:rPr>
              <w:t>N</w:t>
            </w:r>
            <w:r w:rsidR="00B11222" w:rsidRPr="00B11222">
              <w:rPr>
                <w:rFonts w:eastAsia="Times New Roman" w:cs="Segoe UI"/>
                <w:color w:val="000000"/>
                <w:szCs w:val="21"/>
              </w:rPr>
              <w:t>onlinear characteristic</w:t>
            </w:r>
            <w:r w:rsidR="00DB61A5">
              <w:rPr>
                <w:rFonts w:eastAsia="Times New Roman" w:cs="Segoe UI"/>
                <w:color w:val="000000"/>
                <w:szCs w:val="21"/>
              </w:rPr>
              <w:t>s</w:t>
            </w:r>
            <w:r w:rsidR="00B11222" w:rsidRPr="00B11222">
              <w:rPr>
                <w:rFonts w:eastAsia="Times New Roman" w:cs="Segoe UI"/>
                <w:color w:val="000000"/>
                <w:szCs w:val="21"/>
              </w:rPr>
              <w:t xml:space="preserve"> </w:t>
            </w:r>
            <w:r w:rsidR="0092774C">
              <w:rPr>
                <w:rFonts w:eastAsia="Times New Roman" w:cs="Segoe UI"/>
                <w:color w:val="000000"/>
                <w:szCs w:val="21"/>
              </w:rPr>
              <w:t>are</w:t>
            </w:r>
            <w:r w:rsidR="00B11222" w:rsidRPr="00B11222">
              <w:rPr>
                <w:rFonts w:eastAsia="Times New Roman" w:cs="Segoe UI"/>
                <w:color w:val="000000"/>
                <w:szCs w:val="21"/>
              </w:rPr>
              <w:t xml:space="preserve"> a function of </w:t>
            </w:r>
            <w:r w:rsidR="0092774C">
              <w:rPr>
                <w:rFonts w:eastAsia="Times New Roman" w:cs="Segoe UI"/>
                <w:color w:val="000000"/>
                <w:szCs w:val="21"/>
              </w:rPr>
              <w:t xml:space="preserve">the </w:t>
            </w:r>
            <w:r w:rsidR="00B11222" w:rsidRPr="00B11222">
              <w:rPr>
                <w:rFonts w:eastAsia="Times New Roman" w:cs="Segoe UI"/>
                <w:color w:val="000000"/>
                <w:szCs w:val="21"/>
              </w:rPr>
              <w:t>number of endpoints using the network, such that throughput can suddenly drop off drastically (or alternately packet delivery times can suddenly drastically increase) with addition of endpoints that move the network past a breakpoint.</w:t>
            </w:r>
          </w:p>
        </w:tc>
      </w:tr>
      <w:tr w:rsidR="00E750BF" w:rsidRPr="00D7193D" w14:paraId="15C781BE" w14:textId="77777777" w:rsidTr="00ED5BCF">
        <w:trPr>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03984C1F" w14:textId="69736772" w:rsidR="00E750BF" w:rsidRPr="00F14453" w:rsidRDefault="00C95336" w:rsidP="00F14453">
            <w:pPr>
              <w:spacing w:before="120" w:after="60"/>
              <w:jc w:val="center"/>
              <w:rPr>
                <w:color w:val="FAFAFA" w:themeColor="background1"/>
              </w:rPr>
            </w:pPr>
            <w:r w:rsidRPr="00F14453">
              <w:rPr>
                <w:color w:val="FAFAFA" w:themeColor="background1"/>
              </w:rPr>
              <w:t>Packet loss</w:t>
            </w:r>
          </w:p>
        </w:tc>
        <w:tc>
          <w:tcPr>
            <w:tcW w:w="2127" w:type="dxa"/>
          </w:tcPr>
          <w:p w14:paraId="1313CBA0" w14:textId="562B6505" w:rsidR="00E750BF" w:rsidRPr="00C95336" w:rsidRDefault="00F72ED2" w:rsidP="00C95336">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1"/>
              </w:rPr>
            </w:pPr>
            <w:r>
              <w:rPr>
                <w:rFonts w:eastAsia="Times New Roman" w:cs="Segoe UI"/>
                <w:color w:val="000000"/>
                <w:szCs w:val="21"/>
              </w:rPr>
              <w:t>T</w:t>
            </w:r>
            <w:r w:rsidR="00C95336" w:rsidRPr="00C95336">
              <w:rPr>
                <w:rFonts w:eastAsia="Times New Roman" w:cs="Segoe UI"/>
                <w:color w:val="000000"/>
                <w:szCs w:val="21"/>
              </w:rPr>
              <w:t>he loss or non-delivery of entire data packets during transmission over a network</w:t>
            </w:r>
            <w:r w:rsidR="00821570">
              <w:rPr>
                <w:rFonts w:eastAsia="Times New Roman" w:cs="Segoe UI"/>
                <w:color w:val="000000"/>
                <w:szCs w:val="21"/>
              </w:rPr>
              <w:t>.</w:t>
            </w:r>
          </w:p>
        </w:tc>
        <w:tc>
          <w:tcPr>
            <w:tcW w:w="4392" w:type="dxa"/>
          </w:tcPr>
          <w:p w14:paraId="7B15FE3E" w14:textId="043DD916" w:rsidR="00E750BF" w:rsidRPr="00F6605D" w:rsidRDefault="0057757D" w:rsidP="00F6605D">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1"/>
              </w:rPr>
            </w:pPr>
            <w:r w:rsidRPr="0057757D">
              <w:rPr>
                <w:rFonts w:eastAsia="Times New Roman" w:cs="Segoe UI"/>
                <w:color w:val="000000"/>
                <w:szCs w:val="21"/>
              </w:rPr>
              <w:t>Packet loss can result from various issues in network operation, including network congestion, hardware failures, buffer overflows, or errors in routing decisions. Packet loss can also be due to physical factors including noise, interference, signal attenuation, and distortion in the communication channel. Loss of data packets during transmission can result in incomplete or delayed information, affecting the accuracy of grid management decisions.</w:t>
            </w:r>
          </w:p>
        </w:tc>
      </w:tr>
      <w:tr w:rsidR="00E42F15" w:rsidRPr="00D7193D" w14:paraId="6A1E05EA" w14:textId="77777777" w:rsidTr="00ED5BC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009969BB" w14:textId="0CD63060" w:rsidR="00E42F15" w:rsidRPr="00F14453" w:rsidRDefault="00E42F15" w:rsidP="00F14453">
            <w:pPr>
              <w:spacing w:before="120" w:after="60"/>
              <w:jc w:val="center"/>
              <w:rPr>
                <w:color w:val="FAFAFA" w:themeColor="background1"/>
              </w:rPr>
            </w:pPr>
            <w:r w:rsidRPr="00F14453">
              <w:rPr>
                <w:color w:val="FAFAFA" w:themeColor="background1"/>
              </w:rPr>
              <w:lastRenderedPageBreak/>
              <w:t>Availability</w:t>
            </w:r>
          </w:p>
        </w:tc>
        <w:tc>
          <w:tcPr>
            <w:tcW w:w="2127" w:type="dxa"/>
          </w:tcPr>
          <w:p w14:paraId="1879EC0D" w14:textId="3D1EC060" w:rsidR="00E42F15" w:rsidRDefault="00F72ED2" w:rsidP="00C95336">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Pr>
                <w:rFonts w:eastAsia="Times New Roman" w:cs="Segoe UI"/>
                <w:color w:val="000000"/>
                <w:szCs w:val="21"/>
              </w:rPr>
              <w:t>T</w:t>
            </w:r>
            <w:r w:rsidRPr="00F72ED2">
              <w:rPr>
                <w:rFonts w:eastAsia="Times New Roman" w:cs="Segoe UI"/>
                <w:color w:val="000000"/>
                <w:szCs w:val="21"/>
              </w:rPr>
              <w:t>he accessibility and usability of services when needed by users</w:t>
            </w:r>
            <w:r w:rsidR="00821570">
              <w:rPr>
                <w:rFonts w:eastAsia="Times New Roman" w:cs="Segoe UI"/>
                <w:color w:val="000000"/>
                <w:szCs w:val="21"/>
              </w:rPr>
              <w:t>.</w:t>
            </w:r>
          </w:p>
        </w:tc>
        <w:tc>
          <w:tcPr>
            <w:tcW w:w="4392" w:type="dxa"/>
          </w:tcPr>
          <w:p w14:paraId="18615C48" w14:textId="3DC85AE7" w:rsidR="00E42F15" w:rsidRPr="00342381" w:rsidRDefault="00342381" w:rsidP="00342381">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sidRPr="00342381">
              <w:rPr>
                <w:rFonts w:eastAsia="Times New Roman" w:cs="Segoe UI"/>
                <w:color w:val="000000"/>
                <w:szCs w:val="21"/>
              </w:rPr>
              <w:t xml:space="preserve">High availability of communication networks ensures continuous monitoring and control of </w:t>
            </w:r>
            <w:r w:rsidR="005F26AA">
              <w:rPr>
                <w:rFonts w:eastAsia="Times New Roman" w:cs="Segoe UI"/>
                <w:color w:val="000000"/>
                <w:szCs w:val="21"/>
              </w:rPr>
              <w:t>power system</w:t>
            </w:r>
            <w:r w:rsidRPr="00342381">
              <w:rPr>
                <w:rFonts w:eastAsia="Times New Roman" w:cs="Segoe UI"/>
                <w:color w:val="000000"/>
                <w:szCs w:val="21"/>
              </w:rPr>
              <w:t xml:space="preserve"> assets. Unavailability can lead to gaps in data, potentially causing operators to miss critical changes in grid conditions or be unable to send control commands when needed.</w:t>
            </w:r>
            <w:r w:rsidR="00EF63B9">
              <w:t xml:space="preserve"> </w:t>
            </w:r>
            <w:r w:rsidR="00EF63B9" w:rsidRPr="00EF63B9">
              <w:rPr>
                <w:rFonts w:eastAsia="Times New Roman" w:cs="Segoe UI"/>
                <w:color w:val="000000"/>
                <w:szCs w:val="21"/>
              </w:rPr>
              <w:t>The redundancy of communications networks is an important consideration. It could conceivably arise that OEM, vendor or other functions of the power system are dependent on digital connectivity that is in-turn dependent on the power system. During a power-outage those systems become inoperable potentially causing instability, for example, during black-start.</w:t>
            </w:r>
          </w:p>
        </w:tc>
      </w:tr>
      <w:tr w:rsidR="00AA58FE" w:rsidRPr="00D7193D" w14:paraId="5ADC26DC" w14:textId="77777777" w:rsidTr="00ED5BCF">
        <w:trPr>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4226A150" w14:textId="1E04EBAF" w:rsidR="00AA58FE" w:rsidRPr="00F14453" w:rsidRDefault="00AA58FE" w:rsidP="00F14453">
            <w:pPr>
              <w:spacing w:before="120" w:after="60"/>
              <w:jc w:val="center"/>
              <w:rPr>
                <w:color w:val="FAFAFA" w:themeColor="background1"/>
              </w:rPr>
            </w:pPr>
            <w:r w:rsidRPr="00F14453">
              <w:rPr>
                <w:color w:val="FAFAFA" w:themeColor="background1"/>
              </w:rPr>
              <w:t>Security</w:t>
            </w:r>
          </w:p>
        </w:tc>
        <w:tc>
          <w:tcPr>
            <w:tcW w:w="2127" w:type="dxa"/>
          </w:tcPr>
          <w:p w14:paraId="5F073EEC" w14:textId="3D9FA9E5" w:rsidR="00AA58FE" w:rsidRDefault="00821570" w:rsidP="00C95336">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1"/>
              </w:rPr>
            </w:pPr>
            <w:r>
              <w:rPr>
                <w:rFonts w:eastAsia="Times New Roman" w:cs="Segoe UI"/>
                <w:color w:val="000000"/>
                <w:szCs w:val="21"/>
              </w:rPr>
              <w:t>T</w:t>
            </w:r>
            <w:r w:rsidR="00AA58FE" w:rsidRPr="00AA58FE">
              <w:rPr>
                <w:rFonts w:eastAsia="Times New Roman" w:cs="Segoe UI"/>
                <w:color w:val="000000"/>
                <w:szCs w:val="21"/>
              </w:rPr>
              <w:t>he protection of data, information, and communication channels from unauthori</w:t>
            </w:r>
            <w:r w:rsidR="00F66AD3">
              <w:rPr>
                <w:rFonts w:eastAsia="Times New Roman" w:cs="Segoe UI"/>
                <w:color w:val="000000"/>
                <w:szCs w:val="21"/>
              </w:rPr>
              <w:t>s</w:t>
            </w:r>
            <w:r w:rsidR="00AA58FE" w:rsidRPr="00AA58FE">
              <w:rPr>
                <w:rFonts w:eastAsia="Times New Roman" w:cs="Segoe UI"/>
                <w:color w:val="000000"/>
                <w:szCs w:val="21"/>
              </w:rPr>
              <w:t>ed access, disclosure, alteration, and disruption.</w:t>
            </w:r>
          </w:p>
        </w:tc>
        <w:tc>
          <w:tcPr>
            <w:tcW w:w="4392" w:type="dxa"/>
          </w:tcPr>
          <w:p w14:paraId="3405BACD" w14:textId="4BE5F163" w:rsidR="00AA58FE" w:rsidRPr="00342381" w:rsidRDefault="0083041A" w:rsidP="00342381">
            <w:pPr>
              <w:spacing w:before="60" w:after="60" w:line="300" w:lineRule="atLeast"/>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1"/>
              </w:rPr>
            </w:pPr>
            <w:r>
              <w:rPr>
                <w:rFonts w:eastAsia="Times New Roman" w:cs="Segoe UI"/>
                <w:color w:val="000000"/>
                <w:szCs w:val="21"/>
              </w:rPr>
              <w:t>W</w:t>
            </w:r>
            <w:r w:rsidRPr="0083257E">
              <w:rPr>
                <w:rFonts w:eastAsia="Times New Roman" w:cs="Segoe UI"/>
                <w:color w:val="000000"/>
                <w:szCs w:val="21"/>
              </w:rPr>
              <w:t>ell-designed</w:t>
            </w:r>
            <w:r w:rsidR="0083257E" w:rsidRPr="0083257E">
              <w:rPr>
                <w:rFonts w:eastAsia="Times New Roman" w:cs="Segoe UI"/>
                <w:color w:val="000000"/>
                <w:szCs w:val="21"/>
              </w:rPr>
              <w:t xml:space="preserve"> communication networks can provide many specific security protocols and layers of cyber protection. In addition, the very structure of a network can either enhance or degrade the inherent resilience of a network </w:t>
            </w:r>
            <w:r w:rsidR="008866B1">
              <w:rPr>
                <w:rFonts w:eastAsia="Times New Roman" w:cs="Segoe UI"/>
                <w:color w:val="000000"/>
                <w:szCs w:val="21"/>
              </w:rPr>
              <w:t>with</w:t>
            </w:r>
            <w:r w:rsidR="0083257E" w:rsidRPr="0083257E">
              <w:rPr>
                <w:rFonts w:eastAsia="Times New Roman" w:cs="Segoe UI"/>
                <w:color w:val="000000"/>
                <w:szCs w:val="21"/>
              </w:rPr>
              <w:t xml:space="preserve"> regard</w:t>
            </w:r>
            <w:r w:rsidR="008866B1">
              <w:rPr>
                <w:rFonts w:eastAsia="Times New Roman" w:cs="Segoe UI"/>
                <w:color w:val="000000"/>
                <w:szCs w:val="21"/>
              </w:rPr>
              <w:t xml:space="preserve"> to</w:t>
            </w:r>
            <w:r w:rsidR="0083257E" w:rsidRPr="0083257E">
              <w:rPr>
                <w:rFonts w:eastAsia="Times New Roman" w:cs="Segoe UI"/>
                <w:color w:val="000000"/>
                <w:szCs w:val="21"/>
              </w:rPr>
              <w:t xml:space="preserve"> cyber security vulnerabilities.</w:t>
            </w:r>
            <w:r w:rsidR="004E3939" w:rsidRPr="004E3939">
              <w:rPr>
                <w:rFonts w:eastAsia="Times New Roman" w:cs="Segoe UI"/>
                <w:color w:val="000000"/>
                <w:szCs w:val="21"/>
              </w:rPr>
              <w:t xml:space="preserve"> Breaches can compromise the control of grid assets and lead to operational disruptions.</w:t>
            </w:r>
          </w:p>
        </w:tc>
      </w:tr>
      <w:tr w:rsidR="00E750BF" w:rsidRPr="00D7193D" w14:paraId="081A2093" w14:textId="77777777" w:rsidTr="00ED5BC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01" w:type="dxa"/>
            <w:shd w:val="clear" w:color="auto" w:fill="067296" w:themeFill="text2"/>
          </w:tcPr>
          <w:p w14:paraId="21C91B2F" w14:textId="4BEE8453" w:rsidR="00E750BF" w:rsidRPr="00F14453" w:rsidRDefault="00E750BF" w:rsidP="00F14453">
            <w:pPr>
              <w:spacing w:before="120" w:after="60"/>
              <w:jc w:val="center"/>
              <w:rPr>
                <w:color w:val="FAFAFA" w:themeColor="background1"/>
              </w:rPr>
            </w:pPr>
            <w:r w:rsidRPr="00F14453">
              <w:rPr>
                <w:color w:val="FAFAFA" w:themeColor="background1"/>
              </w:rPr>
              <w:t>Latency</w:t>
            </w:r>
          </w:p>
        </w:tc>
        <w:tc>
          <w:tcPr>
            <w:tcW w:w="2127" w:type="dxa"/>
          </w:tcPr>
          <w:p w14:paraId="620ADBE6" w14:textId="55A18455" w:rsidR="00E750BF" w:rsidRPr="0035630A" w:rsidRDefault="0035630A" w:rsidP="0035630A">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Pr>
                <w:rFonts w:eastAsia="Times New Roman" w:cs="Segoe UI"/>
                <w:color w:val="000000"/>
                <w:szCs w:val="21"/>
              </w:rPr>
              <w:t>T</w:t>
            </w:r>
            <w:r w:rsidRPr="0035630A">
              <w:rPr>
                <w:rFonts w:eastAsia="Times New Roman" w:cs="Segoe UI"/>
                <w:color w:val="000000"/>
                <w:szCs w:val="21"/>
              </w:rPr>
              <w:t>he delay in the transmission of data from the sender (source) to the receiver (destination) over a network or communication channel</w:t>
            </w:r>
          </w:p>
        </w:tc>
        <w:tc>
          <w:tcPr>
            <w:tcW w:w="4392" w:type="dxa"/>
          </w:tcPr>
          <w:p w14:paraId="3B24A6A7" w14:textId="069022FE" w:rsidR="00E750BF" w:rsidRPr="00844E48" w:rsidRDefault="00844E48" w:rsidP="00844E48">
            <w:pPr>
              <w:spacing w:before="60" w:after="60" w:line="300" w:lineRule="atLeast"/>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1"/>
              </w:rPr>
            </w:pPr>
            <w:r w:rsidRPr="00844E48">
              <w:rPr>
                <w:rFonts w:eastAsia="Times New Roman" w:cs="Segoe UI"/>
                <w:color w:val="000000"/>
                <w:szCs w:val="21"/>
              </w:rPr>
              <w:t xml:space="preserve">Low latency is critical for real-time </w:t>
            </w:r>
            <w:r w:rsidR="00A53A79">
              <w:rPr>
                <w:rFonts w:eastAsia="Times New Roman" w:cs="Segoe UI"/>
                <w:color w:val="000000"/>
                <w:szCs w:val="21"/>
              </w:rPr>
              <w:t xml:space="preserve">protection, </w:t>
            </w:r>
            <w:r w:rsidRPr="00844E48">
              <w:rPr>
                <w:rFonts w:eastAsia="Times New Roman" w:cs="Segoe UI"/>
                <w:color w:val="000000"/>
                <w:szCs w:val="21"/>
              </w:rPr>
              <w:t xml:space="preserve">control and coordination of </w:t>
            </w:r>
            <w:r w:rsidR="00662127">
              <w:rPr>
                <w:rFonts w:eastAsia="Times New Roman" w:cs="Segoe UI"/>
                <w:color w:val="000000"/>
                <w:szCs w:val="21"/>
              </w:rPr>
              <w:t>power system</w:t>
            </w:r>
            <w:r w:rsidRPr="00844E48">
              <w:rPr>
                <w:rFonts w:eastAsia="Times New Roman" w:cs="Segoe UI"/>
                <w:color w:val="000000"/>
                <w:szCs w:val="21"/>
              </w:rPr>
              <w:t xml:space="preserve"> assets, especially for quick response needs like load balancing and frequency regulation. High latency can delay responses to grid fluctuations, risking </w:t>
            </w:r>
            <w:r w:rsidR="00A53A79">
              <w:rPr>
                <w:rFonts w:eastAsia="Times New Roman" w:cs="Segoe UI"/>
                <w:color w:val="000000"/>
                <w:szCs w:val="21"/>
              </w:rPr>
              <w:t>in</w:t>
            </w:r>
            <w:r w:rsidRPr="00844E48">
              <w:rPr>
                <w:rFonts w:eastAsia="Times New Roman" w:cs="Segoe UI"/>
                <w:color w:val="000000"/>
                <w:szCs w:val="21"/>
              </w:rPr>
              <w:t>stability.</w:t>
            </w:r>
            <w:r>
              <w:rPr>
                <w:rFonts w:eastAsia="Times New Roman" w:cs="Segoe UI"/>
                <w:color w:val="000000"/>
                <w:szCs w:val="21"/>
              </w:rPr>
              <w:t xml:space="preserve"> </w:t>
            </w:r>
            <w:r w:rsidR="00E750BF" w:rsidRPr="00844E48">
              <w:rPr>
                <w:rFonts w:eastAsia="Times New Roman" w:cs="Segoe UI"/>
                <w:color w:val="000000"/>
                <w:szCs w:val="21"/>
              </w:rPr>
              <w:t xml:space="preserve">The usefulness of asynchronous networks like the internet for electric grid data communications depends on their ability to achieve </w:t>
            </w:r>
            <w:r w:rsidR="00114C97">
              <w:rPr>
                <w:rFonts w:eastAsia="Times New Roman" w:cs="Segoe UI"/>
                <w:color w:val="000000"/>
                <w:szCs w:val="21"/>
              </w:rPr>
              <w:t>sufficiently bounded</w:t>
            </w:r>
            <w:r w:rsidR="00114C97" w:rsidRPr="00844E48">
              <w:rPr>
                <w:rFonts w:eastAsia="Times New Roman" w:cs="Segoe UI"/>
                <w:color w:val="000000"/>
                <w:szCs w:val="21"/>
              </w:rPr>
              <w:t xml:space="preserve"> </w:t>
            </w:r>
            <w:r w:rsidR="00E750BF" w:rsidRPr="00844E48">
              <w:rPr>
                <w:rFonts w:eastAsia="Times New Roman" w:cs="Segoe UI"/>
                <w:color w:val="000000"/>
                <w:szCs w:val="21"/>
              </w:rPr>
              <w:t>latency.</w:t>
            </w:r>
          </w:p>
        </w:tc>
      </w:tr>
    </w:tbl>
    <w:p w14:paraId="2B9A24FC" w14:textId="77777777" w:rsidR="008B42A6" w:rsidRDefault="008B42A6"/>
    <w:p w14:paraId="30DABFDC" w14:textId="77777777" w:rsidR="008B42A6" w:rsidRDefault="008B42A6">
      <w:r>
        <w:rPr>
          <w:b/>
          <w:bCs/>
        </w:rPr>
        <w:br w:type="page"/>
      </w:r>
    </w:p>
    <w:tbl>
      <w:tblPr>
        <w:tblStyle w:val="ListTable3-Accent1"/>
        <w:tblW w:w="8220" w:type="dxa"/>
        <w:tblInd w:w="-5" w:type="dxa"/>
        <w:tblLook w:val="04A0" w:firstRow="1" w:lastRow="0" w:firstColumn="1" w:lastColumn="0" w:noHBand="0" w:noVBand="1"/>
      </w:tblPr>
      <w:tblGrid>
        <w:gridCol w:w="1701"/>
        <w:gridCol w:w="2127"/>
        <w:gridCol w:w="4392"/>
      </w:tblGrid>
      <w:tr w:rsidR="004B43F3" w:rsidRPr="00D7193D" w14:paraId="36D0FA12" w14:textId="77777777" w:rsidTr="00ED5BCF">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701" w:type="dxa"/>
            <w:shd w:val="clear" w:color="auto" w:fill="067296" w:themeFill="text2"/>
          </w:tcPr>
          <w:p w14:paraId="6D605AF3" w14:textId="603D75BD" w:rsidR="00E750BF" w:rsidRPr="00D7193D" w:rsidRDefault="00547111" w:rsidP="00F14453">
            <w:pPr>
              <w:spacing w:before="120" w:after="60"/>
              <w:jc w:val="center"/>
            </w:pPr>
            <w:r>
              <w:lastRenderedPageBreak/>
              <w:t>Jitter</w:t>
            </w:r>
          </w:p>
        </w:tc>
        <w:tc>
          <w:tcPr>
            <w:tcW w:w="2127" w:type="dxa"/>
            <w:shd w:val="clear" w:color="auto" w:fill="FAFAFA" w:themeFill="background1"/>
          </w:tcPr>
          <w:p w14:paraId="449DCA75" w14:textId="3EF73845" w:rsidR="00E750BF" w:rsidRPr="00800CE7" w:rsidRDefault="00547111" w:rsidP="00547111">
            <w:pPr>
              <w:spacing w:before="60" w:after="60" w:line="300" w:lineRule="atLeast"/>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Cs w:val="21"/>
              </w:rPr>
            </w:pPr>
            <w:r w:rsidRPr="00800CE7">
              <w:rPr>
                <w:rFonts w:eastAsia="Times New Roman" w:cs="Segoe UI"/>
                <w:b w:val="0"/>
                <w:bCs w:val="0"/>
                <w:color w:val="000000"/>
                <w:szCs w:val="21"/>
              </w:rPr>
              <w:t>The variability in latency over time</w:t>
            </w:r>
          </w:p>
        </w:tc>
        <w:tc>
          <w:tcPr>
            <w:tcW w:w="4392" w:type="dxa"/>
            <w:shd w:val="clear" w:color="auto" w:fill="FAFAFA" w:themeFill="background1"/>
          </w:tcPr>
          <w:p w14:paraId="7AB96E7F" w14:textId="22AF5AB4" w:rsidR="00E750BF" w:rsidRPr="0063735B" w:rsidRDefault="0083041A" w:rsidP="00ED574F">
            <w:pPr>
              <w:spacing w:before="60" w:after="60" w:line="300" w:lineRule="atLeast"/>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Cs w:val="21"/>
              </w:rPr>
            </w:pPr>
            <w:r w:rsidRPr="00A30327">
              <w:rPr>
                <w:rFonts w:eastAsia="Times New Roman" w:cs="Segoe UI"/>
                <w:b w:val="0"/>
                <w:bCs w:val="0"/>
                <w:color w:val="000000"/>
                <w:szCs w:val="21"/>
              </w:rPr>
              <w:t>In power system operations, consistent latency is crucial for synchronising actions across the network. If there is significant jitter, the variability in communication delays can lead to problems in coordinating actions, such as the timing of control signals for grid stability as data packets can arrive out of order. High jitter in a network can undermine the benefits of low latency by making the system less predictable and reliable. Jitter buffers temporarily store incoming packets to allow for out-of-order or delayed packets to arrive.</w:t>
            </w:r>
          </w:p>
        </w:tc>
      </w:tr>
    </w:tbl>
    <w:p w14:paraId="2872E107" w14:textId="1601C72C" w:rsidR="003C41F4" w:rsidRPr="008641A9" w:rsidRDefault="00AE0303" w:rsidP="008641A9">
      <w:pPr>
        <w:pStyle w:val="Heading3"/>
      </w:pPr>
      <w:bookmarkStart w:id="177" w:name="_Toc205532864"/>
      <w:r w:rsidRPr="008641A9">
        <w:t xml:space="preserve">Data </w:t>
      </w:r>
      <w:r w:rsidR="003F25B9" w:rsidRPr="008641A9">
        <w:t>Conversion</w:t>
      </w:r>
      <w:bookmarkEnd w:id="177"/>
    </w:p>
    <w:p w14:paraId="3EC37FD4" w14:textId="3B33693A" w:rsidR="007420CE" w:rsidRPr="0050162C" w:rsidRDefault="0096442C" w:rsidP="0050162C">
      <w:pPr>
        <w:spacing w:before="180" w:after="120" w:line="288" w:lineRule="auto"/>
        <w:rPr>
          <w:rFonts w:cs="Calibri"/>
          <w:szCs w:val="18"/>
        </w:rPr>
      </w:pPr>
      <w:r>
        <w:rPr>
          <w:rFonts w:cs="Calibri"/>
          <w:szCs w:val="18"/>
        </w:rPr>
        <w:t>As intimated above, i</w:t>
      </w:r>
      <w:r w:rsidR="00E82EB3" w:rsidRPr="0050162C">
        <w:rPr>
          <w:rFonts w:cs="Calibri"/>
          <w:szCs w:val="18"/>
        </w:rPr>
        <w:t>dentifying and s</w:t>
      </w:r>
      <w:r w:rsidR="00B737AA" w:rsidRPr="0050162C">
        <w:rPr>
          <w:rFonts w:cs="Calibri"/>
          <w:szCs w:val="18"/>
        </w:rPr>
        <w:t xml:space="preserve">pecifying </w:t>
      </w:r>
      <w:r w:rsidR="00047525" w:rsidRPr="0050162C">
        <w:rPr>
          <w:rFonts w:cs="Calibri"/>
          <w:szCs w:val="18"/>
        </w:rPr>
        <w:t xml:space="preserve">data </w:t>
      </w:r>
      <w:r w:rsidR="00D3397B" w:rsidRPr="0050162C">
        <w:rPr>
          <w:rFonts w:cs="Calibri"/>
          <w:szCs w:val="18"/>
        </w:rPr>
        <w:t xml:space="preserve">conversions </w:t>
      </w:r>
      <w:r w:rsidR="00CD6ECD" w:rsidRPr="0050162C">
        <w:rPr>
          <w:rFonts w:cs="Calibri"/>
          <w:szCs w:val="18"/>
        </w:rPr>
        <w:t>between</w:t>
      </w:r>
      <w:r w:rsidR="00D3397B" w:rsidRPr="0050162C">
        <w:rPr>
          <w:rFonts w:cs="Calibri"/>
          <w:szCs w:val="18"/>
        </w:rPr>
        <w:t xml:space="preserve"> various </w:t>
      </w:r>
      <w:r w:rsidR="00047525" w:rsidRPr="0050162C">
        <w:rPr>
          <w:rFonts w:cs="Calibri"/>
          <w:szCs w:val="18"/>
        </w:rPr>
        <w:t>protocols</w:t>
      </w:r>
      <w:r w:rsidR="005D3785" w:rsidRPr="0050162C">
        <w:rPr>
          <w:rFonts w:cs="Calibri"/>
          <w:szCs w:val="18"/>
        </w:rPr>
        <w:t xml:space="preserve">, </w:t>
      </w:r>
      <w:r w:rsidR="00336938" w:rsidRPr="0050162C">
        <w:rPr>
          <w:rFonts w:cs="Calibri"/>
          <w:szCs w:val="18"/>
        </w:rPr>
        <w:t xml:space="preserve">standards and </w:t>
      </w:r>
      <w:r w:rsidR="005D3785" w:rsidRPr="0050162C">
        <w:rPr>
          <w:rFonts w:cs="Calibri"/>
          <w:szCs w:val="18"/>
        </w:rPr>
        <w:t>semantic</w:t>
      </w:r>
      <w:r w:rsidR="00AC0EFC" w:rsidRPr="0050162C">
        <w:rPr>
          <w:rFonts w:cs="Calibri"/>
          <w:szCs w:val="18"/>
        </w:rPr>
        <w:t xml:space="preserve"> </w:t>
      </w:r>
      <w:r w:rsidR="00865A63" w:rsidRPr="0050162C">
        <w:rPr>
          <w:rFonts w:cs="Calibri"/>
          <w:szCs w:val="18"/>
        </w:rPr>
        <w:t>models</w:t>
      </w:r>
      <w:r w:rsidR="005D3785" w:rsidRPr="0050162C">
        <w:rPr>
          <w:rFonts w:cs="Calibri"/>
          <w:szCs w:val="18"/>
        </w:rPr>
        <w:t xml:space="preserve"> </w:t>
      </w:r>
      <w:r w:rsidR="004E77CF" w:rsidRPr="0050162C">
        <w:rPr>
          <w:rFonts w:cs="Calibri"/>
          <w:szCs w:val="18"/>
        </w:rPr>
        <w:t xml:space="preserve">across the </w:t>
      </w:r>
      <w:r w:rsidR="007658BA" w:rsidRPr="0050162C">
        <w:rPr>
          <w:rFonts w:cs="Calibri"/>
          <w:szCs w:val="18"/>
        </w:rPr>
        <w:t>T-D Interface</w:t>
      </w:r>
      <w:r w:rsidR="004E77CF" w:rsidRPr="0050162C">
        <w:rPr>
          <w:rFonts w:cs="Calibri"/>
          <w:szCs w:val="18"/>
        </w:rPr>
        <w:t xml:space="preserve"> is an importa</w:t>
      </w:r>
      <w:r w:rsidR="00A83841" w:rsidRPr="0050162C">
        <w:rPr>
          <w:rFonts w:cs="Calibri"/>
          <w:szCs w:val="18"/>
        </w:rPr>
        <w:t xml:space="preserve">nt </w:t>
      </w:r>
      <w:r w:rsidR="00FB2413" w:rsidRPr="0050162C">
        <w:rPr>
          <w:rFonts w:cs="Calibri"/>
          <w:szCs w:val="18"/>
        </w:rPr>
        <w:t>design decision</w:t>
      </w:r>
      <w:r w:rsidR="005E72F6" w:rsidRPr="0050162C">
        <w:rPr>
          <w:rFonts w:cs="Calibri"/>
          <w:szCs w:val="18"/>
        </w:rPr>
        <w:t xml:space="preserve">. </w:t>
      </w:r>
      <w:r w:rsidR="002C2283" w:rsidRPr="0050162C">
        <w:rPr>
          <w:rFonts w:cs="Calibri"/>
          <w:szCs w:val="18"/>
        </w:rPr>
        <w:t xml:space="preserve">Historically, </w:t>
      </w:r>
      <w:r w:rsidR="00131F43" w:rsidRPr="0050162C">
        <w:rPr>
          <w:rFonts w:cs="Calibri"/>
          <w:szCs w:val="18"/>
        </w:rPr>
        <w:t xml:space="preserve">data exchange has occurred over a limited number of interfaces </w:t>
      </w:r>
      <w:r w:rsidR="00FB7A19" w:rsidRPr="0050162C">
        <w:rPr>
          <w:rFonts w:cs="Calibri"/>
          <w:szCs w:val="18"/>
        </w:rPr>
        <w:t xml:space="preserve">between </w:t>
      </w:r>
      <w:r w:rsidR="00175B6C" w:rsidRPr="0050162C">
        <w:rPr>
          <w:rFonts w:cs="Calibri"/>
          <w:szCs w:val="18"/>
        </w:rPr>
        <w:t>distribution and transmission systems</w:t>
      </w:r>
      <w:r w:rsidR="002C31C9" w:rsidRPr="0050162C">
        <w:rPr>
          <w:rFonts w:cs="Calibri"/>
          <w:szCs w:val="18"/>
        </w:rPr>
        <w:t xml:space="preserve"> using well established </w:t>
      </w:r>
      <w:r w:rsidR="005D16E9" w:rsidRPr="0050162C">
        <w:rPr>
          <w:rFonts w:cs="Calibri"/>
          <w:szCs w:val="18"/>
        </w:rPr>
        <w:t>utility-grade protocols</w:t>
      </w:r>
      <w:r w:rsidR="005D16E9" w:rsidRPr="00DE3589">
        <w:rPr>
          <w:rFonts w:cs="Calibri"/>
          <w:szCs w:val="18"/>
          <w:vertAlign w:val="superscript"/>
        </w:rPr>
        <w:footnoteReference w:id="6"/>
      </w:r>
      <w:r w:rsidR="00CB095D" w:rsidRPr="0050162C">
        <w:rPr>
          <w:rFonts w:cs="Calibri"/>
          <w:szCs w:val="18"/>
        </w:rPr>
        <w:t xml:space="preserve"> and standard data models</w:t>
      </w:r>
      <w:r w:rsidR="009B6DBC" w:rsidRPr="00DE3589">
        <w:rPr>
          <w:rFonts w:cs="Calibri"/>
          <w:szCs w:val="18"/>
          <w:vertAlign w:val="superscript"/>
        </w:rPr>
        <w:footnoteReference w:id="7"/>
      </w:r>
      <w:r w:rsidR="00175B6C" w:rsidRPr="0050162C">
        <w:rPr>
          <w:rFonts w:cs="Calibri"/>
          <w:szCs w:val="18"/>
        </w:rPr>
        <w:t xml:space="preserve">. </w:t>
      </w:r>
      <w:r w:rsidR="0083225F" w:rsidRPr="0050162C">
        <w:rPr>
          <w:rFonts w:cs="Calibri"/>
          <w:szCs w:val="18"/>
        </w:rPr>
        <w:t xml:space="preserve">These protocols provide standardised means for control rooms and field devices to interoperate across organisational and voltage boundaries. </w:t>
      </w:r>
      <w:r w:rsidR="00D53C77" w:rsidRPr="0050162C">
        <w:rPr>
          <w:rFonts w:cs="Calibri"/>
          <w:szCs w:val="18"/>
        </w:rPr>
        <w:t xml:space="preserve">More recently, </w:t>
      </w:r>
      <w:r w:rsidR="008C54FB" w:rsidRPr="0050162C">
        <w:rPr>
          <w:rFonts w:cs="Calibri"/>
          <w:szCs w:val="18"/>
        </w:rPr>
        <w:t xml:space="preserve">the need to integrate CER/DER </w:t>
      </w:r>
      <w:r w:rsidR="00A14376" w:rsidRPr="0050162C">
        <w:rPr>
          <w:rFonts w:cs="Calibri"/>
          <w:szCs w:val="18"/>
        </w:rPr>
        <w:t xml:space="preserve">at the distribution-level </w:t>
      </w:r>
      <w:r w:rsidR="008C54FB" w:rsidRPr="0050162C">
        <w:rPr>
          <w:rFonts w:cs="Calibri"/>
          <w:szCs w:val="18"/>
        </w:rPr>
        <w:t xml:space="preserve">has led to the introduction of </w:t>
      </w:r>
      <w:r w:rsidR="00D53C77" w:rsidRPr="0050162C">
        <w:rPr>
          <w:rFonts w:cs="Calibri"/>
          <w:szCs w:val="18"/>
        </w:rPr>
        <w:t>new</w:t>
      </w:r>
      <w:r w:rsidR="00A14376" w:rsidRPr="0050162C">
        <w:rPr>
          <w:rFonts w:cs="Calibri"/>
          <w:szCs w:val="18"/>
        </w:rPr>
        <w:t>er</w:t>
      </w:r>
      <w:r w:rsidR="00D53C77" w:rsidRPr="0050162C">
        <w:rPr>
          <w:rFonts w:cs="Calibri"/>
          <w:szCs w:val="18"/>
        </w:rPr>
        <w:t xml:space="preserve"> protocols</w:t>
      </w:r>
      <w:r w:rsidR="00AC19BE" w:rsidRPr="0050162C">
        <w:rPr>
          <w:rFonts w:cs="Calibri"/>
          <w:szCs w:val="18"/>
        </w:rPr>
        <w:t>, such as IEEE2030.5</w:t>
      </w:r>
      <w:r w:rsidR="00337608" w:rsidRPr="0050162C">
        <w:rPr>
          <w:rFonts w:cs="Calibri"/>
          <w:szCs w:val="18"/>
        </w:rPr>
        <w:t xml:space="preserve"> </w:t>
      </w:r>
      <w:r w:rsidR="00FE5DE8" w:rsidRPr="0050162C">
        <w:rPr>
          <w:rFonts w:cs="Calibri"/>
          <w:szCs w:val="18"/>
        </w:rPr>
        <w:t xml:space="preserve">and </w:t>
      </w:r>
      <w:r w:rsidR="00F60E5D">
        <w:rPr>
          <w:rFonts w:cs="Calibri"/>
          <w:szCs w:val="18"/>
        </w:rPr>
        <w:t>alternate</w:t>
      </w:r>
      <w:r w:rsidR="00F60E5D" w:rsidRPr="0050162C">
        <w:rPr>
          <w:rFonts w:cs="Calibri"/>
          <w:szCs w:val="18"/>
        </w:rPr>
        <w:t xml:space="preserve"> </w:t>
      </w:r>
      <w:r w:rsidR="00FE5DE8" w:rsidRPr="0050162C">
        <w:rPr>
          <w:rFonts w:cs="Calibri"/>
          <w:szCs w:val="18"/>
        </w:rPr>
        <w:t xml:space="preserve">proprietary IP-based communication protocols. </w:t>
      </w:r>
      <w:r w:rsidR="00524680" w:rsidRPr="0050162C">
        <w:rPr>
          <w:rFonts w:cs="Calibri"/>
          <w:szCs w:val="18"/>
        </w:rPr>
        <w:t>These protocols depart from traditional utility</w:t>
      </w:r>
      <w:r w:rsidR="001E5DA8" w:rsidRPr="0050162C">
        <w:rPr>
          <w:rFonts w:cs="Calibri"/>
          <w:szCs w:val="18"/>
        </w:rPr>
        <w:t xml:space="preserve"> communications paradigms</w:t>
      </w:r>
      <w:r w:rsidR="00F1450E" w:rsidRPr="0050162C">
        <w:rPr>
          <w:rFonts w:cs="Calibri"/>
          <w:szCs w:val="18"/>
        </w:rPr>
        <w:t xml:space="preserve">, and instead use </w:t>
      </w:r>
      <w:r w:rsidR="005A38C4" w:rsidRPr="0050162C">
        <w:rPr>
          <w:rFonts w:cs="Calibri"/>
          <w:szCs w:val="18"/>
        </w:rPr>
        <w:t>client-server, RESTful web services architecture (over HTTP/HTTPS) with an XML/JSON payload</w:t>
      </w:r>
      <w:r w:rsidR="00F1450E" w:rsidRPr="0050162C">
        <w:rPr>
          <w:rFonts w:cs="Calibri"/>
          <w:szCs w:val="18"/>
        </w:rPr>
        <w:t xml:space="preserve"> for the purposes of </w:t>
      </w:r>
      <w:r w:rsidR="005A38C4" w:rsidRPr="0050162C">
        <w:rPr>
          <w:rFonts w:cs="Calibri"/>
          <w:szCs w:val="18"/>
        </w:rPr>
        <w:t xml:space="preserve">interacting with customer-sited </w:t>
      </w:r>
      <w:r w:rsidR="006D0C04" w:rsidRPr="0050162C">
        <w:rPr>
          <w:rFonts w:cs="Calibri"/>
          <w:szCs w:val="18"/>
        </w:rPr>
        <w:t>CER/</w:t>
      </w:r>
      <w:r w:rsidR="005A38C4" w:rsidRPr="0050162C">
        <w:rPr>
          <w:rFonts w:cs="Calibri"/>
          <w:szCs w:val="18"/>
        </w:rPr>
        <w:t>DER systems via the internet.</w:t>
      </w:r>
      <w:r w:rsidR="00397961" w:rsidRPr="0050162C">
        <w:rPr>
          <w:rFonts w:cs="Calibri"/>
          <w:szCs w:val="18"/>
        </w:rPr>
        <w:t xml:space="preserve"> This h</w:t>
      </w:r>
      <w:r w:rsidR="00E206C7" w:rsidRPr="0050162C">
        <w:rPr>
          <w:rFonts w:cs="Calibri"/>
          <w:szCs w:val="18"/>
        </w:rPr>
        <w:t xml:space="preserve">eterogeneity of systems </w:t>
      </w:r>
      <w:r w:rsidR="0052534D" w:rsidRPr="0050162C">
        <w:rPr>
          <w:rFonts w:cs="Calibri"/>
          <w:szCs w:val="18"/>
        </w:rPr>
        <w:t xml:space="preserve">either side of </w:t>
      </w:r>
      <w:r w:rsidR="00E206C7" w:rsidRPr="0050162C">
        <w:rPr>
          <w:rFonts w:cs="Calibri"/>
          <w:szCs w:val="18"/>
        </w:rPr>
        <w:t xml:space="preserve">the T-D interface </w:t>
      </w:r>
      <w:r w:rsidR="007875FC" w:rsidRPr="0050162C">
        <w:rPr>
          <w:rFonts w:cs="Calibri"/>
          <w:szCs w:val="18"/>
        </w:rPr>
        <w:t xml:space="preserve">requires </w:t>
      </w:r>
      <w:r w:rsidR="00022980" w:rsidRPr="0050162C">
        <w:rPr>
          <w:rFonts w:cs="Calibri"/>
          <w:szCs w:val="18"/>
        </w:rPr>
        <w:t xml:space="preserve">bridging </w:t>
      </w:r>
      <w:r w:rsidR="001A1F91" w:rsidRPr="0050162C">
        <w:rPr>
          <w:rFonts w:cs="Calibri"/>
          <w:szCs w:val="18"/>
        </w:rPr>
        <w:t xml:space="preserve">mechanisms </w:t>
      </w:r>
      <w:r w:rsidR="005F4342" w:rsidRPr="0050162C">
        <w:rPr>
          <w:rFonts w:cs="Calibri"/>
          <w:szCs w:val="18"/>
        </w:rPr>
        <w:t>and</w:t>
      </w:r>
      <w:r w:rsidR="001A1F91" w:rsidRPr="0050162C">
        <w:rPr>
          <w:rFonts w:cs="Calibri"/>
          <w:szCs w:val="18"/>
        </w:rPr>
        <w:t xml:space="preserve"> data manipulations </w:t>
      </w:r>
      <w:r w:rsidR="005F4342" w:rsidRPr="0050162C">
        <w:rPr>
          <w:rFonts w:cs="Calibri"/>
          <w:szCs w:val="18"/>
        </w:rPr>
        <w:t>that maintain</w:t>
      </w:r>
      <w:r w:rsidR="001A1F91" w:rsidRPr="0050162C">
        <w:rPr>
          <w:rFonts w:cs="Calibri"/>
          <w:szCs w:val="18"/>
        </w:rPr>
        <w:t xml:space="preserve"> semantic consistency</w:t>
      </w:r>
      <w:r w:rsidR="00A30327">
        <w:rPr>
          <w:rFonts w:cs="Calibri"/>
          <w:noProof/>
          <w:szCs w:val="18"/>
        </w:rPr>
        <w:t xml:space="preserve"> </w:t>
      </w:r>
      <w:r w:rsidR="00A30327" w:rsidRPr="000D4FC2">
        <w:rPr>
          <w:rFonts w:cs="Calibri"/>
          <w:noProof/>
          <w:szCs w:val="18"/>
        </w:rPr>
        <w:t>[32]</w:t>
      </w:r>
      <w:r w:rsidR="005F4342" w:rsidRPr="0050162C">
        <w:rPr>
          <w:rFonts w:cs="Calibri"/>
          <w:szCs w:val="18"/>
        </w:rPr>
        <w:t>.</w:t>
      </w:r>
      <w:r w:rsidR="008D36BA" w:rsidRPr="0050162C">
        <w:rPr>
          <w:rFonts w:cs="Calibri"/>
          <w:szCs w:val="18"/>
        </w:rPr>
        <w:t xml:space="preserve"> </w:t>
      </w:r>
      <w:r w:rsidR="00F851E4" w:rsidRPr="0050162C">
        <w:rPr>
          <w:rFonts w:cs="Calibri"/>
          <w:szCs w:val="18"/>
        </w:rPr>
        <w:t>R</w:t>
      </w:r>
      <w:r w:rsidR="008D36BA" w:rsidRPr="0050162C">
        <w:rPr>
          <w:rFonts w:cs="Calibri"/>
          <w:szCs w:val="18"/>
        </w:rPr>
        <w:t xml:space="preserve">obust translation gateways </w:t>
      </w:r>
      <w:r w:rsidR="00F851E4" w:rsidRPr="0050162C">
        <w:rPr>
          <w:rFonts w:cs="Calibri"/>
          <w:szCs w:val="18"/>
        </w:rPr>
        <w:t xml:space="preserve">are needed </w:t>
      </w:r>
      <w:r w:rsidR="00474822" w:rsidRPr="0050162C">
        <w:rPr>
          <w:rFonts w:cs="Calibri"/>
          <w:szCs w:val="18"/>
        </w:rPr>
        <w:t xml:space="preserve">to avoid protocol translation errors and </w:t>
      </w:r>
      <w:r w:rsidR="008D36BA" w:rsidRPr="0050162C">
        <w:rPr>
          <w:rFonts w:cs="Calibri"/>
          <w:szCs w:val="18"/>
        </w:rPr>
        <w:t>so that messages maintain their meaning across protocols</w:t>
      </w:r>
      <w:r w:rsidR="00A30327">
        <w:rPr>
          <w:rFonts w:cs="Calibri"/>
          <w:noProof/>
          <w:szCs w:val="18"/>
        </w:rPr>
        <w:t xml:space="preserve"> </w:t>
      </w:r>
      <w:r w:rsidR="00A30327" w:rsidRPr="000D4FC2">
        <w:rPr>
          <w:rFonts w:cs="Calibri"/>
          <w:noProof/>
          <w:szCs w:val="18"/>
        </w:rPr>
        <w:t>[33]</w:t>
      </w:r>
      <w:r w:rsidR="008D36BA" w:rsidRPr="0050162C">
        <w:rPr>
          <w:rFonts w:cs="Calibri"/>
          <w:szCs w:val="18"/>
        </w:rPr>
        <w:t xml:space="preserve">. </w:t>
      </w:r>
    </w:p>
    <w:p w14:paraId="6FBE2656" w14:textId="393AE6C1" w:rsidR="008B42A6" w:rsidRDefault="008D36BA" w:rsidP="00F62B3B">
      <w:pPr>
        <w:spacing w:before="180" w:after="120" w:line="288" w:lineRule="auto"/>
        <w:rPr>
          <w:rFonts w:cs="Calibri"/>
          <w:szCs w:val="18"/>
        </w:rPr>
      </w:pPr>
      <w:r w:rsidRPr="0050162C">
        <w:rPr>
          <w:rFonts w:cs="Calibri"/>
          <w:szCs w:val="18"/>
        </w:rPr>
        <w:t xml:space="preserve">In practice, middleware </w:t>
      </w:r>
      <w:r w:rsidR="00AA19F0" w:rsidRPr="0050162C">
        <w:rPr>
          <w:rFonts w:cs="Calibri"/>
          <w:szCs w:val="18"/>
        </w:rPr>
        <w:t>is often use</w:t>
      </w:r>
      <w:r w:rsidR="00D44ECB" w:rsidRPr="0050162C">
        <w:rPr>
          <w:rFonts w:cs="Calibri"/>
          <w:szCs w:val="18"/>
        </w:rPr>
        <w:t xml:space="preserve">d </w:t>
      </w:r>
      <w:r w:rsidR="00776ED0" w:rsidRPr="0050162C">
        <w:rPr>
          <w:rFonts w:cs="Calibri"/>
          <w:szCs w:val="18"/>
        </w:rPr>
        <w:t>as a translator and integrator between the various p</w:t>
      </w:r>
      <w:r w:rsidR="00440A29" w:rsidRPr="0050162C">
        <w:rPr>
          <w:rFonts w:cs="Calibri"/>
          <w:szCs w:val="18"/>
        </w:rPr>
        <w:t xml:space="preserve">rotocols and market platforms used by TNSPs, DNSPs, DSOs and aggregators. </w:t>
      </w:r>
      <w:r w:rsidR="00AC6D19" w:rsidRPr="0050162C">
        <w:rPr>
          <w:rFonts w:cs="Calibri"/>
          <w:szCs w:val="18"/>
        </w:rPr>
        <w:t>I</w:t>
      </w:r>
      <w:r w:rsidR="00594AF1" w:rsidRPr="0050162C">
        <w:rPr>
          <w:rFonts w:cs="Calibri"/>
          <w:szCs w:val="18"/>
        </w:rPr>
        <w:t>n the con</w:t>
      </w:r>
      <w:r w:rsidR="00AC6D19">
        <w:rPr>
          <w:rFonts w:cs="Calibri"/>
          <w:szCs w:val="18"/>
        </w:rPr>
        <w:t>t</w:t>
      </w:r>
      <w:r w:rsidR="00594AF1" w:rsidRPr="0050162C">
        <w:rPr>
          <w:rFonts w:cs="Calibri"/>
          <w:szCs w:val="18"/>
        </w:rPr>
        <w:t>ext of TSO-DSO</w:t>
      </w:r>
      <w:r w:rsidR="00A82390">
        <w:rPr>
          <w:rFonts w:cs="Calibri"/>
          <w:szCs w:val="18"/>
        </w:rPr>
        <w:t>,</w:t>
      </w:r>
      <w:r w:rsidR="00594AF1" w:rsidRPr="0050162C">
        <w:rPr>
          <w:rFonts w:cs="Calibri"/>
          <w:szCs w:val="18"/>
        </w:rPr>
        <w:t xml:space="preserve"> t</w:t>
      </w:r>
      <w:r w:rsidR="002E33DF" w:rsidRPr="0050162C">
        <w:rPr>
          <w:rFonts w:cs="Calibri"/>
          <w:szCs w:val="18"/>
        </w:rPr>
        <w:t xml:space="preserve">he EU’s OneNet Project defines middleware </w:t>
      </w:r>
      <w:r w:rsidR="00594AF1" w:rsidRPr="0050162C">
        <w:rPr>
          <w:rFonts w:cs="Calibri"/>
          <w:szCs w:val="18"/>
        </w:rPr>
        <w:t xml:space="preserve">as </w:t>
      </w:r>
      <w:r w:rsidR="00594AF1" w:rsidRPr="0050162C">
        <w:rPr>
          <w:rFonts w:cs="Calibri"/>
          <w:i/>
          <w:szCs w:val="18"/>
        </w:rPr>
        <w:t>“a software layer that enables interoperability between different grid control systems, protocols, and market platforms, ensuring real-time data exchange and coordinated decision-making across transmission and distribution networks</w:t>
      </w:r>
      <w:r w:rsidR="0050162C" w:rsidRPr="0050162C">
        <w:rPr>
          <w:rFonts w:cs="Calibri"/>
          <w:i/>
          <w:iCs/>
          <w:szCs w:val="18"/>
        </w:rPr>
        <w:t>”</w:t>
      </w:r>
      <w:r w:rsidR="003211D1">
        <w:rPr>
          <w:rFonts w:cs="Calibri"/>
          <w:noProof/>
          <w:szCs w:val="18"/>
        </w:rPr>
        <w:t xml:space="preserve"> </w:t>
      </w:r>
      <w:r w:rsidR="003211D1" w:rsidRPr="000D4FC2">
        <w:rPr>
          <w:rFonts w:cs="Calibri"/>
          <w:noProof/>
          <w:szCs w:val="18"/>
        </w:rPr>
        <w:t>[34]</w:t>
      </w:r>
      <w:r w:rsidR="00594AF1" w:rsidRPr="0050162C">
        <w:rPr>
          <w:rFonts w:cs="Calibri"/>
          <w:szCs w:val="18"/>
        </w:rPr>
        <w:t>.</w:t>
      </w:r>
      <w:r w:rsidR="00951DDD" w:rsidRPr="0050162C">
        <w:rPr>
          <w:rFonts w:cs="Calibri"/>
          <w:szCs w:val="18"/>
        </w:rPr>
        <w:t xml:space="preserve"> </w:t>
      </w:r>
      <w:r w:rsidR="003E337D">
        <w:rPr>
          <w:rFonts w:cs="Calibri"/>
          <w:szCs w:val="18"/>
        </w:rPr>
        <w:t>However, the use of either gateways or middleware must be carefully considered at the architectur</w:t>
      </w:r>
      <w:r w:rsidR="00607FBF">
        <w:rPr>
          <w:rFonts w:cs="Calibri"/>
          <w:szCs w:val="18"/>
        </w:rPr>
        <w:t>ally</w:t>
      </w:r>
      <w:r w:rsidR="003E337D">
        <w:rPr>
          <w:rFonts w:cs="Calibri"/>
          <w:szCs w:val="18"/>
        </w:rPr>
        <w:t xml:space="preserve">, as each introduces potentially significant disadvantages. </w:t>
      </w:r>
      <w:r w:rsidR="00220035">
        <w:rPr>
          <w:rFonts w:cs="Calibri"/>
          <w:szCs w:val="18"/>
        </w:rPr>
        <w:t xml:space="preserve">Preferably, </w:t>
      </w:r>
      <w:r w:rsidR="00203492">
        <w:rPr>
          <w:rFonts w:cs="Calibri"/>
          <w:szCs w:val="18"/>
        </w:rPr>
        <w:t>an expansive</w:t>
      </w:r>
      <w:r w:rsidR="00F62B3B" w:rsidRPr="00F62B3B">
        <w:rPr>
          <w:rFonts w:cs="Calibri"/>
          <w:szCs w:val="18"/>
        </w:rPr>
        <w:t xml:space="preserve"> architectur</w:t>
      </w:r>
      <w:r w:rsidR="00203492">
        <w:rPr>
          <w:rFonts w:cs="Calibri"/>
          <w:szCs w:val="18"/>
        </w:rPr>
        <w:t xml:space="preserve">al process </w:t>
      </w:r>
      <w:r w:rsidR="00F62B3B" w:rsidRPr="00F62B3B">
        <w:rPr>
          <w:rFonts w:cs="Calibri"/>
          <w:szCs w:val="18"/>
        </w:rPr>
        <w:t>defines and controls interfaces</w:t>
      </w:r>
      <w:r w:rsidR="00772EEE">
        <w:rPr>
          <w:rFonts w:cs="Calibri"/>
          <w:szCs w:val="18"/>
        </w:rPr>
        <w:t xml:space="preserve">. </w:t>
      </w:r>
    </w:p>
    <w:p w14:paraId="17801CCE" w14:textId="42FAA4B4" w:rsidR="00022980" w:rsidRDefault="00F62B3B" w:rsidP="00F62B3B">
      <w:pPr>
        <w:spacing w:before="180" w:after="120" w:line="288" w:lineRule="auto"/>
        <w:rPr>
          <w:rFonts w:cs="Calibri"/>
          <w:szCs w:val="18"/>
        </w:rPr>
      </w:pPr>
      <w:r w:rsidRPr="00F62B3B">
        <w:rPr>
          <w:rFonts w:cs="Calibri"/>
          <w:szCs w:val="18"/>
        </w:rPr>
        <w:lastRenderedPageBreak/>
        <w:t xml:space="preserve">Present day utility interoperability </w:t>
      </w:r>
      <w:r w:rsidR="008166A5">
        <w:rPr>
          <w:rFonts w:cs="Calibri"/>
          <w:szCs w:val="18"/>
        </w:rPr>
        <w:t xml:space="preserve">using translation layers </w:t>
      </w:r>
      <w:r w:rsidR="0077418B">
        <w:rPr>
          <w:rFonts w:cs="Calibri"/>
          <w:szCs w:val="18"/>
        </w:rPr>
        <w:t xml:space="preserve">is a consequence of incremental adaption, and </w:t>
      </w:r>
      <w:r w:rsidR="00E95143">
        <w:rPr>
          <w:rFonts w:cs="Calibri"/>
          <w:szCs w:val="18"/>
        </w:rPr>
        <w:t xml:space="preserve">not intentional </w:t>
      </w:r>
      <w:r w:rsidR="00041C92">
        <w:rPr>
          <w:rFonts w:cs="Calibri"/>
          <w:szCs w:val="18"/>
        </w:rPr>
        <w:t>architectural</w:t>
      </w:r>
      <w:r w:rsidR="00E95143">
        <w:rPr>
          <w:rFonts w:cs="Calibri"/>
          <w:szCs w:val="18"/>
        </w:rPr>
        <w:t xml:space="preserve"> design</w:t>
      </w:r>
      <w:r w:rsidRPr="00F62B3B">
        <w:rPr>
          <w:rFonts w:cs="Calibri"/>
          <w:szCs w:val="18"/>
        </w:rPr>
        <w:t xml:space="preserve">. </w:t>
      </w:r>
      <w:r w:rsidR="008B42A6">
        <w:rPr>
          <w:rFonts w:cs="Calibri"/>
          <w:szCs w:val="18"/>
        </w:rPr>
        <w:t>As</w:t>
      </w:r>
      <w:r w:rsidR="00A92174">
        <w:rPr>
          <w:rFonts w:cs="Calibri"/>
          <w:szCs w:val="18"/>
        </w:rPr>
        <w:t xml:space="preserve"> legacy power systems undergo significant transformation, </w:t>
      </w:r>
      <w:r w:rsidRPr="00F62B3B">
        <w:rPr>
          <w:rFonts w:cs="Calibri"/>
          <w:szCs w:val="18"/>
        </w:rPr>
        <w:t>propagating</w:t>
      </w:r>
      <w:r w:rsidR="00BA31DF">
        <w:rPr>
          <w:rFonts w:cs="Calibri"/>
          <w:szCs w:val="18"/>
        </w:rPr>
        <w:t xml:space="preserve"> is likely to introduce structural vulnerabilities</w:t>
      </w:r>
      <w:r w:rsidRPr="00F62B3B">
        <w:rPr>
          <w:rFonts w:cs="Calibri"/>
          <w:szCs w:val="18"/>
        </w:rPr>
        <w:t>.</w:t>
      </w:r>
      <w:r w:rsidR="00BA31DF">
        <w:rPr>
          <w:rFonts w:cs="Calibri"/>
          <w:szCs w:val="18"/>
        </w:rPr>
        <w:t xml:space="preserve"> </w:t>
      </w:r>
      <w:r w:rsidR="00B332A7">
        <w:rPr>
          <w:rFonts w:cs="Calibri"/>
          <w:szCs w:val="18"/>
        </w:rPr>
        <w:t xml:space="preserve">The use of </w:t>
      </w:r>
      <w:r w:rsidRPr="00F62B3B">
        <w:rPr>
          <w:rFonts w:cs="Calibri"/>
          <w:szCs w:val="18"/>
        </w:rPr>
        <w:t>REST</w:t>
      </w:r>
      <w:r w:rsidR="003428C8">
        <w:rPr>
          <w:rFonts w:cs="Calibri"/>
          <w:szCs w:val="18"/>
        </w:rPr>
        <w:t xml:space="preserve"> </w:t>
      </w:r>
      <w:r w:rsidRPr="00F62B3B">
        <w:rPr>
          <w:rFonts w:cs="Calibri"/>
          <w:szCs w:val="18"/>
        </w:rPr>
        <w:t>in particular</w:t>
      </w:r>
      <w:r w:rsidR="003428C8">
        <w:rPr>
          <w:rFonts w:cs="Calibri"/>
          <w:szCs w:val="18"/>
        </w:rPr>
        <w:t xml:space="preserve"> </w:t>
      </w:r>
      <w:r w:rsidRPr="00F62B3B">
        <w:rPr>
          <w:rFonts w:cs="Calibri"/>
          <w:szCs w:val="18"/>
        </w:rPr>
        <w:t>has been critici</w:t>
      </w:r>
      <w:r w:rsidR="00B332A7">
        <w:rPr>
          <w:rFonts w:cs="Calibri"/>
          <w:szCs w:val="18"/>
        </w:rPr>
        <w:t>s</w:t>
      </w:r>
      <w:r w:rsidRPr="00F62B3B">
        <w:rPr>
          <w:rFonts w:cs="Calibri"/>
          <w:szCs w:val="18"/>
        </w:rPr>
        <w:t>ed for being ambiguous and inefficient compared to message-passing protocols</w:t>
      </w:r>
      <w:r w:rsidR="00E42B1D">
        <w:rPr>
          <w:rFonts w:cs="Calibri"/>
          <w:szCs w:val="18"/>
        </w:rPr>
        <w:t xml:space="preserve">, as it is not intended to be a </w:t>
      </w:r>
      <w:r w:rsidR="00E42B1D" w:rsidRPr="00F62B3B">
        <w:rPr>
          <w:rFonts w:cs="Calibri"/>
          <w:szCs w:val="18"/>
        </w:rPr>
        <w:t xml:space="preserve">protocol, </w:t>
      </w:r>
      <w:r w:rsidR="00E42B1D">
        <w:rPr>
          <w:rFonts w:cs="Calibri"/>
          <w:szCs w:val="18"/>
        </w:rPr>
        <w:t>but a software programming approach</w:t>
      </w:r>
      <w:r w:rsidRPr="00F62B3B">
        <w:rPr>
          <w:rFonts w:cs="Calibri"/>
          <w:szCs w:val="18"/>
        </w:rPr>
        <w:t xml:space="preserve">. The ambiguity leads to severe mismatch problems with APIs </w:t>
      </w:r>
      <w:r w:rsidR="00B41F0C">
        <w:rPr>
          <w:rFonts w:cs="Calibri"/>
          <w:szCs w:val="18"/>
        </w:rPr>
        <w:t xml:space="preserve">where </w:t>
      </w:r>
      <w:r w:rsidRPr="00F62B3B">
        <w:rPr>
          <w:rFonts w:cs="Calibri"/>
          <w:szCs w:val="18"/>
        </w:rPr>
        <w:t xml:space="preserve">programmers interpret REST differently. As a result, interfaces to DER/CER have </w:t>
      </w:r>
      <w:r w:rsidR="00D33124">
        <w:rPr>
          <w:rFonts w:cs="Calibri"/>
          <w:szCs w:val="18"/>
        </w:rPr>
        <w:t>experienced</w:t>
      </w:r>
      <w:r w:rsidRPr="00F62B3B">
        <w:rPr>
          <w:rFonts w:cs="Calibri"/>
          <w:szCs w:val="18"/>
        </w:rPr>
        <w:t xml:space="preserve"> API obsolescence/update issues. </w:t>
      </w:r>
      <w:r w:rsidR="003E337D">
        <w:rPr>
          <w:rFonts w:cs="Calibri"/>
          <w:szCs w:val="18"/>
        </w:rPr>
        <w:t>Generally, in modern network design, it is considered better to avoid such mechanisms by using unified deep IP protocol stacks</w:t>
      </w:r>
      <w:r w:rsidR="00147BE7">
        <w:rPr>
          <w:rFonts w:cs="Calibri"/>
          <w:szCs w:val="18"/>
        </w:rPr>
        <w:t xml:space="preserve"> (</w:t>
      </w:r>
      <w:r w:rsidR="00147BE7" w:rsidRPr="00147BE7">
        <w:rPr>
          <w:rFonts w:cs="Calibri"/>
          <w:szCs w:val="18"/>
        </w:rPr>
        <w:t>IEC 61850, IEEE 2030.5, SunSpec, etc</w:t>
      </w:r>
      <w:r w:rsidR="00513AB0">
        <w:rPr>
          <w:rFonts w:cs="Calibri"/>
          <w:szCs w:val="18"/>
        </w:rPr>
        <w:t>)</w:t>
      </w:r>
      <w:r w:rsidR="003E337D">
        <w:rPr>
          <w:rFonts w:cs="Calibri"/>
          <w:szCs w:val="18"/>
        </w:rPr>
        <w:t>.</w:t>
      </w:r>
      <w:r w:rsidR="00C903D0">
        <w:rPr>
          <w:rFonts w:cs="Calibri"/>
          <w:szCs w:val="18"/>
        </w:rPr>
        <w:t xml:space="preserve"> </w:t>
      </w:r>
    </w:p>
    <w:p w14:paraId="11E7025B" w14:textId="765F7879" w:rsidR="0071626C" w:rsidRDefault="0071626C" w:rsidP="0071626C">
      <w:pPr>
        <w:pStyle w:val="Heading3"/>
      </w:pPr>
      <w:bookmarkStart w:id="178" w:name="_Toc205532865"/>
      <w:r>
        <w:t xml:space="preserve">Data </w:t>
      </w:r>
      <w:r w:rsidR="00B54C5B">
        <w:t>Latency Tolerance</w:t>
      </w:r>
      <w:bookmarkEnd w:id="178"/>
    </w:p>
    <w:p w14:paraId="7FD4767C" w14:textId="2E0866CD" w:rsidR="00C64C58" w:rsidRPr="0050162C" w:rsidRDefault="00CA1160" w:rsidP="0050162C">
      <w:pPr>
        <w:spacing w:before="180" w:after="120" w:line="288" w:lineRule="auto"/>
        <w:rPr>
          <w:rFonts w:cs="Calibri"/>
        </w:rPr>
      </w:pPr>
      <w:r w:rsidRPr="2ABCBCD5">
        <w:rPr>
          <w:rFonts w:cs="Calibri"/>
        </w:rPr>
        <w:t>Coordinating operations across the TDI</w:t>
      </w:r>
      <w:r w:rsidR="00650CEE" w:rsidRPr="2ABCBCD5">
        <w:rPr>
          <w:rFonts w:cs="Calibri"/>
        </w:rPr>
        <w:t xml:space="preserve"> in </w:t>
      </w:r>
      <w:r w:rsidRPr="2ABCBCD5">
        <w:rPr>
          <w:rFonts w:cs="Calibri"/>
        </w:rPr>
        <w:t>high</w:t>
      </w:r>
      <w:r w:rsidR="00650CEE" w:rsidRPr="2ABCBCD5">
        <w:rPr>
          <w:rFonts w:cs="Calibri"/>
        </w:rPr>
        <w:t>-</w:t>
      </w:r>
      <w:r w:rsidRPr="2ABCBCD5">
        <w:rPr>
          <w:rFonts w:cs="Calibri"/>
        </w:rPr>
        <w:t xml:space="preserve">DER </w:t>
      </w:r>
      <w:r w:rsidR="00650CEE" w:rsidRPr="2ABCBCD5">
        <w:rPr>
          <w:rFonts w:cs="Calibri"/>
        </w:rPr>
        <w:t xml:space="preserve">power systems </w:t>
      </w:r>
      <w:r w:rsidRPr="2ABCBCD5">
        <w:rPr>
          <w:rFonts w:cs="Calibri"/>
        </w:rPr>
        <w:t>introduces stringent latency requirements that are difficult to meet with conventional</w:t>
      </w:r>
      <w:r w:rsidR="00727C50">
        <w:rPr>
          <w:rFonts w:cs="Calibri"/>
        </w:rPr>
        <w:t xml:space="preserve"> communications and control</w:t>
      </w:r>
      <w:r w:rsidRPr="2ABCBCD5">
        <w:rPr>
          <w:rFonts w:cs="Calibri"/>
        </w:rPr>
        <w:t xml:space="preserve"> systems. Many control and protection actions at the T-D interface must </w:t>
      </w:r>
      <w:r w:rsidR="00A47169">
        <w:rPr>
          <w:rFonts w:cs="Calibri"/>
        </w:rPr>
        <w:t>adhere</w:t>
      </w:r>
      <w:r w:rsidR="00A47169" w:rsidRPr="00A47169">
        <w:rPr>
          <w:rFonts w:cs="Calibri"/>
        </w:rPr>
        <w:t xml:space="preserve"> to application</w:t>
      </w:r>
      <w:r w:rsidR="00A47169">
        <w:rPr>
          <w:rFonts w:cs="Calibri"/>
        </w:rPr>
        <w:t>-</w:t>
      </w:r>
      <w:r w:rsidR="00A47169" w:rsidRPr="00A47169">
        <w:rPr>
          <w:rFonts w:cs="Calibri"/>
        </w:rPr>
        <w:t xml:space="preserve"> specific timing requirements</w:t>
      </w:r>
      <w:r w:rsidR="00A47169">
        <w:rPr>
          <w:rFonts w:cs="Calibri"/>
        </w:rPr>
        <w:t xml:space="preserve"> </w:t>
      </w:r>
      <w:r w:rsidRPr="2ABCBCD5">
        <w:rPr>
          <w:rFonts w:cs="Calibri"/>
        </w:rPr>
        <w:t xml:space="preserve">to be effective. For example, detecting a distribution feeder </w:t>
      </w:r>
      <w:r w:rsidR="00DF0B9E" w:rsidRPr="2ABCBCD5">
        <w:rPr>
          <w:rFonts w:cs="Calibri"/>
        </w:rPr>
        <w:t>reverse power flows</w:t>
      </w:r>
      <w:r w:rsidRPr="2ABCBCD5">
        <w:rPr>
          <w:rFonts w:cs="Calibri"/>
        </w:rPr>
        <w:t xml:space="preserve"> and sending a remedial signal to the </w:t>
      </w:r>
      <w:r w:rsidR="00AF11D8" w:rsidRPr="2ABCBCD5">
        <w:rPr>
          <w:rFonts w:cs="Calibri"/>
        </w:rPr>
        <w:t>SO</w:t>
      </w:r>
      <w:r w:rsidRPr="2ABCBCD5">
        <w:rPr>
          <w:rFonts w:cs="Calibri"/>
        </w:rPr>
        <w:t xml:space="preserve"> might need to happen within seconds or faster to avoid protection trips. Aggregators responding to frequency regulation or dispatch signals from </w:t>
      </w:r>
      <w:r w:rsidR="003617F1" w:rsidRPr="2ABCBCD5">
        <w:rPr>
          <w:rFonts w:cs="Calibri"/>
        </w:rPr>
        <w:t>the SO</w:t>
      </w:r>
      <w:r w:rsidRPr="2ABCBCD5">
        <w:rPr>
          <w:rFonts w:cs="Calibri"/>
        </w:rPr>
        <w:t xml:space="preserve"> may have only seconds to start modulating dozens of DERs. However, existing communication links may have variable latency </w:t>
      </w:r>
      <w:r w:rsidR="00783BEC" w:rsidRPr="2ABCBCD5">
        <w:rPr>
          <w:rFonts w:cs="Calibri"/>
        </w:rPr>
        <w:t>(known as</w:t>
      </w:r>
      <w:r w:rsidRPr="2ABCBCD5">
        <w:rPr>
          <w:rFonts w:cs="Calibri"/>
        </w:rPr>
        <w:t xml:space="preserve"> jitter</w:t>
      </w:r>
      <w:r w:rsidR="00783BEC" w:rsidRPr="2ABCBCD5">
        <w:rPr>
          <w:rFonts w:cs="Calibri"/>
        </w:rPr>
        <w:t>)</w:t>
      </w:r>
      <w:r w:rsidRPr="2ABCBCD5">
        <w:rPr>
          <w:rFonts w:cs="Calibri"/>
        </w:rPr>
        <w:t xml:space="preserve">. The challenge is ensuring timely and </w:t>
      </w:r>
      <w:r w:rsidR="00C65627">
        <w:rPr>
          <w:rFonts w:cs="Calibri"/>
        </w:rPr>
        <w:t>reliable</w:t>
      </w:r>
      <w:r w:rsidR="00C65627" w:rsidRPr="2ABCBCD5">
        <w:rPr>
          <w:rFonts w:cs="Calibri"/>
        </w:rPr>
        <w:t xml:space="preserve"> </w:t>
      </w:r>
      <w:r w:rsidRPr="2ABCBCD5">
        <w:rPr>
          <w:rFonts w:cs="Calibri"/>
        </w:rPr>
        <w:t>data exchange across a multi-layer network</w:t>
      </w:r>
      <w:r w:rsidR="00907CDD" w:rsidRPr="2ABCBCD5">
        <w:rPr>
          <w:rFonts w:cs="Calibri"/>
        </w:rPr>
        <w:t xml:space="preserve"> commensurate with the</w:t>
      </w:r>
      <w:r w:rsidR="0006669A" w:rsidRPr="2ABCBCD5">
        <w:rPr>
          <w:rFonts w:cs="Calibri"/>
        </w:rPr>
        <w:t xml:space="preserve"> requirements of specific functions, processes and applications</w:t>
      </w:r>
      <w:r w:rsidR="00C64C58" w:rsidRPr="2ABCBCD5">
        <w:rPr>
          <w:rFonts w:cs="Calibri"/>
        </w:rPr>
        <w:t xml:space="preserve"> (</w:t>
      </w:r>
      <w:hyperlink w:anchor="Figure_26" w:history="1">
        <w:r w:rsidR="00142015" w:rsidRPr="00142015">
          <w:rPr>
            <w:rStyle w:val="Hyperlink"/>
            <w:rFonts w:cs="Calibri"/>
          </w:rPr>
          <w:t>Figure 26</w:t>
        </w:r>
      </w:hyperlink>
      <w:r w:rsidR="00C64C58" w:rsidRPr="2ABCBCD5">
        <w:rPr>
          <w:rFonts w:cs="Calibri"/>
        </w:rPr>
        <w:t xml:space="preserve">). As TDIs will facilitate </w:t>
      </w:r>
      <w:r w:rsidR="00EB2EBF" w:rsidRPr="2ABCBCD5">
        <w:rPr>
          <w:rFonts w:cs="Calibri"/>
        </w:rPr>
        <w:t xml:space="preserve">a </w:t>
      </w:r>
      <w:r w:rsidR="00C64C58" w:rsidRPr="2ABCBCD5">
        <w:rPr>
          <w:rFonts w:cs="Calibri"/>
        </w:rPr>
        <w:t xml:space="preserve">broad range of system </w:t>
      </w:r>
      <w:r w:rsidR="00EB2EBF" w:rsidRPr="2ABCBCD5">
        <w:rPr>
          <w:rFonts w:cs="Calibri"/>
        </w:rPr>
        <w:t>functions, processes and applications</w:t>
      </w:r>
      <w:r w:rsidR="00C64C58" w:rsidRPr="2ABCBCD5">
        <w:rPr>
          <w:rFonts w:cs="Calibri"/>
        </w:rPr>
        <w:t xml:space="preserve">, the specific requirements of </w:t>
      </w:r>
      <w:r w:rsidR="009A266E" w:rsidRPr="2ABCBCD5">
        <w:rPr>
          <w:rFonts w:cs="Calibri"/>
        </w:rPr>
        <w:t>each</w:t>
      </w:r>
      <w:r w:rsidR="00C64C58" w:rsidRPr="2ABCBCD5">
        <w:rPr>
          <w:rFonts w:cs="Calibri"/>
        </w:rPr>
        <w:t xml:space="preserve"> will need to be assessed. </w:t>
      </w:r>
    </w:p>
    <w:p w14:paraId="14D2708E" w14:textId="77777777" w:rsidR="00C64C58" w:rsidRDefault="00C64C58" w:rsidP="00F14453">
      <w:pPr>
        <w:keepNext/>
        <w:ind w:left="-142"/>
        <w:jc w:val="center"/>
      </w:pPr>
      <w:bookmarkStart w:id="179" w:name="Figure_26"/>
      <w:r w:rsidRPr="00525A5C">
        <w:rPr>
          <w:noProof/>
          <w:lang w:val="en-GB"/>
        </w:rPr>
        <w:drawing>
          <wp:inline distT="0" distB="0" distL="0" distR="0" wp14:anchorId="490345EE" wp14:editId="6026E5CE">
            <wp:extent cx="5373027" cy="2434856"/>
            <wp:effectExtent l="0" t="0" r="0" b="3810"/>
            <wp:docPr id="349260226" name="Picture 1" descr="A chart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0226" name="Picture 1" descr="A chart of different colors&#10;&#10;Description automatically generated with medium confidence"/>
                    <pic:cNvPicPr/>
                  </pic:nvPicPr>
                  <pic:blipFill>
                    <a:blip r:embed="rId55"/>
                    <a:stretch>
                      <a:fillRect/>
                    </a:stretch>
                  </pic:blipFill>
                  <pic:spPr>
                    <a:xfrm>
                      <a:off x="0" y="0"/>
                      <a:ext cx="5394139" cy="2444423"/>
                    </a:xfrm>
                    <a:prstGeom prst="rect">
                      <a:avLst/>
                    </a:prstGeom>
                  </pic:spPr>
                </pic:pic>
              </a:graphicData>
            </a:graphic>
          </wp:inline>
        </w:drawing>
      </w:r>
      <w:bookmarkEnd w:id="179"/>
    </w:p>
    <w:p w14:paraId="6834B4A6" w14:textId="2BB7B995" w:rsidR="00C64C58" w:rsidRDefault="00C64C58" w:rsidP="00B22DC5">
      <w:pPr>
        <w:pStyle w:val="Caption"/>
      </w:pPr>
      <w:bookmarkStart w:id="180" w:name="_Ref189665105"/>
      <w:bookmarkStart w:id="181" w:name="_Ref189665101"/>
      <w:bookmarkStart w:id="182" w:name="_Toc205377462"/>
      <w:r w:rsidRPr="00FF4327">
        <w:t xml:space="preserve">Figure </w:t>
      </w:r>
      <w:fldSimple w:instr=" SEQ Figure \* ARABIC ">
        <w:r w:rsidR="00CE6CF1">
          <w:rPr>
            <w:noProof/>
          </w:rPr>
          <w:t>26</w:t>
        </w:r>
      </w:fldSimple>
      <w:bookmarkEnd w:id="180"/>
      <w:bookmarkEnd w:id="181"/>
      <w:r w:rsidRPr="00FF4327">
        <w:t xml:space="preserve"> - Relative Operational Process Latency Tolerance</w:t>
      </w:r>
      <w:r w:rsidR="003428C8">
        <w:rPr>
          <w:noProof/>
          <w:lang w:val="en-GB"/>
        </w:rPr>
        <w:t xml:space="preserve"> </w:t>
      </w:r>
      <w:hyperlink w:anchor="Ref_35" w:history="1">
        <w:r w:rsidR="003428C8" w:rsidRPr="003428C8">
          <w:rPr>
            <w:rStyle w:val="Hyperlink"/>
            <w:noProof/>
            <w:lang w:val="en-GB"/>
          </w:rPr>
          <w:t>[35]</w:t>
        </w:r>
        <w:bookmarkEnd w:id="182"/>
      </w:hyperlink>
    </w:p>
    <w:p w14:paraId="2520BC5A" w14:textId="77777777" w:rsidR="008B42A6" w:rsidRDefault="008B42A6">
      <w:pPr>
        <w:spacing w:before="0" w:after="160" w:line="259" w:lineRule="auto"/>
        <w:rPr>
          <w:rFonts w:cs="Calibri"/>
          <w:szCs w:val="18"/>
        </w:rPr>
      </w:pPr>
      <w:r>
        <w:rPr>
          <w:rFonts w:cs="Calibri"/>
          <w:szCs w:val="18"/>
        </w:rPr>
        <w:br w:type="page"/>
      </w:r>
    </w:p>
    <w:p w14:paraId="4C1BD8AC" w14:textId="3E79E24D" w:rsidR="00C82599" w:rsidRPr="0050162C" w:rsidRDefault="00CA1160" w:rsidP="002A56E0">
      <w:pPr>
        <w:spacing w:before="180" w:after="0" w:line="288" w:lineRule="auto"/>
        <w:rPr>
          <w:rFonts w:cs="Calibri"/>
          <w:szCs w:val="18"/>
        </w:rPr>
      </w:pPr>
      <w:r w:rsidRPr="0050162C">
        <w:rPr>
          <w:rFonts w:cs="Calibri"/>
          <w:szCs w:val="18"/>
        </w:rPr>
        <w:lastRenderedPageBreak/>
        <w:t>Research by the U.S. Department of Energy</w:t>
      </w:r>
      <w:r w:rsidR="009A6079" w:rsidRPr="0050162C">
        <w:rPr>
          <w:rFonts w:cs="Calibri"/>
          <w:szCs w:val="18"/>
        </w:rPr>
        <w:t xml:space="preserve"> </w:t>
      </w:r>
      <w:r w:rsidRPr="0050162C">
        <w:rPr>
          <w:rFonts w:cs="Calibri"/>
          <w:szCs w:val="18"/>
        </w:rPr>
        <w:t>emphasi</w:t>
      </w:r>
      <w:r w:rsidR="008D65B0" w:rsidRPr="0050162C">
        <w:rPr>
          <w:rFonts w:cs="Calibri"/>
          <w:szCs w:val="18"/>
        </w:rPr>
        <w:t>s</w:t>
      </w:r>
      <w:r w:rsidRPr="0050162C">
        <w:rPr>
          <w:rFonts w:cs="Calibri"/>
          <w:szCs w:val="18"/>
        </w:rPr>
        <w:t>es that “latency is a key performance parameter for coordinating DER assets to ensure resilient and reliable” grid operations</w:t>
      </w:r>
      <w:r w:rsidR="003428C8">
        <w:rPr>
          <w:rFonts w:cs="Calibri"/>
          <w:noProof/>
          <w:szCs w:val="18"/>
        </w:rPr>
        <w:t xml:space="preserve"> </w:t>
      </w:r>
      <w:r w:rsidR="003428C8" w:rsidRPr="000D4FC2">
        <w:rPr>
          <w:rFonts w:cs="Calibri"/>
          <w:noProof/>
          <w:szCs w:val="18"/>
        </w:rPr>
        <w:t>[35]</w:t>
      </w:r>
      <w:r w:rsidRPr="000D4FC2">
        <w:rPr>
          <w:rFonts w:ascii="Cambria Math" w:hAnsi="Cambria Math" w:cs="Cambria Math"/>
          <w:szCs w:val="18"/>
        </w:rPr>
        <w:t>​</w:t>
      </w:r>
      <w:r w:rsidR="00783BEC" w:rsidRPr="0050162C">
        <w:rPr>
          <w:rFonts w:cs="Calibri"/>
          <w:szCs w:val="18"/>
        </w:rPr>
        <w:t>.</w:t>
      </w:r>
      <w:r w:rsidRPr="0050162C">
        <w:rPr>
          <w:rFonts w:cs="Calibri"/>
          <w:szCs w:val="18"/>
        </w:rPr>
        <w:t xml:space="preserve"> If latency is too high or unpredictable, control actions can become ineffective or even destabili</w:t>
      </w:r>
      <w:r w:rsidR="00783BEC" w:rsidRPr="0050162C">
        <w:rPr>
          <w:rFonts w:cs="Calibri"/>
          <w:szCs w:val="18"/>
        </w:rPr>
        <w:t>s</w:t>
      </w:r>
      <w:r w:rsidRPr="0050162C">
        <w:rPr>
          <w:rFonts w:cs="Calibri"/>
          <w:szCs w:val="18"/>
        </w:rPr>
        <w:t xml:space="preserve">ing (e.g. oscillations from delayed responses). T-D communication often involves multiple hops – DER to aggregator, aggregator to DSO SCADA, DSO to TSO – each adding delay. Protocols like IEEE 2030.5 over the internet might have seconds of latency, whereas </w:t>
      </w:r>
      <w:r w:rsidR="00B67CE4" w:rsidRPr="0050162C">
        <w:rPr>
          <w:rFonts w:cs="Calibri"/>
          <w:szCs w:val="18"/>
        </w:rPr>
        <w:t>SO</w:t>
      </w:r>
      <w:r w:rsidR="00584F4A" w:rsidRPr="0050162C">
        <w:rPr>
          <w:rFonts w:cs="Calibri"/>
          <w:szCs w:val="18"/>
        </w:rPr>
        <w:t xml:space="preserve"> and/or DSO</w:t>
      </w:r>
      <w:r w:rsidRPr="0050162C">
        <w:rPr>
          <w:rFonts w:cs="Calibri"/>
          <w:szCs w:val="18"/>
        </w:rPr>
        <w:t xml:space="preserve"> control schemes often expect data refresh rates of 2–4 seconds or faster. Another facet</w:t>
      </w:r>
      <w:r w:rsidR="00C91D33">
        <w:rPr>
          <w:rFonts w:cs="Calibri"/>
          <w:szCs w:val="18"/>
        </w:rPr>
        <w:t xml:space="preserve"> of communications system design</w:t>
      </w:r>
      <w:r w:rsidRPr="0050162C">
        <w:rPr>
          <w:rFonts w:cs="Calibri"/>
          <w:szCs w:val="18"/>
        </w:rPr>
        <w:t xml:space="preserve"> is bandwidth and data volume: high DER systems generate </w:t>
      </w:r>
      <w:r w:rsidR="00335582">
        <w:rPr>
          <w:rFonts w:cs="Calibri"/>
          <w:szCs w:val="18"/>
        </w:rPr>
        <w:t>large volumes</w:t>
      </w:r>
      <w:r w:rsidR="00335582" w:rsidRPr="0050162C">
        <w:rPr>
          <w:rFonts w:cs="Calibri"/>
          <w:szCs w:val="18"/>
        </w:rPr>
        <w:t xml:space="preserve"> </w:t>
      </w:r>
      <w:r w:rsidRPr="0050162C">
        <w:rPr>
          <w:rFonts w:cs="Calibri"/>
          <w:szCs w:val="18"/>
        </w:rPr>
        <w:t xml:space="preserve">of data (e.g. thousands of PV system readings), which if sent too frequently could congest </w:t>
      </w:r>
      <w:r w:rsidR="00D5716A">
        <w:rPr>
          <w:rFonts w:cs="Calibri"/>
          <w:szCs w:val="18"/>
        </w:rPr>
        <w:t xml:space="preserve">communications </w:t>
      </w:r>
      <w:r w:rsidRPr="0050162C">
        <w:rPr>
          <w:rFonts w:cs="Calibri"/>
          <w:szCs w:val="18"/>
        </w:rPr>
        <w:t xml:space="preserve">networks and introduce delays. </w:t>
      </w:r>
      <w:r w:rsidR="00E37303" w:rsidRPr="0050162C">
        <w:rPr>
          <w:rFonts w:cs="Calibri"/>
          <w:szCs w:val="18"/>
        </w:rPr>
        <w:t>The design of TDC schemes must therefore b</w:t>
      </w:r>
      <w:r w:rsidRPr="0050162C">
        <w:rPr>
          <w:rFonts w:cs="Calibri"/>
          <w:szCs w:val="18"/>
        </w:rPr>
        <w:t>alanc</w:t>
      </w:r>
      <w:r w:rsidR="00E37303" w:rsidRPr="0050162C">
        <w:rPr>
          <w:rFonts w:cs="Calibri"/>
          <w:szCs w:val="18"/>
        </w:rPr>
        <w:t>e</w:t>
      </w:r>
      <w:r w:rsidRPr="0050162C">
        <w:rPr>
          <w:rFonts w:cs="Calibri"/>
          <w:szCs w:val="18"/>
        </w:rPr>
        <w:t xml:space="preserve"> the volume and frequency of data (e.g. using reporting by exception rather than fixed intervals</w:t>
      </w:r>
      <w:r w:rsidR="00382DBE">
        <w:rPr>
          <w:rFonts w:cs="Calibri"/>
          <w:szCs w:val="18"/>
        </w:rPr>
        <w:t xml:space="preserve"> where feasible</w:t>
      </w:r>
      <w:r w:rsidRPr="0050162C">
        <w:rPr>
          <w:rFonts w:cs="Calibri"/>
          <w:szCs w:val="18"/>
        </w:rPr>
        <w:t>)</w:t>
      </w:r>
      <w:r w:rsidR="00056F63" w:rsidRPr="0050162C">
        <w:rPr>
          <w:rFonts w:cs="Calibri"/>
          <w:szCs w:val="18"/>
        </w:rPr>
        <w:t xml:space="preserve"> and </w:t>
      </w:r>
      <w:r w:rsidR="00827F3C" w:rsidRPr="0050162C">
        <w:rPr>
          <w:rFonts w:cs="Calibri"/>
          <w:szCs w:val="18"/>
        </w:rPr>
        <w:t>e</w:t>
      </w:r>
      <w:r w:rsidRPr="0050162C">
        <w:rPr>
          <w:rFonts w:cs="Calibri"/>
          <w:szCs w:val="18"/>
        </w:rPr>
        <w:t>nsur</w:t>
      </w:r>
      <w:r w:rsidR="00827F3C" w:rsidRPr="0050162C">
        <w:rPr>
          <w:rFonts w:cs="Calibri"/>
          <w:szCs w:val="18"/>
        </w:rPr>
        <w:t>e</w:t>
      </w:r>
      <w:r w:rsidRPr="0050162C">
        <w:rPr>
          <w:rFonts w:cs="Calibri"/>
          <w:szCs w:val="18"/>
        </w:rPr>
        <w:t xml:space="preserve"> that the overall control loop (</w:t>
      </w:r>
      <w:r w:rsidR="00827F3C" w:rsidRPr="0050162C">
        <w:rPr>
          <w:rFonts w:cs="Calibri"/>
          <w:szCs w:val="18"/>
        </w:rPr>
        <w:t>for example, from</w:t>
      </w:r>
      <w:r w:rsidRPr="0050162C">
        <w:rPr>
          <w:rFonts w:cs="Calibri"/>
          <w:szCs w:val="18"/>
        </w:rPr>
        <w:t xml:space="preserve"> SO to devices</w:t>
      </w:r>
      <w:r w:rsidR="00827F3C" w:rsidRPr="0050162C">
        <w:rPr>
          <w:rFonts w:cs="Calibri"/>
          <w:szCs w:val="18"/>
        </w:rPr>
        <w:t xml:space="preserve"> and back</w:t>
      </w:r>
      <w:r w:rsidRPr="0050162C">
        <w:rPr>
          <w:rFonts w:cs="Calibri"/>
          <w:szCs w:val="18"/>
        </w:rPr>
        <w:t xml:space="preserve">) meets the necessary </w:t>
      </w:r>
      <w:r w:rsidR="00827F3C" w:rsidRPr="0050162C">
        <w:rPr>
          <w:rFonts w:cs="Calibri"/>
          <w:szCs w:val="18"/>
        </w:rPr>
        <w:t>latency thresholds</w:t>
      </w:r>
      <w:r w:rsidR="008F076F">
        <w:rPr>
          <w:rFonts w:cs="Calibri"/>
          <w:szCs w:val="18"/>
        </w:rPr>
        <w:t xml:space="preserve"> and has safe performance behaviour in circumstances where ideal latency thresholds are not satisfied</w:t>
      </w:r>
      <w:r w:rsidR="00625248" w:rsidRPr="0050162C">
        <w:rPr>
          <w:rFonts w:cs="Calibri"/>
          <w:szCs w:val="18"/>
        </w:rPr>
        <w:t>.</w:t>
      </w:r>
    </w:p>
    <w:p w14:paraId="6442200C" w14:textId="2CA97D48" w:rsidR="002615E3" w:rsidRPr="00247FE7" w:rsidRDefault="002615E3" w:rsidP="002A56E0">
      <w:pPr>
        <w:pStyle w:val="Heading2"/>
        <w:spacing w:before="240"/>
        <w:ind w:left="578" w:hanging="578"/>
      </w:pPr>
      <w:bookmarkStart w:id="183" w:name="_Toc205532866"/>
      <w:r w:rsidRPr="00247FE7">
        <w:t>Data</w:t>
      </w:r>
      <w:r w:rsidR="00ED01EE" w:rsidRPr="00247FE7">
        <w:t xml:space="preserve"> and Cyber</w:t>
      </w:r>
      <w:r w:rsidRPr="00247FE7">
        <w:t xml:space="preserve"> Security</w:t>
      </w:r>
      <w:bookmarkEnd w:id="183"/>
    </w:p>
    <w:p w14:paraId="355B0844" w14:textId="265D53CD" w:rsidR="00534EEC" w:rsidRPr="0050162C" w:rsidRDefault="00A634AC" w:rsidP="0050162C">
      <w:pPr>
        <w:spacing w:before="180" w:after="120" w:line="288" w:lineRule="auto"/>
        <w:rPr>
          <w:rFonts w:cs="Calibri"/>
          <w:szCs w:val="18"/>
        </w:rPr>
      </w:pPr>
      <w:r w:rsidRPr="0050162C">
        <w:rPr>
          <w:rFonts w:cs="Calibri"/>
          <w:szCs w:val="18"/>
        </w:rPr>
        <w:t xml:space="preserve">The increasing use of digital technology expands </w:t>
      </w:r>
      <w:r w:rsidR="00A7155E" w:rsidRPr="0050162C">
        <w:rPr>
          <w:rFonts w:cs="Calibri"/>
          <w:szCs w:val="18"/>
        </w:rPr>
        <w:t>connectivity</w:t>
      </w:r>
      <w:r w:rsidR="007733F2" w:rsidRPr="0050162C">
        <w:rPr>
          <w:rFonts w:cs="Calibri"/>
          <w:szCs w:val="18"/>
        </w:rPr>
        <w:t xml:space="preserve"> to additional devices and systems, introduces additional dataflows</w:t>
      </w:r>
      <w:r w:rsidR="00473A9B" w:rsidRPr="0050162C">
        <w:rPr>
          <w:rFonts w:cs="Calibri"/>
          <w:szCs w:val="18"/>
        </w:rPr>
        <w:t xml:space="preserve">, </w:t>
      </w:r>
      <w:r w:rsidRPr="0050162C">
        <w:rPr>
          <w:rFonts w:cs="Calibri"/>
          <w:szCs w:val="18"/>
        </w:rPr>
        <w:t xml:space="preserve">and </w:t>
      </w:r>
      <w:r w:rsidR="0059035B" w:rsidRPr="0050162C">
        <w:rPr>
          <w:rFonts w:cs="Calibri"/>
          <w:szCs w:val="18"/>
        </w:rPr>
        <w:t>integrates</w:t>
      </w:r>
      <w:r w:rsidRPr="0050162C">
        <w:rPr>
          <w:rFonts w:cs="Calibri"/>
          <w:szCs w:val="18"/>
        </w:rPr>
        <w:t xml:space="preserve"> previously isolated components </w:t>
      </w:r>
      <w:r w:rsidR="0059035B" w:rsidRPr="0050162C">
        <w:rPr>
          <w:rFonts w:cs="Calibri"/>
          <w:szCs w:val="18"/>
        </w:rPr>
        <w:t>of the power system in</w:t>
      </w:r>
      <w:r w:rsidRPr="0050162C">
        <w:rPr>
          <w:rFonts w:cs="Calibri"/>
          <w:szCs w:val="18"/>
        </w:rPr>
        <w:t xml:space="preserve">to larger communication networks. The resultant </w:t>
      </w:r>
      <w:r w:rsidR="006F63CB" w:rsidRPr="0050162C">
        <w:rPr>
          <w:rFonts w:cs="Calibri"/>
          <w:szCs w:val="18"/>
        </w:rPr>
        <w:t xml:space="preserve">coupling of communication networks and power systems - </w:t>
      </w:r>
      <w:r w:rsidRPr="0050162C">
        <w:rPr>
          <w:rFonts w:cs="Calibri"/>
          <w:szCs w:val="18"/>
        </w:rPr>
        <w:t>considered critical infrastructure</w:t>
      </w:r>
      <w:r w:rsidR="006F63CB" w:rsidRPr="0050162C">
        <w:rPr>
          <w:rFonts w:cs="Calibri"/>
          <w:szCs w:val="18"/>
        </w:rPr>
        <w:t xml:space="preserve">, </w:t>
      </w:r>
      <w:r w:rsidRPr="0050162C">
        <w:rPr>
          <w:rFonts w:cs="Calibri"/>
          <w:szCs w:val="18"/>
        </w:rPr>
        <w:t xml:space="preserve">presents </w:t>
      </w:r>
      <w:r w:rsidR="00947C74" w:rsidRPr="0050162C">
        <w:rPr>
          <w:rFonts w:cs="Calibri"/>
          <w:szCs w:val="18"/>
        </w:rPr>
        <w:t>significant</w:t>
      </w:r>
      <w:r w:rsidR="00994BA9">
        <w:rPr>
          <w:rFonts w:cs="Calibri"/>
          <w:szCs w:val="18"/>
        </w:rPr>
        <w:t xml:space="preserve"> power system</w:t>
      </w:r>
      <w:r w:rsidR="00947C74" w:rsidRPr="0050162C">
        <w:rPr>
          <w:rFonts w:cs="Calibri"/>
          <w:szCs w:val="18"/>
        </w:rPr>
        <w:t xml:space="preserve"> </w:t>
      </w:r>
      <w:r w:rsidRPr="0050162C">
        <w:rPr>
          <w:rFonts w:cs="Calibri"/>
          <w:szCs w:val="18"/>
        </w:rPr>
        <w:t>security concerns</w:t>
      </w:r>
      <w:r w:rsidR="00C7159A" w:rsidRPr="0050162C">
        <w:rPr>
          <w:rFonts w:cs="Calibri"/>
          <w:szCs w:val="18"/>
        </w:rPr>
        <w:t>. For example, legacy p</w:t>
      </w:r>
      <w:r w:rsidRPr="0050162C">
        <w:rPr>
          <w:rFonts w:cs="Calibri"/>
          <w:szCs w:val="18"/>
        </w:rPr>
        <w:t xml:space="preserve">rotocols and systems developed </w:t>
      </w:r>
      <w:r w:rsidR="00200A30" w:rsidRPr="0050162C">
        <w:rPr>
          <w:rFonts w:cs="Calibri"/>
          <w:szCs w:val="18"/>
        </w:rPr>
        <w:t xml:space="preserve">in a less digitalised operational environment </w:t>
      </w:r>
      <w:r w:rsidRPr="0050162C">
        <w:rPr>
          <w:rFonts w:cs="Calibri"/>
          <w:szCs w:val="18"/>
        </w:rPr>
        <w:t xml:space="preserve">were not designed with </w:t>
      </w:r>
      <w:r w:rsidR="009134C0">
        <w:rPr>
          <w:rFonts w:cs="Calibri"/>
          <w:szCs w:val="18"/>
        </w:rPr>
        <w:t xml:space="preserve">communications </w:t>
      </w:r>
      <w:r w:rsidRPr="0050162C">
        <w:rPr>
          <w:rFonts w:cs="Calibri"/>
          <w:szCs w:val="18"/>
        </w:rPr>
        <w:t xml:space="preserve">security as a priority. These </w:t>
      </w:r>
      <w:r w:rsidR="00583487" w:rsidRPr="0050162C">
        <w:rPr>
          <w:rFonts w:cs="Calibri"/>
          <w:szCs w:val="18"/>
        </w:rPr>
        <w:t xml:space="preserve">legacy </w:t>
      </w:r>
      <w:r w:rsidRPr="0050162C">
        <w:rPr>
          <w:rFonts w:cs="Calibri"/>
          <w:szCs w:val="18"/>
        </w:rPr>
        <w:t>systems continue to be used alongside modern technology and are increasingly exposed to external networks, such as the Internet. Similarly, the increased use of digital and decentrali</w:t>
      </w:r>
      <w:r w:rsidR="0083539E" w:rsidRPr="0050162C">
        <w:rPr>
          <w:rFonts w:cs="Calibri"/>
          <w:szCs w:val="18"/>
        </w:rPr>
        <w:t>s</w:t>
      </w:r>
      <w:r w:rsidRPr="0050162C">
        <w:rPr>
          <w:rFonts w:cs="Calibri"/>
          <w:szCs w:val="18"/>
        </w:rPr>
        <w:t xml:space="preserve">ed technology provides a broader attack surface. Various </w:t>
      </w:r>
      <w:r w:rsidR="0086716F" w:rsidRPr="0050162C">
        <w:rPr>
          <w:rFonts w:cs="Calibri"/>
          <w:szCs w:val="18"/>
        </w:rPr>
        <w:t>cyber-</w:t>
      </w:r>
      <w:r w:rsidRPr="0050162C">
        <w:rPr>
          <w:rFonts w:cs="Calibri"/>
          <w:szCs w:val="18"/>
        </w:rPr>
        <w:t xml:space="preserve">attacks have successfully targeted </w:t>
      </w:r>
      <w:r w:rsidR="003626D1">
        <w:rPr>
          <w:rFonts w:cs="Calibri"/>
          <w:szCs w:val="18"/>
        </w:rPr>
        <w:t>global power systems</w:t>
      </w:r>
      <w:sdt>
        <w:sdtPr>
          <w:rPr>
            <w:rFonts w:cs="Calibri"/>
            <w:szCs w:val="18"/>
          </w:rPr>
          <w:id w:val="1398397425"/>
          <w:citation/>
        </w:sdtPr>
        <w:sdtContent>
          <w:r w:rsidR="00E812E7" w:rsidRPr="0050162C">
            <w:rPr>
              <w:rFonts w:cs="Calibri"/>
              <w:szCs w:val="18"/>
            </w:rPr>
            <w:fldChar w:fldCharType="begin"/>
          </w:r>
          <w:r w:rsidR="009E7294" w:rsidRPr="0050162C">
            <w:rPr>
              <w:rFonts w:cs="Calibri"/>
              <w:szCs w:val="18"/>
            </w:rPr>
            <w:instrText xml:space="preserve">CITATION TKr21 \l 3081 </w:instrText>
          </w:r>
          <w:r w:rsidR="00E812E7" w:rsidRPr="0050162C">
            <w:rPr>
              <w:rFonts w:cs="Calibri"/>
              <w:szCs w:val="18"/>
            </w:rPr>
            <w:fldChar w:fldCharType="separate"/>
          </w:r>
          <w:r w:rsidR="00E91535">
            <w:rPr>
              <w:rFonts w:cs="Calibri"/>
              <w:noProof/>
              <w:szCs w:val="18"/>
            </w:rPr>
            <w:t xml:space="preserve"> </w:t>
          </w:r>
          <w:r w:rsidR="00E91535" w:rsidRPr="00E91535">
            <w:rPr>
              <w:rFonts w:cs="Calibri"/>
              <w:noProof/>
              <w:szCs w:val="18"/>
            </w:rPr>
            <w:t>[2]</w:t>
          </w:r>
          <w:r w:rsidR="00E812E7" w:rsidRPr="0050162C">
            <w:rPr>
              <w:rFonts w:cs="Calibri"/>
              <w:szCs w:val="18"/>
            </w:rPr>
            <w:fldChar w:fldCharType="end"/>
          </w:r>
        </w:sdtContent>
      </w:sdt>
      <w:r w:rsidR="003626D1">
        <w:rPr>
          <w:rFonts w:cs="Calibri"/>
          <w:szCs w:val="18"/>
        </w:rPr>
        <w:t xml:space="preserve">, with </w:t>
      </w:r>
      <w:r w:rsidR="00A20D0C">
        <w:rPr>
          <w:rFonts w:cs="Calibri"/>
          <w:szCs w:val="18"/>
        </w:rPr>
        <w:t xml:space="preserve">extended outages having </w:t>
      </w:r>
      <w:r w:rsidRPr="0050162C">
        <w:rPr>
          <w:rFonts w:cs="Calibri"/>
          <w:szCs w:val="18"/>
        </w:rPr>
        <w:t>substantial social and economic impacts</w:t>
      </w:r>
      <w:r w:rsidR="007F5F25" w:rsidRPr="0050162C">
        <w:rPr>
          <w:rFonts w:cs="Calibri"/>
          <w:szCs w:val="18"/>
        </w:rPr>
        <w:t xml:space="preserve"> </w:t>
      </w:r>
    </w:p>
    <w:p w14:paraId="22CB8E3F" w14:textId="3E5E24E4" w:rsidR="00206570" w:rsidRDefault="00206570" w:rsidP="00112F7B">
      <w:pPr>
        <w:pStyle w:val="Heading3"/>
      </w:pPr>
      <w:bookmarkStart w:id="184" w:name="_Toc205532867"/>
      <w:r>
        <w:t xml:space="preserve">T-D </w:t>
      </w:r>
      <w:r w:rsidRPr="00112F7B">
        <w:t>Interface</w:t>
      </w:r>
      <w:r>
        <w:t xml:space="preserve"> Attack Vectors</w:t>
      </w:r>
      <w:bookmarkEnd w:id="184"/>
    </w:p>
    <w:p w14:paraId="56B8749E" w14:textId="32B61D24" w:rsidR="001736B4" w:rsidRPr="0050162C" w:rsidRDefault="000158F6" w:rsidP="0050162C">
      <w:pPr>
        <w:spacing w:before="180" w:after="120" w:line="288" w:lineRule="auto"/>
        <w:rPr>
          <w:rFonts w:cs="Calibri"/>
          <w:szCs w:val="18"/>
        </w:rPr>
      </w:pPr>
      <w:r>
        <w:t>While the</w:t>
      </w:r>
      <w:r w:rsidR="00B4247F">
        <w:t xml:space="preserve"> TDI</w:t>
      </w:r>
      <w:r w:rsidR="00D66784">
        <w:t xml:space="preserve"> </w:t>
      </w:r>
      <w:r w:rsidR="0074640A">
        <w:t xml:space="preserve">itself </w:t>
      </w:r>
      <w:r w:rsidR="00D66784">
        <w:t xml:space="preserve">is </w:t>
      </w:r>
      <w:r w:rsidR="00F1326C">
        <w:t>partially</w:t>
      </w:r>
      <w:r w:rsidR="00D66784">
        <w:t xml:space="preserve"> </w:t>
      </w:r>
      <w:r w:rsidR="00AF1EAA">
        <w:t>isolated from</w:t>
      </w:r>
      <w:r w:rsidR="0045245B">
        <w:t xml:space="preserve"> </w:t>
      </w:r>
      <w:r w:rsidR="004D0662">
        <w:t>cyber</w:t>
      </w:r>
      <w:r w:rsidR="00C6081E">
        <w:t xml:space="preserve">security vulnerabilities due to </w:t>
      </w:r>
      <w:r w:rsidR="00DB2D78">
        <w:t xml:space="preserve">its reliance on </w:t>
      </w:r>
      <w:r w:rsidR="00347C26" w:rsidRPr="0050162C">
        <w:rPr>
          <w:rFonts w:cs="Calibri"/>
          <w:szCs w:val="18"/>
        </w:rPr>
        <w:t>TNSP</w:t>
      </w:r>
      <w:r w:rsidR="00676795" w:rsidRPr="0050162C">
        <w:rPr>
          <w:rFonts w:cs="Calibri"/>
          <w:szCs w:val="18"/>
        </w:rPr>
        <w:t xml:space="preserve"> </w:t>
      </w:r>
      <w:r w:rsidR="00EE6E3C" w:rsidRPr="0050162C">
        <w:rPr>
          <w:rFonts w:cs="Calibri"/>
          <w:szCs w:val="18"/>
        </w:rPr>
        <w:t xml:space="preserve">and DNSP/DSO </w:t>
      </w:r>
      <w:r w:rsidR="00676795" w:rsidRPr="0050162C">
        <w:rPr>
          <w:rFonts w:cs="Calibri"/>
          <w:szCs w:val="18"/>
        </w:rPr>
        <w:t xml:space="preserve">systems </w:t>
      </w:r>
      <w:r w:rsidR="000E3657" w:rsidRPr="0050162C">
        <w:rPr>
          <w:rFonts w:cs="Calibri"/>
          <w:szCs w:val="18"/>
        </w:rPr>
        <w:t>(</w:t>
      </w:r>
      <w:r w:rsidR="00676795" w:rsidRPr="0050162C">
        <w:rPr>
          <w:rFonts w:cs="Calibri"/>
          <w:szCs w:val="18"/>
        </w:rPr>
        <w:t xml:space="preserve">that operate </w:t>
      </w:r>
      <w:r w:rsidR="00637C82" w:rsidRPr="0050162C">
        <w:rPr>
          <w:rFonts w:cs="Calibri"/>
          <w:szCs w:val="18"/>
        </w:rPr>
        <w:t>in their respective OT environments</w:t>
      </w:r>
      <w:r w:rsidR="00BD0076">
        <w:rPr>
          <w:rFonts w:cs="Calibri"/>
          <w:szCs w:val="18"/>
        </w:rPr>
        <w:t>,</w:t>
      </w:r>
      <w:r w:rsidR="00582873" w:rsidRPr="0050162C">
        <w:rPr>
          <w:rFonts w:cs="Calibri"/>
          <w:szCs w:val="18"/>
        </w:rPr>
        <w:t xml:space="preserve"> </w:t>
      </w:r>
      <w:r w:rsidR="00841D23" w:rsidRPr="0050162C">
        <w:rPr>
          <w:rFonts w:cs="Calibri"/>
          <w:szCs w:val="18"/>
        </w:rPr>
        <w:t xml:space="preserve">segregated </w:t>
      </w:r>
      <w:r w:rsidR="00F35D44" w:rsidRPr="0050162C">
        <w:rPr>
          <w:rFonts w:cs="Calibri"/>
          <w:szCs w:val="18"/>
        </w:rPr>
        <w:t xml:space="preserve">from </w:t>
      </w:r>
      <w:r w:rsidR="00067202" w:rsidRPr="0050162C">
        <w:rPr>
          <w:rFonts w:cs="Calibri"/>
          <w:szCs w:val="18"/>
        </w:rPr>
        <w:t xml:space="preserve">the wider internet for their </w:t>
      </w:r>
      <w:r w:rsidR="00582873" w:rsidRPr="0050162C">
        <w:rPr>
          <w:rFonts w:cs="Calibri"/>
          <w:szCs w:val="18"/>
        </w:rPr>
        <w:t xml:space="preserve">own </w:t>
      </w:r>
      <w:r w:rsidR="00067202" w:rsidRPr="0050162C">
        <w:rPr>
          <w:rFonts w:cs="Calibri"/>
          <w:szCs w:val="18"/>
        </w:rPr>
        <w:t>security requirements</w:t>
      </w:r>
      <w:r w:rsidR="000E3657" w:rsidRPr="0050162C">
        <w:rPr>
          <w:rFonts w:cs="Calibri"/>
          <w:szCs w:val="18"/>
        </w:rPr>
        <w:t>)</w:t>
      </w:r>
      <w:r w:rsidR="001A7113" w:rsidRPr="0050162C">
        <w:rPr>
          <w:rFonts w:cs="Calibri"/>
          <w:szCs w:val="18"/>
        </w:rPr>
        <w:t>,</w:t>
      </w:r>
      <w:r w:rsidR="000E3657" w:rsidRPr="0050162C">
        <w:rPr>
          <w:rFonts w:cs="Calibri"/>
          <w:szCs w:val="18"/>
        </w:rPr>
        <w:t xml:space="preserve"> </w:t>
      </w:r>
      <w:r w:rsidR="00D217B0" w:rsidRPr="0050162C">
        <w:rPr>
          <w:rFonts w:cs="Calibri"/>
          <w:szCs w:val="18"/>
        </w:rPr>
        <w:t xml:space="preserve">there remains several attack vectors that </w:t>
      </w:r>
      <w:r w:rsidR="00F8003A">
        <w:rPr>
          <w:rFonts w:cs="Calibri"/>
          <w:szCs w:val="18"/>
        </w:rPr>
        <w:t xml:space="preserve">must be considered for </w:t>
      </w:r>
      <w:r w:rsidR="00D217B0" w:rsidRPr="0050162C">
        <w:rPr>
          <w:rFonts w:cs="Calibri"/>
          <w:szCs w:val="18"/>
        </w:rPr>
        <w:t>T-D interface design, and to a less degree</w:t>
      </w:r>
      <w:r w:rsidR="00F8003A">
        <w:rPr>
          <w:rFonts w:cs="Calibri"/>
          <w:szCs w:val="18"/>
        </w:rPr>
        <w:t>, for</w:t>
      </w:r>
      <w:r w:rsidR="00D217B0" w:rsidRPr="0050162C">
        <w:rPr>
          <w:rFonts w:cs="Calibri"/>
          <w:szCs w:val="18"/>
        </w:rPr>
        <w:t xml:space="preserve"> T-D Coordination models.</w:t>
      </w:r>
      <w:r w:rsidR="00067202" w:rsidRPr="0050162C">
        <w:rPr>
          <w:rFonts w:cs="Calibri"/>
          <w:szCs w:val="18"/>
        </w:rPr>
        <w:t xml:space="preserve"> </w:t>
      </w:r>
    </w:p>
    <w:p w14:paraId="5422664C" w14:textId="1E0F407C" w:rsidR="002A56E0" w:rsidRDefault="007F5517" w:rsidP="0050162C">
      <w:pPr>
        <w:spacing w:before="180" w:after="120" w:line="288" w:lineRule="auto"/>
        <w:rPr>
          <w:rFonts w:cs="Calibri"/>
          <w:szCs w:val="18"/>
        </w:rPr>
      </w:pPr>
      <w:r w:rsidRPr="0050162C">
        <w:rPr>
          <w:rFonts w:cs="Calibri"/>
          <w:szCs w:val="18"/>
        </w:rPr>
        <w:t xml:space="preserve">Based on the work of </w:t>
      </w:r>
      <w:r w:rsidR="00615F5E" w:rsidRPr="0050162C">
        <w:rPr>
          <w:rFonts w:cs="Calibri"/>
          <w:szCs w:val="18"/>
        </w:rPr>
        <w:t>Krause et al</w:t>
      </w:r>
      <w:r w:rsidR="002006AA">
        <w:rPr>
          <w:rFonts w:cs="Calibri"/>
          <w:noProof/>
          <w:szCs w:val="18"/>
        </w:rPr>
        <w:t xml:space="preserve"> </w:t>
      </w:r>
      <w:r w:rsidR="002006AA" w:rsidRPr="000D4FC2">
        <w:rPr>
          <w:rFonts w:cs="Calibri"/>
          <w:noProof/>
          <w:szCs w:val="18"/>
        </w:rPr>
        <w:t>[36]</w:t>
      </w:r>
      <w:r w:rsidRPr="0050162C">
        <w:rPr>
          <w:rFonts w:cs="Calibri"/>
          <w:szCs w:val="18"/>
        </w:rPr>
        <w:t>,</w:t>
      </w:r>
      <w:r w:rsidR="00D46770" w:rsidRPr="0050162C">
        <w:rPr>
          <w:rFonts w:cs="Calibri"/>
          <w:szCs w:val="18"/>
        </w:rPr>
        <w:t xml:space="preserve"> a</w:t>
      </w:r>
      <w:r w:rsidR="00A438EA" w:rsidRPr="0050162C">
        <w:rPr>
          <w:rFonts w:cs="Calibri"/>
          <w:szCs w:val="18"/>
        </w:rPr>
        <w:t xml:space="preserve">n </w:t>
      </w:r>
      <w:r w:rsidR="00E06F57" w:rsidRPr="0050162C">
        <w:rPr>
          <w:rFonts w:cs="Calibri"/>
          <w:szCs w:val="18"/>
        </w:rPr>
        <w:t xml:space="preserve">assessment of </w:t>
      </w:r>
      <w:r w:rsidR="00767C72" w:rsidRPr="0050162C">
        <w:rPr>
          <w:rFonts w:cs="Calibri"/>
          <w:szCs w:val="18"/>
        </w:rPr>
        <w:t>possible attack vectors relevant to TNSP/TSO and DNSP/DSO cyber-based systems</w:t>
      </w:r>
      <w:r w:rsidR="001A7113" w:rsidRPr="0050162C">
        <w:rPr>
          <w:rFonts w:cs="Calibri"/>
          <w:szCs w:val="18"/>
        </w:rPr>
        <w:t xml:space="preserve"> </w:t>
      </w:r>
      <w:r w:rsidRPr="0050162C">
        <w:rPr>
          <w:rFonts w:cs="Calibri"/>
          <w:szCs w:val="18"/>
        </w:rPr>
        <w:t xml:space="preserve">is provided </w:t>
      </w:r>
      <w:r w:rsidR="001A7113" w:rsidRPr="0050162C">
        <w:rPr>
          <w:rFonts w:cs="Calibri"/>
          <w:szCs w:val="18"/>
        </w:rPr>
        <w:t xml:space="preserve">in </w:t>
      </w:r>
      <w:r w:rsidR="001A7113" w:rsidRPr="0050162C">
        <w:rPr>
          <w:rFonts w:cs="Calibri"/>
          <w:szCs w:val="18"/>
        </w:rPr>
        <w:fldChar w:fldCharType="begin"/>
      </w:r>
      <w:r w:rsidR="001A7113" w:rsidRPr="0050162C">
        <w:rPr>
          <w:rFonts w:cs="Calibri"/>
          <w:szCs w:val="18"/>
        </w:rPr>
        <w:instrText xml:space="preserve"> REF _Ref193290996 \h </w:instrText>
      </w:r>
      <w:r w:rsidR="0050162C">
        <w:rPr>
          <w:rFonts w:cs="Calibri"/>
          <w:szCs w:val="18"/>
        </w:rPr>
        <w:instrText xml:space="preserve"> \* MERGEFORMAT </w:instrText>
      </w:r>
      <w:r w:rsidR="001A7113" w:rsidRPr="0050162C">
        <w:rPr>
          <w:rFonts w:cs="Calibri"/>
          <w:szCs w:val="18"/>
        </w:rPr>
      </w:r>
      <w:r w:rsidR="001A7113" w:rsidRPr="0050162C">
        <w:rPr>
          <w:rFonts w:cs="Calibri"/>
          <w:szCs w:val="18"/>
        </w:rPr>
        <w:fldChar w:fldCharType="separate"/>
      </w:r>
      <w:r w:rsidR="00CE6CF1" w:rsidRPr="00CE6CF1">
        <w:rPr>
          <w:rFonts w:cs="Calibri"/>
          <w:szCs w:val="18"/>
        </w:rPr>
        <w:t xml:space="preserve">Table </w:t>
      </w:r>
      <w:r w:rsidR="00CE6CF1">
        <w:rPr>
          <w:noProof/>
        </w:rPr>
        <w:t>7</w:t>
      </w:r>
      <w:r w:rsidR="001A7113" w:rsidRPr="0050162C">
        <w:rPr>
          <w:rFonts w:cs="Calibri"/>
          <w:szCs w:val="18"/>
        </w:rPr>
        <w:fldChar w:fldCharType="end"/>
      </w:r>
      <w:r w:rsidR="00772EEE">
        <w:rPr>
          <w:rFonts w:cs="Calibri"/>
          <w:szCs w:val="18"/>
        </w:rPr>
        <w:t xml:space="preserve">. </w:t>
      </w:r>
      <w:r w:rsidR="008C346A" w:rsidRPr="0050162C">
        <w:rPr>
          <w:rFonts w:cs="Calibri"/>
          <w:szCs w:val="18"/>
        </w:rPr>
        <w:t>It should be noted that the</w:t>
      </w:r>
      <w:r w:rsidR="00090267" w:rsidRPr="0050162C">
        <w:rPr>
          <w:rFonts w:cs="Calibri"/>
          <w:szCs w:val="18"/>
        </w:rPr>
        <w:t xml:space="preserve"> TDI provides an aggregated view of subsidiary distribution networks that are increasingly vulnerable to cyber compromise due to its reliance of internet-connected CER/DER, orchestrated by proprietary aggregator or OEM software, and containing OEM device firmware. </w:t>
      </w:r>
    </w:p>
    <w:p w14:paraId="6373BA56" w14:textId="5E45D226" w:rsidR="00090267" w:rsidRPr="0050162C" w:rsidRDefault="00090267" w:rsidP="0050162C">
      <w:pPr>
        <w:spacing w:before="180" w:after="120" w:line="288" w:lineRule="auto"/>
        <w:rPr>
          <w:rFonts w:cs="Calibri"/>
          <w:szCs w:val="18"/>
        </w:rPr>
      </w:pPr>
      <w:r w:rsidRPr="0050162C">
        <w:rPr>
          <w:rFonts w:cs="Calibri"/>
          <w:szCs w:val="18"/>
        </w:rPr>
        <w:lastRenderedPageBreak/>
        <w:t xml:space="preserve">The TDI must therefore ensure that protections are in place to avoid the propagation of cyber-compromised data aggregations at the grid edge that might result in SO actions that cause system instability. </w:t>
      </w:r>
      <w:r w:rsidR="00485B8D">
        <w:rPr>
          <w:rFonts w:cs="Calibri"/>
          <w:szCs w:val="18"/>
        </w:rPr>
        <w:t>The example impacts in the last column</w:t>
      </w:r>
      <w:r w:rsidR="00CB7327">
        <w:rPr>
          <w:rFonts w:cs="Calibri"/>
          <w:szCs w:val="18"/>
        </w:rPr>
        <w:t xml:space="preserve"> of </w:t>
      </w:r>
      <w:r w:rsidR="000A75EE" w:rsidRPr="0050162C">
        <w:rPr>
          <w:rFonts w:cs="Calibri"/>
          <w:szCs w:val="18"/>
        </w:rPr>
        <w:fldChar w:fldCharType="begin"/>
      </w:r>
      <w:r w:rsidR="000A75EE" w:rsidRPr="0050162C">
        <w:rPr>
          <w:rFonts w:cs="Calibri"/>
          <w:szCs w:val="18"/>
        </w:rPr>
        <w:instrText xml:space="preserve"> REF _Ref193290996 \h </w:instrText>
      </w:r>
      <w:r w:rsidR="0050162C">
        <w:rPr>
          <w:rFonts w:cs="Calibri"/>
          <w:szCs w:val="18"/>
        </w:rPr>
        <w:instrText xml:space="preserve"> \* MERGEFORMAT </w:instrText>
      </w:r>
      <w:r w:rsidR="000A75EE" w:rsidRPr="0050162C">
        <w:rPr>
          <w:rFonts w:cs="Calibri"/>
          <w:szCs w:val="18"/>
        </w:rPr>
      </w:r>
      <w:r w:rsidR="000A75EE" w:rsidRPr="0050162C">
        <w:rPr>
          <w:rFonts w:cs="Calibri"/>
          <w:szCs w:val="18"/>
        </w:rPr>
        <w:fldChar w:fldCharType="separate"/>
      </w:r>
      <w:r w:rsidR="00CE6CF1" w:rsidRPr="00CE6CF1">
        <w:rPr>
          <w:rFonts w:cs="Calibri"/>
          <w:szCs w:val="18"/>
        </w:rPr>
        <w:t xml:space="preserve">Table </w:t>
      </w:r>
      <w:r w:rsidR="00CE6CF1">
        <w:rPr>
          <w:noProof/>
        </w:rPr>
        <w:t>7</w:t>
      </w:r>
      <w:r w:rsidR="000A75EE" w:rsidRPr="0050162C">
        <w:rPr>
          <w:rFonts w:cs="Calibri"/>
          <w:szCs w:val="18"/>
        </w:rPr>
        <w:fldChar w:fldCharType="end"/>
      </w:r>
      <w:r w:rsidR="000A75EE" w:rsidRPr="0050162C">
        <w:rPr>
          <w:rFonts w:cs="Calibri"/>
          <w:szCs w:val="18"/>
        </w:rPr>
        <w:t xml:space="preserve"> primarily focuses on those grid-edge vulnerabilities </w:t>
      </w:r>
      <w:r w:rsidR="006B289D" w:rsidRPr="0050162C">
        <w:rPr>
          <w:rFonts w:cs="Calibri"/>
          <w:szCs w:val="18"/>
        </w:rPr>
        <w:t xml:space="preserve">that </w:t>
      </w:r>
      <w:r w:rsidR="00DE01C6" w:rsidRPr="0050162C">
        <w:rPr>
          <w:rFonts w:cs="Calibri"/>
          <w:szCs w:val="18"/>
        </w:rPr>
        <w:t>at scale</w:t>
      </w:r>
      <w:r w:rsidR="001D5C1A" w:rsidRPr="0050162C">
        <w:rPr>
          <w:rFonts w:cs="Calibri"/>
          <w:szCs w:val="18"/>
        </w:rPr>
        <w:t xml:space="preserve"> would impact on the T</w:t>
      </w:r>
      <w:r w:rsidR="00476A67" w:rsidRPr="0050162C">
        <w:rPr>
          <w:rFonts w:cs="Calibri"/>
          <w:szCs w:val="18"/>
        </w:rPr>
        <w:t>-D Interface</w:t>
      </w:r>
      <w:r w:rsidR="00D452D7" w:rsidRPr="0050162C">
        <w:rPr>
          <w:rFonts w:cs="Calibri"/>
          <w:szCs w:val="18"/>
        </w:rPr>
        <w:t xml:space="preserve"> for which mitigations </w:t>
      </w:r>
      <w:r w:rsidR="009A1CB1" w:rsidRPr="0050162C">
        <w:rPr>
          <w:rFonts w:cs="Calibri"/>
          <w:szCs w:val="18"/>
        </w:rPr>
        <w:t xml:space="preserve">or overrides </w:t>
      </w:r>
      <w:r w:rsidR="00D452D7" w:rsidRPr="0050162C">
        <w:rPr>
          <w:rFonts w:cs="Calibri"/>
          <w:szCs w:val="18"/>
        </w:rPr>
        <w:t xml:space="preserve">at the T-D </w:t>
      </w:r>
      <w:r w:rsidR="00BC28B4" w:rsidRPr="0050162C">
        <w:rPr>
          <w:rFonts w:cs="Calibri"/>
          <w:szCs w:val="18"/>
        </w:rPr>
        <w:t xml:space="preserve">Interface </w:t>
      </w:r>
      <w:r w:rsidR="009A1CB1" w:rsidRPr="0050162C">
        <w:rPr>
          <w:rFonts w:cs="Calibri"/>
          <w:szCs w:val="18"/>
        </w:rPr>
        <w:t>may be required.</w:t>
      </w:r>
      <w:r w:rsidR="00B12476">
        <w:rPr>
          <w:rFonts w:cs="Calibri"/>
          <w:szCs w:val="18"/>
        </w:rPr>
        <w:t xml:space="preserve"> It is not intended to be an exhaustive </w:t>
      </w:r>
      <w:r w:rsidR="00BE5EAD">
        <w:rPr>
          <w:rFonts w:cs="Calibri"/>
          <w:szCs w:val="18"/>
        </w:rPr>
        <w:t>or even comprehensive l</w:t>
      </w:r>
      <w:r w:rsidR="00B12476">
        <w:rPr>
          <w:rFonts w:cs="Calibri"/>
          <w:szCs w:val="18"/>
        </w:rPr>
        <w:t xml:space="preserve">ist </w:t>
      </w:r>
      <w:r w:rsidR="00BE5EAD">
        <w:rPr>
          <w:rFonts w:cs="Calibri"/>
          <w:szCs w:val="18"/>
        </w:rPr>
        <w:t xml:space="preserve">as that </w:t>
      </w:r>
      <w:r w:rsidR="002B6170">
        <w:rPr>
          <w:rFonts w:cs="Calibri"/>
          <w:szCs w:val="18"/>
        </w:rPr>
        <w:t>is</w:t>
      </w:r>
      <w:r w:rsidR="00BE5EAD">
        <w:rPr>
          <w:rFonts w:cs="Calibri"/>
          <w:szCs w:val="18"/>
        </w:rPr>
        <w:t xml:space="preserve"> outside the scope of this report.</w:t>
      </w:r>
    </w:p>
    <w:p w14:paraId="5F82D1D9" w14:textId="69C070DF" w:rsidR="00435785" w:rsidRDefault="00272A69" w:rsidP="009373F6">
      <w:pPr>
        <w:ind w:left="426"/>
        <w:sectPr w:rsidR="00435785" w:rsidSect="00C20AD9">
          <w:pgSz w:w="11906" w:h="16838"/>
          <w:pgMar w:top="2552" w:right="1134" w:bottom="851" w:left="2552" w:header="709" w:footer="709" w:gutter="0"/>
          <w:cols w:space="708"/>
          <w:docGrid w:linePitch="360"/>
        </w:sectPr>
      </w:pPr>
      <w:r>
        <w:t xml:space="preserve"> </w:t>
      </w:r>
    </w:p>
    <w:p w14:paraId="6874AB35" w14:textId="195223DE" w:rsidR="00177B4E" w:rsidRDefault="00177B4E" w:rsidP="002A56E0">
      <w:pPr>
        <w:pStyle w:val="Caption"/>
        <w:ind w:right="-1166"/>
      </w:pPr>
      <w:bookmarkStart w:id="185" w:name="_Ref193290996"/>
      <w:r>
        <w:lastRenderedPageBreak/>
        <w:t xml:space="preserve">Table </w:t>
      </w:r>
      <w:fldSimple w:instr=" SEQ Table \* ARABIC ">
        <w:r w:rsidR="00CE6CF1">
          <w:rPr>
            <w:noProof/>
          </w:rPr>
          <w:t>7</w:t>
        </w:r>
      </w:fldSimple>
      <w:bookmarkEnd w:id="185"/>
      <w:r>
        <w:t xml:space="preserve"> - Attack vectors for Transmission and Distribution Operators</w:t>
      </w:r>
    </w:p>
    <w:tbl>
      <w:tblPr>
        <w:tblStyle w:val="TableGrid"/>
        <w:tblW w:w="14028" w:type="dxa"/>
        <w:tblInd w:w="426" w:type="dxa"/>
        <w:tblLook w:val="04A0" w:firstRow="1" w:lastRow="0" w:firstColumn="1" w:lastColumn="0" w:noHBand="0" w:noVBand="1"/>
      </w:tblPr>
      <w:tblGrid>
        <w:gridCol w:w="1607"/>
        <w:gridCol w:w="2546"/>
        <w:gridCol w:w="4063"/>
        <w:gridCol w:w="5812"/>
      </w:tblGrid>
      <w:tr w:rsidR="000E0537" w14:paraId="6B704E0E" w14:textId="352B2FF2" w:rsidTr="00ED5BCF">
        <w:tc>
          <w:tcPr>
            <w:tcW w:w="1607" w:type="dxa"/>
            <w:shd w:val="clear" w:color="auto" w:fill="013C4C" w:themeFill="text1"/>
            <w:vAlign w:val="center"/>
          </w:tcPr>
          <w:p w14:paraId="2B5D7EAC" w14:textId="5BD26607" w:rsidR="000E0537" w:rsidRPr="002B108E" w:rsidRDefault="000E0537" w:rsidP="00F14453">
            <w:pPr>
              <w:spacing w:before="60" w:after="60"/>
              <w:jc w:val="center"/>
              <w:rPr>
                <w:rFonts w:ascii="PP Mori SemiBold" w:hAnsi="PP Mori SemiBold"/>
                <w:b/>
                <w:bCs/>
                <w:color w:val="FAFAFA" w:themeColor="background1"/>
              </w:rPr>
            </w:pPr>
            <w:bookmarkStart w:id="186" w:name="Table_7"/>
            <w:r w:rsidRPr="002B108E">
              <w:rPr>
                <w:rStyle w:val="Strong"/>
                <w:rFonts w:ascii="PP Mori SemiBold" w:hAnsi="PP Mori SemiBold"/>
                <w:b/>
                <w:bCs/>
                <w:color w:val="FAFAFA" w:themeColor="background1"/>
              </w:rPr>
              <w:t>Attack Vector</w:t>
            </w:r>
          </w:p>
        </w:tc>
        <w:tc>
          <w:tcPr>
            <w:tcW w:w="2546" w:type="dxa"/>
            <w:shd w:val="clear" w:color="auto" w:fill="013C4C" w:themeFill="text1"/>
            <w:vAlign w:val="center"/>
          </w:tcPr>
          <w:p w14:paraId="3CD1461B" w14:textId="31A11248" w:rsidR="000E0537" w:rsidRPr="002B108E" w:rsidRDefault="000E0537" w:rsidP="00F14453">
            <w:pPr>
              <w:spacing w:before="60" w:after="60"/>
              <w:jc w:val="center"/>
              <w:rPr>
                <w:rFonts w:ascii="PP Mori SemiBold" w:hAnsi="PP Mori SemiBold"/>
                <w:b/>
                <w:bCs/>
                <w:color w:val="FAFAFA" w:themeColor="background1"/>
              </w:rPr>
            </w:pPr>
            <w:r w:rsidRPr="002B108E">
              <w:rPr>
                <w:rStyle w:val="Strong"/>
                <w:rFonts w:ascii="PP Mori SemiBold" w:hAnsi="PP Mori SemiBold"/>
                <w:b/>
                <w:bCs/>
                <w:color w:val="FAFAFA" w:themeColor="background1"/>
              </w:rPr>
              <w:t>Definition</w:t>
            </w:r>
          </w:p>
        </w:tc>
        <w:tc>
          <w:tcPr>
            <w:tcW w:w="4063" w:type="dxa"/>
            <w:shd w:val="clear" w:color="auto" w:fill="013C4C" w:themeFill="text1"/>
          </w:tcPr>
          <w:p w14:paraId="636A2D12" w14:textId="5C012637" w:rsidR="000E0537" w:rsidRPr="002B108E" w:rsidRDefault="000E0537" w:rsidP="00F14453">
            <w:pPr>
              <w:spacing w:before="60" w:after="60"/>
              <w:jc w:val="center"/>
              <w:rPr>
                <w:rStyle w:val="Strong"/>
                <w:rFonts w:ascii="PP Mori SemiBold" w:hAnsi="PP Mori SemiBold"/>
                <w:b/>
                <w:bCs/>
                <w:color w:val="FAFAFA" w:themeColor="background1"/>
              </w:rPr>
            </w:pPr>
            <w:r>
              <w:rPr>
                <w:rStyle w:val="Strong"/>
                <w:rFonts w:ascii="PP Mori SemiBold" w:hAnsi="PP Mori SemiBold"/>
                <w:b/>
                <w:bCs/>
                <w:color w:val="FAFAFA" w:themeColor="background1"/>
              </w:rPr>
              <w:t>T-D Interface Threat Assessment without appropriate Mitigations</w:t>
            </w:r>
          </w:p>
        </w:tc>
        <w:tc>
          <w:tcPr>
            <w:tcW w:w="5812" w:type="dxa"/>
            <w:shd w:val="clear" w:color="auto" w:fill="013C4C" w:themeFill="text1"/>
          </w:tcPr>
          <w:p w14:paraId="54DB2596" w14:textId="3758C1B4" w:rsidR="000E0537" w:rsidRPr="002B108E" w:rsidRDefault="000E0537" w:rsidP="00F14453">
            <w:pPr>
              <w:spacing w:before="60" w:after="60"/>
              <w:jc w:val="center"/>
              <w:rPr>
                <w:rStyle w:val="Strong"/>
                <w:rFonts w:ascii="PP Mori SemiBold" w:hAnsi="PP Mori SemiBold"/>
                <w:b/>
                <w:bCs/>
                <w:color w:val="FAFAFA" w:themeColor="background1"/>
              </w:rPr>
            </w:pPr>
            <w:r>
              <w:rPr>
                <w:rStyle w:val="Strong"/>
                <w:rFonts w:ascii="PP Mori SemiBold" w:hAnsi="PP Mori SemiBold"/>
                <w:b/>
                <w:bCs/>
                <w:color w:val="FAFAFA" w:themeColor="background1"/>
              </w:rPr>
              <w:t>Example Scenario &amp; Potential Impact</w:t>
            </w:r>
            <w:r w:rsidR="00F903B9">
              <w:rPr>
                <w:rStyle w:val="Strong"/>
                <w:rFonts w:ascii="PP Mori SemiBold" w:hAnsi="PP Mori SemiBold"/>
                <w:b/>
                <w:bCs/>
                <w:color w:val="FAFAFA" w:themeColor="background1"/>
              </w:rPr>
              <w:t xml:space="preserve"> at T-D Interface</w:t>
            </w:r>
          </w:p>
        </w:tc>
      </w:tr>
      <w:tr w:rsidR="000E0537" w14:paraId="2C3A87B8" w14:textId="0C344929" w:rsidTr="00ED5BCF">
        <w:tc>
          <w:tcPr>
            <w:tcW w:w="1607" w:type="dxa"/>
            <w:shd w:val="clear" w:color="auto" w:fill="067296" w:themeFill="text2"/>
            <w:vAlign w:val="center"/>
          </w:tcPr>
          <w:p w14:paraId="4E6F5C08" w14:textId="407DD232" w:rsidR="000E0537" w:rsidRPr="00F14453" w:rsidRDefault="000E0537" w:rsidP="00F14453">
            <w:pPr>
              <w:spacing w:before="60" w:after="60"/>
              <w:jc w:val="center"/>
              <w:rPr>
                <w:color w:val="FAFAFA" w:themeColor="background1"/>
              </w:rPr>
            </w:pPr>
            <w:r w:rsidRPr="00F14453">
              <w:rPr>
                <w:rStyle w:val="Strong"/>
                <w:color w:val="FAFAFA" w:themeColor="background1"/>
              </w:rPr>
              <w:t>Lateral Movement</w:t>
            </w:r>
          </w:p>
        </w:tc>
        <w:tc>
          <w:tcPr>
            <w:tcW w:w="2546" w:type="dxa"/>
            <w:vAlign w:val="center"/>
          </w:tcPr>
          <w:p w14:paraId="212A7CF2" w14:textId="35F5926B" w:rsidR="000E0537" w:rsidRPr="00C54876" w:rsidRDefault="000E0537" w:rsidP="00D10681">
            <w:pPr>
              <w:spacing w:before="60" w:after="60"/>
            </w:pPr>
            <w:r w:rsidRPr="00C54876">
              <w:t xml:space="preserve">The process of an attacker </w:t>
            </w:r>
            <w:r w:rsidRPr="00C54876">
              <w:rPr>
                <w:rStyle w:val="Strong"/>
              </w:rPr>
              <w:t>moving deeper</w:t>
            </w:r>
            <w:r w:rsidRPr="00C54876">
              <w:t xml:space="preserve"> into a network after gaining initial access to escalate privileges and compromise additional systems.</w:t>
            </w:r>
          </w:p>
        </w:tc>
        <w:tc>
          <w:tcPr>
            <w:tcW w:w="4063" w:type="dxa"/>
          </w:tcPr>
          <w:p w14:paraId="252E8C07" w14:textId="5B2F1628" w:rsidR="000E0537" w:rsidRPr="00C54876" w:rsidRDefault="000E0537" w:rsidP="009B0129">
            <w:pPr>
              <w:spacing w:before="60" w:after="60"/>
            </w:pPr>
            <w:r w:rsidRPr="00C54876">
              <w:t xml:space="preserve">T-D Coordination requires shared data and communication channels, which create multiple entry points for an attacker. Once an attacker gains access to DSO control systems, they could move laterally to </w:t>
            </w:r>
            <w:r w:rsidR="002E3E5A">
              <w:t>SO</w:t>
            </w:r>
            <w:r w:rsidRPr="00C54876">
              <w:t xml:space="preserve">-operated SCADA systems or vice versa through </w:t>
            </w:r>
            <w:r w:rsidR="003F7F40">
              <w:t xml:space="preserve">the </w:t>
            </w:r>
            <w:r w:rsidRPr="00C54876">
              <w:t>TDI.</w:t>
            </w:r>
          </w:p>
        </w:tc>
        <w:tc>
          <w:tcPr>
            <w:tcW w:w="5812" w:type="dxa"/>
          </w:tcPr>
          <w:p w14:paraId="00D8CB06" w14:textId="01FF0641" w:rsidR="000E0537" w:rsidRDefault="000E0537" w:rsidP="00470C91">
            <w:pPr>
              <w:pStyle w:val="ListParagraph"/>
              <w:numPr>
                <w:ilvl w:val="0"/>
                <w:numId w:val="6"/>
              </w:numPr>
              <w:spacing w:before="60" w:after="60"/>
              <w:ind w:left="315" w:hanging="284"/>
            </w:pPr>
            <w:r w:rsidRPr="00C54876">
              <w:t xml:space="preserve">A hacker gains access to a </w:t>
            </w:r>
            <w:r w:rsidRPr="00C54876">
              <w:rPr>
                <w:rStyle w:val="Strong"/>
              </w:rPr>
              <w:t>substation RTU (Remote Terminal Unit)</w:t>
            </w:r>
            <w:r w:rsidRPr="00C54876">
              <w:t xml:space="preserve"> and moves laterally to take control of </w:t>
            </w:r>
            <w:r w:rsidRPr="00C54876">
              <w:rPr>
                <w:rStyle w:val="Strong"/>
              </w:rPr>
              <w:t>SCADA systems managing network operations</w:t>
            </w:r>
            <w:r w:rsidR="000C1000">
              <w:rPr>
                <w:rStyle w:val="Strong"/>
              </w:rPr>
              <w:t xml:space="preserve"> across the T-D Interface</w:t>
            </w:r>
            <w:r w:rsidRPr="00C54876">
              <w:t>.</w:t>
            </w:r>
          </w:p>
          <w:p w14:paraId="4CE76949" w14:textId="3E73F05C" w:rsidR="000E0537" w:rsidRPr="00C54876" w:rsidRDefault="000E0537" w:rsidP="00470C91">
            <w:pPr>
              <w:pStyle w:val="ListParagraph"/>
              <w:numPr>
                <w:ilvl w:val="0"/>
                <w:numId w:val="6"/>
              </w:numPr>
              <w:spacing w:before="60" w:after="60"/>
              <w:ind w:left="315" w:hanging="284"/>
            </w:pPr>
            <w:r w:rsidRPr="00C54876">
              <w:t>An attacker starting in the DSO’s network (e.g., via a compromised DER management system) could escalate privileges to transmission-level control systems, leading to grid-wide disruptions.</w:t>
            </w:r>
          </w:p>
        </w:tc>
      </w:tr>
      <w:tr w:rsidR="000E0537" w14:paraId="4A255BC0" w14:textId="0D5716B3" w:rsidTr="00ED5BCF">
        <w:tc>
          <w:tcPr>
            <w:tcW w:w="1607" w:type="dxa"/>
            <w:shd w:val="clear" w:color="auto" w:fill="067296" w:themeFill="text2"/>
            <w:vAlign w:val="center"/>
          </w:tcPr>
          <w:p w14:paraId="5C755AC2" w14:textId="492F7CA9" w:rsidR="000E0537" w:rsidRPr="00F14453" w:rsidRDefault="000E0537" w:rsidP="00F14453">
            <w:pPr>
              <w:spacing w:before="60" w:after="60"/>
              <w:jc w:val="center"/>
              <w:rPr>
                <w:color w:val="FAFAFA" w:themeColor="background1"/>
              </w:rPr>
            </w:pPr>
            <w:r w:rsidRPr="00F14453">
              <w:rPr>
                <w:rStyle w:val="Strong"/>
                <w:color w:val="FAFAFA" w:themeColor="background1"/>
              </w:rPr>
              <w:t>Physical Access Remote</w:t>
            </w:r>
          </w:p>
        </w:tc>
        <w:tc>
          <w:tcPr>
            <w:tcW w:w="2546" w:type="dxa"/>
            <w:vAlign w:val="center"/>
          </w:tcPr>
          <w:p w14:paraId="1D27B82B" w14:textId="6328C58C" w:rsidR="000E0537" w:rsidRPr="00C54876" w:rsidRDefault="000E0537" w:rsidP="00D10681">
            <w:pPr>
              <w:spacing w:before="60" w:after="60"/>
            </w:pPr>
            <w:r w:rsidRPr="00C54876">
              <w:t xml:space="preserve">Exploiting </w:t>
            </w:r>
            <w:r w:rsidRPr="00C54876">
              <w:rPr>
                <w:rStyle w:val="Strong"/>
              </w:rPr>
              <w:t>remote</w:t>
            </w:r>
            <w:r w:rsidRPr="00C54876">
              <w:t xml:space="preserve"> physical access points such as </w:t>
            </w:r>
            <w:r w:rsidRPr="00C54876">
              <w:rPr>
                <w:rStyle w:val="Strong"/>
              </w:rPr>
              <w:t xml:space="preserve">substations, control </w:t>
            </w:r>
            <w:r w:rsidR="00935A42" w:rsidRPr="00C54876">
              <w:rPr>
                <w:rStyle w:val="Strong"/>
              </w:rPr>
              <w:t>centres</w:t>
            </w:r>
            <w:r w:rsidRPr="00C54876">
              <w:rPr>
                <w:rStyle w:val="Strong"/>
              </w:rPr>
              <w:t>, or field equipment</w:t>
            </w:r>
            <w:r w:rsidRPr="00C54876">
              <w:t xml:space="preserve"> to compromise cybersecurity.</w:t>
            </w:r>
          </w:p>
        </w:tc>
        <w:tc>
          <w:tcPr>
            <w:tcW w:w="4063" w:type="dxa"/>
          </w:tcPr>
          <w:p w14:paraId="6056026D" w14:textId="3C365F60" w:rsidR="000E0537" w:rsidRPr="00C54876" w:rsidRDefault="000E0537" w:rsidP="00D10681">
            <w:pPr>
              <w:spacing w:before="60" w:after="60"/>
            </w:pPr>
            <w:r w:rsidRPr="00C54876">
              <w:t xml:space="preserve">Moderate – </w:t>
            </w:r>
            <w:r>
              <w:t>physical</w:t>
            </w:r>
            <w:r w:rsidR="00AF64AD">
              <w:t xml:space="preserve"> access to critical cyber infrastructure </w:t>
            </w:r>
            <w:r w:rsidR="00A83B52">
              <w:t>has additional prevention measures as compared with digital attack surfaces</w:t>
            </w:r>
            <w:r w:rsidR="00FA59B3">
              <w:t>, and i</w:t>
            </w:r>
            <w:r>
              <w:t xml:space="preserve">solated systems at substations are unlikely to be mission critical to the T-D interface. </w:t>
            </w:r>
          </w:p>
        </w:tc>
        <w:tc>
          <w:tcPr>
            <w:tcW w:w="5812" w:type="dxa"/>
          </w:tcPr>
          <w:p w14:paraId="33E6A5A4" w14:textId="12972309" w:rsidR="00772BF3" w:rsidRDefault="000E0537" w:rsidP="00470C91">
            <w:pPr>
              <w:pStyle w:val="ListParagraph"/>
              <w:numPr>
                <w:ilvl w:val="0"/>
                <w:numId w:val="6"/>
              </w:numPr>
              <w:spacing w:before="60" w:after="60"/>
              <w:ind w:left="315" w:hanging="284"/>
              <w:rPr>
                <w:rStyle w:val="Strong"/>
              </w:rPr>
            </w:pPr>
            <w:r w:rsidRPr="00C54876">
              <w:t xml:space="preserve">Attackers physically access a </w:t>
            </w:r>
            <w:r w:rsidRPr="00C54876">
              <w:rPr>
                <w:rStyle w:val="Strong"/>
              </w:rPr>
              <w:t>remote transmission</w:t>
            </w:r>
            <w:r w:rsidR="004C7F9B">
              <w:rPr>
                <w:rStyle w:val="Strong"/>
              </w:rPr>
              <w:t>-distribution interconnection</w:t>
            </w:r>
            <w:r w:rsidRPr="00C54876">
              <w:rPr>
                <w:rStyle w:val="Strong"/>
              </w:rPr>
              <w:t xml:space="preserve"> substation</w:t>
            </w:r>
            <w:r w:rsidRPr="00C54876">
              <w:t xml:space="preserve">, inserting a rogue device that </w:t>
            </w:r>
            <w:r w:rsidRPr="00C54876">
              <w:rPr>
                <w:rStyle w:val="Strong"/>
              </w:rPr>
              <w:t xml:space="preserve">intercepts </w:t>
            </w:r>
            <w:r w:rsidR="00772BF3">
              <w:rPr>
                <w:rStyle w:val="Strong"/>
              </w:rPr>
              <w:t xml:space="preserve">and </w:t>
            </w:r>
            <w:r w:rsidR="00B279BA">
              <w:rPr>
                <w:rStyle w:val="Strong"/>
              </w:rPr>
              <w:t xml:space="preserve">changes </w:t>
            </w:r>
            <w:r w:rsidRPr="00C54876">
              <w:rPr>
                <w:rStyle w:val="Strong"/>
              </w:rPr>
              <w:t>control signals,</w:t>
            </w:r>
            <w:r w:rsidR="00B279BA">
              <w:rPr>
                <w:rStyle w:val="Strong"/>
              </w:rPr>
              <w:t xml:space="preserve"> </w:t>
            </w:r>
            <w:r w:rsidR="00727D94">
              <w:rPr>
                <w:rStyle w:val="Strong"/>
              </w:rPr>
              <w:t>causing disruption to the T-D Interface.</w:t>
            </w:r>
          </w:p>
          <w:p w14:paraId="610E85ED" w14:textId="2A176410" w:rsidR="000E0537" w:rsidRPr="00C54876" w:rsidRDefault="00772BF3" w:rsidP="00470C91">
            <w:pPr>
              <w:pStyle w:val="ListParagraph"/>
              <w:numPr>
                <w:ilvl w:val="0"/>
                <w:numId w:val="6"/>
              </w:numPr>
              <w:spacing w:before="60" w:after="60"/>
              <w:ind w:left="315" w:hanging="284"/>
            </w:pPr>
            <w:r>
              <w:rPr>
                <w:rStyle w:val="Strong"/>
              </w:rPr>
              <w:t xml:space="preserve">An attacker </w:t>
            </w:r>
            <w:r w:rsidR="000E0537" w:rsidRPr="00C54876">
              <w:t>physically damages critical cyber systems</w:t>
            </w:r>
            <w:r>
              <w:t xml:space="preserve"> taking it offline and disrupting the operation of the T-D Interface</w:t>
            </w:r>
            <w:r w:rsidR="000E0537" w:rsidRPr="00C54876">
              <w:t>.</w:t>
            </w:r>
          </w:p>
        </w:tc>
      </w:tr>
      <w:tr w:rsidR="000E0537" w14:paraId="605F4371" w14:textId="13F78DFA" w:rsidTr="00ED5BCF">
        <w:tc>
          <w:tcPr>
            <w:tcW w:w="1607" w:type="dxa"/>
            <w:shd w:val="clear" w:color="auto" w:fill="067296" w:themeFill="text2"/>
            <w:vAlign w:val="center"/>
          </w:tcPr>
          <w:p w14:paraId="163DB124" w14:textId="23C98A9C" w:rsidR="000E0537" w:rsidRPr="00F14453" w:rsidRDefault="000E0537" w:rsidP="00F14453">
            <w:pPr>
              <w:spacing w:before="60" w:after="60"/>
              <w:jc w:val="center"/>
              <w:rPr>
                <w:color w:val="FAFAFA" w:themeColor="background1"/>
              </w:rPr>
            </w:pPr>
            <w:r w:rsidRPr="00F14453">
              <w:rPr>
                <w:rStyle w:val="Strong"/>
                <w:color w:val="FAFAFA" w:themeColor="background1"/>
              </w:rPr>
              <w:t>Maintenance Access</w:t>
            </w:r>
          </w:p>
        </w:tc>
        <w:tc>
          <w:tcPr>
            <w:tcW w:w="2546" w:type="dxa"/>
            <w:vAlign w:val="center"/>
          </w:tcPr>
          <w:p w14:paraId="57C16421" w14:textId="05D738A0" w:rsidR="000E0537" w:rsidRPr="00C54876" w:rsidRDefault="000E0537" w:rsidP="00D10681">
            <w:pPr>
              <w:spacing w:before="60" w:after="60"/>
            </w:pPr>
            <w:r w:rsidRPr="00C54876">
              <w:t xml:space="preserve">Targeting vulnerabilities in </w:t>
            </w:r>
            <w:r w:rsidRPr="00C54876">
              <w:rPr>
                <w:rStyle w:val="Strong"/>
              </w:rPr>
              <w:t>remote maintenance tools, technician laptops, or firmware updates</w:t>
            </w:r>
            <w:r w:rsidRPr="00C54876">
              <w:t xml:space="preserve"> to infiltrate the grid.</w:t>
            </w:r>
          </w:p>
        </w:tc>
        <w:tc>
          <w:tcPr>
            <w:tcW w:w="4063" w:type="dxa"/>
          </w:tcPr>
          <w:p w14:paraId="747B8142" w14:textId="730C60B1" w:rsidR="000E0537" w:rsidRPr="00C54876" w:rsidRDefault="000E0537" w:rsidP="00D10681">
            <w:pPr>
              <w:spacing w:before="60" w:after="60"/>
            </w:pPr>
            <w:r>
              <w:t xml:space="preserve">Moderate </w:t>
            </w:r>
            <w:r w:rsidR="00D36A72">
              <w:t>–</w:t>
            </w:r>
            <w:r>
              <w:t xml:space="preserve"> </w:t>
            </w:r>
            <w:r w:rsidR="00D36A72">
              <w:t>vendors may not have the same cyber-</w:t>
            </w:r>
            <w:r w:rsidR="00DB2E91">
              <w:t>defence</w:t>
            </w:r>
            <w:r w:rsidR="00D36A72">
              <w:t xml:space="preserve"> capabilities of </w:t>
            </w:r>
            <w:r w:rsidR="00DB2E91">
              <w:t xml:space="preserve">processes and procedures, and </w:t>
            </w:r>
            <w:r w:rsidR="001A7319">
              <w:t>enforcing cyber-standards across organisations can be difficult.</w:t>
            </w:r>
          </w:p>
        </w:tc>
        <w:tc>
          <w:tcPr>
            <w:tcW w:w="5812" w:type="dxa"/>
          </w:tcPr>
          <w:p w14:paraId="1B0E5F07" w14:textId="64E2B8A6" w:rsidR="002032A7" w:rsidRPr="00C54876" w:rsidRDefault="000E0537" w:rsidP="00470C91">
            <w:pPr>
              <w:pStyle w:val="ListParagraph"/>
              <w:numPr>
                <w:ilvl w:val="0"/>
                <w:numId w:val="6"/>
              </w:numPr>
              <w:spacing w:before="60" w:after="60"/>
              <w:ind w:left="315" w:hanging="284"/>
            </w:pPr>
            <w:r w:rsidRPr="00C54876">
              <w:t xml:space="preserve">A malicious </w:t>
            </w:r>
            <w:r w:rsidR="00C62EE1">
              <w:t>software</w:t>
            </w:r>
            <w:r w:rsidRPr="00C54876">
              <w:t xml:space="preserve"> update is injected into a </w:t>
            </w:r>
            <w:r w:rsidRPr="00C54876">
              <w:rPr>
                <w:rStyle w:val="Strong"/>
              </w:rPr>
              <w:t xml:space="preserve">DMS (Distribution Management System) </w:t>
            </w:r>
            <w:r w:rsidRPr="00C54876">
              <w:t xml:space="preserve">during scheduled maintenance, enabling an attacker to issue </w:t>
            </w:r>
            <w:r w:rsidRPr="00C54876">
              <w:rPr>
                <w:rStyle w:val="Strong"/>
              </w:rPr>
              <w:t>unauthori</w:t>
            </w:r>
            <w:r w:rsidR="00A800B6">
              <w:rPr>
                <w:rStyle w:val="Strong"/>
              </w:rPr>
              <w:t>s</w:t>
            </w:r>
            <w:r w:rsidRPr="00C54876">
              <w:rPr>
                <w:rStyle w:val="Strong"/>
              </w:rPr>
              <w:t>ed control commands</w:t>
            </w:r>
            <w:r w:rsidR="002B11D2">
              <w:rPr>
                <w:rStyle w:val="Strong"/>
              </w:rPr>
              <w:t xml:space="preserve"> that </w:t>
            </w:r>
            <w:r w:rsidR="006E7FF5">
              <w:rPr>
                <w:rStyle w:val="Strong"/>
              </w:rPr>
              <w:t>alter forecast</w:t>
            </w:r>
            <w:r w:rsidR="006E5BCF">
              <w:rPr>
                <w:rStyle w:val="Strong"/>
              </w:rPr>
              <w:t>s for supply/demand balance across the T-D Interface</w:t>
            </w:r>
            <w:r w:rsidRPr="00C54876">
              <w:t>.</w:t>
            </w:r>
          </w:p>
        </w:tc>
      </w:tr>
      <w:tr w:rsidR="000E0537" w14:paraId="2875102E" w14:textId="46AEB087" w:rsidTr="00ED5BCF">
        <w:tc>
          <w:tcPr>
            <w:tcW w:w="1607" w:type="dxa"/>
            <w:shd w:val="clear" w:color="auto" w:fill="067296" w:themeFill="text2"/>
            <w:vAlign w:val="center"/>
          </w:tcPr>
          <w:p w14:paraId="41AB3385" w14:textId="2A35C51A" w:rsidR="000E0537" w:rsidRPr="00F14453" w:rsidRDefault="000E0537" w:rsidP="00F14453">
            <w:pPr>
              <w:spacing w:before="40" w:after="40"/>
              <w:jc w:val="center"/>
              <w:rPr>
                <w:color w:val="FAFAFA" w:themeColor="background1"/>
              </w:rPr>
            </w:pPr>
            <w:r w:rsidRPr="00F14453">
              <w:rPr>
                <w:rStyle w:val="Strong"/>
                <w:color w:val="FAFAFA" w:themeColor="background1"/>
              </w:rPr>
              <w:lastRenderedPageBreak/>
              <w:t>Third-Party Exploit</w:t>
            </w:r>
          </w:p>
        </w:tc>
        <w:tc>
          <w:tcPr>
            <w:tcW w:w="2546" w:type="dxa"/>
            <w:vAlign w:val="center"/>
          </w:tcPr>
          <w:p w14:paraId="5FE45D9D" w14:textId="6BD75108" w:rsidR="000E0537" w:rsidRPr="00C54876" w:rsidRDefault="000E0537" w:rsidP="00F14453">
            <w:pPr>
              <w:spacing w:before="40" w:after="40"/>
            </w:pPr>
            <w:r w:rsidRPr="00C54876">
              <w:t xml:space="preserve">Using </w:t>
            </w:r>
            <w:r w:rsidRPr="00C54876">
              <w:rPr>
                <w:rStyle w:val="Strong"/>
              </w:rPr>
              <w:t>vendors, contractors, or external software dependencies</w:t>
            </w:r>
            <w:r w:rsidRPr="00C54876">
              <w:t xml:space="preserve"> as an entry point into the grid infrastructure.</w:t>
            </w:r>
          </w:p>
        </w:tc>
        <w:tc>
          <w:tcPr>
            <w:tcW w:w="4063" w:type="dxa"/>
          </w:tcPr>
          <w:p w14:paraId="6B211094" w14:textId="031C779E" w:rsidR="000E0537" w:rsidRPr="00C54876" w:rsidRDefault="000E0537" w:rsidP="00F14453">
            <w:pPr>
              <w:spacing w:before="40" w:after="40"/>
            </w:pPr>
            <w:r w:rsidRPr="00C54876">
              <w:t xml:space="preserve">High - </w:t>
            </w:r>
            <w:r>
              <w:t>TNSPs</w:t>
            </w:r>
            <w:r w:rsidRPr="00C54876">
              <w:t xml:space="preserve"> and </w:t>
            </w:r>
            <w:r>
              <w:t>DNSPs/</w:t>
            </w:r>
            <w:r w:rsidRPr="00C54876">
              <w:t xml:space="preserve">DSOs rely on third-party vendors for </w:t>
            </w:r>
            <w:r>
              <w:t xml:space="preserve">network and </w:t>
            </w:r>
            <w:r w:rsidRPr="00C54876">
              <w:t xml:space="preserve">DER management </w:t>
            </w:r>
            <w:r>
              <w:t xml:space="preserve">and automation </w:t>
            </w:r>
            <w:r w:rsidRPr="00C54876">
              <w:t>systems, market platforms, and maintenance. If a vendor’s software is compromised, both T</w:t>
            </w:r>
            <w:r>
              <w:t xml:space="preserve">NSP </w:t>
            </w:r>
            <w:r w:rsidRPr="00C54876">
              <w:t>and DSO</w:t>
            </w:r>
            <w:r>
              <w:t>/DNSP</w:t>
            </w:r>
            <w:r w:rsidRPr="00C54876">
              <w:t xml:space="preserve"> operations could be affected.</w:t>
            </w:r>
          </w:p>
        </w:tc>
        <w:tc>
          <w:tcPr>
            <w:tcW w:w="5812" w:type="dxa"/>
          </w:tcPr>
          <w:p w14:paraId="252CF0FB" w14:textId="1C075193" w:rsidR="000E0537" w:rsidRDefault="000E0537" w:rsidP="00470C91">
            <w:pPr>
              <w:pStyle w:val="ListParagraph"/>
              <w:numPr>
                <w:ilvl w:val="0"/>
                <w:numId w:val="6"/>
              </w:numPr>
              <w:spacing w:before="40" w:after="40"/>
              <w:ind w:left="315" w:hanging="284"/>
            </w:pPr>
            <w:r w:rsidRPr="00573CAB">
              <w:t>A compromised smart meter manufacturer delivers infected firmware updates, allowing attackers to manipulate energy metering data.</w:t>
            </w:r>
          </w:p>
          <w:p w14:paraId="36FC5DA4" w14:textId="2DD16970" w:rsidR="004C1E48" w:rsidRDefault="004C1E48" w:rsidP="00470C91">
            <w:pPr>
              <w:pStyle w:val="ListParagraph"/>
              <w:numPr>
                <w:ilvl w:val="0"/>
                <w:numId w:val="6"/>
              </w:numPr>
              <w:spacing w:before="40" w:after="40"/>
              <w:ind w:left="315" w:hanging="284"/>
            </w:pPr>
            <w:r>
              <w:t>A</w:t>
            </w:r>
            <w:r w:rsidR="009B5C27">
              <w:t xml:space="preserve"> compromised </w:t>
            </w:r>
            <w:r>
              <w:t>EV</w:t>
            </w:r>
            <w:r w:rsidR="00B35366">
              <w:t xml:space="preserve"> or E</w:t>
            </w:r>
            <w:r w:rsidR="00DB6786">
              <w:t>V</w:t>
            </w:r>
            <w:r w:rsidR="00B35366">
              <w:t>SE</w:t>
            </w:r>
            <w:r>
              <w:t xml:space="preserve"> OEM</w:t>
            </w:r>
            <w:r w:rsidR="00B35366">
              <w:t xml:space="preserve"> </w:t>
            </w:r>
            <w:r w:rsidR="00331647">
              <w:t>issues</w:t>
            </w:r>
            <w:r w:rsidR="00B331BF">
              <w:t xml:space="preserve"> infected firmware that </w:t>
            </w:r>
            <w:r w:rsidR="0049484A">
              <w:t xml:space="preserve">forces </w:t>
            </w:r>
            <w:r w:rsidR="00117DD6">
              <w:t xml:space="preserve">entire fleet to charge or discharge at </w:t>
            </w:r>
            <w:r w:rsidR="00FE6EC5">
              <w:t>a set point in time</w:t>
            </w:r>
            <w:r w:rsidR="00064A9D">
              <w:t xml:space="preserve">, causing </w:t>
            </w:r>
            <w:r w:rsidR="00030DA7">
              <w:t>instability across the T-D interface.</w:t>
            </w:r>
          </w:p>
          <w:p w14:paraId="12AC5F83" w14:textId="78946B64" w:rsidR="000E0537" w:rsidRPr="00E65991" w:rsidRDefault="000E0537" w:rsidP="00470C91">
            <w:pPr>
              <w:pStyle w:val="ListParagraph"/>
              <w:numPr>
                <w:ilvl w:val="0"/>
                <w:numId w:val="6"/>
              </w:numPr>
              <w:spacing w:before="40" w:after="40"/>
              <w:ind w:left="315" w:hanging="284"/>
            </w:pPr>
            <w:r w:rsidRPr="00E65991">
              <w:t xml:space="preserve">A compromised aggregator could inject false market signals, leading to incorrect </w:t>
            </w:r>
            <w:r w:rsidR="00C56174">
              <w:t>supply/demand</w:t>
            </w:r>
            <w:r w:rsidRPr="00E65991">
              <w:t xml:space="preserve"> balancing actions. </w:t>
            </w:r>
          </w:p>
          <w:p w14:paraId="36B6FFB6" w14:textId="5C880A57" w:rsidR="000E0537" w:rsidRPr="00C54876" w:rsidRDefault="000E0537" w:rsidP="00470C91">
            <w:pPr>
              <w:pStyle w:val="ListParagraph"/>
              <w:numPr>
                <w:ilvl w:val="0"/>
                <w:numId w:val="6"/>
              </w:numPr>
              <w:spacing w:before="40" w:after="40"/>
              <w:ind w:left="315" w:hanging="284"/>
            </w:pPr>
            <w:r w:rsidRPr="00C54876">
              <w:t xml:space="preserve">An exploited third-party cloud provider (e.g., handling DER telemetry or forecasting) could feed manipulated data to </w:t>
            </w:r>
            <w:r w:rsidR="002E3E5A">
              <w:t>SO/TNSP</w:t>
            </w:r>
            <w:r w:rsidRPr="00C54876">
              <w:t>, leading to improper load management.</w:t>
            </w:r>
          </w:p>
        </w:tc>
      </w:tr>
      <w:tr w:rsidR="000E0537" w14:paraId="53DC2109" w14:textId="1E454607" w:rsidTr="00ED5BCF">
        <w:tc>
          <w:tcPr>
            <w:tcW w:w="1607" w:type="dxa"/>
            <w:shd w:val="clear" w:color="auto" w:fill="067296" w:themeFill="text2"/>
            <w:vAlign w:val="center"/>
          </w:tcPr>
          <w:p w14:paraId="2DFA7E84" w14:textId="1A5F9E19" w:rsidR="000E0537" w:rsidRPr="00F14453" w:rsidRDefault="000E0537" w:rsidP="00F14453">
            <w:pPr>
              <w:spacing w:before="40" w:after="40"/>
              <w:jc w:val="center"/>
              <w:rPr>
                <w:color w:val="FAFAFA" w:themeColor="background1"/>
              </w:rPr>
            </w:pPr>
            <w:r w:rsidRPr="00F14453">
              <w:rPr>
                <w:rStyle w:val="Strong"/>
                <w:color w:val="FAFAFA" w:themeColor="background1"/>
              </w:rPr>
              <w:t>Overcoming Air Gap</w:t>
            </w:r>
          </w:p>
        </w:tc>
        <w:tc>
          <w:tcPr>
            <w:tcW w:w="2546" w:type="dxa"/>
            <w:vAlign w:val="center"/>
          </w:tcPr>
          <w:p w14:paraId="7DD46491" w14:textId="6140F70D" w:rsidR="000E0537" w:rsidRPr="00C54876" w:rsidRDefault="000E0537" w:rsidP="00F14453">
            <w:pPr>
              <w:spacing w:before="40" w:after="40"/>
            </w:pPr>
            <w:r w:rsidRPr="00C54876">
              <w:t xml:space="preserve">Bypassing an </w:t>
            </w:r>
            <w:r w:rsidRPr="00C54876">
              <w:rPr>
                <w:rStyle w:val="Strong"/>
              </w:rPr>
              <w:t>air-gapped system</w:t>
            </w:r>
            <w:r w:rsidRPr="00C54876">
              <w:t xml:space="preserve"> (a network isolated from the internet) using </w:t>
            </w:r>
            <w:r w:rsidRPr="00C54876">
              <w:rPr>
                <w:rStyle w:val="Strong"/>
              </w:rPr>
              <w:t>USB drives, wireless bridges, or insider threats</w:t>
            </w:r>
            <w:r w:rsidRPr="00C54876">
              <w:t>.</w:t>
            </w:r>
          </w:p>
        </w:tc>
        <w:tc>
          <w:tcPr>
            <w:tcW w:w="4063" w:type="dxa"/>
          </w:tcPr>
          <w:p w14:paraId="4BD65547" w14:textId="398FA251" w:rsidR="000E0537" w:rsidRPr="00C54876" w:rsidRDefault="000E0537" w:rsidP="00F14453">
            <w:pPr>
              <w:spacing w:before="40" w:after="40"/>
            </w:pPr>
            <w:r w:rsidRPr="00C54876">
              <w:t xml:space="preserve">High - Many </w:t>
            </w:r>
            <w:r w:rsidR="00B303F0">
              <w:t>TNSP</w:t>
            </w:r>
            <w:r w:rsidRPr="00C54876">
              <w:t xml:space="preserve"> and DSO critical control systems (e.g., SCADA and EMS) are air-gapped from the internet for security. Attackers may attempt to bridge the air gap using infected removable media, wireless bridges, or compromised personnel.</w:t>
            </w:r>
          </w:p>
        </w:tc>
        <w:tc>
          <w:tcPr>
            <w:tcW w:w="5812" w:type="dxa"/>
          </w:tcPr>
          <w:p w14:paraId="0B979C2A" w14:textId="524EABC8" w:rsidR="000E0537" w:rsidRDefault="000E0537" w:rsidP="00470C91">
            <w:pPr>
              <w:pStyle w:val="ListParagraph"/>
              <w:numPr>
                <w:ilvl w:val="0"/>
                <w:numId w:val="6"/>
              </w:numPr>
              <w:spacing w:before="40" w:after="40"/>
              <w:ind w:left="315" w:hanging="284"/>
            </w:pPr>
            <w:r w:rsidRPr="00C54876">
              <w:t xml:space="preserve">An insider plants a </w:t>
            </w:r>
            <w:r w:rsidRPr="00C54876">
              <w:rPr>
                <w:rStyle w:val="Strong"/>
              </w:rPr>
              <w:t>compromised USB device</w:t>
            </w:r>
            <w:r w:rsidRPr="00C54876">
              <w:t xml:space="preserve"> in an air-gapped </w:t>
            </w:r>
            <w:r w:rsidRPr="00C54876">
              <w:rPr>
                <w:rStyle w:val="Strong"/>
              </w:rPr>
              <w:t>Energy Management System (EMS)</w:t>
            </w:r>
            <w:r w:rsidRPr="00C54876">
              <w:t xml:space="preserve">, allowing remote control of </w:t>
            </w:r>
            <w:r w:rsidRPr="00C54876">
              <w:rPr>
                <w:rStyle w:val="Strong"/>
              </w:rPr>
              <w:t>transmission dispatch functions</w:t>
            </w:r>
            <w:r w:rsidRPr="00C54876">
              <w:t>.</w:t>
            </w:r>
          </w:p>
          <w:p w14:paraId="629C2CBE" w14:textId="0B73BFF6" w:rsidR="000E0537" w:rsidRPr="00C54876" w:rsidRDefault="000E0537" w:rsidP="00470C91">
            <w:pPr>
              <w:pStyle w:val="ListParagraph"/>
              <w:numPr>
                <w:ilvl w:val="0"/>
                <w:numId w:val="6"/>
              </w:numPr>
              <w:spacing w:before="40" w:after="40"/>
              <w:ind w:left="315" w:hanging="284"/>
            </w:pPr>
            <w:r w:rsidRPr="00C54876">
              <w:t xml:space="preserve">A cyberattack on an air-gapped EMS at a </w:t>
            </w:r>
            <w:r w:rsidR="002E3E5A">
              <w:t>SO/TNSP</w:t>
            </w:r>
            <w:r w:rsidR="002E3E5A" w:rsidRPr="00C54876">
              <w:t xml:space="preserve"> </w:t>
            </w:r>
            <w:r w:rsidRPr="00C54876">
              <w:t>disrupt</w:t>
            </w:r>
            <w:r w:rsidR="00B629A3">
              <w:t>s</w:t>
            </w:r>
            <w:r w:rsidRPr="00C54876">
              <w:t xml:space="preserve"> real-time coordination with DSOs, leading to load imbalance, frequency deviations, or blackouts.</w:t>
            </w:r>
          </w:p>
        </w:tc>
      </w:tr>
      <w:tr w:rsidR="000E0537" w14:paraId="603E8436" w14:textId="393BB640" w:rsidTr="00ED5BCF">
        <w:tc>
          <w:tcPr>
            <w:tcW w:w="1607" w:type="dxa"/>
            <w:shd w:val="clear" w:color="auto" w:fill="067296" w:themeFill="text2"/>
            <w:vAlign w:val="center"/>
          </w:tcPr>
          <w:p w14:paraId="63A6A93E" w14:textId="414381A7" w:rsidR="000E0537" w:rsidRPr="00F14453" w:rsidRDefault="000E0537" w:rsidP="00F14453">
            <w:pPr>
              <w:spacing w:before="40" w:after="40"/>
              <w:jc w:val="center"/>
              <w:rPr>
                <w:color w:val="FAFAFA" w:themeColor="background1"/>
              </w:rPr>
            </w:pPr>
            <w:r w:rsidRPr="00F14453">
              <w:rPr>
                <w:rStyle w:val="Strong"/>
                <w:color w:val="FAFAFA" w:themeColor="background1"/>
              </w:rPr>
              <w:t>Insider Attack</w:t>
            </w:r>
          </w:p>
        </w:tc>
        <w:tc>
          <w:tcPr>
            <w:tcW w:w="2546" w:type="dxa"/>
            <w:vAlign w:val="center"/>
          </w:tcPr>
          <w:p w14:paraId="0BB796DA" w14:textId="55D1B0EB" w:rsidR="000E0537" w:rsidRPr="00C54876" w:rsidRDefault="000E0537" w:rsidP="00F14453">
            <w:pPr>
              <w:spacing w:before="40" w:after="40"/>
            </w:pPr>
            <w:r w:rsidRPr="00C54876">
              <w:t xml:space="preserve">A </w:t>
            </w:r>
            <w:r w:rsidRPr="00C54876">
              <w:rPr>
                <w:rStyle w:val="Strong"/>
              </w:rPr>
              <w:t>trusted employee or contractor</w:t>
            </w:r>
            <w:r w:rsidRPr="00C54876">
              <w:t xml:space="preserve"> with system access intentionally or unintentionally compromises grid cybersecurity.</w:t>
            </w:r>
          </w:p>
        </w:tc>
        <w:tc>
          <w:tcPr>
            <w:tcW w:w="4063" w:type="dxa"/>
          </w:tcPr>
          <w:p w14:paraId="4CBD7F7E" w14:textId="23FD8269" w:rsidR="000E0537" w:rsidRPr="00C54876" w:rsidRDefault="000E0537" w:rsidP="00F14453">
            <w:pPr>
              <w:spacing w:before="40" w:after="40"/>
            </w:pPr>
            <w:r w:rsidRPr="00C54876">
              <w:t xml:space="preserve">High </w:t>
            </w:r>
            <w:r w:rsidR="00B303F0">
              <w:t>–</w:t>
            </w:r>
            <w:r w:rsidRPr="00C54876">
              <w:t xml:space="preserve"> </w:t>
            </w:r>
            <w:r w:rsidR="002E3E5A">
              <w:t>TDC</w:t>
            </w:r>
            <w:r w:rsidRPr="00C54876">
              <w:t xml:space="preserve"> requires extensive collaboration and shared system access, increasing the attack surface for insider threats. </w:t>
            </w:r>
            <w:r w:rsidR="007A6373">
              <w:t xml:space="preserve">A </w:t>
            </w:r>
            <w:r w:rsidR="00B212E1">
              <w:t>d</w:t>
            </w:r>
            <w:r w:rsidRPr="00C54876">
              <w:t>isgruntled employee or compromised contractors could abuse their access to sabotage operations</w:t>
            </w:r>
            <w:r w:rsidR="009D2083">
              <w:t xml:space="preserve"> on the </w:t>
            </w:r>
            <w:r w:rsidR="009D4201">
              <w:t>far side of the T-D Interface</w:t>
            </w:r>
            <w:r w:rsidRPr="00C54876">
              <w:t>.</w:t>
            </w:r>
          </w:p>
        </w:tc>
        <w:tc>
          <w:tcPr>
            <w:tcW w:w="5812" w:type="dxa"/>
          </w:tcPr>
          <w:p w14:paraId="12F1BDBF" w14:textId="428F2395" w:rsidR="000E0537" w:rsidRDefault="000E0537" w:rsidP="00470C91">
            <w:pPr>
              <w:pStyle w:val="ListParagraph"/>
              <w:numPr>
                <w:ilvl w:val="0"/>
                <w:numId w:val="6"/>
              </w:numPr>
              <w:spacing w:before="40" w:after="40"/>
              <w:ind w:left="315" w:hanging="284"/>
            </w:pPr>
            <w:r w:rsidRPr="00C54876">
              <w:t xml:space="preserve">A disgruntled engineer with </w:t>
            </w:r>
            <w:r w:rsidRPr="00C54876">
              <w:rPr>
                <w:rStyle w:val="Strong"/>
              </w:rPr>
              <w:t>access to SCADA systems</w:t>
            </w:r>
            <w:r w:rsidRPr="00C54876">
              <w:t xml:space="preserve"> disables protective relays, causing </w:t>
            </w:r>
            <w:r w:rsidRPr="00C54876">
              <w:rPr>
                <w:rStyle w:val="Strong"/>
              </w:rPr>
              <w:t>load shedding</w:t>
            </w:r>
            <w:r w:rsidR="009708FB">
              <w:rPr>
                <w:rStyle w:val="Strong"/>
              </w:rPr>
              <w:t>/</w:t>
            </w:r>
            <w:r w:rsidRPr="00C54876">
              <w:rPr>
                <w:rStyle w:val="Strong"/>
              </w:rPr>
              <w:t>instability</w:t>
            </w:r>
            <w:r w:rsidRPr="00C54876">
              <w:t>.</w:t>
            </w:r>
          </w:p>
          <w:p w14:paraId="6023D3DF" w14:textId="0E283107" w:rsidR="000E0537" w:rsidRPr="001E4DAA" w:rsidRDefault="000E0537" w:rsidP="00470C91">
            <w:pPr>
              <w:pStyle w:val="ListParagraph"/>
              <w:numPr>
                <w:ilvl w:val="0"/>
                <w:numId w:val="6"/>
              </w:numPr>
              <w:spacing w:before="40" w:after="40"/>
              <w:ind w:left="315" w:hanging="284"/>
            </w:pPr>
            <w:r w:rsidRPr="001E4DAA">
              <w:t xml:space="preserve">A malicious insider at a </w:t>
            </w:r>
            <w:r w:rsidR="002E3E5A">
              <w:t>SO</w:t>
            </w:r>
            <w:r w:rsidR="0073284E">
              <w:t>/TNSP</w:t>
            </w:r>
            <w:r w:rsidR="002E3E5A">
              <w:t xml:space="preserve"> </w:t>
            </w:r>
            <w:r w:rsidRPr="001E4DAA">
              <w:t xml:space="preserve">control </w:t>
            </w:r>
            <w:r w:rsidR="0096692E" w:rsidRPr="001E4DAA">
              <w:t>centre</w:t>
            </w:r>
            <w:r w:rsidR="0096692E">
              <w:t>s</w:t>
            </w:r>
            <w:r w:rsidRPr="001E4DAA">
              <w:t xml:space="preserve"> could manipulate real-time grid balancing data, triggering unnecessary load shedding at DSOs. </w:t>
            </w:r>
          </w:p>
          <w:p w14:paraId="42CB9682" w14:textId="602E0629" w:rsidR="000E0537" w:rsidRPr="00C54876" w:rsidRDefault="000E0537" w:rsidP="00470C91">
            <w:pPr>
              <w:pStyle w:val="ListParagraph"/>
              <w:numPr>
                <w:ilvl w:val="0"/>
                <w:numId w:val="6"/>
              </w:numPr>
              <w:spacing w:before="40" w:after="40"/>
              <w:ind w:left="315" w:hanging="284"/>
            </w:pPr>
            <w:r w:rsidRPr="00C54876">
              <w:t xml:space="preserve">A rogue employee at a DSO could feed false grid status information to the </w:t>
            </w:r>
            <w:r w:rsidR="002E3E5A">
              <w:t>SO</w:t>
            </w:r>
            <w:r w:rsidRPr="00C54876">
              <w:t>, disrupting transmission scheduling.</w:t>
            </w:r>
          </w:p>
        </w:tc>
      </w:tr>
      <w:tr w:rsidR="000E0537" w14:paraId="389664A9" w14:textId="7669031F" w:rsidTr="00ED5BCF">
        <w:tc>
          <w:tcPr>
            <w:tcW w:w="1607" w:type="dxa"/>
            <w:shd w:val="clear" w:color="auto" w:fill="067296" w:themeFill="text2"/>
            <w:vAlign w:val="center"/>
          </w:tcPr>
          <w:p w14:paraId="74431E21" w14:textId="2033D451" w:rsidR="000E0537" w:rsidRPr="00F14453" w:rsidRDefault="000E0537" w:rsidP="00F14453">
            <w:pPr>
              <w:spacing w:before="60" w:after="60"/>
              <w:jc w:val="center"/>
              <w:rPr>
                <w:color w:val="FAFAFA" w:themeColor="background1"/>
              </w:rPr>
            </w:pPr>
            <w:r w:rsidRPr="00F14453">
              <w:rPr>
                <w:rStyle w:val="Strong"/>
                <w:color w:val="FAFAFA" w:themeColor="background1"/>
              </w:rPr>
              <w:lastRenderedPageBreak/>
              <w:t>Cascading Effects</w:t>
            </w:r>
          </w:p>
        </w:tc>
        <w:tc>
          <w:tcPr>
            <w:tcW w:w="2546" w:type="dxa"/>
            <w:vAlign w:val="center"/>
          </w:tcPr>
          <w:p w14:paraId="4DE7BB31" w14:textId="0C7FAF8D" w:rsidR="000E0537" w:rsidRPr="00C54876" w:rsidRDefault="000E0537" w:rsidP="00D10681">
            <w:pPr>
              <w:spacing w:before="60" w:after="60"/>
            </w:pPr>
            <w:r w:rsidRPr="00C54876">
              <w:t xml:space="preserve">A cyberattack on one component </w:t>
            </w:r>
            <w:r w:rsidRPr="00C54876">
              <w:rPr>
                <w:rStyle w:val="Strong"/>
              </w:rPr>
              <w:t>propagates across interconnected systems</w:t>
            </w:r>
            <w:r w:rsidRPr="00C54876">
              <w:t>, leading to widespread failures.</w:t>
            </w:r>
          </w:p>
        </w:tc>
        <w:tc>
          <w:tcPr>
            <w:tcW w:w="4063" w:type="dxa"/>
          </w:tcPr>
          <w:p w14:paraId="0C8E5EB3" w14:textId="473313BA" w:rsidR="000E0537" w:rsidRPr="00C54876" w:rsidRDefault="000E0537" w:rsidP="007E22F2">
            <w:pPr>
              <w:spacing w:before="60" w:after="60"/>
            </w:pPr>
            <w:r w:rsidRPr="00C54876">
              <w:t xml:space="preserve">High - The </w:t>
            </w:r>
            <w:r w:rsidR="0073284E">
              <w:t>TDI</w:t>
            </w:r>
            <w:r w:rsidRPr="00C54876">
              <w:t xml:space="preserve"> is highly interdependent, meaning an attack on one component (e.g., DSO operations) can propagate to </w:t>
            </w:r>
            <w:r w:rsidR="0073284E">
              <w:t>SO/TNSPs</w:t>
            </w:r>
            <w:r w:rsidRPr="00C54876">
              <w:t xml:space="preserve"> and vice versa. </w:t>
            </w:r>
            <w:r w:rsidR="007E22F2">
              <w:t>C</w:t>
            </w:r>
            <w:r w:rsidRPr="00C54876">
              <w:t xml:space="preserve">yberattacks that manipulate demand response systems, DER controls, or load forecasting can have widespread impacts on </w:t>
            </w:r>
            <w:r w:rsidR="007E22F2">
              <w:t>power system</w:t>
            </w:r>
            <w:r w:rsidRPr="00C54876">
              <w:t xml:space="preserve"> stability.</w:t>
            </w:r>
          </w:p>
        </w:tc>
        <w:tc>
          <w:tcPr>
            <w:tcW w:w="5812" w:type="dxa"/>
          </w:tcPr>
          <w:p w14:paraId="71F610DA" w14:textId="459B3B54" w:rsidR="000E0537" w:rsidRDefault="000E0537" w:rsidP="00470C91">
            <w:pPr>
              <w:pStyle w:val="ListParagraph"/>
              <w:numPr>
                <w:ilvl w:val="0"/>
                <w:numId w:val="6"/>
              </w:numPr>
              <w:spacing w:before="60" w:after="60"/>
              <w:ind w:left="315" w:hanging="284"/>
            </w:pPr>
            <w:r w:rsidRPr="00C54876">
              <w:t xml:space="preserve">A malware attack on a </w:t>
            </w:r>
            <w:r w:rsidRPr="00C54876">
              <w:rPr>
                <w:rStyle w:val="Strong"/>
              </w:rPr>
              <w:t>regional control cent</w:t>
            </w:r>
            <w:r w:rsidR="004B79B9">
              <w:rPr>
                <w:rStyle w:val="Strong"/>
              </w:rPr>
              <w:t>re</w:t>
            </w:r>
            <w:r w:rsidRPr="00C54876">
              <w:t xml:space="preserve"> manipulates load balancing data, causing </w:t>
            </w:r>
            <w:r w:rsidRPr="00C54876">
              <w:rPr>
                <w:rStyle w:val="Strong"/>
              </w:rPr>
              <w:t>widespread outages across multiple states</w:t>
            </w:r>
            <w:r w:rsidRPr="00C54876">
              <w:t>.</w:t>
            </w:r>
          </w:p>
          <w:p w14:paraId="04C5ED4F" w14:textId="7E063EA2" w:rsidR="000E0537" w:rsidRPr="005E46BF" w:rsidRDefault="000E0537" w:rsidP="00470C91">
            <w:pPr>
              <w:pStyle w:val="ListParagraph"/>
              <w:numPr>
                <w:ilvl w:val="0"/>
                <w:numId w:val="6"/>
              </w:numPr>
              <w:spacing w:before="60" w:after="60"/>
              <w:ind w:left="315" w:hanging="284"/>
            </w:pPr>
            <w:r w:rsidRPr="005E46BF">
              <w:t xml:space="preserve">A compromised DERMS (Distributed Energy Resource Management System) at a DSO could inject false demand and generation data, leading to incorrect dispatch decisions at the SO level. </w:t>
            </w:r>
          </w:p>
          <w:p w14:paraId="35A9AB02" w14:textId="6373A3F3" w:rsidR="000E0537" w:rsidRPr="00C54876" w:rsidRDefault="000E0537" w:rsidP="00470C91">
            <w:pPr>
              <w:pStyle w:val="ListParagraph"/>
              <w:numPr>
                <w:ilvl w:val="0"/>
                <w:numId w:val="6"/>
              </w:numPr>
              <w:spacing w:before="60" w:after="60"/>
              <w:ind w:left="315" w:hanging="284"/>
            </w:pPr>
            <w:r w:rsidRPr="00C54876">
              <w:t xml:space="preserve">A DDoS attack on a </w:t>
            </w:r>
            <w:r w:rsidR="00E13309">
              <w:t>sing</w:t>
            </w:r>
            <w:r w:rsidR="00F025A3">
              <w:t xml:space="preserve">le </w:t>
            </w:r>
            <w:r w:rsidRPr="00C54876">
              <w:t xml:space="preserve">DSO </w:t>
            </w:r>
            <w:r w:rsidR="00D97BED">
              <w:t xml:space="preserve">within </w:t>
            </w:r>
            <w:r w:rsidR="002A71E9">
              <w:t xml:space="preserve">the service territory of </w:t>
            </w:r>
            <w:r w:rsidR="005E79F2">
              <w:t xml:space="preserve">a TNSP with multiple DSOs </w:t>
            </w:r>
            <w:r w:rsidRPr="00C54876">
              <w:t xml:space="preserve">could overload </w:t>
            </w:r>
            <w:r w:rsidR="00DB1D71">
              <w:t xml:space="preserve">the TNSP causing disruption to other </w:t>
            </w:r>
            <w:r w:rsidRPr="00C54876">
              <w:t>DSOs</w:t>
            </w:r>
            <w:r w:rsidR="004E76C8">
              <w:t>.</w:t>
            </w:r>
          </w:p>
        </w:tc>
      </w:tr>
      <w:bookmarkEnd w:id="186"/>
    </w:tbl>
    <w:p w14:paraId="14D7EF92" w14:textId="77777777" w:rsidR="00DF3A93" w:rsidRDefault="00DF3A93" w:rsidP="009373F6">
      <w:pPr>
        <w:ind w:left="426"/>
        <w:sectPr w:rsidR="00DF3A93" w:rsidSect="00435785">
          <w:pgSz w:w="16838" w:h="11906" w:orient="landscape"/>
          <w:pgMar w:top="2552" w:right="2552" w:bottom="1134" w:left="851" w:header="709" w:footer="709" w:gutter="0"/>
          <w:cols w:space="708"/>
          <w:docGrid w:linePitch="360"/>
        </w:sectPr>
      </w:pPr>
    </w:p>
    <w:p w14:paraId="5C4F1BF0" w14:textId="5752A80F" w:rsidR="00E66F8A" w:rsidRDefault="00E66F8A" w:rsidP="00E66F8A">
      <w:pPr>
        <w:pStyle w:val="Heading3"/>
      </w:pPr>
      <w:bookmarkStart w:id="187" w:name="_Toc205532868"/>
      <w:r>
        <w:lastRenderedPageBreak/>
        <w:t>Mitigations</w:t>
      </w:r>
      <w:bookmarkEnd w:id="187"/>
    </w:p>
    <w:p w14:paraId="2280BDD0" w14:textId="67843BE3" w:rsidR="003D16D3" w:rsidRPr="0050162C" w:rsidRDefault="00D71074" w:rsidP="0050162C">
      <w:pPr>
        <w:spacing w:before="180" w:after="120" w:line="288" w:lineRule="auto"/>
        <w:rPr>
          <w:rFonts w:cs="Calibri"/>
          <w:szCs w:val="18"/>
        </w:rPr>
      </w:pPr>
      <w:r w:rsidRPr="0050162C">
        <w:rPr>
          <w:rFonts w:cs="Calibri"/>
          <w:szCs w:val="18"/>
        </w:rPr>
        <w:t>A common</w:t>
      </w:r>
      <w:r w:rsidR="00180193" w:rsidRPr="0050162C">
        <w:rPr>
          <w:rFonts w:cs="Calibri"/>
          <w:szCs w:val="18"/>
        </w:rPr>
        <w:t xml:space="preserve"> mitigation</w:t>
      </w:r>
      <w:r w:rsidRPr="0050162C">
        <w:rPr>
          <w:rFonts w:cs="Calibri"/>
          <w:szCs w:val="18"/>
        </w:rPr>
        <w:t xml:space="preserve"> </w:t>
      </w:r>
      <w:r w:rsidR="00694266" w:rsidRPr="0050162C">
        <w:rPr>
          <w:rFonts w:cs="Calibri"/>
          <w:szCs w:val="18"/>
        </w:rPr>
        <w:t xml:space="preserve">concept in cybersecurity is </w:t>
      </w:r>
      <w:r w:rsidR="00F96864" w:rsidRPr="0050162C">
        <w:rPr>
          <w:rFonts w:cs="Calibri"/>
          <w:szCs w:val="18"/>
        </w:rPr>
        <w:t>defence</w:t>
      </w:r>
      <w:r w:rsidR="00694266" w:rsidRPr="0050162C">
        <w:rPr>
          <w:rFonts w:cs="Calibri"/>
          <w:szCs w:val="18"/>
        </w:rPr>
        <w:t>-in-depth. This concep</w:t>
      </w:r>
      <w:r w:rsidR="00843113" w:rsidRPr="0050162C">
        <w:rPr>
          <w:rFonts w:cs="Calibri"/>
          <w:szCs w:val="18"/>
        </w:rPr>
        <w:t xml:space="preserve">t describes a layered </w:t>
      </w:r>
      <w:r w:rsidR="00180193" w:rsidRPr="0050162C">
        <w:rPr>
          <w:rFonts w:cs="Calibri"/>
          <w:szCs w:val="18"/>
        </w:rPr>
        <w:t xml:space="preserve">approach to </w:t>
      </w:r>
      <w:r w:rsidR="00AB0A12" w:rsidRPr="0050162C">
        <w:rPr>
          <w:rFonts w:cs="Calibri"/>
          <w:szCs w:val="18"/>
        </w:rPr>
        <w:t>defence</w:t>
      </w:r>
      <w:r w:rsidR="00843113" w:rsidRPr="0050162C">
        <w:rPr>
          <w:rFonts w:cs="Calibri"/>
          <w:szCs w:val="18"/>
        </w:rPr>
        <w:t xml:space="preserve"> </w:t>
      </w:r>
      <w:r w:rsidR="00B80A0C" w:rsidRPr="0050162C">
        <w:rPr>
          <w:rFonts w:cs="Calibri"/>
          <w:szCs w:val="18"/>
        </w:rPr>
        <w:t xml:space="preserve">understanding that no single </w:t>
      </w:r>
      <w:r w:rsidR="00AB0A12" w:rsidRPr="0050162C">
        <w:rPr>
          <w:rFonts w:cs="Calibri"/>
          <w:szCs w:val="18"/>
        </w:rPr>
        <w:t>security measure is sufficient</w:t>
      </w:r>
      <w:r w:rsidR="00772EEE">
        <w:rPr>
          <w:rFonts w:cs="Calibri"/>
          <w:szCs w:val="18"/>
        </w:rPr>
        <w:t xml:space="preserve">. </w:t>
      </w:r>
    </w:p>
    <w:tbl>
      <w:tblPr>
        <w:tblStyle w:val="TableGrid"/>
        <w:tblW w:w="0" w:type="auto"/>
        <w:tblInd w:w="-5" w:type="dxa"/>
        <w:tblCellMar>
          <w:top w:w="57" w:type="dxa"/>
          <w:bottom w:w="57" w:type="dxa"/>
        </w:tblCellMar>
        <w:tblLook w:val="04A0" w:firstRow="1" w:lastRow="0" w:firstColumn="1" w:lastColumn="0" w:noHBand="0" w:noVBand="1"/>
      </w:tblPr>
      <w:tblGrid>
        <w:gridCol w:w="2268"/>
        <w:gridCol w:w="5947"/>
      </w:tblGrid>
      <w:tr w:rsidR="003D16D3" w14:paraId="1C8952D9" w14:textId="77777777" w:rsidTr="00ED5BCF">
        <w:trPr>
          <w:trHeight w:val="496"/>
        </w:trPr>
        <w:tc>
          <w:tcPr>
            <w:tcW w:w="2268" w:type="dxa"/>
            <w:shd w:val="clear" w:color="auto" w:fill="013C4C" w:themeFill="accent1"/>
            <w:vAlign w:val="center"/>
          </w:tcPr>
          <w:p w14:paraId="60BD2588" w14:textId="7214E322" w:rsidR="003D16D3" w:rsidRDefault="003D16D3" w:rsidP="00F14453">
            <w:pPr>
              <w:spacing w:before="0" w:after="0"/>
              <w:jc w:val="center"/>
            </w:pPr>
            <w:r w:rsidRPr="003D16D3">
              <w:rPr>
                <w:rFonts w:ascii="PP Mori SemiBold" w:hAnsi="PP Mori SemiBold"/>
                <w:b/>
                <w:bCs/>
                <w:color w:val="FAFAFA" w:themeColor="background1"/>
              </w:rPr>
              <w:t>Layer</w:t>
            </w:r>
          </w:p>
        </w:tc>
        <w:tc>
          <w:tcPr>
            <w:tcW w:w="5947" w:type="dxa"/>
            <w:shd w:val="clear" w:color="auto" w:fill="013C4C" w:themeFill="accent1"/>
            <w:vAlign w:val="center"/>
          </w:tcPr>
          <w:p w14:paraId="5355C592" w14:textId="265A7C60" w:rsidR="003D16D3" w:rsidRDefault="003D16D3" w:rsidP="00F14453">
            <w:pPr>
              <w:spacing w:before="0" w:after="0"/>
              <w:jc w:val="center"/>
            </w:pPr>
            <w:r w:rsidRPr="003D16D3">
              <w:rPr>
                <w:rFonts w:ascii="PP Mori SemiBold" w:hAnsi="PP Mori SemiBold"/>
                <w:b/>
                <w:bCs/>
                <w:color w:val="FAFAFA" w:themeColor="background1"/>
              </w:rPr>
              <w:t>Description</w:t>
            </w:r>
          </w:p>
        </w:tc>
      </w:tr>
      <w:tr w:rsidR="003D16D3" w14:paraId="714FA1D9" w14:textId="77777777" w:rsidTr="00ED5BCF">
        <w:tc>
          <w:tcPr>
            <w:tcW w:w="2268" w:type="dxa"/>
            <w:shd w:val="clear" w:color="auto" w:fill="067296" w:themeFill="text2"/>
            <w:vAlign w:val="center"/>
          </w:tcPr>
          <w:p w14:paraId="5B3C1C62" w14:textId="09275A40" w:rsidR="003D16D3" w:rsidRPr="00F14453" w:rsidRDefault="003D16D3" w:rsidP="00F14453">
            <w:pPr>
              <w:spacing w:before="60" w:after="60"/>
              <w:jc w:val="center"/>
              <w:rPr>
                <w:color w:val="FAFAFA" w:themeColor="background1"/>
              </w:rPr>
            </w:pPr>
            <w:r w:rsidRPr="00F14453">
              <w:rPr>
                <w:color w:val="FAFAFA" w:themeColor="background1"/>
              </w:rPr>
              <w:t>1. Human Layer (User Awareness)</w:t>
            </w:r>
          </w:p>
        </w:tc>
        <w:tc>
          <w:tcPr>
            <w:tcW w:w="5947" w:type="dxa"/>
          </w:tcPr>
          <w:p w14:paraId="2C19B55E" w14:textId="324FC7E3" w:rsidR="003D16D3" w:rsidRPr="00F14453" w:rsidRDefault="003D16D3" w:rsidP="00F14453">
            <w:pPr>
              <w:spacing w:before="60" w:after="60"/>
            </w:pPr>
            <w:r w:rsidRPr="00F14453">
              <w:t>Involves educating and training users to recogni</w:t>
            </w:r>
            <w:r w:rsidR="00C41701">
              <w:t>s</w:t>
            </w:r>
            <w:r w:rsidRPr="00F14453">
              <w:t xml:space="preserve">e phishing, social engineering, and unsafe </w:t>
            </w:r>
            <w:r w:rsidR="005903E1" w:rsidRPr="00F14453">
              <w:t>behaviours</w:t>
            </w:r>
            <w:r w:rsidRPr="00F14453">
              <w:t>. Humans are the weakest link, so awareness is essential.</w:t>
            </w:r>
          </w:p>
        </w:tc>
      </w:tr>
      <w:tr w:rsidR="003D16D3" w14:paraId="71510F94" w14:textId="77777777" w:rsidTr="00ED5BCF">
        <w:tc>
          <w:tcPr>
            <w:tcW w:w="2268" w:type="dxa"/>
            <w:shd w:val="clear" w:color="auto" w:fill="067296" w:themeFill="text2"/>
            <w:vAlign w:val="center"/>
          </w:tcPr>
          <w:p w14:paraId="170105B5" w14:textId="560DE7D0" w:rsidR="003D16D3" w:rsidRPr="00F14453" w:rsidRDefault="003D16D3" w:rsidP="00F14453">
            <w:pPr>
              <w:spacing w:before="60" w:after="60"/>
              <w:jc w:val="center"/>
              <w:rPr>
                <w:color w:val="FAFAFA" w:themeColor="background1"/>
              </w:rPr>
            </w:pPr>
            <w:r w:rsidRPr="00F14453">
              <w:rPr>
                <w:color w:val="FAFAFA" w:themeColor="background1"/>
              </w:rPr>
              <w:t>2. Perimeter Security</w:t>
            </w:r>
          </w:p>
        </w:tc>
        <w:tc>
          <w:tcPr>
            <w:tcW w:w="5947" w:type="dxa"/>
            <w:vAlign w:val="center"/>
          </w:tcPr>
          <w:p w14:paraId="1D44BE9B" w14:textId="4CD2C757" w:rsidR="003D16D3" w:rsidRPr="00F14453" w:rsidRDefault="003D16D3" w:rsidP="00F14453">
            <w:pPr>
              <w:spacing w:before="60" w:after="60"/>
            </w:pPr>
            <w:r w:rsidRPr="00F14453">
              <w:t xml:space="preserve">First line of </w:t>
            </w:r>
            <w:r w:rsidR="005903E1" w:rsidRPr="00F14453">
              <w:t>defence</w:t>
            </w:r>
            <w:r w:rsidRPr="00F14453">
              <w:t xml:space="preserve"> using firewalls, intrusion prevention systems (IPS), and network segmentation to prevent unauthori</w:t>
            </w:r>
            <w:r w:rsidR="00C41701">
              <w:t>s</w:t>
            </w:r>
            <w:r w:rsidRPr="00F14453">
              <w:t>ed access.</w:t>
            </w:r>
          </w:p>
        </w:tc>
      </w:tr>
      <w:tr w:rsidR="003D16D3" w14:paraId="6D7D219F" w14:textId="77777777" w:rsidTr="00ED5BCF">
        <w:tc>
          <w:tcPr>
            <w:tcW w:w="2268" w:type="dxa"/>
            <w:shd w:val="clear" w:color="auto" w:fill="067296" w:themeFill="text2"/>
            <w:vAlign w:val="center"/>
          </w:tcPr>
          <w:p w14:paraId="4DCFA7B6" w14:textId="569CFEF7" w:rsidR="003D16D3" w:rsidRPr="00F14453" w:rsidRDefault="003D16D3" w:rsidP="00F14453">
            <w:pPr>
              <w:spacing w:before="60" w:after="60"/>
              <w:jc w:val="center"/>
              <w:rPr>
                <w:color w:val="FAFAFA" w:themeColor="background1"/>
              </w:rPr>
            </w:pPr>
            <w:r w:rsidRPr="00F14453">
              <w:rPr>
                <w:color w:val="FAFAFA" w:themeColor="background1"/>
              </w:rPr>
              <w:t>3. Network Security</w:t>
            </w:r>
          </w:p>
        </w:tc>
        <w:tc>
          <w:tcPr>
            <w:tcW w:w="5947" w:type="dxa"/>
          </w:tcPr>
          <w:p w14:paraId="3261D034" w14:textId="5FEE2EA8" w:rsidR="003D16D3" w:rsidRPr="00F14453" w:rsidRDefault="003D16D3" w:rsidP="00F14453">
            <w:pPr>
              <w:spacing w:before="60" w:after="60"/>
            </w:pPr>
            <w:r w:rsidRPr="00F14453">
              <w:t>Secures internal network traffic through secure protocols, traffic monitoring, access controls, and network-based firewalls.</w:t>
            </w:r>
          </w:p>
        </w:tc>
      </w:tr>
      <w:tr w:rsidR="003D16D3" w14:paraId="3BF1577E" w14:textId="77777777" w:rsidTr="00ED5BCF">
        <w:tc>
          <w:tcPr>
            <w:tcW w:w="2268" w:type="dxa"/>
            <w:shd w:val="clear" w:color="auto" w:fill="067296" w:themeFill="text2"/>
            <w:vAlign w:val="center"/>
          </w:tcPr>
          <w:p w14:paraId="747FBC95" w14:textId="5FC2FCC7" w:rsidR="003D16D3" w:rsidRPr="00F14453" w:rsidRDefault="003D16D3" w:rsidP="00F14453">
            <w:pPr>
              <w:spacing w:before="60" w:after="60"/>
              <w:jc w:val="center"/>
              <w:rPr>
                <w:color w:val="FAFAFA" w:themeColor="background1"/>
              </w:rPr>
            </w:pPr>
            <w:r w:rsidRPr="00F14453">
              <w:rPr>
                <w:color w:val="FAFAFA" w:themeColor="background1"/>
              </w:rPr>
              <w:t>4. Endpoint Security</w:t>
            </w:r>
          </w:p>
        </w:tc>
        <w:tc>
          <w:tcPr>
            <w:tcW w:w="5947" w:type="dxa"/>
          </w:tcPr>
          <w:p w14:paraId="637288A7" w14:textId="566837C2" w:rsidR="003D16D3" w:rsidRPr="00F14453" w:rsidRDefault="003D16D3" w:rsidP="00F14453">
            <w:pPr>
              <w:spacing w:before="60" w:after="60"/>
            </w:pPr>
            <w:r w:rsidRPr="00F14453">
              <w:t>Protects individual devices (servers, laptops, mobile phones) using antivirus, EDR (Endpoint Detection and Response), patch management, etc.</w:t>
            </w:r>
          </w:p>
        </w:tc>
      </w:tr>
      <w:tr w:rsidR="003D16D3" w14:paraId="0FFCF2E7" w14:textId="77777777" w:rsidTr="00ED5BCF">
        <w:tc>
          <w:tcPr>
            <w:tcW w:w="2268" w:type="dxa"/>
            <w:shd w:val="clear" w:color="auto" w:fill="067296" w:themeFill="text2"/>
            <w:vAlign w:val="center"/>
          </w:tcPr>
          <w:p w14:paraId="5107B580" w14:textId="26C172AD" w:rsidR="003D16D3" w:rsidRPr="00F14453" w:rsidRDefault="003D16D3" w:rsidP="00F14453">
            <w:pPr>
              <w:spacing w:before="60" w:after="60"/>
              <w:jc w:val="center"/>
              <w:rPr>
                <w:color w:val="FAFAFA" w:themeColor="background1"/>
              </w:rPr>
            </w:pPr>
            <w:r w:rsidRPr="00F14453">
              <w:rPr>
                <w:color w:val="FAFAFA" w:themeColor="background1"/>
              </w:rPr>
              <w:t>5. Application Security</w:t>
            </w:r>
          </w:p>
        </w:tc>
        <w:tc>
          <w:tcPr>
            <w:tcW w:w="5947" w:type="dxa"/>
          </w:tcPr>
          <w:p w14:paraId="2FCABE8D" w14:textId="66591689" w:rsidR="003D16D3" w:rsidRPr="00F14453" w:rsidRDefault="003D16D3" w:rsidP="00F14453">
            <w:pPr>
              <w:spacing w:before="60" w:after="60"/>
            </w:pPr>
            <w:r w:rsidRPr="00F14453">
              <w:t>Ensures apps are built securely (input validation, access control) and protected post-deployment using WAFs (Web Application Firewalls) and code scanning tools.</w:t>
            </w:r>
          </w:p>
        </w:tc>
      </w:tr>
      <w:tr w:rsidR="003D16D3" w14:paraId="6ABF1A52" w14:textId="77777777" w:rsidTr="00ED5BCF">
        <w:tc>
          <w:tcPr>
            <w:tcW w:w="2268" w:type="dxa"/>
            <w:shd w:val="clear" w:color="auto" w:fill="067296" w:themeFill="text2"/>
            <w:vAlign w:val="center"/>
          </w:tcPr>
          <w:p w14:paraId="4D46592F" w14:textId="39FDB5C7" w:rsidR="003D16D3" w:rsidRPr="00F14453" w:rsidRDefault="003D16D3" w:rsidP="00F14453">
            <w:pPr>
              <w:spacing w:before="60" w:after="60"/>
              <w:jc w:val="center"/>
              <w:rPr>
                <w:color w:val="FAFAFA" w:themeColor="background1"/>
              </w:rPr>
            </w:pPr>
            <w:r w:rsidRPr="00F14453">
              <w:rPr>
                <w:color w:val="FAFAFA" w:themeColor="background1"/>
              </w:rPr>
              <w:t>6. Data Security</w:t>
            </w:r>
          </w:p>
        </w:tc>
        <w:tc>
          <w:tcPr>
            <w:tcW w:w="5947" w:type="dxa"/>
          </w:tcPr>
          <w:p w14:paraId="1ED84AED" w14:textId="55335514" w:rsidR="003D16D3" w:rsidRPr="00F14453" w:rsidRDefault="003D16D3" w:rsidP="00F14453">
            <w:pPr>
              <w:spacing w:before="60" w:after="60"/>
            </w:pPr>
            <w:r w:rsidRPr="00F14453">
              <w:t>Protects data at rest and in transit via encryption, DLP (Data Loss Prevention), access controls, and data masking.</w:t>
            </w:r>
          </w:p>
        </w:tc>
      </w:tr>
      <w:tr w:rsidR="00295C89" w14:paraId="4D9F1355" w14:textId="77777777" w:rsidTr="00ED5BCF">
        <w:tc>
          <w:tcPr>
            <w:tcW w:w="2268" w:type="dxa"/>
            <w:shd w:val="clear" w:color="auto" w:fill="067296" w:themeFill="text2"/>
            <w:vAlign w:val="center"/>
          </w:tcPr>
          <w:p w14:paraId="37B9B1E1" w14:textId="2AD191C1" w:rsidR="00295C89" w:rsidRPr="00F14453" w:rsidRDefault="00295C89" w:rsidP="00F14453">
            <w:pPr>
              <w:spacing w:before="60" w:after="60"/>
              <w:jc w:val="center"/>
              <w:rPr>
                <w:color w:val="FAFAFA" w:themeColor="background1"/>
              </w:rPr>
            </w:pPr>
            <w:r w:rsidRPr="00F14453">
              <w:rPr>
                <w:color w:val="FAFAFA" w:themeColor="background1"/>
              </w:rPr>
              <w:t>7. Mission-Critical Asset Layer</w:t>
            </w:r>
          </w:p>
        </w:tc>
        <w:tc>
          <w:tcPr>
            <w:tcW w:w="5947" w:type="dxa"/>
            <w:vAlign w:val="center"/>
          </w:tcPr>
          <w:p w14:paraId="69E9E911" w14:textId="2E84F6BC" w:rsidR="00295C89" w:rsidRPr="00F14453" w:rsidRDefault="00295C89" w:rsidP="00F14453">
            <w:pPr>
              <w:spacing w:before="60" w:after="60"/>
            </w:pPr>
            <w:r w:rsidRPr="00F14453">
              <w:t>Protects core systems and infrastructure like SCADA, databases, and identity services, ensuring operational continuity and resiliency.</w:t>
            </w:r>
          </w:p>
        </w:tc>
      </w:tr>
    </w:tbl>
    <w:p w14:paraId="1CAF5AA1" w14:textId="5E45FA8C" w:rsidR="00F3054E" w:rsidRPr="0050162C" w:rsidRDefault="005903E1" w:rsidP="0050162C">
      <w:pPr>
        <w:spacing w:before="180" w:after="120" w:line="288" w:lineRule="auto"/>
        <w:rPr>
          <w:rFonts w:cs="Calibri"/>
          <w:szCs w:val="18"/>
        </w:rPr>
      </w:pPr>
      <w:r w:rsidRPr="0050162C">
        <w:rPr>
          <w:rFonts w:cs="Calibri"/>
          <w:szCs w:val="18"/>
        </w:rPr>
        <w:t xml:space="preserve">These concepts are broadly transferable to </w:t>
      </w:r>
      <w:r w:rsidR="007871BE" w:rsidRPr="0050162C">
        <w:rPr>
          <w:rFonts w:cs="Calibri"/>
          <w:szCs w:val="18"/>
        </w:rPr>
        <w:t>implementation of the</w:t>
      </w:r>
      <w:r w:rsidRPr="0050162C">
        <w:rPr>
          <w:rFonts w:cs="Calibri"/>
          <w:szCs w:val="18"/>
        </w:rPr>
        <w:t xml:space="preserve"> T-D Interface</w:t>
      </w:r>
      <w:r w:rsidR="00306FAC" w:rsidRPr="0050162C">
        <w:rPr>
          <w:rFonts w:cs="Calibri"/>
          <w:szCs w:val="18"/>
        </w:rPr>
        <w:t>,</w:t>
      </w:r>
      <w:r w:rsidR="00F96864" w:rsidRPr="0050162C">
        <w:rPr>
          <w:rFonts w:cs="Calibri"/>
          <w:szCs w:val="18"/>
        </w:rPr>
        <w:t xml:space="preserve"> providing a helpful baseline</w:t>
      </w:r>
      <w:r w:rsidR="00772EEE">
        <w:rPr>
          <w:rFonts w:cs="Calibri"/>
          <w:szCs w:val="18"/>
        </w:rPr>
        <w:t xml:space="preserve">. </w:t>
      </w:r>
      <w:r w:rsidR="00AB10A4" w:rsidRPr="0050162C">
        <w:rPr>
          <w:rFonts w:cs="Calibri"/>
          <w:szCs w:val="18"/>
        </w:rPr>
        <w:t>More targeted i</w:t>
      </w:r>
      <w:r w:rsidR="00B25264" w:rsidRPr="0050162C">
        <w:rPr>
          <w:rFonts w:cs="Calibri"/>
          <w:szCs w:val="18"/>
        </w:rPr>
        <w:t xml:space="preserve">ndustry-specific </w:t>
      </w:r>
      <w:r w:rsidR="00AB10A4" w:rsidRPr="0050162C">
        <w:rPr>
          <w:rFonts w:cs="Calibri"/>
          <w:szCs w:val="18"/>
        </w:rPr>
        <w:t>cybersecurity frameworks</w:t>
      </w:r>
      <w:r w:rsidR="00F3054E" w:rsidRPr="0050162C">
        <w:rPr>
          <w:rFonts w:cs="Calibri"/>
          <w:szCs w:val="18"/>
        </w:rPr>
        <w:t xml:space="preserve">, such as North American Electric Reliability Corporation’s (NERC) </w:t>
      </w:r>
      <w:r w:rsidR="00E67891" w:rsidRPr="0050162C">
        <w:rPr>
          <w:rFonts w:cs="Calibri"/>
          <w:szCs w:val="18"/>
        </w:rPr>
        <w:t>Critical Infrastructure Protection</w:t>
      </w:r>
      <w:r w:rsidR="00625F32" w:rsidRPr="0050162C">
        <w:rPr>
          <w:rFonts w:cs="Calibri"/>
          <w:szCs w:val="18"/>
        </w:rPr>
        <w:t xml:space="preserve"> (CIP)</w:t>
      </w:r>
      <w:r w:rsidR="00E67891" w:rsidRPr="0050162C">
        <w:rPr>
          <w:rFonts w:cs="Calibri"/>
          <w:szCs w:val="18"/>
        </w:rPr>
        <w:t xml:space="preserve"> standards are also instructive in considering mitigations specific to the T-D Interface. </w:t>
      </w:r>
      <w:r w:rsidR="00EC4613" w:rsidRPr="0050162C">
        <w:rPr>
          <w:rFonts w:cs="Calibri"/>
          <w:szCs w:val="18"/>
        </w:rPr>
        <w:t>In the US,</w:t>
      </w:r>
      <w:r w:rsidR="00625F32" w:rsidRPr="0050162C">
        <w:rPr>
          <w:rFonts w:cs="Calibri"/>
          <w:szCs w:val="18"/>
        </w:rPr>
        <w:t xml:space="preserve"> </w:t>
      </w:r>
      <w:r w:rsidR="00FA54CB" w:rsidRPr="0050162C">
        <w:rPr>
          <w:rFonts w:cs="Calibri"/>
          <w:szCs w:val="18"/>
        </w:rPr>
        <w:t xml:space="preserve">application of </w:t>
      </w:r>
      <w:r w:rsidR="00625F32" w:rsidRPr="0050162C">
        <w:rPr>
          <w:rFonts w:cs="Calibri"/>
          <w:szCs w:val="18"/>
        </w:rPr>
        <w:t>t</w:t>
      </w:r>
      <w:r w:rsidR="00FA54CB" w:rsidRPr="0050162C">
        <w:rPr>
          <w:rFonts w:cs="Calibri"/>
          <w:szCs w:val="18"/>
        </w:rPr>
        <w:t>he CIP has been limited to the bulk electric system</w:t>
      </w:r>
      <w:r w:rsidR="003B30AF" w:rsidRPr="0050162C">
        <w:rPr>
          <w:rFonts w:cs="Calibri"/>
          <w:szCs w:val="18"/>
        </w:rPr>
        <w:t xml:space="preserve">, however, as distribution-connected resources become increasingly material in whole-system operations, </w:t>
      </w:r>
      <w:r w:rsidR="002A4BD1" w:rsidRPr="0050162C">
        <w:rPr>
          <w:rFonts w:cs="Calibri"/>
          <w:szCs w:val="18"/>
        </w:rPr>
        <w:t xml:space="preserve">a broader application of such frameworks will likely be required. </w:t>
      </w:r>
    </w:p>
    <w:p w14:paraId="3DF1D4E7" w14:textId="77777777" w:rsidR="00A20D0C" w:rsidRDefault="00A20D0C">
      <w:r>
        <w:br w:type="page"/>
      </w:r>
    </w:p>
    <w:tbl>
      <w:tblPr>
        <w:tblStyle w:val="TableGrid"/>
        <w:tblW w:w="0" w:type="auto"/>
        <w:tblInd w:w="-5" w:type="dxa"/>
        <w:tblCellMar>
          <w:top w:w="57" w:type="dxa"/>
          <w:bottom w:w="57" w:type="dxa"/>
        </w:tblCellMar>
        <w:tblLook w:val="04A0" w:firstRow="1" w:lastRow="0" w:firstColumn="1" w:lastColumn="0" w:noHBand="0" w:noVBand="1"/>
      </w:tblPr>
      <w:tblGrid>
        <w:gridCol w:w="2044"/>
        <w:gridCol w:w="6036"/>
      </w:tblGrid>
      <w:tr w:rsidR="007A5102" w14:paraId="51BE7C43" w14:textId="77777777" w:rsidTr="00ED5BCF">
        <w:trPr>
          <w:trHeight w:val="506"/>
        </w:trPr>
        <w:tc>
          <w:tcPr>
            <w:tcW w:w="2044" w:type="dxa"/>
            <w:shd w:val="clear" w:color="auto" w:fill="013C4C" w:themeFill="accent1"/>
            <w:vAlign w:val="center"/>
          </w:tcPr>
          <w:p w14:paraId="4AA70335" w14:textId="11126A1D" w:rsidR="007A5102" w:rsidRDefault="00960461" w:rsidP="00F14453">
            <w:pPr>
              <w:spacing w:before="0" w:after="0"/>
              <w:jc w:val="center"/>
            </w:pPr>
            <w:r>
              <w:rPr>
                <w:rFonts w:ascii="PP Mori SemiBold" w:hAnsi="PP Mori SemiBold"/>
                <w:b/>
                <w:bCs/>
                <w:color w:val="FAFAFA" w:themeColor="background1"/>
              </w:rPr>
              <w:lastRenderedPageBreak/>
              <w:t>Measure</w:t>
            </w:r>
          </w:p>
        </w:tc>
        <w:tc>
          <w:tcPr>
            <w:tcW w:w="6036" w:type="dxa"/>
            <w:shd w:val="clear" w:color="auto" w:fill="013C4C" w:themeFill="accent1"/>
            <w:vAlign w:val="center"/>
          </w:tcPr>
          <w:p w14:paraId="2B78BB84" w14:textId="292927D3" w:rsidR="007A5102" w:rsidRDefault="00960461" w:rsidP="00F14453">
            <w:pPr>
              <w:spacing w:before="0" w:after="0"/>
              <w:jc w:val="center"/>
            </w:pPr>
            <w:r w:rsidRPr="00B832E0">
              <w:rPr>
                <w:rFonts w:ascii="PP Mori SemiBold" w:hAnsi="PP Mori SemiBold"/>
                <w:b/>
                <w:bCs/>
                <w:color w:val="FAFAFA" w:themeColor="background1"/>
              </w:rPr>
              <w:t>Description</w:t>
            </w:r>
          </w:p>
        </w:tc>
      </w:tr>
      <w:tr w:rsidR="007A5102" w:rsidRPr="007A5102" w14:paraId="1931CEEB" w14:textId="77777777" w:rsidTr="00ED5BCF">
        <w:tblPrEx>
          <w:tblCellMar>
            <w:top w:w="0" w:type="dxa"/>
            <w:bottom w:w="0" w:type="dxa"/>
          </w:tblCellMar>
        </w:tblPrEx>
        <w:tc>
          <w:tcPr>
            <w:tcW w:w="2044" w:type="dxa"/>
            <w:shd w:val="clear" w:color="auto" w:fill="067296" w:themeFill="text2"/>
            <w:vAlign w:val="center"/>
          </w:tcPr>
          <w:p w14:paraId="52074B9C" w14:textId="5986585B"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Asset Identification</w:t>
            </w:r>
          </w:p>
        </w:tc>
        <w:tc>
          <w:tcPr>
            <w:tcW w:w="6036" w:type="dxa"/>
          </w:tcPr>
          <w:p w14:paraId="7CEC8832" w14:textId="3CB58632" w:rsidR="007A5102" w:rsidRPr="00F14453" w:rsidRDefault="0027601D" w:rsidP="00F14453">
            <w:pPr>
              <w:spacing w:before="60" w:after="60"/>
              <w:rPr>
                <w:szCs w:val="18"/>
              </w:rPr>
            </w:pPr>
            <w:r w:rsidRPr="00F14453">
              <w:rPr>
                <w:szCs w:val="18"/>
              </w:rPr>
              <w:t>Categori</w:t>
            </w:r>
            <w:r>
              <w:rPr>
                <w:szCs w:val="18"/>
              </w:rPr>
              <w:t>s</w:t>
            </w:r>
            <w:r w:rsidRPr="00F14453">
              <w:rPr>
                <w:szCs w:val="18"/>
              </w:rPr>
              <w:t xml:space="preserve">es </w:t>
            </w:r>
            <w:r w:rsidR="007A5102" w:rsidRPr="00F14453">
              <w:rPr>
                <w:szCs w:val="18"/>
              </w:rPr>
              <w:t>BES Cyber Systems based on their impact to grid reliability.</w:t>
            </w:r>
          </w:p>
        </w:tc>
      </w:tr>
      <w:tr w:rsidR="007A5102" w:rsidRPr="007A5102" w14:paraId="014F5A22" w14:textId="77777777" w:rsidTr="00ED5BCF">
        <w:tblPrEx>
          <w:tblCellMar>
            <w:top w:w="0" w:type="dxa"/>
            <w:bottom w:w="0" w:type="dxa"/>
          </w:tblCellMar>
        </w:tblPrEx>
        <w:tc>
          <w:tcPr>
            <w:tcW w:w="2044" w:type="dxa"/>
            <w:shd w:val="clear" w:color="auto" w:fill="067296" w:themeFill="text2"/>
            <w:vAlign w:val="center"/>
          </w:tcPr>
          <w:p w14:paraId="0AF8D28E" w14:textId="50FE88CA"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Security Management Controls</w:t>
            </w:r>
          </w:p>
        </w:tc>
        <w:tc>
          <w:tcPr>
            <w:tcW w:w="6036" w:type="dxa"/>
          </w:tcPr>
          <w:p w14:paraId="06B24D62" w14:textId="68177A57" w:rsidR="007A5102" w:rsidRPr="00F14453" w:rsidRDefault="002836D2" w:rsidP="00F14453">
            <w:pPr>
              <w:spacing w:before="60" w:after="60"/>
              <w:rPr>
                <w:szCs w:val="18"/>
              </w:rPr>
            </w:pPr>
            <w:r w:rsidRPr="00F14453">
              <w:rPr>
                <w:szCs w:val="18"/>
              </w:rPr>
              <w:t>E</w:t>
            </w:r>
            <w:r w:rsidR="007A5102" w:rsidRPr="00F14453">
              <w:rPr>
                <w:szCs w:val="18"/>
              </w:rPr>
              <w:t>stablishes policies and procedures for cybersecurity governance.</w:t>
            </w:r>
          </w:p>
        </w:tc>
      </w:tr>
      <w:tr w:rsidR="007A5102" w:rsidRPr="007A5102" w14:paraId="620C73A5" w14:textId="77777777" w:rsidTr="00ED5BCF">
        <w:tblPrEx>
          <w:tblCellMar>
            <w:top w:w="0" w:type="dxa"/>
            <w:bottom w:w="0" w:type="dxa"/>
          </w:tblCellMar>
        </w:tblPrEx>
        <w:tc>
          <w:tcPr>
            <w:tcW w:w="2044" w:type="dxa"/>
            <w:shd w:val="clear" w:color="auto" w:fill="067296" w:themeFill="text2"/>
            <w:vAlign w:val="center"/>
          </w:tcPr>
          <w:p w14:paraId="0C984D33" w14:textId="77777777"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Personnel &amp; Training</w:t>
            </w:r>
          </w:p>
          <w:p w14:paraId="57E3DB6B" w14:textId="77777777" w:rsidR="007A5102" w:rsidRPr="00F14453" w:rsidRDefault="007A5102" w:rsidP="00F14453">
            <w:pPr>
              <w:spacing w:before="60" w:after="60"/>
              <w:ind w:left="39" w:hanging="10"/>
              <w:jc w:val="center"/>
              <w:rPr>
                <w:color w:val="FAFAFA" w:themeColor="background1"/>
                <w:szCs w:val="18"/>
              </w:rPr>
            </w:pPr>
          </w:p>
        </w:tc>
        <w:tc>
          <w:tcPr>
            <w:tcW w:w="6036" w:type="dxa"/>
          </w:tcPr>
          <w:p w14:paraId="5B658E2E" w14:textId="3DD988FE" w:rsidR="007A5102" w:rsidRPr="00F14453" w:rsidRDefault="007A5102" w:rsidP="00F14453">
            <w:pPr>
              <w:spacing w:before="60" w:after="60"/>
              <w:rPr>
                <w:szCs w:val="18"/>
              </w:rPr>
            </w:pPr>
            <w:r w:rsidRPr="00F14453">
              <w:rPr>
                <w:szCs w:val="18"/>
              </w:rPr>
              <w:t>Ensures individuals with access to BES cyber assets are properly trained and vetted.</w:t>
            </w:r>
          </w:p>
        </w:tc>
      </w:tr>
      <w:tr w:rsidR="007A5102" w:rsidRPr="007A5102" w14:paraId="714732F1" w14:textId="77777777" w:rsidTr="00ED5BCF">
        <w:tblPrEx>
          <w:tblCellMar>
            <w:top w:w="0" w:type="dxa"/>
            <w:bottom w:w="0" w:type="dxa"/>
          </w:tblCellMar>
        </w:tblPrEx>
        <w:tc>
          <w:tcPr>
            <w:tcW w:w="2044" w:type="dxa"/>
            <w:shd w:val="clear" w:color="auto" w:fill="067296" w:themeFill="text2"/>
            <w:vAlign w:val="center"/>
          </w:tcPr>
          <w:p w14:paraId="0647B136" w14:textId="5B414679"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Electronic Security Perimeters</w:t>
            </w:r>
          </w:p>
        </w:tc>
        <w:tc>
          <w:tcPr>
            <w:tcW w:w="6036" w:type="dxa"/>
          </w:tcPr>
          <w:p w14:paraId="07660E82" w14:textId="7565A30E" w:rsidR="007A5102" w:rsidRPr="00F14453" w:rsidRDefault="007A5102" w:rsidP="00F14453">
            <w:pPr>
              <w:spacing w:before="60" w:after="60"/>
              <w:rPr>
                <w:szCs w:val="18"/>
              </w:rPr>
            </w:pPr>
            <w:r w:rsidRPr="00F14453">
              <w:rPr>
                <w:szCs w:val="18"/>
              </w:rPr>
              <w:t>Defines and protects the boundaries of networks where BES cyber systems operate.</w:t>
            </w:r>
          </w:p>
        </w:tc>
      </w:tr>
      <w:tr w:rsidR="007A5102" w:rsidRPr="007A5102" w14:paraId="6406D916" w14:textId="77777777" w:rsidTr="00ED5BCF">
        <w:tblPrEx>
          <w:tblCellMar>
            <w:top w:w="0" w:type="dxa"/>
            <w:bottom w:w="0" w:type="dxa"/>
          </w:tblCellMar>
        </w:tblPrEx>
        <w:trPr>
          <w:trHeight w:val="634"/>
        </w:trPr>
        <w:tc>
          <w:tcPr>
            <w:tcW w:w="2044" w:type="dxa"/>
            <w:shd w:val="clear" w:color="auto" w:fill="067296" w:themeFill="text2"/>
            <w:vAlign w:val="center"/>
          </w:tcPr>
          <w:p w14:paraId="139E5A31" w14:textId="508B3C85"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Physical Security</w:t>
            </w:r>
          </w:p>
        </w:tc>
        <w:tc>
          <w:tcPr>
            <w:tcW w:w="6036" w:type="dxa"/>
          </w:tcPr>
          <w:p w14:paraId="3CF6D2EE" w14:textId="62FF91E7" w:rsidR="007A5102" w:rsidRPr="00F14453" w:rsidRDefault="007A5102" w:rsidP="00F14453">
            <w:pPr>
              <w:spacing w:before="60" w:after="60"/>
              <w:rPr>
                <w:szCs w:val="18"/>
              </w:rPr>
            </w:pPr>
            <w:r w:rsidRPr="00F14453">
              <w:rPr>
                <w:szCs w:val="18"/>
              </w:rPr>
              <w:t>Safeguards physical access to critical cyber assets.</w:t>
            </w:r>
          </w:p>
        </w:tc>
      </w:tr>
      <w:tr w:rsidR="007A5102" w:rsidRPr="007A5102" w14:paraId="697FBB91" w14:textId="77777777" w:rsidTr="00ED5BCF">
        <w:tblPrEx>
          <w:tblCellMar>
            <w:top w:w="0" w:type="dxa"/>
            <w:bottom w:w="0" w:type="dxa"/>
          </w:tblCellMar>
        </w:tblPrEx>
        <w:tc>
          <w:tcPr>
            <w:tcW w:w="2044" w:type="dxa"/>
            <w:shd w:val="clear" w:color="auto" w:fill="067296" w:themeFill="text2"/>
            <w:vAlign w:val="center"/>
          </w:tcPr>
          <w:p w14:paraId="5989F096" w14:textId="22177A23"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System Security Management</w:t>
            </w:r>
          </w:p>
        </w:tc>
        <w:tc>
          <w:tcPr>
            <w:tcW w:w="6036" w:type="dxa"/>
          </w:tcPr>
          <w:p w14:paraId="1BDF8861" w14:textId="7A6E8742" w:rsidR="007A5102" w:rsidRPr="00F14453" w:rsidRDefault="007A5102" w:rsidP="00F14453">
            <w:pPr>
              <w:spacing w:before="60" w:after="60"/>
              <w:rPr>
                <w:szCs w:val="18"/>
              </w:rPr>
            </w:pPr>
            <w:r w:rsidRPr="00F14453">
              <w:rPr>
                <w:szCs w:val="18"/>
              </w:rPr>
              <w:t>Covers patch management, malware protection, and system access controls.</w:t>
            </w:r>
          </w:p>
        </w:tc>
      </w:tr>
      <w:tr w:rsidR="007A5102" w:rsidRPr="007A5102" w14:paraId="396176B2" w14:textId="77777777" w:rsidTr="00ED5BCF">
        <w:tblPrEx>
          <w:tblCellMar>
            <w:top w:w="0" w:type="dxa"/>
            <w:bottom w:w="0" w:type="dxa"/>
          </w:tblCellMar>
        </w:tblPrEx>
        <w:tc>
          <w:tcPr>
            <w:tcW w:w="2044" w:type="dxa"/>
            <w:shd w:val="clear" w:color="auto" w:fill="067296" w:themeFill="text2"/>
            <w:vAlign w:val="center"/>
          </w:tcPr>
          <w:p w14:paraId="717C7C0F" w14:textId="7030A749"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Incident Response</w:t>
            </w:r>
          </w:p>
        </w:tc>
        <w:tc>
          <w:tcPr>
            <w:tcW w:w="6036" w:type="dxa"/>
          </w:tcPr>
          <w:p w14:paraId="4FB04C07" w14:textId="7F7CCB76" w:rsidR="007A5102" w:rsidRPr="00F14453" w:rsidRDefault="007A5102" w:rsidP="00F14453">
            <w:pPr>
              <w:spacing w:before="60" w:after="60"/>
              <w:rPr>
                <w:szCs w:val="18"/>
              </w:rPr>
            </w:pPr>
            <w:r w:rsidRPr="00F14453">
              <w:rPr>
                <w:szCs w:val="18"/>
              </w:rPr>
              <w:t>Requires plans for identifying, responding to, and reporting cybersecurity incidents.</w:t>
            </w:r>
          </w:p>
        </w:tc>
      </w:tr>
      <w:tr w:rsidR="007A5102" w:rsidRPr="007A5102" w14:paraId="523F94CF" w14:textId="77777777" w:rsidTr="00ED5BCF">
        <w:tblPrEx>
          <w:tblCellMar>
            <w:top w:w="0" w:type="dxa"/>
            <w:bottom w:w="0" w:type="dxa"/>
          </w:tblCellMar>
        </w:tblPrEx>
        <w:trPr>
          <w:trHeight w:val="672"/>
        </w:trPr>
        <w:tc>
          <w:tcPr>
            <w:tcW w:w="2044" w:type="dxa"/>
            <w:shd w:val="clear" w:color="auto" w:fill="067296" w:themeFill="text2"/>
            <w:vAlign w:val="center"/>
          </w:tcPr>
          <w:p w14:paraId="68F34637" w14:textId="5E46C317"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Recovery Plans</w:t>
            </w:r>
          </w:p>
        </w:tc>
        <w:tc>
          <w:tcPr>
            <w:tcW w:w="6036" w:type="dxa"/>
          </w:tcPr>
          <w:p w14:paraId="57D99BEC" w14:textId="1091375C" w:rsidR="007A5102" w:rsidRPr="00F14453" w:rsidRDefault="007A5102" w:rsidP="00F14453">
            <w:pPr>
              <w:spacing w:before="60" w:after="60"/>
              <w:rPr>
                <w:szCs w:val="18"/>
              </w:rPr>
            </w:pPr>
            <w:r w:rsidRPr="00F14453">
              <w:rPr>
                <w:szCs w:val="18"/>
              </w:rPr>
              <w:t>Ensures BES cyber systems can be restored after a compromise.</w:t>
            </w:r>
          </w:p>
        </w:tc>
      </w:tr>
      <w:tr w:rsidR="007A5102" w:rsidRPr="007A5102" w14:paraId="47BD136D" w14:textId="77777777" w:rsidTr="00ED5BCF">
        <w:tblPrEx>
          <w:tblCellMar>
            <w:top w:w="0" w:type="dxa"/>
            <w:bottom w:w="0" w:type="dxa"/>
          </w:tblCellMar>
        </w:tblPrEx>
        <w:tc>
          <w:tcPr>
            <w:tcW w:w="2044" w:type="dxa"/>
            <w:shd w:val="clear" w:color="auto" w:fill="067296" w:themeFill="text2"/>
            <w:vAlign w:val="center"/>
          </w:tcPr>
          <w:p w14:paraId="1E187115" w14:textId="2A91A77D"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Configuration Change Management and Vulnerability Assessments</w:t>
            </w:r>
          </w:p>
        </w:tc>
        <w:tc>
          <w:tcPr>
            <w:tcW w:w="6036" w:type="dxa"/>
          </w:tcPr>
          <w:p w14:paraId="2AB6F40B" w14:textId="21487D00" w:rsidR="007A5102" w:rsidRPr="00F14453" w:rsidRDefault="007A5102" w:rsidP="00F14453">
            <w:pPr>
              <w:spacing w:before="60" w:after="60"/>
              <w:rPr>
                <w:szCs w:val="18"/>
              </w:rPr>
            </w:pPr>
            <w:r w:rsidRPr="00F14453">
              <w:rPr>
                <w:szCs w:val="18"/>
              </w:rPr>
              <w:t>Tracks changes to systems and performs periodic vulnerability assessments.</w:t>
            </w:r>
          </w:p>
        </w:tc>
      </w:tr>
      <w:tr w:rsidR="007A5102" w:rsidRPr="007A5102" w14:paraId="151A39F4" w14:textId="77777777" w:rsidTr="00ED5BCF">
        <w:tblPrEx>
          <w:tblCellMar>
            <w:top w:w="0" w:type="dxa"/>
            <w:bottom w:w="0" w:type="dxa"/>
          </w:tblCellMar>
        </w:tblPrEx>
        <w:tc>
          <w:tcPr>
            <w:tcW w:w="2044" w:type="dxa"/>
            <w:shd w:val="clear" w:color="auto" w:fill="067296" w:themeFill="text2"/>
            <w:vAlign w:val="center"/>
          </w:tcPr>
          <w:p w14:paraId="6FC00D9C" w14:textId="4C6ACD25"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Information Protection</w:t>
            </w:r>
          </w:p>
        </w:tc>
        <w:tc>
          <w:tcPr>
            <w:tcW w:w="6036" w:type="dxa"/>
          </w:tcPr>
          <w:p w14:paraId="35D70652" w14:textId="31BAA76F" w:rsidR="007A5102" w:rsidRPr="00F14453" w:rsidRDefault="007A5102" w:rsidP="00F14453">
            <w:pPr>
              <w:spacing w:before="60" w:after="60"/>
              <w:rPr>
                <w:szCs w:val="18"/>
              </w:rPr>
            </w:pPr>
            <w:r w:rsidRPr="00F14453">
              <w:rPr>
                <w:szCs w:val="18"/>
              </w:rPr>
              <w:t>Protects sensitive cyber system data from unauthori</w:t>
            </w:r>
            <w:r w:rsidR="00C41701">
              <w:rPr>
                <w:szCs w:val="18"/>
              </w:rPr>
              <w:t>s</w:t>
            </w:r>
            <w:r w:rsidRPr="00F14453">
              <w:rPr>
                <w:szCs w:val="18"/>
              </w:rPr>
              <w:t>ed access.</w:t>
            </w:r>
          </w:p>
        </w:tc>
      </w:tr>
      <w:tr w:rsidR="007A5102" w:rsidRPr="007A5102" w14:paraId="26701AEA" w14:textId="77777777" w:rsidTr="00ED5BCF">
        <w:tblPrEx>
          <w:tblCellMar>
            <w:top w:w="0" w:type="dxa"/>
            <w:bottom w:w="0" w:type="dxa"/>
          </w:tblCellMar>
        </w:tblPrEx>
        <w:tc>
          <w:tcPr>
            <w:tcW w:w="2044" w:type="dxa"/>
            <w:shd w:val="clear" w:color="auto" w:fill="067296" w:themeFill="text2"/>
            <w:vAlign w:val="center"/>
          </w:tcPr>
          <w:p w14:paraId="38DF2C9F" w14:textId="2AE97F87" w:rsidR="007A5102" w:rsidRPr="00F14453" w:rsidRDefault="007A5102" w:rsidP="00F14453">
            <w:pPr>
              <w:spacing w:before="60" w:after="60"/>
              <w:ind w:left="39" w:hanging="10"/>
              <w:jc w:val="center"/>
              <w:rPr>
                <w:color w:val="FAFAFA" w:themeColor="background1"/>
                <w:szCs w:val="18"/>
              </w:rPr>
            </w:pPr>
            <w:r w:rsidRPr="00F14453">
              <w:rPr>
                <w:color w:val="FAFAFA" w:themeColor="background1"/>
                <w:szCs w:val="18"/>
              </w:rPr>
              <w:t>Protection of Communications</w:t>
            </w:r>
          </w:p>
        </w:tc>
        <w:tc>
          <w:tcPr>
            <w:tcW w:w="6036" w:type="dxa"/>
          </w:tcPr>
          <w:p w14:paraId="64BFA028" w14:textId="158E8BEA" w:rsidR="007A5102" w:rsidRPr="00F14453" w:rsidRDefault="007A5102" w:rsidP="00F14453">
            <w:pPr>
              <w:spacing w:before="60" w:after="60"/>
              <w:rPr>
                <w:szCs w:val="18"/>
              </w:rPr>
            </w:pPr>
            <w:r w:rsidRPr="00F14453">
              <w:rPr>
                <w:szCs w:val="18"/>
              </w:rPr>
              <w:t xml:space="preserve">Secures real-time communication between control </w:t>
            </w:r>
            <w:r w:rsidR="009708FB" w:rsidRPr="00247649">
              <w:rPr>
                <w:szCs w:val="18"/>
              </w:rPr>
              <w:t>centres</w:t>
            </w:r>
            <w:r w:rsidRPr="00F14453">
              <w:rPr>
                <w:szCs w:val="18"/>
              </w:rPr>
              <w:t>.</w:t>
            </w:r>
          </w:p>
        </w:tc>
      </w:tr>
    </w:tbl>
    <w:p w14:paraId="3DF62F0D" w14:textId="2DE2453D" w:rsidR="0076715E" w:rsidRPr="0050162C" w:rsidRDefault="00CA5E16" w:rsidP="0050162C">
      <w:pPr>
        <w:spacing w:before="180" w:after="120" w:line="288" w:lineRule="auto"/>
        <w:rPr>
          <w:rFonts w:cs="Calibri"/>
          <w:szCs w:val="18"/>
        </w:rPr>
      </w:pPr>
      <w:r w:rsidRPr="0050162C">
        <w:rPr>
          <w:rFonts w:cs="Calibri"/>
          <w:szCs w:val="18"/>
        </w:rPr>
        <w:t xml:space="preserve">These above measures assume </w:t>
      </w:r>
      <w:r w:rsidR="001D61BD" w:rsidRPr="0050162C">
        <w:rPr>
          <w:rFonts w:cs="Calibri"/>
          <w:szCs w:val="18"/>
        </w:rPr>
        <w:t xml:space="preserve">ownership and accountability of the </w:t>
      </w:r>
      <w:r w:rsidR="006A3F63" w:rsidRPr="0050162C">
        <w:rPr>
          <w:rFonts w:cs="Calibri"/>
          <w:szCs w:val="18"/>
        </w:rPr>
        <w:t xml:space="preserve">systems under threat. </w:t>
      </w:r>
      <w:r w:rsidR="00380E5A" w:rsidRPr="0050162C">
        <w:rPr>
          <w:rFonts w:cs="Calibri"/>
          <w:szCs w:val="18"/>
        </w:rPr>
        <w:t>However, as mentioned above, c</w:t>
      </w:r>
      <w:r w:rsidR="0076715E" w:rsidRPr="0050162C">
        <w:rPr>
          <w:rFonts w:cs="Calibri"/>
          <w:szCs w:val="18"/>
        </w:rPr>
        <w:t>yber vulnerabilities are fast emerging at the grid edge due to the reliance on unsecured public networks to interact digitally with inverters and other on-premises devices that interact electrically with the grid</w:t>
      </w:r>
      <w:r w:rsidR="00772EEE">
        <w:rPr>
          <w:rFonts w:cs="Calibri"/>
          <w:szCs w:val="18"/>
        </w:rPr>
        <w:t xml:space="preserve">. </w:t>
      </w:r>
      <w:r w:rsidR="0076715E" w:rsidRPr="0050162C">
        <w:rPr>
          <w:rFonts w:cs="Calibri"/>
          <w:szCs w:val="18"/>
        </w:rPr>
        <w:t xml:space="preserve">They are also emerging due to the potential to exploit third party and OEM systems that provide customer-facing products and services that are also electrically coupled to the power system. </w:t>
      </w:r>
      <w:r w:rsidR="00574872" w:rsidRPr="0050162C">
        <w:rPr>
          <w:rFonts w:cs="Calibri"/>
          <w:szCs w:val="18"/>
        </w:rPr>
        <w:t xml:space="preserve">Elevated standards and regulations for electrically coupled devices and </w:t>
      </w:r>
      <w:r w:rsidR="00C51823" w:rsidRPr="0050162C">
        <w:rPr>
          <w:rFonts w:cs="Calibri"/>
          <w:szCs w:val="18"/>
        </w:rPr>
        <w:t>control entities, such as OEM clouds, applying defen</w:t>
      </w:r>
      <w:r w:rsidR="005D3F03">
        <w:rPr>
          <w:rFonts w:cs="Calibri"/>
          <w:szCs w:val="18"/>
        </w:rPr>
        <w:t>c</w:t>
      </w:r>
      <w:r w:rsidR="00C51823" w:rsidRPr="0050162C">
        <w:rPr>
          <w:rFonts w:cs="Calibri"/>
          <w:szCs w:val="18"/>
        </w:rPr>
        <w:t>e-in-depth principles will be important</w:t>
      </w:r>
      <w:r w:rsidR="0020637A" w:rsidRPr="0050162C">
        <w:rPr>
          <w:rFonts w:cs="Calibri"/>
          <w:szCs w:val="18"/>
        </w:rPr>
        <w:t xml:space="preserve">. In addition, </w:t>
      </w:r>
      <w:r w:rsidR="007369AB">
        <w:rPr>
          <w:rFonts w:cs="Calibri"/>
          <w:szCs w:val="18"/>
        </w:rPr>
        <w:t>m</w:t>
      </w:r>
      <w:r w:rsidR="0076715E" w:rsidRPr="0050162C">
        <w:rPr>
          <w:rFonts w:cs="Calibri"/>
          <w:szCs w:val="18"/>
        </w:rPr>
        <w:t>ost proposed mitigation strategies are themselves cyber-based. Achieving a more layered approach</w:t>
      </w:r>
      <w:r w:rsidR="00406065" w:rsidRPr="0050162C">
        <w:rPr>
          <w:rFonts w:cs="Calibri"/>
          <w:szCs w:val="18"/>
        </w:rPr>
        <w:t xml:space="preserve"> </w:t>
      </w:r>
      <w:r w:rsidR="0076715E" w:rsidRPr="0050162C">
        <w:rPr>
          <w:rFonts w:cs="Calibri"/>
          <w:szCs w:val="18"/>
        </w:rPr>
        <w:t xml:space="preserve">to Power System cyber-security also requires the inclusion of non-cyber structural analysis and treatments. </w:t>
      </w:r>
    </w:p>
    <w:p w14:paraId="2877E6FB" w14:textId="04EC7619" w:rsidR="0076715E" w:rsidRPr="0050162C" w:rsidRDefault="0076715E" w:rsidP="0050162C">
      <w:pPr>
        <w:spacing w:before="180" w:after="120" w:line="288" w:lineRule="auto"/>
        <w:rPr>
          <w:rFonts w:cs="Calibri"/>
          <w:szCs w:val="18"/>
        </w:rPr>
      </w:pPr>
      <w:r w:rsidRPr="0050162C">
        <w:rPr>
          <w:rFonts w:cs="Calibri"/>
          <w:szCs w:val="18"/>
        </w:rPr>
        <w:lastRenderedPageBreak/>
        <w:t>For reference, the US Department of Energy, following a 5-year effort under a legislated mandate, adopted and further developed a conceptual framework known as Cyber-Informed Engineering (CIE)</w:t>
      </w:r>
      <w:r w:rsidR="00247FE7" w:rsidRPr="0050162C">
        <w:rPr>
          <w:rFonts w:cs="Calibri"/>
          <w:szCs w:val="18"/>
        </w:rPr>
        <w:t xml:space="preserve"> </w:t>
      </w:r>
      <w:sdt>
        <w:sdtPr>
          <w:rPr>
            <w:rFonts w:cs="Calibri"/>
            <w:szCs w:val="18"/>
          </w:rPr>
          <w:id w:val="-590541305"/>
          <w:citation/>
        </w:sdtPr>
        <w:sdtContent>
          <w:r w:rsidR="00247FE7" w:rsidRPr="0050162C">
            <w:rPr>
              <w:rFonts w:cs="Calibri"/>
              <w:szCs w:val="18"/>
            </w:rPr>
            <w:fldChar w:fldCharType="begin"/>
          </w:r>
          <w:r w:rsidR="00247FE7" w:rsidRPr="0050162C">
            <w:rPr>
              <w:rFonts w:cs="Calibri"/>
              <w:szCs w:val="18"/>
            </w:rPr>
            <w:instrText xml:space="preserve"> CITATION USD \l 2057 </w:instrText>
          </w:r>
          <w:r w:rsidR="00247FE7" w:rsidRPr="0050162C">
            <w:rPr>
              <w:rFonts w:cs="Calibri"/>
              <w:szCs w:val="18"/>
            </w:rPr>
            <w:fldChar w:fldCharType="separate"/>
          </w:r>
          <w:r w:rsidR="00E91535" w:rsidRPr="00E91535">
            <w:rPr>
              <w:rFonts w:cs="Calibri"/>
              <w:noProof/>
              <w:szCs w:val="18"/>
            </w:rPr>
            <w:t>[3]</w:t>
          </w:r>
          <w:r w:rsidR="00247FE7" w:rsidRPr="0050162C">
            <w:rPr>
              <w:rFonts w:cs="Calibri"/>
              <w:szCs w:val="18"/>
            </w:rPr>
            <w:fldChar w:fldCharType="end"/>
          </w:r>
        </w:sdtContent>
      </w:sdt>
      <w:r w:rsidRPr="0050162C">
        <w:rPr>
          <w:rFonts w:cs="Calibri"/>
          <w:szCs w:val="18"/>
        </w:rPr>
        <w:t>. This framework aims to embed cybersecurity considerations into the conception, design, development, and operation of any physical systems (including power system and industrial control systems) to mitigate or even eliminate avenues for cyber-enabled attacks. Working closely with the National Institute of Standards and Technology (NIST) and the national laboratories, a set of design principles were developed as follows:</w:t>
      </w:r>
    </w:p>
    <w:p w14:paraId="1AE4FC2F" w14:textId="3C257C9F" w:rsidR="0076715E" w:rsidRDefault="0076715E" w:rsidP="00470C91">
      <w:pPr>
        <w:pStyle w:val="ListParagraph"/>
        <w:numPr>
          <w:ilvl w:val="0"/>
          <w:numId w:val="7"/>
        </w:numPr>
      </w:pPr>
      <w:r>
        <w:t>Assume compromise and expect that any digital component or system may be compromised at some point during its lifecycle</w:t>
      </w:r>
    </w:p>
    <w:p w14:paraId="5DAB581C" w14:textId="0C2680BD" w:rsidR="0076715E" w:rsidRDefault="0076715E" w:rsidP="00470C91">
      <w:pPr>
        <w:pStyle w:val="ListParagraph"/>
        <w:numPr>
          <w:ilvl w:val="0"/>
          <w:numId w:val="7"/>
        </w:numPr>
      </w:pPr>
      <w:r>
        <w:t>Plan for continued operation during and after a cyber-attack that degrades digital controls</w:t>
      </w:r>
    </w:p>
    <w:p w14:paraId="11601D7D" w14:textId="63B16888" w:rsidR="0076715E" w:rsidRDefault="0076715E" w:rsidP="00470C91">
      <w:pPr>
        <w:pStyle w:val="ListParagraph"/>
        <w:numPr>
          <w:ilvl w:val="0"/>
          <w:numId w:val="7"/>
        </w:numPr>
      </w:pPr>
      <w:r>
        <w:t>Implement a zero-trust architecture to the greatest degree possible</w:t>
      </w:r>
      <w:r w:rsidR="004858E9">
        <w:t>,</w:t>
      </w:r>
      <w:r>
        <w:t xml:space="preserve"> and</w:t>
      </w:r>
    </w:p>
    <w:p w14:paraId="36C9C957" w14:textId="61BC24CE" w:rsidR="003C6981" w:rsidRDefault="0076715E" w:rsidP="00470C91">
      <w:pPr>
        <w:pStyle w:val="ListParagraph"/>
        <w:numPr>
          <w:ilvl w:val="0"/>
          <w:numId w:val="7"/>
        </w:numPr>
      </w:pPr>
      <w:r>
        <w:t>Isolate and defend - isolate or remove the threat without compromising critical operations.</w:t>
      </w:r>
    </w:p>
    <w:p w14:paraId="3987435B" w14:textId="3CB190C4" w:rsidR="006E3C27" w:rsidRDefault="00421665" w:rsidP="0050162C">
      <w:pPr>
        <w:spacing w:before="180" w:after="120" w:line="288" w:lineRule="auto"/>
        <w:rPr>
          <w:rFonts w:cs="Calibri"/>
          <w:szCs w:val="18"/>
        </w:rPr>
      </w:pPr>
      <w:r w:rsidRPr="0050162C">
        <w:rPr>
          <w:rFonts w:cs="Calibri"/>
          <w:szCs w:val="18"/>
        </w:rPr>
        <w:t>Finally, a</w:t>
      </w:r>
      <w:r w:rsidR="00405C64" w:rsidRPr="00405C64">
        <w:rPr>
          <w:rFonts w:cs="Calibri"/>
          <w:szCs w:val="18"/>
        </w:rPr>
        <w:t xml:space="preserve">side from hardening mechanisms for its own constituent systems, TDI implementations should consider firewalls or redundancies to isolate cyber-compromised actors or systems from the power system. Network and system operator segregation of OT and IT environments should similarly be applied to </w:t>
      </w:r>
      <w:r w:rsidR="004E0568" w:rsidRPr="0050162C">
        <w:rPr>
          <w:rFonts w:cs="Calibri"/>
          <w:szCs w:val="18"/>
        </w:rPr>
        <w:t xml:space="preserve">the </w:t>
      </w:r>
      <w:r w:rsidR="00405C64" w:rsidRPr="00405C64">
        <w:rPr>
          <w:rFonts w:cs="Calibri"/>
          <w:szCs w:val="18"/>
        </w:rPr>
        <w:t>T</w:t>
      </w:r>
      <w:r w:rsidR="004E0568" w:rsidRPr="0050162C">
        <w:rPr>
          <w:rFonts w:cs="Calibri"/>
          <w:szCs w:val="18"/>
        </w:rPr>
        <w:t>-</w:t>
      </w:r>
      <w:r w:rsidR="00405C64" w:rsidRPr="00405C64">
        <w:rPr>
          <w:rFonts w:cs="Calibri"/>
          <w:szCs w:val="18"/>
        </w:rPr>
        <w:t>D</w:t>
      </w:r>
      <w:r w:rsidR="004E0568" w:rsidRPr="0050162C">
        <w:rPr>
          <w:rFonts w:cs="Calibri"/>
          <w:szCs w:val="18"/>
        </w:rPr>
        <w:t xml:space="preserve"> Interface</w:t>
      </w:r>
      <w:r w:rsidR="00405C64" w:rsidRPr="00405C64">
        <w:rPr>
          <w:rFonts w:cs="Calibri"/>
          <w:szCs w:val="18"/>
        </w:rPr>
        <w:t xml:space="preserve"> </w:t>
      </w:r>
      <w:r w:rsidR="00405C64" w:rsidRPr="000D4FC2">
        <w:rPr>
          <w:rFonts w:cs="Calibri"/>
          <w:szCs w:val="18"/>
        </w:rPr>
        <w:t>[23]</w:t>
      </w:r>
      <w:r w:rsidR="00405C64" w:rsidRPr="00405C64">
        <w:rPr>
          <w:rFonts w:cs="Calibri"/>
          <w:szCs w:val="18"/>
        </w:rPr>
        <w:t>. Where TDIs interact with aggregator/VPP IT environments, proactive defen</w:t>
      </w:r>
      <w:r w:rsidR="004E0568" w:rsidRPr="0050162C">
        <w:rPr>
          <w:rFonts w:cs="Calibri"/>
          <w:szCs w:val="18"/>
        </w:rPr>
        <w:t>c</w:t>
      </w:r>
      <w:r w:rsidR="00405C64" w:rsidRPr="00405C64">
        <w:rPr>
          <w:rFonts w:cs="Calibri"/>
          <w:szCs w:val="18"/>
        </w:rPr>
        <w:t xml:space="preserve">e mechanism improvements and regular vulnerability monitoring is essential to increase trust and secure connections </w:t>
      </w:r>
      <w:r w:rsidR="00405C64" w:rsidRPr="000D4FC2">
        <w:rPr>
          <w:rFonts w:cs="Calibri"/>
          <w:szCs w:val="18"/>
        </w:rPr>
        <w:t>[14]</w:t>
      </w:r>
      <w:r w:rsidR="00405C64" w:rsidRPr="00405C64">
        <w:rPr>
          <w:rFonts w:cs="Calibri"/>
          <w:szCs w:val="18"/>
        </w:rPr>
        <w:t>.</w:t>
      </w:r>
    </w:p>
    <w:p w14:paraId="3835D271" w14:textId="77777777" w:rsidR="00CF3B11" w:rsidRDefault="00CF3B11">
      <w:pPr>
        <w:spacing w:before="0" w:after="160" w:line="259" w:lineRule="auto"/>
        <w:rPr>
          <w:rFonts w:ascii="PP Mori SemiBold" w:eastAsiaTheme="majorEastAsia" w:hAnsi="PP Mori SemiBold" w:cs="Calibri"/>
          <w:color w:val="013C4C" w:themeColor="text1"/>
          <w:sz w:val="32"/>
          <w:szCs w:val="18"/>
        </w:rPr>
      </w:pPr>
      <w:bookmarkStart w:id="188" w:name="_Toc198909602"/>
      <w:bookmarkEnd w:id="188"/>
      <w:r>
        <w:rPr>
          <w:rFonts w:cs="Calibri"/>
          <w:szCs w:val="18"/>
        </w:rPr>
        <w:br w:type="page"/>
      </w:r>
    </w:p>
    <w:p w14:paraId="017E91DA" w14:textId="7C50F51F" w:rsidR="0079240E" w:rsidRPr="00F14453" w:rsidRDefault="0048328B" w:rsidP="00DE3589">
      <w:pPr>
        <w:pStyle w:val="Heading1"/>
        <w:spacing w:before="180" w:after="120" w:line="288" w:lineRule="auto"/>
        <w:rPr>
          <w:rFonts w:cs="Calibri"/>
          <w:szCs w:val="18"/>
        </w:rPr>
      </w:pPr>
      <w:bookmarkStart w:id="189" w:name="_Toc198909603"/>
      <w:bookmarkStart w:id="190" w:name="_Toc198909604"/>
      <w:bookmarkStart w:id="191" w:name="_Ref201500309"/>
      <w:bookmarkStart w:id="192" w:name="_Toc205532869"/>
      <w:bookmarkStart w:id="193" w:name="S_7"/>
      <w:bookmarkEnd w:id="189"/>
      <w:bookmarkEnd w:id="190"/>
      <w:r w:rsidRPr="00F14453">
        <w:rPr>
          <w:rFonts w:cs="Calibri"/>
          <w:szCs w:val="18"/>
        </w:rPr>
        <w:lastRenderedPageBreak/>
        <w:t>Core Functions</w:t>
      </w:r>
      <w:r w:rsidR="0079240E" w:rsidRPr="00F14453">
        <w:rPr>
          <w:rFonts w:cs="Calibri"/>
          <w:szCs w:val="18"/>
        </w:rPr>
        <w:t xml:space="preserve">: </w:t>
      </w:r>
      <w:r w:rsidR="00DE2B45" w:rsidRPr="00F14453">
        <w:rPr>
          <w:rFonts w:cs="Calibri"/>
          <w:szCs w:val="18"/>
        </w:rPr>
        <w:t xml:space="preserve">Examining </w:t>
      </w:r>
      <w:r w:rsidR="008415F3" w:rsidRPr="00F14453">
        <w:rPr>
          <w:rFonts w:cs="Calibri"/>
          <w:szCs w:val="18"/>
        </w:rPr>
        <w:t>key T-D Coordination functions</w:t>
      </w:r>
      <w:r w:rsidR="00BB5343" w:rsidRPr="00F14453">
        <w:rPr>
          <w:rFonts w:cs="Calibri"/>
          <w:szCs w:val="18"/>
        </w:rPr>
        <w:t xml:space="preserve"> and </w:t>
      </w:r>
      <w:r w:rsidR="008415F3" w:rsidRPr="00F14453">
        <w:rPr>
          <w:rFonts w:cs="Calibri"/>
          <w:szCs w:val="18"/>
        </w:rPr>
        <w:t>timeframes</w:t>
      </w:r>
      <w:bookmarkEnd w:id="191"/>
      <w:bookmarkEnd w:id="192"/>
    </w:p>
    <w:bookmarkEnd w:id="193"/>
    <w:p w14:paraId="3F7042C1" w14:textId="239B3FE1" w:rsidR="008F1245" w:rsidRDefault="005B071C" w:rsidP="00D4401A">
      <w:pPr>
        <w:spacing w:before="180" w:after="120" w:line="288" w:lineRule="auto"/>
        <w:rPr>
          <w:rFonts w:cs="Calibri"/>
          <w:szCs w:val="18"/>
        </w:rPr>
      </w:pPr>
      <w:r w:rsidRPr="00DE3589">
        <w:rPr>
          <w:rFonts w:cs="Calibri"/>
          <w:szCs w:val="18"/>
        </w:rPr>
        <w:t>A</w:t>
      </w:r>
      <w:r w:rsidR="000B650A" w:rsidRPr="00DE3589">
        <w:rPr>
          <w:rFonts w:cs="Calibri"/>
          <w:szCs w:val="18"/>
        </w:rPr>
        <w:t>n important</w:t>
      </w:r>
      <w:r w:rsidRPr="00DE3589">
        <w:rPr>
          <w:rFonts w:cs="Calibri"/>
          <w:szCs w:val="18"/>
        </w:rPr>
        <w:t xml:space="preserve"> parallel consideration to </w:t>
      </w:r>
      <w:r w:rsidR="004F5987" w:rsidRPr="00DE3589">
        <w:rPr>
          <w:rFonts w:cs="Calibri"/>
          <w:szCs w:val="18"/>
        </w:rPr>
        <w:t>T-D Coordination model design (</w:t>
      </w:r>
      <w:r w:rsidR="00083565" w:rsidRPr="00DE3589">
        <w:rPr>
          <w:rFonts w:cs="Calibri"/>
          <w:szCs w:val="18"/>
        </w:rPr>
        <w:t xml:space="preserve">Section </w:t>
      </w:r>
      <w:r w:rsidR="00083565" w:rsidRPr="00DE3589">
        <w:rPr>
          <w:rFonts w:cs="Calibri"/>
          <w:szCs w:val="18"/>
        </w:rPr>
        <w:fldChar w:fldCharType="begin"/>
      </w:r>
      <w:r w:rsidR="00083565" w:rsidRPr="00DE3589">
        <w:rPr>
          <w:rFonts w:cs="Calibri"/>
          <w:szCs w:val="18"/>
        </w:rPr>
        <w:instrText xml:space="preserve"> REF _Ref196399526 \r \h </w:instrText>
      </w:r>
      <w:r w:rsidR="00EE3DBD" w:rsidRPr="00DE3589">
        <w:rPr>
          <w:rFonts w:cs="Calibri"/>
          <w:szCs w:val="18"/>
        </w:rPr>
        <w:instrText xml:space="preserve"> \* MERGEFORMAT </w:instrText>
      </w:r>
      <w:r w:rsidR="00083565" w:rsidRPr="00DE3589">
        <w:rPr>
          <w:rFonts w:cs="Calibri"/>
          <w:szCs w:val="18"/>
        </w:rPr>
      </w:r>
      <w:r w:rsidR="00083565" w:rsidRPr="00DE3589">
        <w:rPr>
          <w:rFonts w:cs="Calibri"/>
          <w:szCs w:val="18"/>
        </w:rPr>
        <w:fldChar w:fldCharType="separate"/>
      </w:r>
      <w:r w:rsidR="00CE6CF1">
        <w:rPr>
          <w:rFonts w:cs="Calibri"/>
          <w:szCs w:val="18"/>
        </w:rPr>
        <w:t>5</w:t>
      </w:r>
      <w:r w:rsidR="00083565" w:rsidRPr="00DE3589">
        <w:rPr>
          <w:rFonts w:cs="Calibri"/>
          <w:szCs w:val="18"/>
        </w:rPr>
        <w:fldChar w:fldCharType="end"/>
      </w:r>
      <w:r w:rsidR="00083565" w:rsidRPr="00DE3589">
        <w:rPr>
          <w:rFonts w:cs="Calibri"/>
          <w:szCs w:val="18"/>
        </w:rPr>
        <w:t xml:space="preserve">) and data exchange (Section </w:t>
      </w:r>
      <w:r w:rsidR="00083565" w:rsidRPr="00DE3589">
        <w:rPr>
          <w:rFonts w:cs="Calibri"/>
          <w:szCs w:val="18"/>
        </w:rPr>
        <w:fldChar w:fldCharType="begin"/>
      </w:r>
      <w:r w:rsidR="00083565" w:rsidRPr="00DE3589">
        <w:rPr>
          <w:rFonts w:cs="Calibri"/>
          <w:szCs w:val="18"/>
        </w:rPr>
        <w:instrText xml:space="preserve"> REF _Ref196399537 \r \h </w:instrText>
      </w:r>
      <w:r w:rsidR="00EE3DBD" w:rsidRPr="00DE3589">
        <w:rPr>
          <w:rFonts w:cs="Calibri"/>
          <w:szCs w:val="18"/>
        </w:rPr>
        <w:instrText xml:space="preserve"> \* MERGEFORMAT </w:instrText>
      </w:r>
      <w:r w:rsidR="00083565" w:rsidRPr="00DE3589">
        <w:rPr>
          <w:rFonts w:cs="Calibri"/>
          <w:szCs w:val="18"/>
        </w:rPr>
      </w:r>
      <w:r w:rsidR="00083565" w:rsidRPr="00DE3589">
        <w:rPr>
          <w:rFonts w:cs="Calibri"/>
          <w:szCs w:val="18"/>
        </w:rPr>
        <w:fldChar w:fldCharType="separate"/>
      </w:r>
      <w:r w:rsidR="00CE6CF1">
        <w:rPr>
          <w:rFonts w:cs="Calibri"/>
          <w:szCs w:val="18"/>
        </w:rPr>
        <w:t>6</w:t>
      </w:r>
      <w:r w:rsidR="00083565" w:rsidRPr="00DE3589">
        <w:rPr>
          <w:rFonts w:cs="Calibri"/>
          <w:szCs w:val="18"/>
        </w:rPr>
        <w:fldChar w:fldCharType="end"/>
      </w:r>
      <w:r w:rsidR="00083565" w:rsidRPr="00DE3589">
        <w:rPr>
          <w:rFonts w:cs="Calibri"/>
          <w:szCs w:val="18"/>
        </w:rPr>
        <w:t>)</w:t>
      </w:r>
      <w:r w:rsidR="000E2B5D" w:rsidRPr="00AB1D20">
        <w:rPr>
          <w:rFonts w:cs="Calibri"/>
          <w:szCs w:val="18"/>
        </w:rPr>
        <w:t>,</w:t>
      </w:r>
      <w:r w:rsidR="000E2B5D">
        <w:rPr>
          <w:rFonts w:cs="Calibri"/>
          <w:szCs w:val="18"/>
        </w:rPr>
        <w:t xml:space="preserve"> Section 7 now addresses the implications of both to a</w:t>
      </w:r>
      <w:r w:rsidR="00083565" w:rsidRPr="00DE3589">
        <w:rPr>
          <w:rFonts w:cs="Calibri"/>
          <w:szCs w:val="18"/>
        </w:rPr>
        <w:t xml:space="preserve"> </w:t>
      </w:r>
      <w:r w:rsidR="00E57990">
        <w:rPr>
          <w:rFonts w:cs="Calibri"/>
          <w:szCs w:val="18"/>
        </w:rPr>
        <w:t xml:space="preserve">representative </w:t>
      </w:r>
      <w:r w:rsidR="000B650A" w:rsidRPr="00DE3589">
        <w:rPr>
          <w:rFonts w:cs="Calibri"/>
          <w:szCs w:val="18"/>
        </w:rPr>
        <w:t xml:space="preserve">set of core functions </w:t>
      </w:r>
      <w:r w:rsidR="0045785E" w:rsidRPr="00DE3589">
        <w:rPr>
          <w:rFonts w:cs="Calibri"/>
          <w:szCs w:val="18"/>
        </w:rPr>
        <w:t>that must be enabled</w:t>
      </w:r>
      <w:r w:rsidR="00372DE3">
        <w:rPr>
          <w:rFonts w:cs="Calibri"/>
          <w:szCs w:val="18"/>
        </w:rPr>
        <w:t xml:space="preserve"> at the T-D </w:t>
      </w:r>
      <w:r w:rsidR="00CB6826">
        <w:rPr>
          <w:rFonts w:cs="Calibri"/>
          <w:szCs w:val="18"/>
        </w:rPr>
        <w:t>I</w:t>
      </w:r>
      <w:r w:rsidR="00372DE3">
        <w:rPr>
          <w:rFonts w:cs="Calibri"/>
          <w:szCs w:val="18"/>
        </w:rPr>
        <w:t>nterface</w:t>
      </w:r>
      <w:r w:rsidR="00772EEE">
        <w:rPr>
          <w:rFonts w:cs="Calibri"/>
          <w:szCs w:val="18"/>
        </w:rPr>
        <w:t xml:space="preserve">. </w:t>
      </w:r>
      <w:r w:rsidR="00606A2F">
        <w:rPr>
          <w:rFonts w:cs="Calibri"/>
          <w:szCs w:val="18"/>
        </w:rPr>
        <w:t>Importantly, these functions are inextricably linked to t</w:t>
      </w:r>
      <w:r w:rsidR="00D4401A" w:rsidRPr="00D4401A">
        <w:rPr>
          <w:rFonts w:cs="Calibri"/>
          <w:szCs w:val="18"/>
        </w:rPr>
        <w:t>he maturing role of Distribution System Operators (DSOs)</w:t>
      </w:r>
      <w:r w:rsidR="00BE3FD6">
        <w:rPr>
          <w:rFonts w:cs="Calibri"/>
          <w:szCs w:val="18"/>
        </w:rPr>
        <w:t xml:space="preserve"> and how the </w:t>
      </w:r>
      <w:r w:rsidR="00780354">
        <w:rPr>
          <w:rFonts w:cs="Calibri"/>
          <w:szCs w:val="18"/>
        </w:rPr>
        <w:t xml:space="preserve">relationship between transmission and </w:t>
      </w:r>
      <w:r w:rsidR="00F967E6">
        <w:rPr>
          <w:rFonts w:cs="Calibri"/>
          <w:szCs w:val="18"/>
        </w:rPr>
        <w:t xml:space="preserve">distribution </w:t>
      </w:r>
      <w:r w:rsidR="00780354">
        <w:rPr>
          <w:rFonts w:cs="Calibri"/>
          <w:szCs w:val="18"/>
        </w:rPr>
        <w:t>system operation evolves</w:t>
      </w:r>
      <w:r w:rsidR="00E4743E">
        <w:rPr>
          <w:rFonts w:cs="Calibri"/>
          <w:szCs w:val="18"/>
        </w:rPr>
        <w:t xml:space="preserve">. </w:t>
      </w:r>
    </w:p>
    <w:p w14:paraId="7B0FDDDB" w14:textId="37ED2164" w:rsidR="0035526E" w:rsidRDefault="00D4401A" w:rsidP="00D4401A">
      <w:pPr>
        <w:spacing w:before="180" w:after="120" w:line="288" w:lineRule="auto"/>
        <w:rPr>
          <w:rFonts w:cs="Calibri"/>
          <w:szCs w:val="18"/>
        </w:rPr>
      </w:pPr>
      <w:r w:rsidRPr="00D4401A">
        <w:rPr>
          <w:rFonts w:cs="Calibri"/>
          <w:szCs w:val="18"/>
        </w:rPr>
        <w:t xml:space="preserve">DSOs, at their core, act as the operational and informational voice of the distribution system. However, the way this role is implemented </w:t>
      </w:r>
      <w:r w:rsidR="00F10867">
        <w:rPr>
          <w:rFonts w:cs="Calibri"/>
          <w:szCs w:val="18"/>
        </w:rPr>
        <w:t xml:space="preserve">will </w:t>
      </w:r>
      <w:r w:rsidRPr="00D4401A">
        <w:rPr>
          <w:rFonts w:cs="Calibri"/>
          <w:szCs w:val="18"/>
        </w:rPr>
        <w:t>var</w:t>
      </w:r>
      <w:r w:rsidR="00F10867">
        <w:rPr>
          <w:rFonts w:cs="Calibri"/>
          <w:szCs w:val="18"/>
        </w:rPr>
        <w:t>y</w:t>
      </w:r>
      <w:r w:rsidRPr="00D4401A">
        <w:rPr>
          <w:rFonts w:cs="Calibri"/>
          <w:szCs w:val="18"/>
        </w:rPr>
        <w:t xml:space="preserve"> </w:t>
      </w:r>
      <w:r w:rsidR="0049498F">
        <w:rPr>
          <w:rFonts w:cs="Calibri"/>
          <w:szCs w:val="18"/>
        </w:rPr>
        <w:t>s</w:t>
      </w:r>
      <w:r w:rsidR="00F10867">
        <w:rPr>
          <w:rFonts w:cs="Calibri"/>
          <w:szCs w:val="18"/>
        </w:rPr>
        <w:t xml:space="preserve">ubstantively depending on the structural archetype </w:t>
      </w:r>
      <w:r w:rsidR="00E93797">
        <w:rPr>
          <w:rFonts w:cs="Calibri"/>
          <w:szCs w:val="18"/>
        </w:rPr>
        <w:t>implemented (refer Section 5, Table 4</w:t>
      </w:r>
      <w:r w:rsidR="00A651FF">
        <w:rPr>
          <w:rFonts w:cs="Calibri"/>
          <w:szCs w:val="18"/>
        </w:rPr>
        <w:t>)</w:t>
      </w:r>
      <w:r w:rsidR="00E93797">
        <w:rPr>
          <w:rStyle w:val="FootnoteReference"/>
          <w:rFonts w:cs="Calibri"/>
          <w:szCs w:val="18"/>
        </w:rPr>
        <w:footnoteReference w:id="8"/>
      </w:r>
      <w:r w:rsidR="00E93797">
        <w:rPr>
          <w:rFonts w:cs="Calibri"/>
          <w:szCs w:val="18"/>
        </w:rPr>
        <w:t xml:space="preserve">.  </w:t>
      </w:r>
    </w:p>
    <w:p w14:paraId="2B7DF583" w14:textId="3A54EBCC" w:rsidR="0035526E" w:rsidRDefault="00D4401A" w:rsidP="00470C91">
      <w:pPr>
        <w:pStyle w:val="ListParagraph"/>
        <w:numPr>
          <w:ilvl w:val="0"/>
          <w:numId w:val="18"/>
        </w:numPr>
        <w:spacing w:before="180" w:line="288" w:lineRule="auto"/>
        <w:rPr>
          <w:rFonts w:cs="Calibri"/>
          <w:szCs w:val="18"/>
        </w:rPr>
      </w:pPr>
      <w:r w:rsidRPr="00D4401A">
        <w:rPr>
          <w:rFonts w:cs="Calibri"/>
          <w:szCs w:val="18"/>
        </w:rPr>
        <w:t xml:space="preserve">In a transitional </w:t>
      </w:r>
      <w:r w:rsidR="0065334D">
        <w:rPr>
          <w:rFonts w:cs="Calibri"/>
          <w:szCs w:val="18"/>
        </w:rPr>
        <w:t>Multi-entity</w:t>
      </w:r>
      <w:r w:rsidRPr="00D4401A">
        <w:rPr>
          <w:rFonts w:cs="Calibri"/>
          <w:szCs w:val="18"/>
        </w:rPr>
        <w:t xml:space="preserve"> </w:t>
      </w:r>
      <w:r w:rsidR="00A651FF">
        <w:rPr>
          <w:rFonts w:cs="Calibri"/>
          <w:szCs w:val="18"/>
        </w:rPr>
        <w:t xml:space="preserve">DSO </w:t>
      </w:r>
      <w:r w:rsidRPr="00D4401A">
        <w:rPr>
          <w:rFonts w:cs="Calibri"/>
          <w:szCs w:val="18"/>
        </w:rPr>
        <w:t>model, the DSO shares observability and decision-making with</w:t>
      </w:r>
      <w:r w:rsidR="00BC014D">
        <w:rPr>
          <w:rFonts w:cs="Calibri"/>
          <w:szCs w:val="18"/>
        </w:rPr>
        <w:t>in their operating zone with</w:t>
      </w:r>
      <w:r w:rsidRPr="00D4401A">
        <w:rPr>
          <w:rFonts w:cs="Calibri"/>
          <w:szCs w:val="18"/>
        </w:rPr>
        <w:t xml:space="preserve"> the</w:t>
      </w:r>
      <w:r w:rsidR="00991970">
        <w:rPr>
          <w:rFonts w:cs="Calibri"/>
          <w:szCs w:val="18"/>
        </w:rPr>
        <w:t xml:space="preserve"> </w:t>
      </w:r>
      <w:r w:rsidR="00CB6826">
        <w:rPr>
          <w:rFonts w:cs="Calibri"/>
          <w:szCs w:val="18"/>
        </w:rPr>
        <w:t>System Operator</w:t>
      </w:r>
      <w:r w:rsidRPr="00D4401A">
        <w:rPr>
          <w:rFonts w:cs="Calibri"/>
          <w:szCs w:val="18"/>
        </w:rPr>
        <w:t xml:space="preserve">, requiring bilateral engagement to reconcile partial views of distribution-level </w:t>
      </w:r>
      <w:r w:rsidR="00F07490">
        <w:rPr>
          <w:rFonts w:cs="Calibri"/>
          <w:szCs w:val="18"/>
        </w:rPr>
        <w:t>variables</w:t>
      </w:r>
      <w:r w:rsidRPr="00D4401A">
        <w:rPr>
          <w:rFonts w:cs="Calibri"/>
          <w:szCs w:val="18"/>
        </w:rPr>
        <w:t xml:space="preserve">. </w:t>
      </w:r>
    </w:p>
    <w:p w14:paraId="7C8B7072" w14:textId="6ECDC104" w:rsidR="008F1245" w:rsidRDefault="00D4401A" w:rsidP="00470C91">
      <w:pPr>
        <w:pStyle w:val="ListParagraph"/>
        <w:numPr>
          <w:ilvl w:val="0"/>
          <w:numId w:val="18"/>
        </w:numPr>
        <w:spacing w:before="180" w:line="288" w:lineRule="auto"/>
        <w:rPr>
          <w:rFonts w:cs="Calibri"/>
          <w:szCs w:val="18"/>
        </w:rPr>
      </w:pPr>
      <w:r w:rsidRPr="00D4401A">
        <w:rPr>
          <w:rFonts w:cs="Calibri"/>
          <w:szCs w:val="18"/>
        </w:rPr>
        <w:t xml:space="preserve">By contrast, in </w:t>
      </w:r>
      <w:r w:rsidR="00BF46D8">
        <w:rPr>
          <w:rFonts w:cs="Calibri"/>
          <w:szCs w:val="18"/>
        </w:rPr>
        <w:t>the L</w:t>
      </w:r>
      <w:r w:rsidRPr="00D4401A">
        <w:rPr>
          <w:rFonts w:cs="Calibri"/>
          <w:szCs w:val="18"/>
        </w:rPr>
        <w:t xml:space="preserve">ayered </w:t>
      </w:r>
      <w:r w:rsidR="00BF46D8">
        <w:rPr>
          <w:rFonts w:cs="Calibri"/>
          <w:szCs w:val="18"/>
        </w:rPr>
        <w:t>Coordination DSO model,</w:t>
      </w:r>
      <w:r w:rsidRPr="00D4401A">
        <w:rPr>
          <w:rFonts w:cs="Calibri"/>
          <w:szCs w:val="18"/>
        </w:rPr>
        <w:t xml:space="preserve"> the DSO assumes </w:t>
      </w:r>
      <w:r w:rsidR="00CB6826">
        <w:rPr>
          <w:rFonts w:cs="Calibri"/>
          <w:szCs w:val="18"/>
        </w:rPr>
        <w:t xml:space="preserve">primary </w:t>
      </w:r>
      <w:r w:rsidRPr="00D4401A">
        <w:rPr>
          <w:rFonts w:cs="Calibri"/>
          <w:szCs w:val="18"/>
        </w:rPr>
        <w:t>responsibility for managing CER/DER resources, local reliability, and interfacing with markets up to the TDI.</w:t>
      </w:r>
      <w:r w:rsidR="00CA074A">
        <w:rPr>
          <w:rFonts w:cs="Calibri"/>
          <w:szCs w:val="18"/>
        </w:rPr>
        <w:t xml:space="preserve">  </w:t>
      </w:r>
      <w:r w:rsidR="00D22B22">
        <w:rPr>
          <w:rFonts w:cs="Calibri"/>
          <w:szCs w:val="18"/>
        </w:rPr>
        <w:t>As the name suggests, t</w:t>
      </w:r>
      <w:r w:rsidRPr="00D4401A">
        <w:rPr>
          <w:rFonts w:cs="Calibri"/>
          <w:szCs w:val="18"/>
        </w:rPr>
        <w:t xml:space="preserve">he DSO </w:t>
      </w:r>
      <w:r w:rsidR="00CA074A">
        <w:rPr>
          <w:rFonts w:cs="Calibri"/>
          <w:szCs w:val="18"/>
        </w:rPr>
        <w:t xml:space="preserve">functions as the </w:t>
      </w:r>
      <w:r w:rsidRPr="00D4401A">
        <w:rPr>
          <w:rFonts w:cs="Calibri"/>
          <w:szCs w:val="18"/>
        </w:rPr>
        <w:t>system operator</w:t>
      </w:r>
      <w:r w:rsidR="00D22B22">
        <w:rPr>
          <w:rFonts w:cs="Calibri"/>
          <w:szCs w:val="18"/>
        </w:rPr>
        <w:t xml:space="preserve"> of that particular distribution system and interacts with the System Operator </w:t>
      </w:r>
      <w:r w:rsidRPr="00D4401A">
        <w:rPr>
          <w:rFonts w:cs="Calibri"/>
          <w:szCs w:val="18"/>
        </w:rPr>
        <w:t>via well-specified service boundaries</w:t>
      </w:r>
      <w:r w:rsidR="00B965A7">
        <w:rPr>
          <w:rFonts w:cs="Calibri"/>
          <w:szCs w:val="18"/>
        </w:rPr>
        <w:t xml:space="preserve"> and fulfils formally defined responsibilities</w:t>
      </w:r>
      <w:r w:rsidRPr="00D4401A">
        <w:rPr>
          <w:rFonts w:cs="Calibri"/>
          <w:szCs w:val="18"/>
        </w:rPr>
        <w:t>.</w:t>
      </w:r>
      <w:r w:rsidR="0082695B">
        <w:rPr>
          <w:rFonts w:cs="Calibri"/>
          <w:szCs w:val="18"/>
        </w:rPr>
        <w:t xml:space="preserve"> </w:t>
      </w:r>
    </w:p>
    <w:p w14:paraId="29AA9149" w14:textId="1D61B3C4" w:rsidR="00D4401A" w:rsidRDefault="009748B9" w:rsidP="00D4401A">
      <w:pPr>
        <w:spacing w:before="180" w:after="120" w:line="288" w:lineRule="auto"/>
        <w:rPr>
          <w:rFonts w:cs="Calibri"/>
          <w:szCs w:val="18"/>
        </w:rPr>
      </w:pPr>
      <w:r>
        <w:rPr>
          <w:rFonts w:cs="Calibri"/>
          <w:szCs w:val="18"/>
        </w:rPr>
        <w:t>Under the L</w:t>
      </w:r>
      <w:r w:rsidRPr="00D4401A">
        <w:rPr>
          <w:rFonts w:cs="Calibri"/>
          <w:szCs w:val="18"/>
        </w:rPr>
        <w:t xml:space="preserve">ayered </w:t>
      </w:r>
      <w:r>
        <w:rPr>
          <w:rFonts w:cs="Calibri"/>
          <w:szCs w:val="18"/>
        </w:rPr>
        <w:t xml:space="preserve">Coordination DSO, this </w:t>
      </w:r>
      <w:r w:rsidR="00351AD7">
        <w:rPr>
          <w:rFonts w:cs="Calibri"/>
          <w:szCs w:val="18"/>
        </w:rPr>
        <w:t xml:space="preserve">substantively </w:t>
      </w:r>
      <w:r w:rsidR="00676E32">
        <w:rPr>
          <w:rFonts w:cs="Calibri"/>
          <w:szCs w:val="18"/>
        </w:rPr>
        <w:t>reconfigures</w:t>
      </w:r>
      <w:r w:rsidR="00D4401A" w:rsidRPr="00D4401A">
        <w:rPr>
          <w:rFonts w:cs="Calibri"/>
          <w:szCs w:val="18"/>
        </w:rPr>
        <w:t xml:space="preserve"> </w:t>
      </w:r>
      <w:r w:rsidR="00351AD7">
        <w:rPr>
          <w:rFonts w:cs="Calibri"/>
          <w:szCs w:val="18"/>
        </w:rPr>
        <w:t xml:space="preserve">T-D </w:t>
      </w:r>
      <w:r w:rsidR="00F10E5F">
        <w:rPr>
          <w:rFonts w:cs="Calibri"/>
          <w:szCs w:val="18"/>
        </w:rPr>
        <w:t>C</w:t>
      </w:r>
      <w:r w:rsidR="00D4401A" w:rsidRPr="00D4401A">
        <w:rPr>
          <w:rFonts w:cs="Calibri"/>
          <w:szCs w:val="18"/>
        </w:rPr>
        <w:t xml:space="preserve">oordination. The </w:t>
      </w:r>
      <w:r w:rsidR="00F10E5F">
        <w:rPr>
          <w:rFonts w:cs="Calibri"/>
          <w:szCs w:val="18"/>
        </w:rPr>
        <w:t xml:space="preserve">System Operator </w:t>
      </w:r>
      <w:r w:rsidR="00AD5AE2">
        <w:rPr>
          <w:rFonts w:cs="Calibri"/>
          <w:szCs w:val="18"/>
        </w:rPr>
        <w:t xml:space="preserve">(SO) </w:t>
      </w:r>
      <w:r w:rsidR="00D4401A" w:rsidRPr="00D4401A">
        <w:rPr>
          <w:rFonts w:cs="Calibri"/>
          <w:szCs w:val="18"/>
        </w:rPr>
        <w:t xml:space="preserve">no longer </w:t>
      </w:r>
      <w:r w:rsidR="00F10E5F">
        <w:rPr>
          <w:rFonts w:cs="Calibri"/>
          <w:szCs w:val="18"/>
        </w:rPr>
        <w:t>needs to engage</w:t>
      </w:r>
      <w:r w:rsidR="00D4401A" w:rsidRPr="00D4401A">
        <w:rPr>
          <w:rFonts w:cs="Calibri"/>
          <w:szCs w:val="18"/>
        </w:rPr>
        <w:t xml:space="preserve"> in continuous distribution-level oversight</w:t>
      </w:r>
      <w:r w:rsidR="00936799">
        <w:rPr>
          <w:rFonts w:cs="Calibri"/>
          <w:szCs w:val="18"/>
        </w:rPr>
        <w:t xml:space="preserve">, </w:t>
      </w:r>
      <w:r w:rsidR="00D4401A" w:rsidRPr="00D4401A">
        <w:rPr>
          <w:rFonts w:cs="Calibri"/>
          <w:szCs w:val="18"/>
        </w:rPr>
        <w:t>instead interact</w:t>
      </w:r>
      <w:r w:rsidR="00936799">
        <w:rPr>
          <w:rFonts w:cs="Calibri"/>
          <w:szCs w:val="18"/>
        </w:rPr>
        <w:t>ing</w:t>
      </w:r>
      <w:r w:rsidR="00D4401A" w:rsidRPr="00D4401A">
        <w:rPr>
          <w:rFonts w:cs="Calibri"/>
          <w:szCs w:val="18"/>
        </w:rPr>
        <w:t xml:space="preserve"> with DSOs as if through a “contractual port”</w:t>
      </w:r>
      <w:r w:rsidR="00936799">
        <w:rPr>
          <w:rFonts w:cs="Calibri"/>
          <w:szCs w:val="18"/>
        </w:rPr>
        <w:t xml:space="preserve"> </w:t>
      </w:r>
      <w:r w:rsidR="00D4401A" w:rsidRPr="00D4401A">
        <w:rPr>
          <w:rFonts w:cs="Calibri"/>
          <w:szCs w:val="18"/>
        </w:rPr>
        <w:t xml:space="preserve">defined by agreed service levels and exchange protocols. </w:t>
      </w:r>
      <w:r w:rsidR="00953124">
        <w:rPr>
          <w:rFonts w:cs="Calibri"/>
          <w:szCs w:val="18"/>
        </w:rPr>
        <w:t>For example, t</w:t>
      </w:r>
      <w:r w:rsidR="00D4401A" w:rsidRPr="00D4401A">
        <w:rPr>
          <w:rFonts w:cs="Calibri"/>
          <w:szCs w:val="18"/>
        </w:rPr>
        <w:t>he DSO offer</w:t>
      </w:r>
      <w:r w:rsidR="0047030D">
        <w:rPr>
          <w:rFonts w:cs="Calibri"/>
          <w:szCs w:val="18"/>
        </w:rPr>
        <w:t>s</w:t>
      </w:r>
      <w:r w:rsidR="00D4401A" w:rsidRPr="00D4401A">
        <w:rPr>
          <w:rFonts w:cs="Calibri"/>
          <w:szCs w:val="18"/>
        </w:rPr>
        <w:t xml:space="preserve"> aggregated services, such as flexibility, or signal</w:t>
      </w:r>
      <w:r w:rsidR="0047030D">
        <w:rPr>
          <w:rFonts w:cs="Calibri"/>
          <w:szCs w:val="18"/>
        </w:rPr>
        <w:t>s</w:t>
      </w:r>
      <w:r w:rsidR="00D4401A" w:rsidRPr="00D4401A">
        <w:rPr>
          <w:rFonts w:cs="Calibri"/>
          <w:szCs w:val="18"/>
        </w:rPr>
        <w:t xml:space="preserve"> shortfalls in local adequacy</w:t>
      </w:r>
      <w:r w:rsidR="007216BC">
        <w:rPr>
          <w:rFonts w:cs="Calibri"/>
          <w:szCs w:val="18"/>
        </w:rPr>
        <w:t xml:space="preserve"> to the </w:t>
      </w:r>
      <w:r w:rsidR="00616BBC">
        <w:rPr>
          <w:rFonts w:cs="Calibri"/>
          <w:szCs w:val="18"/>
        </w:rPr>
        <w:t>System Operator</w:t>
      </w:r>
      <w:r w:rsidR="00D4401A" w:rsidRPr="00D4401A">
        <w:rPr>
          <w:rFonts w:cs="Calibri"/>
          <w:szCs w:val="18"/>
        </w:rPr>
        <w:t>, while the SO request</w:t>
      </w:r>
      <w:r w:rsidR="0047030D">
        <w:rPr>
          <w:rFonts w:cs="Calibri"/>
          <w:szCs w:val="18"/>
        </w:rPr>
        <w:t>s</w:t>
      </w:r>
      <w:r w:rsidR="00D4401A" w:rsidRPr="00D4401A">
        <w:rPr>
          <w:rFonts w:cs="Calibri"/>
          <w:szCs w:val="18"/>
        </w:rPr>
        <w:t xml:space="preserve"> </w:t>
      </w:r>
      <w:r w:rsidR="00032AE6">
        <w:rPr>
          <w:rFonts w:cs="Calibri"/>
          <w:szCs w:val="18"/>
        </w:rPr>
        <w:t>distribution-level</w:t>
      </w:r>
      <w:r w:rsidR="00D4401A" w:rsidRPr="00D4401A">
        <w:rPr>
          <w:rFonts w:cs="Calibri"/>
          <w:szCs w:val="18"/>
        </w:rPr>
        <w:t xml:space="preserve"> actions to manage transmission constraints. </w:t>
      </w:r>
      <w:r w:rsidR="0094365D">
        <w:rPr>
          <w:rFonts w:cs="Calibri"/>
          <w:szCs w:val="18"/>
        </w:rPr>
        <w:t>Importantly, given the potential for volatility within the distribution</w:t>
      </w:r>
      <w:r w:rsidR="001673D0">
        <w:rPr>
          <w:rFonts w:cs="Calibri"/>
          <w:szCs w:val="18"/>
        </w:rPr>
        <w:t xml:space="preserve"> system, sufficient levels of buffering (storage) will likely be required to support th</w:t>
      </w:r>
      <w:r w:rsidR="00A53773">
        <w:rPr>
          <w:rFonts w:cs="Calibri"/>
          <w:szCs w:val="18"/>
        </w:rPr>
        <w:t xml:space="preserve">ese arrangements. </w:t>
      </w:r>
      <w:r w:rsidR="00851C54">
        <w:rPr>
          <w:rFonts w:cs="Calibri"/>
          <w:szCs w:val="18"/>
        </w:rPr>
        <w:t xml:space="preserve">A further discussion on the role of DSOs and their upstream interactions and T-D </w:t>
      </w:r>
      <w:r w:rsidR="00D708B5">
        <w:rPr>
          <w:rFonts w:cs="Calibri"/>
          <w:szCs w:val="18"/>
        </w:rPr>
        <w:t>c</w:t>
      </w:r>
      <w:r w:rsidR="00851C54">
        <w:rPr>
          <w:rFonts w:cs="Calibri"/>
          <w:szCs w:val="18"/>
        </w:rPr>
        <w:t xml:space="preserve">oordination </w:t>
      </w:r>
      <w:r w:rsidR="00D708B5">
        <w:rPr>
          <w:rFonts w:cs="Calibri"/>
          <w:szCs w:val="18"/>
        </w:rPr>
        <w:t>impacts can be found in Section 10 of Report 4.</w:t>
      </w:r>
    </w:p>
    <w:p w14:paraId="077260FD" w14:textId="4863A733" w:rsidR="00023688" w:rsidRDefault="000C48F1" w:rsidP="00D4401A">
      <w:pPr>
        <w:spacing w:before="180" w:after="120" w:line="288" w:lineRule="auto"/>
        <w:rPr>
          <w:rFonts w:cs="Calibri"/>
          <w:szCs w:val="18"/>
        </w:rPr>
      </w:pPr>
      <w:r>
        <w:rPr>
          <w:rFonts w:cs="Calibri"/>
          <w:szCs w:val="18"/>
        </w:rPr>
        <w:t xml:space="preserve">In this context, the set of core functions </w:t>
      </w:r>
      <w:r w:rsidR="005E22B0">
        <w:rPr>
          <w:rFonts w:cs="Calibri"/>
          <w:szCs w:val="18"/>
        </w:rPr>
        <w:t xml:space="preserve">across the T-D interface will </w:t>
      </w:r>
      <w:r w:rsidR="00604788">
        <w:rPr>
          <w:rFonts w:cs="Calibri"/>
          <w:szCs w:val="18"/>
        </w:rPr>
        <w:t xml:space="preserve">evolve </w:t>
      </w:r>
      <w:r w:rsidR="005E22B0">
        <w:rPr>
          <w:rFonts w:cs="Calibri"/>
          <w:szCs w:val="18"/>
        </w:rPr>
        <w:t xml:space="preserve">as DSOs mature. </w:t>
      </w:r>
      <w:r w:rsidR="004F661D">
        <w:rPr>
          <w:rFonts w:cs="Calibri"/>
          <w:szCs w:val="18"/>
        </w:rPr>
        <w:t xml:space="preserve">Given the </w:t>
      </w:r>
      <w:r w:rsidR="000D3D5E">
        <w:rPr>
          <w:rFonts w:cs="Calibri"/>
          <w:szCs w:val="18"/>
        </w:rPr>
        <w:t>system security</w:t>
      </w:r>
      <w:r w:rsidR="00F5206B">
        <w:rPr>
          <w:rFonts w:cs="Calibri"/>
          <w:szCs w:val="18"/>
        </w:rPr>
        <w:t>-</w:t>
      </w:r>
      <w:r w:rsidR="000D3D5E">
        <w:rPr>
          <w:rFonts w:cs="Calibri"/>
          <w:szCs w:val="18"/>
        </w:rPr>
        <w:t xml:space="preserve">driven </w:t>
      </w:r>
      <w:r w:rsidR="004F661D">
        <w:rPr>
          <w:rFonts w:cs="Calibri"/>
          <w:szCs w:val="18"/>
        </w:rPr>
        <w:t xml:space="preserve">urgency to </w:t>
      </w:r>
      <w:r w:rsidR="001A49B6">
        <w:rPr>
          <w:rFonts w:cs="Calibri"/>
          <w:szCs w:val="18"/>
        </w:rPr>
        <w:t>expand</w:t>
      </w:r>
      <w:r w:rsidR="004F661D">
        <w:rPr>
          <w:rFonts w:cs="Calibri"/>
          <w:szCs w:val="18"/>
        </w:rPr>
        <w:t xml:space="preserve"> T-D </w:t>
      </w:r>
      <w:r w:rsidR="001A49B6">
        <w:rPr>
          <w:rFonts w:cs="Calibri"/>
          <w:szCs w:val="18"/>
        </w:rPr>
        <w:t xml:space="preserve">coordination </w:t>
      </w:r>
      <w:r w:rsidR="000D3D5E">
        <w:rPr>
          <w:rFonts w:cs="Calibri"/>
          <w:szCs w:val="18"/>
        </w:rPr>
        <w:t xml:space="preserve">in the near-term, and the </w:t>
      </w:r>
      <w:r w:rsidR="00C2102F">
        <w:rPr>
          <w:rFonts w:cs="Calibri"/>
          <w:szCs w:val="18"/>
        </w:rPr>
        <w:t xml:space="preserve">gradually </w:t>
      </w:r>
      <w:r w:rsidR="00657352">
        <w:rPr>
          <w:rFonts w:cs="Calibri"/>
          <w:szCs w:val="18"/>
        </w:rPr>
        <w:t>emerging</w:t>
      </w:r>
      <w:r w:rsidR="003038AD">
        <w:rPr>
          <w:rFonts w:cs="Calibri"/>
          <w:szCs w:val="18"/>
        </w:rPr>
        <w:t xml:space="preserve"> consensus that power systems will </w:t>
      </w:r>
      <w:r w:rsidR="000D3D5E">
        <w:rPr>
          <w:rFonts w:cs="Calibri"/>
          <w:szCs w:val="18"/>
        </w:rPr>
        <w:t>necessar</w:t>
      </w:r>
      <w:r w:rsidR="00FF165F">
        <w:rPr>
          <w:rFonts w:cs="Calibri"/>
          <w:szCs w:val="18"/>
        </w:rPr>
        <w:t xml:space="preserve">ily </w:t>
      </w:r>
      <w:r w:rsidR="000D3D5E">
        <w:rPr>
          <w:rFonts w:cs="Calibri"/>
          <w:szCs w:val="18"/>
        </w:rPr>
        <w:t>transition</w:t>
      </w:r>
      <w:r w:rsidR="00FF165F">
        <w:rPr>
          <w:rFonts w:cs="Calibri"/>
          <w:szCs w:val="18"/>
        </w:rPr>
        <w:t xml:space="preserve"> to more layered approaches via </w:t>
      </w:r>
      <w:r w:rsidR="00787A62">
        <w:rPr>
          <w:rFonts w:cs="Calibri"/>
          <w:szCs w:val="18"/>
        </w:rPr>
        <w:t xml:space="preserve">hybridised approaches, </w:t>
      </w:r>
      <w:r w:rsidR="000D3D5E">
        <w:rPr>
          <w:rFonts w:cs="Calibri"/>
          <w:szCs w:val="18"/>
        </w:rPr>
        <w:t xml:space="preserve">much of the attention </w:t>
      </w:r>
      <w:r w:rsidR="00787A62">
        <w:rPr>
          <w:rFonts w:cs="Calibri"/>
          <w:szCs w:val="18"/>
        </w:rPr>
        <w:t xml:space="preserve">in the literature has focused on </w:t>
      </w:r>
      <w:r w:rsidR="00F11B20">
        <w:rPr>
          <w:rFonts w:cs="Calibri"/>
          <w:szCs w:val="18"/>
        </w:rPr>
        <w:t xml:space="preserve">functions </w:t>
      </w:r>
      <w:r w:rsidR="003B58D5">
        <w:rPr>
          <w:rFonts w:cs="Calibri"/>
          <w:szCs w:val="18"/>
        </w:rPr>
        <w:t xml:space="preserve">needed for </w:t>
      </w:r>
      <w:r w:rsidR="0065334D">
        <w:rPr>
          <w:rFonts w:cs="Calibri"/>
          <w:szCs w:val="18"/>
        </w:rPr>
        <w:t>Multi-entity</w:t>
      </w:r>
      <w:r w:rsidR="003B58D5">
        <w:rPr>
          <w:rFonts w:cs="Calibri"/>
          <w:szCs w:val="18"/>
        </w:rPr>
        <w:t xml:space="preserve"> approaches. </w:t>
      </w:r>
      <w:r w:rsidR="00F348A4">
        <w:rPr>
          <w:rFonts w:cs="Calibri"/>
          <w:szCs w:val="18"/>
        </w:rPr>
        <w:t xml:space="preserve">This section </w:t>
      </w:r>
      <w:r w:rsidR="00372DE3">
        <w:rPr>
          <w:rFonts w:cs="Calibri"/>
          <w:szCs w:val="18"/>
        </w:rPr>
        <w:t xml:space="preserve">also </w:t>
      </w:r>
      <w:r w:rsidR="00A634BB">
        <w:rPr>
          <w:rFonts w:cs="Calibri"/>
          <w:szCs w:val="18"/>
        </w:rPr>
        <w:t xml:space="preserve">considers </w:t>
      </w:r>
      <w:r w:rsidR="00B54127">
        <w:rPr>
          <w:rFonts w:cs="Calibri"/>
          <w:szCs w:val="18"/>
        </w:rPr>
        <w:t xml:space="preserve">nearer-term TDI functions, while noting how each function might evolve or become redundant </w:t>
      </w:r>
      <w:r w:rsidR="00015B1A">
        <w:rPr>
          <w:rFonts w:cs="Calibri"/>
          <w:szCs w:val="18"/>
        </w:rPr>
        <w:t xml:space="preserve">as </w:t>
      </w:r>
      <w:r w:rsidR="00471EA2">
        <w:rPr>
          <w:rFonts w:cs="Calibri"/>
          <w:szCs w:val="18"/>
        </w:rPr>
        <w:t xml:space="preserve">DSOs mature and manage </w:t>
      </w:r>
      <w:r w:rsidR="00F77D2B">
        <w:rPr>
          <w:rFonts w:cs="Calibri"/>
          <w:szCs w:val="18"/>
        </w:rPr>
        <w:t xml:space="preserve">a greater share </w:t>
      </w:r>
      <w:r w:rsidR="00A24502">
        <w:rPr>
          <w:rFonts w:cs="Calibri"/>
          <w:szCs w:val="18"/>
        </w:rPr>
        <w:t xml:space="preserve">of </w:t>
      </w:r>
      <w:r w:rsidR="00F77D2B">
        <w:rPr>
          <w:rFonts w:cs="Calibri"/>
          <w:szCs w:val="18"/>
        </w:rPr>
        <w:t xml:space="preserve">whole-system </w:t>
      </w:r>
      <w:r w:rsidR="00A24502">
        <w:rPr>
          <w:rFonts w:cs="Calibri"/>
          <w:szCs w:val="18"/>
        </w:rPr>
        <w:t>resources</w:t>
      </w:r>
      <w:r w:rsidR="00772EEE">
        <w:rPr>
          <w:rFonts w:cs="Calibri"/>
          <w:szCs w:val="18"/>
        </w:rPr>
        <w:t xml:space="preserve">. </w:t>
      </w:r>
    </w:p>
    <w:p w14:paraId="65432E3B" w14:textId="43A7283C" w:rsidR="00FE78E3" w:rsidRDefault="003B58D5" w:rsidP="005546E1">
      <w:pPr>
        <w:keepNext/>
        <w:keepLines/>
        <w:spacing w:after="120"/>
        <w:outlineLvl w:val="2"/>
        <w:rPr>
          <w:rFonts w:cs="Calibri"/>
          <w:szCs w:val="18"/>
        </w:rPr>
      </w:pPr>
      <w:r>
        <w:rPr>
          <w:rFonts w:cs="Calibri"/>
          <w:szCs w:val="18"/>
        </w:rPr>
        <w:lastRenderedPageBreak/>
        <w:t xml:space="preserve">Two </w:t>
      </w:r>
      <w:r w:rsidR="003C325C">
        <w:rPr>
          <w:rFonts w:cs="Calibri"/>
          <w:szCs w:val="18"/>
        </w:rPr>
        <w:t>formative</w:t>
      </w:r>
      <w:r>
        <w:rPr>
          <w:rFonts w:cs="Calibri"/>
          <w:szCs w:val="18"/>
        </w:rPr>
        <w:t xml:space="preserve"> papers</w:t>
      </w:r>
      <w:r w:rsidR="009430EC">
        <w:rPr>
          <w:rFonts w:cs="Calibri"/>
          <w:szCs w:val="18"/>
        </w:rPr>
        <w:t xml:space="preserve"> that provide an expansive treatment of </w:t>
      </w:r>
      <w:r w:rsidR="00A2161D">
        <w:rPr>
          <w:rFonts w:cs="Calibri"/>
          <w:szCs w:val="18"/>
        </w:rPr>
        <w:t>immediate</w:t>
      </w:r>
      <w:r w:rsidR="0085523B">
        <w:rPr>
          <w:rFonts w:cs="Calibri"/>
          <w:szCs w:val="18"/>
        </w:rPr>
        <w:t xml:space="preserve"> functional priorities are </w:t>
      </w:r>
      <w:sdt>
        <w:sdtPr>
          <w:rPr>
            <w:rFonts w:cs="Calibri"/>
            <w:szCs w:val="18"/>
          </w:rPr>
          <w:id w:val="906730716"/>
          <w:citation/>
        </w:sdtPr>
        <w:sdtContent>
          <w:r w:rsidR="003C325C">
            <w:rPr>
              <w:rFonts w:cs="Calibri"/>
              <w:szCs w:val="18"/>
            </w:rPr>
            <w:fldChar w:fldCharType="begin"/>
          </w:r>
          <w:r w:rsidR="003C325C">
            <w:rPr>
              <w:rFonts w:cs="Calibri"/>
              <w:szCs w:val="18"/>
            </w:rPr>
            <w:instrText xml:space="preserve"> CITATION CIG21 \l 3081 </w:instrText>
          </w:r>
          <w:r w:rsidR="003C325C">
            <w:rPr>
              <w:rFonts w:cs="Calibri"/>
              <w:szCs w:val="18"/>
            </w:rPr>
            <w:fldChar w:fldCharType="separate"/>
          </w:r>
          <w:r w:rsidR="00E91535" w:rsidRPr="00E91535">
            <w:rPr>
              <w:rFonts w:cs="Calibri"/>
              <w:noProof/>
              <w:szCs w:val="18"/>
            </w:rPr>
            <w:t>[4]</w:t>
          </w:r>
          <w:r w:rsidR="003C325C">
            <w:rPr>
              <w:rFonts w:cs="Calibri"/>
              <w:szCs w:val="18"/>
            </w:rPr>
            <w:fldChar w:fldCharType="end"/>
          </w:r>
        </w:sdtContent>
      </w:sdt>
      <w:r w:rsidR="003C325C">
        <w:rPr>
          <w:rFonts w:cs="Calibri"/>
          <w:szCs w:val="18"/>
        </w:rPr>
        <w:t xml:space="preserve"> and </w:t>
      </w:r>
      <w:sdt>
        <w:sdtPr>
          <w:rPr>
            <w:rFonts w:cs="Calibri"/>
            <w:szCs w:val="18"/>
          </w:rPr>
          <w:id w:val="956994097"/>
          <w:citation/>
        </w:sdtPr>
        <w:sdtContent>
          <w:r w:rsidR="003C325C">
            <w:rPr>
              <w:rFonts w:cs="Calibri"/>
              <w:szCs w:val="18"/>
            </w:rPr>
            <w:fldChar w:fldCharType="begin"/>
          </w:r>
          <w:r w:rsidR="003C325C">
            <w:rPr>
              <w:rFonts w:cs="Calibri"/>
              <w:szCs w:val="18"/>
            </w:rPr>
            <w:instrText xml:space="preserve"> CITATION Ele22 \l 3081 </w:instrText>
          </w:r>
          <w:r w:rsidR="003C325C">
            <w:rPr>
              <w:rFonts w:cs="Calibri"/>
              <w:szCs w:val="18"/>
            </w:rPr>
            <w:fldChar w:fldCharType="separate"/>
          </w:r>
          <w:r w:rsidR="00E91535" w:rsidRPr="00E91535">
            <w:rPr>
              <w:rFonts w:cs="Calibri"/>
              <w:noProof/>
              <w:szCs w:val="18"/>
            </w:rPr>
            <w:t>[5]</w:t>
          </w:r>
          <w:r w:rsidR="003C325C">
            <w:rPr>
              <w:rFonts w:cs="Calibri"/>
              <w:szCs w:val="18"/>
            </w:rPr>
            <w:fldChar w:fldCharType="end"/>
          </w:r>
        </w:sdtContent>
      </w:sdt>
      <w:r w:rsidR="006E6054">
        <w:rPr>
          <w:rFonts w:cs="Calibri"/>
          <w:szCs w:val="18"/>
        </w:rPr>
        <w:t>.</w:t>
      </w:r>
      <w:r w:rsidR="00023688">
        <w:rPr>
          <w:rFonts w:cs="Calibri"/>
          <w:szCs w:val="18"/>
        </w:rPr>
        <w:t xml:space="preserve"> </w:t>
      </w:r>
      <w:r w:rsidR="006E6054">
        <w:rPr>
          <w:rFonts w:cs="Calibri"/>
          <w:szCs w:val="18"/>
        </w:rPr>
        <w:t>The former provides a</w:t>
      </w:r>
      <w:r w:rsidR="00805E6A" w:rsidRPr="00DE3589">
        <w:rPr>
          <w:rFonts w:cs="Calibri"/>
          <w:szCs w:val="18"/>
        </w:rPr>
        <w:t xml:space="preserve"> </w:t>
      </w:r>
      <w:r w:rsidR="006E6054">
        <w:rPr>
          <w:rFonts w:cs="Calibri"/>
          <w:szCs w:val="18"/>
        </w:rPr>
        <w:t xml:space="preserve">helpful </w:t>
      </w:r>
      <w:r w:rsidR="00094924">
        <w:rPr>
          <w:rFonts w:cs="Calibri"/>
          <w:szCs w:val="18"/>
        </w:rPr>
        <w:t>simplified</w:t>
      </w:r>
      <w:r w:rsidR="00805E6A" w:rsidRPr="00DE3589">
        <w:rPr>
          <w:rFonts w:cs="Calibri"/>
          <w:szCs w:val="18"/>
        </w:rPr>
        <w:t xml:space="preserve"> three-fold categorisation of the span of TDC </w:t>
      </w:r>
      <w:r w:rsidR="00A15B7D" w:rsidRPr="00DE3589">
        <w:rPr>
          <w:rFonts w:cs="Calibri"/>
          <w:szCs w:val="18"/>
        </w:rPr>
        <w:t>functions</w:t>
      </w:r>
      <w:r w:rsidR="005D46B0">
        <w:rPr>
          <w:rFonts w:cs="Calibri"/>
          <w:szCs w:val="18"/>
        </w:rPr>
        <w:t xml:space="preserve"> and required data exchange</w:t>
      </w:r>
      <w:r w:rsidR="00AA75DD">
        <w:rPr>
          <w:rFonts w:cs="Calibri"/>
          <w:szCs w:val="18"/>
        </w:rPr>
        <w:t xml:space="preserve">: </w:t>
      </w:r>
      <w:r w:rsidR="00805E6A" w:rsidRPr="00DE3589">
        <w:rPr>
          <w:rFonts w:cs="Calibri"/>
          <w:szCs w:val="18"/>
        </w:rPr>
        <w:t xml:space="preserve">Structural Coordination; Schedule Coordination; and, Real-Time Coordination. </w:t>
      </w:r>
      <w:r w:rsidR="00636EF8">
        <w:rPr>
          <w:rFonts w:cs="Calibri"/>
          <w:szCs w:val="18"/>
        </w:rPr>
        <w:t>A</w:t>
      </w:r>
      <w:r w:rsidR="009A6D47">
        <w:rPr>
          <w:rFonts w:cs="Calibri"/>
          <w:szCs w:val="18"/>
        </w:rPr>
        <w:t xml:space="preserve">n important </w:t>
      </w:r>
      <w:r w:rsidR="006A2CB2">
        <w:rPr>
          <w:rFonts w:cs="Calibri"/>
          <w:szCs w:val="18"/>
        </w:rPr>
        <w:t xml:space="preserve">enabling and </w:t>
      </w:r>
      <w:r w:rsidR="00636EF8">
        <w:rPr>
          <w:rFonts w:cs="Calibri"/>
          <w:szCs w:val="18"/>
        </w:rPr>
        <w:t xml:space="preserve">cross-cutting concept </w:t>
      </w:r>
      <w:r w:rsidR="007244D9">
        <w:rPr>
          <w:rFonts w:cs="Calibri"/>
          <w:szCs w:val="18"/>
        </w:rPr>
        <w:t>across each of these functional categories is</w:t>
      </w:r>
      <w:r w:rsidR="00C84D73">
        <w:rPr>
          <w:rFonts w:cs="Calibri"/>
          <w:szCs w:val="18"/>
        </w:rPr>
        <w:t xml:space="preserve"> </w:t>
      </w:r>
      <w:r w:rsidR="008A60EA">
        <w:rPr>
          <w:rFonts w:cs="Calibri"/>
          <w:szCs w:val="18"/>
        </w:rPr>
        <w:t>DER Group Management</w:t>
      </w:r>
      <w:r w:rsidR="009A6D47">
        <w:rPr>
          <w:rFonts w:cs="Calibri"/>
          <w:szCs w:val="18"/>
        </w:rPr>
        <w:t xml:space="preserve">. A brief treatment of </w:t>
      </w:r>
      <w:r w:rsidR="000405C5">
        <w:rPr>
          <w:rFonts w:cs="Calibri"/>
          <w:szCs w:val="18"/>
        </w:rPr>
        <w:t xml:space="preserve">this concept </w:t>
      </w:r>
      <w:r w:rsidR="00CE5A42">
        <w:rPr>
          <w:rFonts w:cs="Calibri"/>
          <w:szCs w:val="18"/>
        </w:rPr>
        <w:t>is provided below</w:t>
      </w:r>
      <w:r w:rsidR="000405C5">
        <w:rPr>
          <w:rFonts w:cs="Calibri"/>
          <w:szCs w:val="18"/>
        </w:rPr>
        <w:t xml:space="preserve">, </w:t>
      </w:r>
      <w:r w:rsidR="00CE5A42">
        <w:rPr>
          <w:rFonts w:cs="Calibri"/>
          <w:szCs w:val="18"/>
        </w:rPr>
        <w:t xml:space="preserve">followed by </w:t>
      </w:r>
      <w:r w:rsidR="009C5435">
        <w:rPr>
          <w:rFonts w:cs="Calibri"/>
          <w:szCs w:val="18"/>
        </w:rPr>
        <w:t>an explanation</w:t>
      </w:r>
      <w:r w:rsidR="007A204A">
        <w:rPr>
          <w:rFonts w:cs="Calibri"/>
          <w:szCs w:val="18"/>
        </w:rPr>
        <w:t xml:space="preserve"> of the column headers </w:t>
      </w:r>
      <w:r w:rsidR="009C5435">
        <w:rPr>
          <w:rFonts w:cs="Calibri"/>
          <w:szCs w:val="18"/>
        </w:rPr>
        <w:t xml:space="preserve">used in assessing the set of core functions across </w:t>
      </w:r>
      <w:r w:rsidR="007244D9">
        <w:rPr>
          <w:rFonts w:cs="Calibri"/>
          <w:szCs w:val="18"/>
        </w:rPr>
        <w:t>structural, schedule and real-time coordination</w:t>
      </w:r>
      <w:r w:rsidR="009C5435">
        <w:rPr>
          <w:rFonts w:cs="Calibri"/>
          <w:szCs w:val="18"/>
        </w:rPr>
        <w:t xml:space="preserve">. </w:t>
      </w:r>
    </w:p>
    <w:p w14:paraId="7E600D5C" w14:textId="65756F7E" w:rsidR="005546E1" w:rsidRPr="005546E1" w:rsidRDefault="005546E1" w:rsidP="005546E1">
      <w:pPr>
        <w:keepNext/>
        <w:keepLines/>
        <w:spacing w:after="120"/>
        <w:outlineLvl w:val="2"/>
        <w:rPr>
          <w:rFonts w:ascii="PP Mori SemiBold" w:eastAsiaTheme="majorEastAsia" w:hAnsi="PP Mori SemiBold" w:cstheme="majorBidi"/>
          <w:color w:val="2F2F2F" w:themeColor="accent5"/>
          <w:sz w:val="20"/>
          <w:szCs w:val="24"/>
        </w:rPr>
      </w:pPr>
      <w:r w:rsidRPr="005546E1">
        <w:rPr>
          <w:rFonts w:ascii="PP Mori SemiBold" w:eastAsiaTheme="majorEastAsia" w:hAnsi="PP Mori SemiBold" w:cstheme="majorBidi"/>
          <w:color w:val="2F2F2F" w:themeColor="accent5"/>
          <w:sz w:val="20"/>
          <w:szCs w:val="24"/>
        </w:rPr>
        <w:t>DER group management</w:t>
      </w:r>
    </w:p>
    <w:p w14:paraId="45ED6B52" w14:textId="77777777" w:rsidR="005546E1" w:rsidRPr="005546E1" w:rsidRDefault="005546E1" w:rsidP="005546E1">
      <w:pPr>
        <w:spacing w:before="180" w:after="120" w:line="288" w:lineRule="auto"/>
        <w:rPr>
          <w:rFonts w:cs="Calibri"/>
          <w:szCs w:val="18"/>
        </w:rPr>
      </w:pPr>
      <w:r w:rsidRPr="005546E1">
        <w:rPr>
          <w:rFonts w:cs="Calibri"/>
          <w:szCs w:val="18"/>
        </w:rPr>
        <w:t xml:space="preserve">DER group management standards have emerged in recent years through the design and implementation of DER Management Systems (DERMS). DERMS refers to the management of DER devices at several locations, often through site-level management systems. Examples include: DNSP management, third party aggregation and microgrid applications. DERMS applications all involve some form management or control action across groups of DER. </w:t>
      </w:r>
    </w:p>
    <w:p w14:paraId="403B0E04" w14:textId="559AF051" w:rsidR="005546E1" w:rsidRPr="005546E1" w:rsidRDefault="005546E1" w:rsidP="005546E1">
      <w:pPr>
        <w:spacing w:before="180" w:after="120" w:line="288" w:lineRule="auto"/>
        <w:rPr>
          <w:rFonts w:cs="Calibri"/>
          <w:szCs w:val="18"/>
        </w:rPr>
      </w:pPr>
      <w:r w:rsidRPr="005546E1">
        <w:rPr>
          <w:rFonts w:cs="Calibri"/>
          <w:szCs w:val="18"/>
        </w:rPr>
        <w:t xml:space="preserve">Grouping of DER results in two primary types of interfaces illustrated in </w:t>
      </w:r>
      <w:hyperlink w:anchor="Figure_27" w:history="1">
        <w:r w:rsidR="00E45DC6" w:rsidRPr="00E45DC6">
          <w:rPr>
            <w:rStyle w:val="Hyperlink"/>
            <w:rFonts w:cs="Calibri"/>
            <w:szCs w:val="18"/>
          </w:rPr>
          <w:t>Figure 27</w:t>
        </w:r>
      </w:hyperlink>
      <w:r w:rsidRPr="005546E1">
        <w:rPr>
          <w:rFonts w:cs="Calibri"/>
          <w:szCs w:val="18"/>
        </w:rPr>
        <w:t xml:space="preserve"> from </w:t>
      </w:r>
      <w:r w:rsidR="00CA5F92" w:rsidRPr="000D4FC2">
        <w:rPr>
          <w:rFonts w:cs="Calibri"/>
          <w:noProof/>
          <w:szCs w:val="18"/>
          <w:lang w:val="en-GB"/>
        </w:rPr>
        <w:t>[38]</w:t>
      </w:r>
      <w:r w:rsidRPr="005546E1">
        <w:rPr>
          <w:rFonts w:cs="Calibri"/>
          <w:szCs w:val="18"/>
        </w:rPr>
        <w:t xml:space="preserve"> below:</w:t>
      </w:r>
    </w:p>
    <w:p w14:paraId="34959881" w14:textId="77777777" w:rsidR="005546E1" w:rsidRPr="005546E1" w:rsidRDefault="005546E1" w:rsidP="00470C91">
      <w:pPr>
        <w:numPr>
          <w:ilvl w:val="0"/>
          <w:numId w:val="2"/>
        </w:numPr>
        <w:spacing w:before="180" w:after="120" w:line="288" w:lineRule="auto"/>
        <w:rPr>
          <w:rFonts w:cs="Calibri"/>
          <w:szCs w:val="18"/>
        </w:rPr>
      </w:pPr>
      <w:r w:rsidRPr="005546E1">
        <w:rPr>
          <w:rFonts w:cs="Calibri"/>
          <w:b/>
          <w:szCs w:val="18"/>
        </w:rPr>
        <w:t>DER Device-level interfaces:</w:t>
      </w:r>
      <w:r w:rsidRPr="005546E1">
        <w:rPr>
          <w:rFonts w:cs="Calibri"/>
          <w:szCs w:val="18"/>
        </w:rPr>
        <w:t xml:space="preserve"> relating to commands for individual DERs. These must be specific, instructing the device to act in a particular way. Commands tend to be device-type specific. For example, battery systems can be instructed to charge/discharge, but PV cannot. Thermostats can offset their temperature setpoint, but electric vehicles cannot. Examples include IEEE2030.5 and Open ADR, described further below.</w:t>
      </w:r>
    </w:p>
    <w:p w14:paraId="6A0859AA" w14:textId="77777777" w:rsidR="005546E1" w:rsidRPr="005546E1" w:rsidRDefault="005546E1" w:rsidP="00470C91">
      <w:pPr>
        <w:numPr>
          <w:ilvl w:val="0"/>
          <w:numId w:val="2"/>
        </w:numPr>
        <w:spacing w:before="180" w:after="120" w:line="288" w:lineRule="auto"/>
        <w:rPr>
          <w:rFonts w:cs="Calibri"/>
          <w:szCs w:val="18"/>
        </w:rPr>
      </w:pPr>
      <w:r w:rsidRPr="005546E1">
        <w:rPr>
          <w:rFonts w:cs="Calibri"/>
          <w:b/>
          <w:szCs w:val="18"/>
        </w:rPr>
        <w:t xml:space="preserve">DER Group-level interfaces: </w:t>
      </w:r>
      <w:r w:rsidRPr="005546E1">
        <w:rPr>
          <w:rFonts w:cs="Calibri"/>
          <w:szCs w:val="18"/>
        </w:rPr>
        <w:t xml:space="preserve">at the DER group-level, services are defined in terms of the aggregate outcome and do not (typically) dictate how individual DER within the group are managed to achieve the overall effect. This allows DER managing entities to compete and innovate in finding more effective and efficient ways to deliver an aggregate response. </w:t>
      </w:r>
    </w:p>
    <w:p w14:paraId="4FBF3FDC" w14:textId="77777777" w:rsidR="003E7AE2" w:rsidRDefault="005546E1" w:rsidP="00F14453">
      <w:pPr>
        <w:keepNext/>
        <w:spacing w:before="180" w:after="120" w:line="288" w:lineRule="auto"/>
      </w:pPr>
      <w:bookmarkStart w:id="194" w:name="Figure_27"/>
      <w:r w:rsidRPr="005546E1">
        <w:rPr>
          <w:noProof/>
        </w:rPr>
        <w:drawing>
          <wp:inline distT="0" distB="0" distL="0" distR="0" wp14:anchorId="40E3EFA0" wp14:editId="27A40D51">
            <wp:extent cx="4825218" cy="1554401"/>
            <wp:effectExtent l="0" t="0" r="0" b="8255"/>
            <wp:docPr id="1083347526" name="Picture 1" descr="A diagram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47526" name="Picture 1" descr="A diagram of a service&#10;&#10;AI-generated content may be incorrect."/>
                    <pic:cNvPicPr/>
                  </pic:nvPicPr>
                  <pic:blipFill>
                    <a:blip r:embed="rId56"/>
                    <a:stretch>
                      <a:fillRect/>
                    </a:stretch>
                  </pic:blipFill>
                  <pic:spPr>
                    <a:xfrm>
                      <a:off x="0" y="0"/>
                      <a:ext cx="4838596" cy="1558711"/>
                    </a:xfrm>
                    <a:prstGeom prst="rect">
                      <a:avLst/>
                    </a:prstGeom>
                  </pic:spPr>
                </pic:pic>
              </a:graphicData>
            </a:graphic>
          </wp:inline>
        </w:drawing>
      </w:r>
      <w:bookmarkEnd w:id="194"/>
    </w:p>
    <w:p w14:paraId="5D64AF90" w14:textId="51AE6EB2" w:rsidR="005546E1" w:rsidRPr="005546E1" w:rsidRDefault="003E7AE2" w:rsidP="00F14453">
      <w:pPr>
        <w:pStyle w:val="Caption"/>
        <w:rPr>
          <w:rFonts w:cs="Calibri"/>
          <w:szCs w:val="18"/>
        </w:rPr>
      </w:pPr>
      <w:bookmarkStart w:id="195" w:name="_Ref201569063"/>
      <w:bookmarkStart w:id="196" w:name="_Ref201569059"/>
      <w:bookmarkStart w:id="197" w:name="_Toc205377463"/>
      <w:r>
        <w:t xml:space="preserve">Figure </w:t>
      </w:r>
      <w:fldSimple w:instr=" SEQ Figure \* ARABIC ">
        <w:r w:rsidR="00CE6CF1">
          <w:rPr>
            <w:noProof/>
          </w:rPr>
          <w:t>27</w:t>
        </w:r>
      </w:fldSimple>
      <w:bookmarkEnd w:id="195"/>
      <w:r>
        <w:t xml:space="preserve"> - </w:t>
      </w:r>
      <w:r w:rsidRPr="006B1B31">
        <w:t>Applicable interfaces for DER Group Functions</w:t>
      </w:r>
      <w:r>
        <w:t xml:space="preserve"> </w:t>
      </w:r>
      <w:bookmarkEnd w:id="196"/>
      <w:r w:rsidR="00CA5F92" w:rsidRPr="000D4FC2">
        <w:rPr>
          <w:noProof/>
          <w:lang w:val="en-GB"/>
        </w:rPr>
        <w:t>[38]</w:t>
      </w:r>
      <w:bookmarkEnd w:id="197"/>
    </w:p>
    <w:p w14:paraId="128EA89A" w14:textId="77777777" w:rsidR="002A56E0" w:rsidRDefault="002A56E0">
      <w:pPr>
        <w:spacing w:before="0" w:after="160" w:line="259" w:lineRule="auto"/>
        <w:rPr>
          <w:rFonts w:cs="Calibri"/>
          <w:szCs w:val="18"/>
        </w:rPr>
      </w:pPr>
      <w:r>
        <w:rPr>
          <w:rFonts w:cs="Calibri"/>
          <w:szCs w:val="18"/>
        </w:rPr>
        <w:br w:type="page"/>
      </w:r>
    </w:p>
    <w:p w14:paraId="511159D5" w14:textId="3190941B" w:rsidR="005546E1" w:rsidRPr="005546E1" w:rsidRDefault="005546E1" w:rsidP="005546E1">
      <w:pPr>
        <w:spacing w:before="180" w:after="120" w:line="288" w:lineRule="auto"/>
        <w:rPr>
          <w:rFonts w:cs="Calibri"/>
          <w:szCs w:val="18"/>
        </w:rPr>
      </w:pPr>
      <w:r w:rsidRPr="005546E1">
        <w:rPr>
          <w:rFonts w:cs="Calibri"/>
          <w:szCs w:val="18"/>
        </w:rPr>
        <w:lastRenderedPageBreak/>
        <w:t>Examples of DER Group-level functions include:</w:t>
      </w:r>
    </w:p>
    <w:p w14:paraId="21B03199" w14:textId="77777777" w:rsidR="005546E1" w:rsidRPr="005546E1" w:rsidRDefault="005546E1" w:rsidP="00470C91">
      <w:pPr>
        <w:numPr>
          <w:ilvl w:val="0"/>
          <w:numId w:val="16"/>
        </w:numPr>
        <w:spacing w:before="180" w:after="120" w:line="288" w:lineRule="auto"/>
        <w:rPr>
          <w:rFonts w:cs="Calibri"/>
          <w:b/>
          <w:szCs w:val="18"/>
        </w:rPr>
      </w:pPr>
      <w:r w:rsidRPr="005546E1">
        <w:rPr>
          <w:rFonts w:cs="Calibri"/>
          <w:b/>
          <w:bCs/>
          <w:szCs w:val="18"/>
        </w:rPr>
        <w:t>Defining and maintaining</w:t>
      </w:r>
      <w:r w:rsidRPr="005546E1">
        <w:rPr>
          <w:rFonts w:cs="Calibri"/>
          <w:b/>
          <w:szCs w:val="18"/>
        </w:rPr>
        <w:t xml:space="preserve"> </w:t>
      </w:r>
      <w:r w:rsidRPr="005546E1">
        <w:rPr>
          <w:rFonts w:cs="Calibri"/>
          <w:b/>
          <w:bCs/>
          <w:szCs w:val="18"/>
        </w:rPr>
        <w:t>of DER Groups</w:t>
      </w:r>
    </w:p>
    <w:p w14:paraId="7F6B7FAA" w14:textId="56A76003" w:rsidR="005546E1" w:rsidRPr="005546E1" w:rsidRDefault="005546E1" w:rsidP="00470C91">
      <w:pPr>
        <w:numPr>
          <w:ilvl w:val="1"/>
          <w:numId w:val="16"/>
        </w:numPr>
        <w:spacing w:before="180" w:after="120" w:line="288" w:lineRule="auto"/>
        <w:rPr>
          <w:rFonts w:cs="Calibri"/>
          <w:szCs w:val="18"/>
        </w:rPr>
      </w:pPr>
      <w:r w:rsidRPr="005546E1">
        <w:rPr>
          <w:rFonts w:cs="Calibri"/>
          <w:szCs w:val="18"/>
        </w:rPr>
        <w:t>DER Group Creation – assigning DER devices to relevant topological (different levels in the network topology) and non-topological groups (e.g. aggregator fleets)</w:t>
      </w:r>
    </w:p>
    <w:p w14:paraId="5A0D88BA" w14:textId="1BEE30E2" w:rsidR="005546E1" w:rsidRPr="005546E1" w:rsidRDefault="005546E1" w:rsidP="00470C91">
      <w:pPr>
        <w:numPr>
          <w:ilvl w:val="1"/>
          <w:numId w:val="16"/>
        </w:numPr>
        <w:spacing w:before="180" w:after="120" w:line="288" w:lineRule="auto"/>
        <w:rPr>
          <w:rFonts w:cs="Calibri"/>
          <w:szCs w:val="18"/>
        </w:rPr>
      </w:pPr>
      <w:r w:rsidRPr="005546E1">
        <w:rPr>
          <w:rFonts w:cs="Calibri"/>
          <w:szCs w:val="18"/>
        </w:rPr>
        <w:t>DER Group Maintenance – addition, removal, or modification of members and/or aggregated capabilities of a given group of DER</w:t>
      </w:r>
      <w:r w:rsidR="002A58B8">
        <w:rPr>
          <w:rFonts w:cs="Calibri"/>
          <w:szCs w:val="18"/>
        </w:rPr>
        <w:t>s</w:t>
      </w:r>
    </w:p>
    <w:p w14:paraId="54433E08" w14:textId="77777777" w:rsidR="005546E1" w:rsidRPr="005546E1" w:rsidRDefault="005546E1" w:rsidP="00470C91">
      <w:pPr>
        <w:numPr>
          <w:ilvl w:val="1"/>
          <w:numId w:val="16"/>
        </w:numPr>
        <w:spacing w:before="180" w:after="120" w:line="288" w:lineRule="auto"/>
        <w:rPr>
          <w:rFonts w:cs="Calibri"/>
          <w:szCs w:val="18"/>
        </w:rPr>
      </w:pPr>
      <w:r w:rsidRPr="005546E1">
        <w:rPr>
          <w:rFonts w:cs="Calibri"/>
          <w:szCs w:val="18"/>
        </w:rPr>
        <w:t xml:space="preserve">DER Group Deletion – removal of an entire group </w:t>
      </w:r>
    </w:p>
    <w:p w14:paraId="32AF996A" w14:textId="77777777" w:rsidR="005546E1" w:rsidRPr="005546E1" w:rsidRDefault="005546E1" w:rsidP="00470C91">
      <w:pPr>
        <w:numPr>
          <w:ilvl w:val="0"/>
          <w:numId w:val="16"/>
        </w:numPr>
        <w:spacing w:before="180" w:after="120" w:line="288" w:lineRule="auto"/>
        <w:rPr>
          <w:rFonts w:cs="Calibri"/>
          <w:b/>
          <w:szCs w:val="18"/>
        </w:rPr>
      </w:pPr>
      <w:r w:rsidRPr="005546E1">
        <w:rPr>
          <w:rFonts w:cs="Calibri"/>
          <w:b/>
          <w:bCs/>
          <w:szCs w:val="18"/>
        </w:rPr>
        <w:t xml:space="preserve">Monitoring and coordination </w:t>
      </w:r>
      <w:r w:rsidRPr="005546E1">
        <w:rPr>
          <w:rFonts w:cs="Calibri"/>
          <w:b/>
          <w:szCs w:val="18"/>
        </w:rPr>
        <w:t xml:space="preserve">of DER </w:t>
      </w:r>
      <w:r w:rsidRPr="005546E1">
        <w:rPr>
          <w:rFonts w:cs="Calibri"/>
          <w:b/>
          <w:bCs/>
          <w:szCs w:val="18"/>
        </w:rPr>
        <w:t>Groups</w:t>
      </w:r>
    </w:p>
    <w:p w14:paraId="159D4F8D" w14:textId="77777777" w:rsidR="005546E1" w:rsidRPr="005546E1" w:rsidRDefault="005546E1" w:rsidP="00470C91">
      <w:pPr>
        <w:numPr>
          <w:ilvl w:val="1"/>
          <w:numId w:val="16"/>
        </w:numPr>
        <w:spacing w:before="180" w:after="120" w:line="288" w:lineRule="auto"/>
        <w:rPr>
          <w:rFonts w:cs="Calibri"/>
          <w:szCs w:val="18"/>
        </w:rPr>
      </w:pPr>
      <w:r w:rsidRPr="005546E1">
        <w:rPr>
          <w:rFonts w:cs="Calibri"/>
          <w:szCs w:val="18"/>
        </w:rPr>
        <w:t xml:space="preserve">DER Group Status Monitoring – quantifying or ascertaining the current capabilities and/or status of a group of DERs </w:t>
      </w:r>
    </w:p>
    <w:p w14:paraId="4F01981B" w14:textId="4ACC9D15" w:rsidR="005546E1" w:rsidRPr="005546E1" w:rsidRDefault="005546E1" w:rsidP="00470C91">
      <w:pPr>
        <w:numPr>
          <w:ilvl w:val="1"/>
          <w:numId w:val="16"/>
        </w:numPr>
        <w:spacing w:before="180" w:after="120" w:line="288" w:lineRule="auto"/>
        <w:rPr>
          <w:rFonts w:cs="Calibri"/>
          <w:szCs w:val="18"/>
        </w:rPr>
      </w:pPr>
      <w:r w:rsidRPr="005546E1">
        <w:rPr>
          <w:rFonts w:cs="Calibri"/>
          <w:szCs w:val="18"/>
        </w:rPr>
        <w:t>DER Group Forecast – predicting capabilities and/or status of a group of DER for a given period in future</w:t>
      </w:r>
    </w:p>
    <w:p w14:paraId="0B353361" w14:textId="77777777" w:rsidR="005546E1" w:rsidRPr="005546E1" w:rsidRDefault="005546E1" w:rsidP="00470C91">
      <w:pPr>
        <w:numPr>
          <w:ilvl w:val="1"/>
          <w:numId w:val="16"/>
        </w:numPr>
        <w:spacing w:before="180" w:after="120" w:line="288" w:lineRule="auto"/>
        <w:rPr>
          <w:rFonts w:cs="Calibri"/>
          <w:szCs w:val="18"/>
        </w:rPr>
      </w:pPr>
      <w:r w:rsidRPr="005546E1">
        <w:rPr>
          <w:rFonts w:cs="Calibri"/>
          <w:szCs w:val="18"/>
        </w:rPr>
        <w:t xml:space="preserve">DER Group Dispatch – requesting that specified capabilities of a group of DERs dispatched </w:t>
      </w:r>
    </w:p>
    <w:p w14:paraId="1300D57A" w14:textId="77777777" w:rsidR="005546E1" w:rsidRPr="005546E1" w:rsidRDefault="005546E1" w:rsidP="00470C91">
      <w:pPr>
        <w:numPr>
          <w:ilvl w:val="1"/>
          <w:numId w:val="16"/>
        </w:numPr>
        <w:spacing w:before="180" w:after="120" w:line="288" w:lineRule="auto"/>
        <w:rPr>
          <w:rFonts w:cs="Calibri"/>
          <w:szCs w:val="18"/>
        </w:rPr>
      </w:pPr>
      <w:r w:rsidRPr="005546E1">
        <w:rPr>
          <w:rFonts w:cs="Calibri"/>
          <w:szCs w:val="18"/>
        </w:rPr>
        <w:t>DER Group – Requesting that DERs either to isolate themselves or reconnect to the grid, as needed</w:t>
      </w:r>
    </w:p>
    <w:p w14:paraId="220A5681" w14:textId="77777777" w:rsidR="005546E1" w:rsidRPr="005546E1" w:rsidRDefault="005546E1" w:rsidP="005546E1">
      <w:pPr>
        <w:spacing w:before="180" w:after="120" w:line="288" w:lineRule="auto"/>
        <w:rPr>
          <w:rFonts w:cs="Calibri"/>
          <w:szCs w:val="18"/>
        </w:rPr>
      </w:pPr>
      <w:r w:rsidRPr="005546E1">
        <w:rPr>
          <w:rFonts w:cs="Calibri"/>
          <w:szCs w:val="18"/>
        </w:rPr>
        <w:t>Existing DER group management standards are listed below:</w:t>
      </w:r>
    </w:p>
    <w:p w14:paraId="01A55AA6" w14:textId="5E7AC8A0" w:rsidR="005546E1" w:rsidRPr="005546E1" w:rsidRDefault="005546E1" w:rsidP="00470C91">
      <w:pPr>
        <w:numPr>
          <w:ilvl w:val="0"/>
          <w:numId w:val="17"/>
        </w:numPr>
        <w:spacing w:before="180" w:after="120" w:line="288" w:lineRule="auto"/>
        <w:rPr>
          <w:rFonts w:cs="Calibri"/>
          <w:szCs w:val="18"/>
        </w:rPr>
      </w:pPr>
      <w:r w:rsidRPr="005546E1">
        <w:rPr>
          <w:rFonts w:cs="Calibri"/>
          <w:szCs w:val="18"/>
        </w:rPr>
        <w:t xml:space="preserve">IEC 61968-5:2020 </w:t>
      </w:r>
      <w:r w:rsidRPr="005546E1">
        <w:rPr>
          <w:rFonts w:cs="Calibri"/>
          <w:i/>
          <w:iCs/>
          <w:szCs w:val="18"/>
        </w:rPr>
        <w:t xml:space="preserve">Application integration at electric utilities - System interfaces for distribution management - Part 5: Distributed energy optimization </w:t>
      </w:r>
      <w:hyperlink w:anchor="Ref_39" w:history="1">
        <w:r w:rsidR="00223F99" w:rsidRPr="00223F99">
          <w:rPr>
            <w:rStyle w:val="Hyperlink"/>
            <w:rFonts w:cs="Calibri"/>
            <w:noProof/>
            <w:szCs w:val="18"/>
            <w:lang w:val="en-GB"/>
          </w:rPr>
          <w:t>[39]</w:t>
        </w:r>
      </w:hyperlink>
      <w:r w:rsidRPr="005546E1">
        <w:rPr>
          <w:rFonts w:cs="Calibri"/>
          <w:i/>
          <w:iCs/>
          <w:szCs w:val="18"/>
        </w:rPr>
        <w:t xml:space="preserve">- </w:t>
      </w:r>
      <w:r w:rsidRPr="005546E1">
        <w:rPr>
          <w:rFonts w:cs="Calibri"/>
          <w:szCs w:val="18"/>
        </w:rPr>
        <w:t>Describes a set of methods needed for enterprise integration of DERMS functions, mapping DER group-level to device-level interactions. Communication to individual DERs is out of scope of this standard. Includes use cases relating to how ‘DER groups’ are managed – how groups are created, maintained, monitored, forecast, dispatched.</w:t>
      </w:r>
    </w:p>
    <w:p w14:paraId="3F93463B" w14:textId="1A0E60BC" w:rsidR="005546E1" w:rsidRPr="005546E1" w:rsidRDefault="005546E1" w:rsidP="00470C91">
      <w:pPr>
        <w:numPr>
          <w:ilvl w:val="0"/>
          <w:numId w:val="17"/>
        </w:numPr>
        <w:spacing w:before="180" w:after="120" w:line="288" w:lineRule="auto"/>
        <w:rPr>
          <w:rFonts w:cs="Calibri"/>
          <w:szCs w:val="18"/>
        </w:rPr>
      </w:pPr>
      <w:r w:rsidRPr="005546E1">
        <w:rPr>
          <w:rFonts w:cs="Calibri"/>
          <w:i/>
          <w:iCs/>
          <w:szCs w:val="18"/>
        </w:rPr>
        <w:t>IEEE 2030.11:2021 IEEE Guide for Distributed Energy Resources Management Systems (DERMS) Functional Specification</w:t>
      </w:r>
      <w:r w:rsidR="0075039D">
        <w:rPr>
          <w:rFonts w:cs="Calibri"/>
          <w:i/>
          <w:iCs/>
          <w:szCs w:val="18"/>
        </w:rPr>
        <w:t xml:space="preserve"> </w:t>
      </w:r>
      <w:r w:rsidR="00223F99" w:rsidRPr="000D4FC2">
        <w:rPr>
          <w:rFonts w:cs="Calibri"/>
          <w:noProof/>
          <w:szCs w:val="18"/>
          <w:lang w:val="en-GB"/>
        </w:rPr>
        <w:t>[40]</w:t>
      </w:r>
      <w:r w:rsidRPr="005546E1">
        <w:rPr>
          <w:rFonts w:cs="Calibri"/>
          <w:i/>
          <w:iCs/>
          <w:szCs w:val="18"/>
        </w:rPr>
        <w:t xml:space="preserve"> -</w:t>
      </w:r>
      <w:r w:rsidRPr="005546E1">
        <w:rPr>
          <w:rFonts w:cs="Calibri"/>
          <w:i/>
          <w:szCs w:val="18"/>
        </w:rPr>
        <w:t xml:space="preserve"> </w:t>
      </w:r>
      <w:r w:rsidRPr="005546E1">
        <w:rPr>
          <w:rFonts w:cs="Calibri"/>
          <w:szCs w:val="18"/>
        </w:rPr>
        <w:t>more focussed on DERMS interactions with individual devices to achieve group-level functions, including functions relating to device information, control functions, monitoring, and grid services.</w:t>
      </w:r>
    </w:p>
    <w:p w14:paraId="12D34EEE" w14:textId="77777777" w:rsidR="00CC246D" w:rsidRDefault="00CC246D">
      <w:pPr>
        <w:spacing w:before="0" w:after="160" w:line="259" w:lineRule="auto"/>
        <w:rPr>
          <w:rFonts w:ascii="PP Mori SemiBold" w:eastAsiaTheme="majorEastAsia" w:hAnsi="PP Mori SemiBold" w:cstheme="majorBidi"/>
          <w:color w:val="2F2F2F" w:themeColor="accent5"/>
          <w:sz w:val="20"/>
          <w:szCs w:val="24"/>
        </w:rPr>
      </w:pPr>
      <w:r>
        <w:rPr>
          <w:rFonts w:ascii="PP Mori SemiBold" w:eastAsiaTheme="majorEastAsia" w:hAnsi="PP Mori SemiBold" w:cstheme="majorBidi"/>
          <w:color w:val="2F2F2F" w:themeColor="accent5"/>
          <w:sz w:val="20"/>
          <w:szCs w:val="24"/>
        </w:rPr>
        <w:br w:type="page"/>
      </w:r>
    </w:p>
    <w:p w14:paraId="0FFA1A8E" w14:textId="03955465" w:rsidR="005546E1" w:rsidRPr="005546E1" w:rsidRDefault="005546E1" w:rsidP="005546E1">
      <w:pPr>
        <w:keepNext/>
        <w:keepLines/>
        <w:spacing w:after="120"/>
        <w:outlineLvl w:val="2"/>
        <w:rPr>
          <w:rFonts w:ascii="PP Mori SemiBold" w:eastAsiaTheme="majorEastAsia" w:hAnsi="PP Mori SemiBold" w:cstheme="majorBidi"/>
          <w:color w:val="2F2F2F" w:themeColor="accent5"/>
          <w:sz w:val="20"/>
          <w:szCs w:val="24"/>
        </w:rPr>
      </w:pPr>
      <w:r w:rsidRPr="005546E1">
        <w:rPr>
          <w:rFonts w:ascii="PP Mori SemiBold" w:eastAsiaTheme="majorEastAsia" w:hAnsi="PP Mori SemiBold" w:cstheme="majorBidi"/>
          <w:color w:val="2F2F2F" w:themeColor="accent5"/>
          <w:sz w:val="20"/>
          <w:szCs w:val="24"/>
        </w:rPr>
        <w:lastRenderedPageBreak/>
        <w:t xml:space="preserve">Importance of </w:t>
      </w:r>
      <w:r w:rsidR="00CC246D">
        <w:rPr>
          <w:rFonts w:ascii="PP Mori SemiBold" w:eastAsiaTheme="majorEastAsia" w:hAnsi="PP Mori SemiBold" w:cstheme="majorBidi"/>
          <w:color w:val="2F2F2F" w:themeColor="accent5"/>
          <w:sz w:val="20"/>
          <w:szCs w:val="24"/>
        </w:rPr>
        <w:t>CER/</w:t>
      </w:r>
      <w:r w:rsidRPr="005546E1">
        <w:rPr>
          <w:rFonts w:ascii="PP Mori SemiBold" w:eastAsiaTheme="majorEastAsia" w:hAnsi="PP Mori SemiBold" w:cstheme="majorBidi"/>
          <w:color w:val="2F2F2F" w:themeColor="accent5"/>
          <w:sz w:val="20"/>
          <w:szCs w:val="24"/>
        </w:rPr>
        <w:t>DER group management for TDC</w:t>
      </w:r>
    </w:p>
    <w:p w14:paraId="08D985B7" w14:textId="279E6BAB" w:rsidR="005546E1" w:rsidRPr="005546E1" w:rsidRDefault="005546E1" w:rsidP="005546E1">
      <w:pPr>
        <w:spacing w:before="180" w:line="288" w:lineRule="auto"/>
        <w:rPr>
          <w:rFonts w:cs="Calibri"/>
          <w:szCs w:val="18"/>
        </w:rPr>
      </w:pPr>
      <w:r w:rsidRPr="005546E1">
        <w:rPr>
          <w:rFonts w:cs="Calibri"/>
          <w:szCs w:val="18"/>
        </w:rPr>
        <w:t>TDC functions in the context of high</w:t>
      </w:r>
      <w:r w:rsidR="00CC246D">
        <w:rPr>
          <w:rFonts w:cs="Calibri"/>
          <w:szCs w:val="18"/>
        </w:rPr>
        <w:t>-CER/</w:t>
      </w:r>
      <w:r w:rsidRPr="005546E1">
        <w:rPr>
          <w:rFonts w:cs="Calibri"/>
          <w:szCs w:val="18"/>
        </w:rPr>
        <w:t xml:space="preserve">DER future will rely heavily on consistent mapping of </w:t>
      </w:r>
      <w:r w:rsidR="00CC246D">
        <w:rPr>
          <w:rFonts w:cs="Calibri"/>
          <w:szCs w:val="18"/>
        </w:rPr>
        <w:t>CER/</w:t>
      </w:r>
      <w:r w:rsidRPr="005546E1">
        <w:rPr>
          <w:rFonts w:cs="Calibri"/>
          <w:szCs w:val="18"/>
        </w:rPr>
        <w:t>DER groups, in particular classification of</w:t>
      </w:r>
      <w:r w:rsidR="00CC246D">
        <w:rPr>
          <w:rFonts w:cs="Calibri"/>
          <w:szCs w:val="18"/>
        </w:rPr>
        <w:t xml:space="preserve"> </w:t>
      </w:r>
      <w:r w:rsidRPr="005546E1">
        <w:rPr>
          <w:rFonts w:cs="Calibri"/>
          <w:szCs w:val="18"/>
        </w:rPr>
        <w:t xml:space="preserve">devices across TDI locations, as well as by aggregator and service provider groupings. This requires an information model so that the mapping can be easily exchanged and understood by different software applications across different parties, in a standardised format. </w:t>
      </w:r>
    </w:p>
    <w:p w14:paraId="1BEB85F0" w14:textId="4FE89B14" w:rsidR="005546E1" w:rsidRPr="005546E1" w:rsidRDefault="005546E1" w:rsidP="005546E1">
      <w:pPr>
        <w:spacing w:before="180" w:line="288" w:lineRule="auto"/>
        <w:rPr>
          <w:rFonts w:cs="Calibri"/>
          <w:szCs w:val="18"/>
        </w:rPr>
      </w:pPr>
      <w:r w:rsidRPr="005546E1">
        <w:rPr>
          <w:rFonts w:cs="Calibri"/>
          <w:szCs w:val="18"/>
        </w:rPr>
        <w:t xml:space="preserve">Standardisation of different TDC tasks, in terms of the underlying DER group management functions is a key enabler for scalable coordination between transmission and distribution system operation in a high DER future. This is especially the case in the NEM – which involves one </w:t>
      </w:r>
      <w:r w:rsidR="00616BBC">
        <w:rPr>
          <w:rFonts w:cs="Calibri"/>
          <w:szCs w:val="18"/>
        </w:rPr>
        <w:t>System Operator (AEMO)</w:t>
      </w:r>
      <w:r w:rsidRPr="005546E1">
        <w:rPr>
          <w:rFonts w:cs="Calibri"/>
          <w:szCs w:val="18"/>
        </w:rPr>
        <w:t xml:space="preserve">, 5 </w:t>
      </w:r>
      <w:r w:rsidR="00616BBC">
        <w:rPr>
          <w:rFonts w:cs="Calibri"/>
          <w:szCs w:val="18"/>
        </w:rPr>
        <w:t xml:space="preserve">x </w:t>
      </w:r>
      <w:r w:rsidRPr="005546E1">
        <w:rPr>
          <w:rFonts w:cs="Calibri"/>
          <w:szCs w:val="18"/>
        </w:rPr>
        <w:t xml:space="preserve">regional TNSPs and 13 </w:t>
      </w:r>
      <w:r w:rsidR="00616BBC">
        <w:rPr>
          <w:rFonts w:cs="Calibri"/>
          <w:szCs w:val="18"/>
        </w:rPr>
        <w:t>x r</w:t>
      </w:r>
      <w:r w:rsidRPr="005546E1">
        <w:rPr>
          <w:rFonts w:cs="Calibri"/>
          <w:szCs w:val="18"/>
        </w:rPr>
        <w:t xml:space="preserve">egional DNSPs and requires: agreed </w:t>
      </w:r>
      <w:r w:rsidR="00616BBC">
        <w:rPr>
          <w:rFonts w:cs="Calibri"/>
          <w:szCs w:val="18"/>
        </w:rPr>
        <w:t>CER/</w:t>
      </w:r>
      <w:r w:rsidRPr="005546E1">
        <w:rPr>
          <w:rFonts w:cs="Calibri"/>
          <w:szCs w:val="18"/>
        </w:rPr>
        <w:t xml:space="preserve">DER grouping and classification at TDI points, TDC tasks to defined to be agreed (described further in Section </w:t>
      </w:r>
      <w:r w:rsidRPr="005546E1">
        <w:rPr>
          <w:rFonts w:cs="Calibri"/>
          <w:szCs w:val="18"/>
        </w:rPr>
        <w:fldChar w:fldCharType="begin"/>
      </w:r>
      <w:r w:rsidRPr="005546E1">
        <w:rPr>
          <w:rFonts w:cs="Calibri"/>
          <w:szCs w:val="18"/>
        </w:rPr>
        <w:instrText xml:space="preserve"> REF _Ref201500309 \r \h </w:instrText>
      </w:r>
      <w:r w:rsidRPr="005546E1">
        <w:rPr>
          <w:rFonts w:cs="Calibri"/>
          <w:szCs w:val="18"/>
        </w:rPr>
      </w:r>
      <w:r w:rsidRPr="005546E1">
        <w:rPr>
          <w:rFonts w:cs="Calibri"/>
          <w:szCs w:val="18"/>
        </w:rPr>
        <w:fldChar w:fldCharType="separate"/>
      </w:r>
      <w:r w:rsidR="00CE6CF1">
        <w:rPr>
          <w:rFonts w:cs="Calibri"/>
          <w:szCs w:val="18"/>
        </w:rPr>
        <w:t>7</w:t>
      </w:r>
      <w:r w:rsidRPr="005546E1">
        <w:rPr>
          <w:rFonts w:cs="Calibri"/>
          <w:szCs w:val="18"/>
        </w:rPr>
        <w:fldChar w:fldCharType="end"/>
      </w:r>
      <w:r w:rsidRPr="005546E1">
        <w:rPr>
          <w:rFonts w:cs="Calibri"/>
          <w:szCs w:val="18"/>
        </w:rPr>
        <w:t xml:space="preserve">, including e.g. modelling, forecasting, telemetry and state estimation, etc) and mapped to existing DERMS standards, with associated implementation profiles. </w:t>
      </w:r>
    </w:p>
    <w:p w14:paraId="757A2BB1" w14:textId="2A6451C9" w:rsidR="00E0777F" w:rsidRDefault="005546E1" w:rsidP="005546E1">
      <w:pPr>
        <w:spacing w:before="180" w:after="120" w:line="288" w:lineRule="auto"/>
        <w:rPr>
          <w:rFonts w:cs="Calibri"/>
          <w:szCs w:val="18"/>
        </w:rPr>
      </w:pPr>
      <w:r w:rsidRPr="005546E1">
        <w:rPr>
          <w:rFonts w:cs="Calibri"/>
          <w:szCs w:val="18"/>
        </w:rPr>
        <w:t xml:space="preserve">In doing so, this sets expectations for DNSPs and their systems on the operational coordination required with </w:t>
      </w:r>
      <w:r w:rsidR="00473EC1">
        <w:rPr>
          <w:rFonts w:cs="Calibri"/>
          <w:szCs w:val="18"/>
        </w:rPr>
        <w:t>wider</w:t>
      </w:r>
      <w:r w:rsidRPr="005546E1">
        <w:rPr>
          <w:rFonts w:cs="Calibri"/>
          <w:szCs w:val="18"/>
        </w:rPr>
        <w:t xml:space="preserve"> system operations, standardises TDC allowing it to take place programmatically and automation, and reduces the distance to integration with different DERMS vendors aligned with existing DERMS standards.</w:t>
      </w:r>
    </w:p>
    <w:p w14:paraId="0C7C5CCC" w14:textId="1AE42F5F" w:rsidR="00C646F6" w:rsidRDefault="00814D81" w:rsidP="00581915">
      <w:pPr>
        <w:spacing w:before="180" w:after="120" w:line="288" w:lineRule="auto"/>
        <w:rPr>
          <w:rFonts w:cs="Calibri"/>
          <w:szCs w:val="18"/>
        </w:rPr>
      </w:pPr>
      <w:r>
        <w:rPr>
          <w:rFonts w:cs="Calibri"/>
          <w:szCs w:val="18"/>
        </w:rPr>
        <w:t xml:space="preserve">Sections 7.1 to 7.3 provide </w:t>
      </w:r>
      <w:r w:rsidR="00AD3379">
        <w:rPr>
          <w:rFonts w:cs="Calibri"/>
          <w:szCs w:val="18"/>
        </w:rPr>
        <w:t>a summary of the core coordination functions under each of these categories</w:t>
      </w:r>
      <w:r w:rsidR="00772EEE">
        <w:rPr>
          <w:rFonts w:cs="Calibri"/>
          <w:szCs w:val="18"/>
        </w:rPr>
        <w:t xml:space="preserve">. </w:t>
      </w:r>
      <w:r w:rsidR="00E10588">
        <w:rPr>
          <w:rFonts w:cs="Calibri"/>
          <w:szCs w:val="18"/>
        </w:rPr>
        <w:t xml:space="preserve">Each section </w:t>
      </w:r>
      <w:r w:rsidR="00232FB5">
        <w:rPr>
          <w:rFonts w:cs="Calibri"/>
          <w:szCs w:val="18"/>
        </w:rPr>
        <w:t xml:space="preserve">assesses each of these functions </w:t>
      </w:r>
      <w:r w:rsidR="00DB66CC">
        <w:rPr>
          <w:rFonts w:cs="Calibri"/>
          <w:szCs w:val="18"/>
        </w:rPr>
        <w:t>across six dimensions</w:t>
      </w:r>
      <w:r w:rsidR="00232FB5">
        <w:rPr>
          <w:rFonts w:cs="Calibri"/>
          <w:szCs w:val="18"/>
        </w:rPr>
        <w:t xml:space="preserve"> as follows:</w:t>
      </w:r>
      <w:r w:rsidR="00E10588">
        <w:rPr>
          <w:rFonts w:cs="Calibri"/>
          <w:szCs w:val="18"/>
        </w:rPr>
        <w:t xml:space="preserve"> </w:t>
      </w:r>
    </w:p>
    <w:p w14:paraId="576A8FC2" w14:textId="0A559ADF" w:rsidR="009605D7" w:rsidRPr="00554873" w:rsidRDefault="00DB66CC" w:rsidP="00470C91">
      <w:pPr>
        <w:pStyle w:val="ListParagraph"/>
        <w:numPr>
          <w:ilvl w:val="0"/>
          <w:numId w:val="10"/>
        </w:numPr>
        <w:spacing w:before="180" w:line="288" w:lineRule="auto"/>
        <w:ind w:left="567" w:hanging="425"/>
        <w:rPr>
          <w:rFonts w:cs="Calibri"/>
          <w:szCs w:val="18"/>
        </w:rPr>
      </w:pPr>
      <w:r w:rsidRPr="00DE3589">
        <w:rPr>
          <w:rFonts w:ascii="PP Mori SemiBold" w:hAnsi="PP Mori SemiBold" w:cs="Calibri"/>
          <w:szCs w:val="18"/>
        </w:rPr>
        <w:t>Timeframes</w:t>
      </w:r>
      <w:r w:rsidR="00C90973">
        <w:rPr>
          <w:rFonts w:ascii="PP Mori SemiBold" w:hAnsi="PP Mori SemiBold" w:cs="Calibri"/>
          <w:szCs w:val="18"/>
        </w:rPr>
        <w:t>:</w:t>
      </w:r>
      <w:r w:rsidRPr="00554873">
        <w:rPr>
          <w:rFonts w:cs="Calibri"/>
          <w:szCs w:val="18"/>
        </w:rPr>
        <w:t xml:space="preserve"> </w:t>
      </w:r>
      <w:r w:rsidR="000E7B1A" w:rsidRPr="00554873">
        <w:rPr>
          <w:rFonts w:cs="Calibri"/>
          <w:szCs w:val="18"/>
        </w:rPr>
        <w:t xml:space="preserve">Identifies </w:t>
      </w:r>
      <w:r w:rsidR="005A6E55" w:rsidRPr="00554873">
        <w:rPr>
          <w:rFonts w:cs="Calibri"/>
          <w:szCs w:val="18"/>
        </w:rPr>
        <w:t>the</w:t>
      </w:r>
      <w:r w:rsidR="007F2B01" w:rsidRPr="00554873">
        <w:rPr>
          <w:rFonts w:cs="Calibri"/>
          <w:szCs w:val="18"/>
        </w:rPr>
        <w:t xml:space="preserve"> operational phases</w:t>
      </w:r>
      <w:r w:rsidR="004F0BF3" w:rsidRPr="00554873">
        <w:rPr>
          <w:rFonts w:cs="Calibri"/>
          <w:szCs w:val="18"/>
        </w:rPr>
        <w:t xml:space="preserve"> </w:t>
      </w:r>
      <w:r w:rsidR="005A6E55" w:rsidRPr="00554873">
        <w:rPr>
          <w:rFonts w:cs="Calibri"/>
          <w:szCs w:val="18"/>
        </w:rPr>
        <w:t>that each</w:t>
      </w:r>
      <w:r w:rsidR="004F0BF3" w:rsidRPr="00554873">
        <w:rPr>
          <w:rFonts w:cs="Calibri"/>
          <w:szCs w:val="18"/>
        </w:rPr>
        <w:t xml:space="preserve"> coordination</w:t>
      </w:r>
      <w:r w:rsidR="00ED546C" w:rsidRPr="00554873">
        <w:rPr>
          <w:rFonts w:cs="Calibri"/>
          <w:szCs w:val="18"/>
        </w:rPr>
        <w:t xml:space="preserve"> function </w:t>
      </w:r>
      <w:r w:rsidR="004F0BF3" w:rsidRPr="00554873">
        <w:rPr>
          <w:rFonts w:cs="Calibri"/>
          <w:szCs w:val="18"/>
        </w:rPr>
        <w:t xml:space="preserve">is </w:t>
      </w:r>
      <w:r w:rsidR="00ED546C" w:rsidRPr="00554873">
        <w:rPr>
          <w:rFonts w:cs="Calibri"/>
          <w:szCs w:val="18"/>
        </w:rPr>
        <w:t>required</w:t>
      </w:r>
      <w:r w:rsidR="004F0BF3" w:rsidRPr="00554873">
        <w:rPr>
          <w:rFonts w:cs="Calibri"/>
          <w:szCs w:val="18"/>
        </w:rPr>
        <w:t xml:space="preserve">. The </w:t>
      </w:r>
      <w:r w:rsidR="00AC06C2" w:rsidRPr="00554873">
        <w:rPr>
          <w:rFonts w:cs="Calibri"/>
          <w:szCs w:val="18"/>
        </w:rPr>
        <w:t xml:space="preserve">phases are provided in </w:t>
      </w:r>
      <w:r w:rsidR="00AC06C2" w:rsidRPr="00554873">
        <w:rPr>
          <w:rFonts w:cs="Calibri"/>
          <w:szCs w:val="18"/>
        </w:rPr>
        <w:fldChar w:fldCharType="begin"/>
      </w:r>
      <w:r w:rsidR="00AC06C2" w:rsidRPr="00554873">
        <w:rPr>
          <w:rFonts w:cs="Calibri"/>
          <w:szCs w:val="18"/>
        </w:rPr>
        <w:instrText xml:space="preserve"> REF _Ref199765060 \h </w:instrText>
      </w:r>
      <w:r w:rsidR="00AC06C2" w:rsidRPr="00554873">
        <w:rPr>
          <w:rFonts w:cs="Calibri"/>
          <w:szCs w:val="18"/>
        </w:rPr>
      </w:r>
      <w:r w:rsidR="00AC06C2" w:rsidRPr="00554873">
        <w:rPr>
          <w:rFonts w:cs="Calibri"/>
          <w:szCs w:val="18"/>
        </w:rPr>
        <w:fldChar w:fldCharType="separate"/>
      </w:r>
      <w:r w:rsidR="00CE6CF1">
        <w:t xml:space="preserve">Table </w:t>
      </w:r>
      <w:r w:rsidR="00CE6CF1">
        <w:rPr>
          <w:noProof/>
        </w:rPr>
        <w:t>8</w:t>
      </w:r>
      <w:r w:rsidR="00AC06C2" w:rsidRPr="00554873">
        <w:rPr>
          <w:rFonts w:cs="Calibri"/>
          <w:szCs w:val="18"/>
        </w:rPr>
        <w:fldChar w:fldCharType="end"/>
      </w:r>
      <w:r w:rsidR="00AC06C2" w:rsidRPr="00554873">
        <w:rPr>
          <w:rFonts w:cs="Calibri"/>
          <w:szCs w:val="18"/>
        </w:rPr>
        <w:t>.</w:t>
      </w:r>
    </w:p>
    <w:p w14:paraId="7AA7188F" w14:textId="60C4A6BA" w:rsidR="00AC06C2" w:rsidRDefault="00AC06C2" w:rsidP="00DE3589">
      <w:pPr>
        <w:pStyle w:val="Caption"/>
        <w:keepNext/>
      </w:pPr>
      <w:bookmarkStart w:id="198" w:name="_Ref199765060"/>
      <w:r>
        <w:t xml:space="preserve">Table </w:t>
      </w:r>
      <w:fldSimple w:instr=" SEQ Table \* ARABIC ">
        <w:r w:rsidR="00CE6CF1">
          <w:rPr>
            <w:noProof/>
          </w:rPr>
          <w:t>8</w:t>
        </w:r>
      </w:fldSimple>
      <w:bookmarkEnd w:id="198"/>
      <w:r>
        <w:t xml:space="preserve"> - Operational Phases</w:t>
      </w:r>
    </w:p>
    <w:tbl>
      <w:tblPr>
        <w:tblStyle w:val="PlainTable1"/>
        <w:tblW w:w="7796" w:type="dxa"/>
        <w:tblInd w:w="279" w:type="dxa"/>
        <w:tblLook w:val="0420" w:firstRow="1" w:lastRow="0" w:firstColumn="0" w:lastColumn="0" w:noHBand="0" w:noVBand="1"/>
      </w:tblPr>
      <w:tblGrid>
        <w:gridCol w:w="1984"/>
        <w:gridCol w:w="5812"/>
      </w:tblGrid>
      <w:tr w:rsidR="00C646F6" w:rsidRPr="00C449CE" w14:paraId="3EC3F790" w14:textId="77777777" w:rsidTr="00ED5BCF">
        <w:trPr>
          <w:cnfStyle w:val="100000000000" w:firstRow="1" w:lastRow="0" w:firstColumn="0" w:lastColumn="0" w:oddVBand="0" w:evenVBand="0" w:oddHBand="0" w:evenHBand="0" w:firstRowFirstColumn="0" w:firstRowLastColumn="0" w:lastRowFirstColumn="0" w:lastRowLastColumn="0"/>
          <w:trHeight w:val="509"/>
        </w:trPr>
        <w:tc>
          <w:tcPr>
            <w:tcW w:w="0" w:type="dxa"/>
            <w:tcBorders>
              <w:bottom w:val="single" w:sz="4" w:space="0" w:color="auto"/>
            </w:tcBorders>
            <w:shd w:val="clear" w:color="auto" w:fill="013C4C" w:themeFill="accent1"/>
            <w:vAlign w:val="center"/>
          </w:tcPr>
          <w:p w14:paraId="21F1311D" w14:textId="7DF68B2E" w:rsidR="00C646F6" w:rsidRPr="005C46BD" w:rsidRDefault="00C646F6" w:rsidP="00DE3589">
            <w:pPr>
              <w:spacing w:before="60" w:after="60"/>
              <w:jc w:val="center"/>
            </w:pPr>
            <w:bookmarkStart w:id="199" w:name="Table_8"/>
            <w:r w:rsidRPr="005C46BD">
              <w:t>Timeframe</w:t>
            </w:r>
          </w:p>
        </w:tc>
        <w:tc>
          <w:tcPr>
            <w:tcW w:w="0" w:type="dxa"/>
            <w:tcBorders>
              <w:bottom w:val="single" w:sz="4" w:space="0" w:color="auto"/>
            </w:tcBorders>
            <w:shd w:val="clear" w:color="auto" w:fill="013C4C" w:themeFill="accent1"/>
            <w:vAlign w:val="center"/>
          </w:tcPr>
          <w:p w14:paraId="3CF5DA49" w14:textId="520F241B" w:rsidR="00C646F6" w:rsidRPr="005C46BD" w:rsidRDefault="00C646F6" w:rsidP="00DE3589">
            <w:pPr>
              <w:spacing w:before="60" w:after="60"/>
              <w:jc w:val="center"/>
            </w:pPr>
            <w:r w:rsidRPr="005C46BD">
              <w:t>Description</w:t>
            </w:r>
          </w:p>
        </w:tc>
      </w:tr>
      <w:tr w:rsidR="00A332AB" w:rsidRPr="00C449CE" w14:paraId="3C15D82E" w14:textId="77777777" w:rsidTr="00991970">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15E4DAB3" w14:textId="2A68C7AC" w:rsidR="00C646F6" w:rsidRPr="00DE3589" w:rsidRDefault="00C646F6" w:rsidP="00DE3589">
            <w:pPr>
              <w:spacing w:before="60" w:after="60"/>
              <w:jc w:val="center"/>
              <w:rPr>
                <w:color w:val="FAFAFA" w:themeColor="background1"/>
              </w:rPr>
            </w:pPr>
            <w:r w:rsidRPr="00DE3589">
              <w:rPr>
                <w:color w:val="FAFAFA" w:themeColor="background1"/>
              </w:rPr>
              <w:t>Pre-event</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7A6CE16" w14:textId="62E720A5" w:rsidR="00C646F6" w:rsidRPr="005C46BD" w:rsidRDefault="00C646F6" w:rsidP="00DE3589">
            <w:pPr>
              <w:spacing w:before="60" w:after="60"/>
            </w:pPr>
            <w:r w:rsidRPr="005C46BD">
              <w:t xml:space="preserve">Covers long-term planning activities including </w:t>
            </w:r>
            <w:r w:rsidR="008121E1" w:rsidRPr="005C46BD">
              <w:t>CER/</w:t>
            </w:r>
            <w:r w:rsidRPr="005C46BD">
              <w:t>DER registration, capability modelling, and network configuration to enable participation in future operations.</w:t>
            </w:r>
          </w:p>
        </w:tc>
      </w:tr>
      <w:tr w:rsidR="00C646F6" w:rsidRPr="00C449CE" w14:paraId="59E1C578" w14:textId="77777777" w:rsidTr="00991970">
        <w:tc>
          <w:tcPr>
            <w:tcW w:w="0"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632B04A0" w14:textId="294A30F0" w:rsidR="00C646F6" w:rsidRPr="00DE3589" w:rsidRDefault="00C646F6" w:rsidP="00DE3589">
            <w:pPr>
              <w:spacing w:before="60" w:after="60"/>
              <w:jc w:val="center"/>
              <w:rPr>
                <w:color w:val="FAFAFA" w:themeColor="background1"/>
              </w:rPr>
            </w:pPr>
            <w:r w:rsidRPr="00DE3589">
              <w:rPr>
                <w:color w:val="FAFAFA" w:themeColor="background1"/>
              </w:rPr>
              <w:t>Day-ahead</w:t>
            </w:r>
          </w:p>
        </w:tc>
        <w:tc>
          <w:tcPr>
            <w:tcW w:w="0" w:type="dxa"/>
            <w:tcBorders>
              <w:top w:val="single" w:sz="4" w:space="0" w:color="auto"/>
              <w:left w:val="single" w:sz="4" w:space="0" w:color="auto"/>
              <w:bottom w:val="single" w:sz="4" w:space="0" w:color="auto"/>
              <w:right w:val="single" w:sz="4" w:space="0" w:color="auto"/>
            </w:tcBorders>
          </w:tcPr>
          <w:p w14:paraId="045D4D5D" w14:textId="1E442A07" w:rsidR="00C646F6" w:rsidRPr="005C46BD" w:rsidRDefault="00C646F6" w:rsidP="00DE3589">
            <w:pPr>
              <w:spacing w:before="60" w:after="60"/>
            </w:pPr>
            <w:r w:rsidRPr="005C46BD">
              <w:t>Market participants submit offers and bids for the next day based on forecasts. Operators assess capacity, constraints, and issue indicative schedules.</w:t>
            </w:r>
          </w:p>
        </w:tc>
      </w:tr>
      <w:tr w:rsidR="00282C47" w:rsidRPr="00C449CE" w14:paraId="6F25E722" w14:textId="77777777" w:rsidTr="00991970">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2EE8392F" w14:textId="28993EE9" w:rsidR="00C646F6" w:rsidRPr="00DE3589" w:rsidRDefault="00C646F6" w:rsidP="00DE3589">
            <w:pPr>
              <w:spacing w:before="60" w:after="60"/>
              <w:jc w:val="center"/>
              <w:rPr>
                <w:color w:val="FAFAFA" w:themeColor="background1"/>
              </w:rPr>
            </w:pPr>
            <w:r w:rsidRPr="00DE3589">
              <w:rPr>
                <w:color w:val="FAFAFA" w:themeColor="background1"/>
              </w:rPr>
              <w:t>Pre-Dispatch</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DE68F6D" w14:textId="1A0F30C9" w:rsidR="00C646F6" w:rsidRPr="005C46BD" w:rsidRDefault="00C646F6" w:rsidP="00DE3589">
            <w:pPr>
              <w:spacing w:before="60" w:after="60"/>
            </w:pPr>
            <w:r w:rsidRPr="005C46BD">
              <w:t>Intra-day updates refine forecasts and dispatch schedules, incorporating new data such as demand, generation, and outages, ensuring grid balance readiness.</w:t>
            </w:r>
          </w:p>
        </w:tc>
      </w:tr>
      <w:tr w:rsidR="00282C47" w:rsidRPr="00C449CE" w14:paraId="73742B7B" w14:textId="77777777" w:rsidTr="00991970">
        <w:tc>
          <w:tcPr>
            <w:tcW w:w="1984"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39C45F1A" w14:textId="6C92EFB3" w:rsidR="00C646F6" w:rsidRPr="00DE3589" w:rsidRDefault="00C646F6" w:rsidP="00DE3589">
            <w:pPr>
              <w:spacing w:before="60" w:after="60"/>
              <w:jc w:val="center"/>
              <w:rPr>
                <w:color w:val="FAFAFA" w:themeColor="background1"/>
              </w:rPr>
            </w:pPr>
            <w:r w:rsidRPr="00DE3589">
              <w:rPr>
                <w:color w:val="FAFAFA" w:themeColor="background1"/>
              </w:rPr>
              <w:t>Real-time / Dispatch Interval</w:t>
            </w:r>
          </w:p>
        </w:tc>
        <w:tc>
          <w:tcPr>
            <w:tcW w:w="5812" w:type="dxa"/>
            <w:tcBorders>
              <w:top w:val="single" w:sz="4" w:space="0" w:color="auto"/>
              <w:left w:val="single" w:sz="4" w:space="0" w:color="auto"/>
              <w:bottom w:val="single" w:sz="4" w:space="0" w:color="auto"/>
              <w:right w:val="single" w:sz="4" w:space="0" w:color="auto"/>
            </w:tcBorders>
          </w:tcPr>
          <w:p w14:paraId="3D8135FF" w14:textId="76C42DC5" w:rsidR="00C646F6" w:rsidRPr="005C46BD" w:rsidRDefault="00C646F6" w:rsidP="00DE3589">
            <w:pPr>
              <w:spacing w:before="60" w:after="60"/>
            </w:pPr>
            <w:r w:rsidRPr="005C46BD">
              <w:t>Binding 5-minute dispatch instructions are issued by AEMO based on system needs. DERs and market participants must respond accordingly.</w:t>
            </w:r>
          </w:p>
        </w:tc>
      </w:tr>
      <w:tr w:rsidR="00E0777F" w:rsidRPr="00C449CE" w14:paraId="2D5AB6CC" w14:textId="77777777" w:rsidTr="00991970">
        <w:trPr>
          <w:cnfStyle w:val="000000100000" w:firstRow="0" w:lastRow="0" w:firstColumn="0" w:lastColumn="0" w:oddVBand="0" w:evenVBand="0" w:oddHBand="1" w:evenHBand="0" w:firstRowFirstColumn="0" w:firstRowLastColumn="0" w:lastRowFirstColumn="0" w:lastRowLastColumn="0"/>
        </w:trPr>
        <w:tc>
          <w:tcPr>
            <w:tcW w:w="1984" w:type="dxa"/>
            <w:tcBorders>
              <w:top w:val="single" w:sz="4" w:space="0" w:color="auto"/>
              <w:left w:val="single" w:sz="4" w:space="0" w:color="auto"/>
              <w:bottom w:val="single" w:sz="4" w:space="0" w:color="auto"/>
              <w:right w:val="single" w:sz="4" w:space="0" w:color="auto"/>
            </w:tcBorders>
            <w:shd w:val="clear" w:color="auto" w:fill="067296" w:themeFill="text2"/>
            <w:vAlign w:val="center"/>
          </w:tcPr>
          <w:p w14:paraId="3FEC0FF0" w14:textId="52D700C0" w:rsidR="00C646F6" w:rsidRPr="00DE3589" w:rsidRDefault="00C646F6" w:rsidP="00DE3589">
            <w:pPr>
              <w:spacing w:before="60" w:after="60"/>
              <w:jc w:val="center"/>
              <w:rPr>
                <w:color w:val="FAFAFA" w:themeColor="background1"/>
              </w:rPr>
            </w:pPr>
            <w:r w:rsidRPr="00DE3589">
              <w:rPr>
                <w:color w:val="FAFAFA" w:themeColor="background1"/>
              </w:rPr>
              <w:lastRenderedPageBreak/>
              <w:t>Post-Event</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E2C4F6A" w14:textId="1D44A68F" w:rsidR="00C646F6" w:rsidRPr="005C46BD" w:rsidRDefault="00C646F6" w:rsidP="00DE3589">
            <w:pPr>
              <w:spacing w:before="60" w:after="60"/>
            </w:pPr>
            <w:r w:rsidRPr="005C46BD">
              <w:t>Settlements and performance verification occur. Metered data is reviewed to assess delivery compliance and inform financial transactions and planning insights.</w:t>
            </w:r>
          </w:p>
        </w:tc>
      </w:tr>
    </w:tbl>
    <w:bookmarkEnd w:id="199"/>
    <w:p w14:paraId="36F6C142" w14:textId="4E1D7D29" w:rsidR="00AC06C2" w:rsidRPr="00F14453" w:rsidRDefault="00AC06C2" w:rsidP="00470C91">
      <w:pPr>
        <w:pStyle w:val="ListParagraph"/>
        <w:numPr>
          <w:ilvl w:val="0"/>
          <w:numId w:val="10"/>
        </w:numPr>
        <w:spacing w:before="360" w:line="288" w:lineRule="auto"/>
        <w:ind w:left="567" w:hanging="425"/>
        <w:rPr>
          <w:rFonts w:ascii="PP Mori SemiBold" w:hAnsi="PP Mori SemiBold" w:cs="Calibri"/>
          <w:szCs w:val="18"/>
        </w:rPr>
      </w:pPr>
      <w:r>
        <w:rPr>
          <w:rFonts w:ascii="PP Mori SemiBold" w:hAnsi="PP Mori SemiBold" w:cs="Calibri"/>
          <w:szCs w:val="18"/>
        </w:rPr>
        <w:t xml:space="preserve">Latency </w:t>
      </w:r>
      <w:r w:rsidR="00D260FF">
        <w:rPr>
          <w:rFonts w:ascii="PP Mori SemiBold" w:hAnsi="PP Mori SemiBold" w:cs="Calibri"/>
          <w:szCs w:val="18"/>
        </w:rPr>
        <w:t>Threshold</w:t>
      </w:r>
      <w:r w:rsidR="00C90973">
        <w:rPr>
          <w:rFonts w:ascii="PP Mori SemiBold" w:hAnsi="PP Mori SemiBold" w:cs="Calibri"/>
          <w:szCs w:val="18"/>
        </w:rPr>
        <w:t>:</w:t>
      </w:r>
      <w:r w:rsidRPr="00DE3589">
        <w:rPr>
          <w:rFonts w:ascii="PP Mori SemiBold" w:hAnsi="PP Mori SemiBold" w:cs="Calibri"/>
          <w:szCs w:val="18"/>
        </w:rPr>
        <w:t xml:space="preserve"> </w:t>
      </w:r>
      <w:r w:rsidR="00C90973" w:rsidRPr="0063735B">
        <w:rPr>
          <w:rFonts w:cs="Calibri"/>
          <w:szCs w:val="18"/>
        </w:rPr>
        <w:t xml:space="preserve">Refers to </w:t>
      </w:r>
      <w:r w:rsidR="009A4A4B" w:rsidRPr="0063735B">
        <w:rPr>
          <w:rFonts w:cs="Calibri"/>
          <w:szCs w:val="18"/>
        </w:rPr>
        <w:t xml:space="preserve">the </w:t>
      </w:r>
      <w:r w:rsidR="00E84A96" w:rsidRPr="0063735B">
        <w:rPr>
          <w:rFonts w:cs="Calibri"/>
          <w:szCs w:val="18"/>
        </w:rPr>
        <w:t>time-</w:t>
      </w:r>
      <w:r w:rsidR="0021295C" w:rsidRPr="0063735B">
        <w:rPr>
          <w:rFonts w:cs="Calibri"/>
          <w:szCs w:val="18"/>
        </w:rPr>
        <w:t>window in which the function must complete, or outputs be derived. I</w:t>
      </w:r>
      <w:r w:rsidR="0005074D" w:rsidRPr="0063735B">
        <w:rPr>
          <w:rFonts w:cs="Calibri"/>
          <w:szCs w:val="18"/>
        </w:rPr>
        <w:t xml:space="preserve">mplicitly, </w:t>
      </w:r>
      <w:r w:rsidR="00CC4404" w:rsidRPr="0063735B">
        <w:rPr>
          <w:rFonts w:cs="Calibri"/>
          <w:szCs w:val="18"/>
        </w:rPr>
        <w:t xml:space="preserve">this also indicates </w:t>
      </w:r>
      <w:r w:rsidR="0005074D" w:rsidRPr="0063735B">
        <w:rPr>
          <w:rFonts w:cs="Calibri"/>
          <w:szCs w:val="18"/>
        </w:rPr>
        <w:t xml:space="preserve">its </w:t>
      </w:r>
      <w:r w:rsidR="00CC4404" w:rsidRPr="0063735B">
        <w:rPr>
          <w:rFonts w:cs="Calibri"/>
          <w:szCs w:val="18"/>
        </w:rPr>
        <w:t xml:space="preserve">tolerance to </w:t>
      </w:r>
      <w:r w:rsidR="00C90973" w:rsidRPr="0063735B">
        <w:rPr>
          <w:rFonts w:cs="Calibri"/>
          <w:szCs w:val="18"/>
        </w:rPr>
        <w:t xml:space="preserve">delays in data, signals, or actions from </w:t>
      </w:r>
      <w:r w:rsidR="00CC4404" w:rsidRPr="0063735B">
        <w:rPr>
          <w:rFonts w:cs="Calibri"/>
          <w:szCs w:val="18"/>
        </w:rPr>
        <w:t xml:space="preserve">constituent </w:t>
      </w:r>
      <w:r w:rsidR="00C90973" w:rsidRPr="0063735B">
        <w:rPr>
          <w:rFonts w:cs="Calibri"/>
          <w:szCs w:val="18"/>
        </w:rPr>
        <w:t>sub-systems</w:t>
      </w:r>
      <w:r w:rsidR="00CC4404" w:rsidRPr="0063735B">
        <w:rPr>
          <w:rFonts w:cs="Calibri"/>
          <w:szCs w:val="18"/>
        </w:rPr>
        <w:t xml:space="preserve"> on either side of the T-D interface</w:t>
      </w:r>
      <w:r w:rsidR="00C90973" w:rsidRPr="0063735B">
        <w:rPr>
          <w:rFonts w:cs="Calibri"/>
          <w:szCs w:val="18"/>
        </w:rPr>
        <w:t xml:space="preserve">. </w:t>
      </w:r>
      <w:r w:rsidR="002B36E4" w:rsidRPr="0063735B">
        <w:rPr>
          <w:rFonts w:cs="Calibri"/>
          <w:szCs w:val="18"/>
        </w:rPr>
        <w:t>Where possible, a</w:t>
      </w:r>
      <w:r w:rsidR="00C90973" w:rsidRPr="0063735B">
        <w:rPr>
          <w:rFonts w:cs="Calibri"/>
          <w:szCs w:val="18"/>
        </w:rPr>
        <w:t xml:space="preserve"> latency-tolerant design allows these functions to maintain performance by using buffering, estimation, or fallback logic, ensuring that short-term gaps or delays in sub-system responses do not propagate into broader operational issues or system instability.</w:t>
      </w:r>
      <w:r w:rsidR="00C90973" w:rsidRPr="00F14453">
        <w:rPr>
          <w:rFonts w:ascii="PP Mori SemiBold" w:hAnsi="PP Mori SemiBold" w:cs="Calibri"/>
          <w:szCs w:val="18"/>
        </w:rPr>
        <w:t xml:space="preserve"> </w:t>
      </w:r>
    </w:p>
    <w:tbl>
      <w:tblPr>
        <w:tblStyle w:val="PlainTable1"/>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142"/>
        <w:gridCol w:w="2534"/>
        <w:gridCol w:w="2534"/>
      </w:tblGrid>
      <w:tr w:rsidR="0067232A" w:rsidRPr="00490AE0" w14:paraId="740FDECD" w14:textId="77777777" w:rsidTr="00ED5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shd w:val="clear" w:color="auto" w:fill="013C4C" w:themeFill="accent1"/>
            <w:vAlign w:val="center"/>
            <w:hideMark/>
          </w:tcPr>
          <w:p w14:paraId="40F599B7" w14:textId="2FF80C7F" w:rsidR="00BD7065" w:rsidRPr="00F14453" w:rsidRDefault="00BD7065" w:rsidP="00DE3589">
            <w:pPr>
              <w:spacing w:before="60" w:after="60"/>
              <w:jc w:val="center"/>
              <w:rPr>
                <w:sz w:val="16"/>
                <w:szCs w:val="24"/>
              </w:rPr>
            </w:pPr>
            <w:r w:rsidRPr="00F14453">
              <w:rPr>
                <w:sz w:val="16"/>
                <w:szCs w:val="24"/>
              </w:rPr>
              <w:t>Latency Category</w:t>
            </w:r>
          </w:p>
        </w:tc>
        <w:tc>
          <w:tcPr>
            <w:tcW w:w="1142" w:type="dxa"/>
            <w:shd w:val="clear" w:color="auto" w:fill="013C4C" w:themeFill="accent1"/>
            <w:vAlign w:val="center"/>
            <w:hideMark/>
          </w:tcPr>
          <w:p w14:paraId="2916DC5F" w14:textId="41B05121" w:rsidR="00BD7065" w:rsidRPr="00F14453" w:rsidRDefault="00BD7065" w:rsidP="00DE3589">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24"/>
              </w:rPr>
            </w:pPr>
            <w:r w:rsidRPr="00F14453">
              <w:rPr>
                <w:sz w:val="16"/>
                <w:szCs w:val="24"/>
              </w:rPr>
              <w:t>Range</w:t>
            </w:r>
          </w:p>
        </w:tc>
        <w:tc>
          <w:tcPr>
            <w:tcW w:w="2534" w:type="dxa"/>
            <w:shd w:val="clear" w:color="auto" w:fill="013C4C" w:themeFill="accent1"/>
            <w:vAlign w:val="center"/>
            <w:hideMark/>
          </w:tcPr>
          <w:p w14:paraId="6D10E8A6" w14:textId="77777777" w:rsidR="00BD7065" w:rsidRPr="00F14453" w:rsidRDefault="00BD7065" w:rsidP="00DE3589">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24"/>
              </w:rPr>
            </w:pPr>
            <w:r w:rsidRPr="00F14453">
              <w:rPr>
                <w:sz w:val="16"/>
                <w:szCs w:val="24"/>
              </w:rPr>
              <w:t>Use Cases</w:t>
            </w:r>
          </w:p>
        </w:tc>
        <w:tc>
          <w:tcPr>
            <w:tcW w:w="2534" w:type="dxa"/>
            <w:shd w:val="clear" w:color="auto" w:fill="013C4C" w:themeFill="accent1"/>
            <w:vAlign w:val="center"/>
            <w:hideMark/>
          </w:tcPr>
          <w:p w14:paraId="3CBA14BA" w14:textId="22FC6916" w:rsidR="00BD7065" w:rsidRPr="00F14453" w:rsidRDefault="00BD7065" w:rsidP="00DE3589">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24"/>
              </w:rPr>
            </w:pPr>
            <w:r w:rsidRPr="00F14453">
              <w:rPr>
                <w:sz w:val="16"/>
                <w:szCs w:val="24"/>
              </w:rPr>
              <w:t>Requirements</w:t>
            </w:r>
          </w:p>
        </w:tc>
      </w:tr>
      <w:tr w:rsidR="00A332AB" w:rsidRPr="001C6708" w14:paraId="1F65BC22" w14:textId="77777777" w:rsidTr="0099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7E4A01AD"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Ultra-Low Latency</w:t>
            </w:r>
          </w:p>
        </w:tc>
        <w:tc>
          <w:tcPr>
            <w:tcW w:w="1142" w:type="dxa"/>
            <w:shd w:val="clear" w:color="auto" w:fill="auto"/>
            <w:hideMark/>
          </w:tcPr>
          <w:p w14:paraId="782F4A7F" w14:textId="77777777" w:rsidR="00BD7065" w:rsidRPr="00F14453" w:rsidRDefault="00BD7065" w:rsidP="00DE3589">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&lt; 1 second</w:t>
            </w:r>
          </w:p>
        </w:tc>
        <w:tc>
          <w:tcPr>
            <w:tcW w:w="2534" w:type="dxa"/>
            <w:shd w:val="clear" w:color="auto" w:fill="auto"/>
            <w:hideMark/>
          </w:tcPr>
          <w:p w14:paraId="4949E5B1" w14:textId="77777777"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Protection schemes, inertia response, fast fault detection</w:t>
            </w:r>
          </w:p>
        </w:tc>
        <w:tc>
          <w:tcPr>
            <w:tcW w:w="2534" w:type="dxa"/>
            <w:shd w:val="clear" w:color="auto" w:fill="auto"/>
            <w:hideMark/>
          </w:tcPr>
          <w:p w14:paraId="32FDA55F" w14:textId="50EDA91D"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Deterministic, hardware-embedded or local controls</w:t>
            </w:r>
          </w:p>
        </w:tc>
      </w:tr>
      <w:tr w:rsidR="007B09C5" w:rsidRPr="00490AE0" w14:paraId="48314974" w14:textId="77777777" w:rsidTr="00991970">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5F32C49E"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Very Low Latency</w:t>
            </w:r>
          </w:p>
        </w:tc>
        <w:tc>
          <w:tcPr>
            <w:tcW w:w="1142" w:type="dxa"/>
            <w:hideMark/>
          </w:tcPr>
          <w:p w14:paraId="39ADC80D" w14:textId="4E2BB85D" w:rsidR="00BD7065" w:rsidRPr="00F14453" w:rsidRDefault="00BD7065" w:rsidP="00DE3589">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1</w:t>
            </w:r>
            <w:r w:rsidR="00496C01" w:rsidRPr="00F14453">
              <w:rPr>
                <w:sz w:val="16"/>
                <w:szCs w:val="24"/>
              </w:rPr>
              <w:t xml:space="preserve"> </w:t>
            </w:r>
            <w:r w:rsidR="00D94BA5" w:rsidRPr="00F14453">
              <w:rPr>
                <w:sz w:val="16"/>
                <w:szCs w:val="24"/>
              </w:rPr>
              <w:t>–</w:t>
            </w:r>
            <w:r w:rsidR="00496C01" w:rsidRPr="00F14453">
              <w:rPr>
                <w:sz w:val="16"/>
                <w:szCs w:val="24"/>
              </w:rPr>
              <w:t xml:space="preserve"> </w:t>
            </w:r>
            <w:r w:rsidRPr="00F14453">
              <w:rPr>
                <w:sz w:val="16"/>
                <w:szCs w:val="24"/>
              </w:rPr>
              <w:t>5 seconds</w:t>
            </w:r>
          </w:p>
        </w:tc>
        <w:tc>
          <w:tcPr>
            <w:tcW w:w="2534" w:type="dxa"/>
            <w:hideMark/>
          </w:tcPr>
          <w:p w14:paraId="5AE06EB7" w14:textId="77777777"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Primary frequency response, real-time DER dispatch, voltage regulation</w:t>
            </w:r>
          </w:p>
        </w:tc>
        <w:tc>
          <w:tcPr>
            <w:tcW w:w="2534" w:type="dxa"/>
            <w:hideMark/>
          </w:tcPr>
          <w:p w14:paraId="6F045412" w14:textId="5E369B76"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Near-instantaneous control with minimal network delay</w:t>
            </w:r>
          </w:p>
        </w:tc>
      </w:tr>
      <w:tr w:rsidR="00A332AB" w:rsidRPr="001C6708" w14:paraId="6838E6AD" w14:textId="77777777" w:rsidTr="0099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490F92AC"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Low Latency</w:t>
            </w:r>
          </w:p>
        </w:tc>
        <w:tc>
          <w:tcPr>
            <w:tcW w:w="1142" w:type="dxa"/>
            <w:shd w:val="clear" w:color="auto" w:fill="auto"/>
            <w:hideMark/>
          </w:tcPr>
          <w:p w14:paraId="757AA959" w14:textId="583BDB0E" w:rsidR="00BD7065" w:rsidRPr="00F14453" w:rsidRDefault="00BD7065" w:rsidP="00DE3589">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5 sec</w:t>
            </w:r>
            <w:r w:rsidR="00496C01" w:rsidRPr="00F14453">
              <w:rPr>
                <w:sz w:val="16"/>
                <w:szCs w:val="24"/>
              </w:rPr>
              <w:t xml:space="preserve"> </w:t>
            </w:r>
            <w:r w:rsidR="00D94BA5" w:rsidRPr="00F14453">
              <w:rPr>
                <w:sz w:val="16"/>
                <w:szCs w:val="24"/>
              </w:rPr>
              <w:t>–</w:t>
            </w:r>
            <w:r w:rsidR="00496C01" w:rsidRPr="00F14453">
              <w:rPr>
                <w:sz w:val="16"/>
                <w:szCs w:val="24"/>
              </w:rPr>
              <w:t xml:space="preserve">           </w:t>
            </w:r>
            <w:r w:rsidRPr="00F14453">
              <w:rPr>
                <w:sz w:val="16"/>
                <w:szCs w:val="24"/>
              </w:rPr>
              <w:t>1 minute</w:t>
            </w:r>
          </w:p>
        </w:tc>
        <w:tc>
          <w:tcPr>
            <w:tcW w:w="2534" w:type="dxa"/>
            <w:shd w:val="clear" w:color="auto" w:fill="auto"/>
            <w:hideMark/>
          </w:tcPr>
          <w:p w14:paraId="7DBFA581" w14:textId="77777777"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Secondary frequency response, ramping services, microgrid control</w:t>
            </w:r>
          </w:p>
        </w:tc>
        <w:tc>
          <w:tcPr>
            <w:tcW w:w="2534" w:type="dxa"/>
            <w:shd w:val="clear" w:color="auto" w:fill="auto"/>
            <w:hideMark/>
          </w:tcPr>
          <w:p w14:paraId="3C3D2E8A" w14:textId="46F52BCB"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Time-sensitive supervisory control with some delay tolerance</w:t>
            </w:r>
          </w:p>
        </w:tc>
      </w:tr>
      <w:tr w:rsidR="007B09C5" w:rsidRPr="00490AE0" w14:paraId="42FB6828" w14:textId="77777777" w:rsidTr="00991970">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37FF1B6D"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Moderate Latency</w:t>
            </w:r>
          </w:p>
        </w:tc>
        <w:tc>
          <w:tcPr>
            <w:tcW w:w="1142" w:type="dxa"/>
            <w:hideMark/>
          </w:tcPr>
          <w:p w14:paraId="50CBEC27" w14:textId="77777777" w:rsidR="00BD7065" w:rsidRPr="00F14453" w:rsidRDefault="00BD7065" w:rsidP="00DE3589">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1–15 minutes</w:t>
            </w:r>
          </w:p>
        </w:tc>
        <w:tc>
          <w:tcPr>
            <w:tcW w:w="2534" w:type="dxa"/>
            <w:hideMark/>
          </w:tcPr>
          <w:p w14:paraId="3A2F7FEA" w14:textId="77777777"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Economic dispatch, load shifting, reserve activation</w:t>
            </w:r>
          </w:p>
        </w:tc>
        <w:tc>
          <w:tcPr>
            <w:tcW w:w="2534" w:type="dxa"/>
            <w:hideMark/>
          </w:tcPr>
          <w:p w14:paraId="4B4B157D" w14:textId="721188AA"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Coordinated short-horizon actions, suitable for aggregator/DSO interfaces</w:t>
            </w:r>
          </w:p>
        </w:tc>
      </w:tr>
      <w:tr w:rsidR="00A332AB" w:rsidRPr="001C6708" w14:paraId="06A5F625" w14:textId="77777777" w:rsidTr="0099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5EF0D219"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High Latency</w:t>
            </w:r>
          </w:p>
        </w:tc>
        <w:tc>
          <w:tcPr>
            <w:tcW w:w="1142" w:type="dxa"/>
            <w:shd w:val="clear" w:color="auto" w:fill="auto"/>
            <w:hideMark/>
          </w:tcPr>
          <w:p w14:paraId="57B8FD85" w14:textId="627532F1" w:rsidR="00BD7065" w:rsidRPr="00F14453" w:rsidRDefault="00BD7065" w:rsidP="00DE3589">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15 min</w:t>
            </w:r>
            <w:r w:rsidR="00496C01" w:rsidRPr="00F14453">
              <w:rPr>
                <w:sz w:val="16"/>
                <w:szCs w:val="24"/>
              </w:rPr>
              <w:t xml:space="preserve"> </w:t>
            </w:r>
            <w:r w:rsidR="00D94BA5" w:rsidRPr="00F14453">
              <w:rPr>
                <w:sz w:val="16"/>
                <w:szCs w:val="24"/>
              </w:rPr>
              <w:t>–</w:t>
            </w:r>
            <w:r w:rsidR="00496C01" w:rsidRPr="00F14453">
              <w:rPr>
                <w:sz w:val="16"/>
                <w:szCs w:val="24"/>
              </w:rPr>
              <w:t xml:space="preserve">              </w:t>
            </w:r>
            <w:r w:rsidRPr="00F14453">
              <w:rPr>
                <w:sz w:val="16"/>
                <w:szCs w:val="24"/>
              </w:rPr>
              <w:t>1 hour</w:t>
            </w:r>
          </w:p>
        </w:tc>
        <w:tc>
          <w:tcPr>
            <w:tcW w:w="2534" w:type="dxa"/>
            <w:shd w:val="clear" w:color="auto" w:fill="auto"/>
            <w:hideMark/>
          </w:tcPr>
          <w:p w14:paraId="6EE2BB7E" w14:textId="77777777"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Demand response, pre-dispatch forecasting, network reconfiguration</w:t>
            </w:r>
          </w:p>
        </w:tc>
        <w:tc>
          <w:tcPr>
            <w:tcW w:w="2534" w:type="dxa"/>
            <w:shd w:val="clear" w:color="auto" w:fill="auto"/>
            <w:hideMark/>
          </w:tcPr>
          <w:p w14:paraId="0B3FCB5C" w14:textId="555465F6"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Planned adjustments, tolerates asynchronous control execution</w:t>
            </w:r>
          </w:p>
        </w:tc>
      </w:tr>
      <w:tr w:rsidR="007B09C5" w:rsidRPr="00490AE0" w14:paraId="45904B6C" w14:textId="77777777" w:rsidTr="00991970">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461D2D5D"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Very High Latency</w:t>
            </w:r>
          </w:p>
        </w:tc>
        <w:tc>
          <w:tcPr>
            <w:tcW w:w="1142" w:type="dxa"/>
            <w:hideMark/>
          </w:tcPr>
          <w:p w14:paraId="68622146" w14:textId="64D588B3" w:rsidR="00BD7065" w:rsidRPr="00F14453" w:rsidRDefault="00BD7065" w:rsidP="00DE3589">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1 hour</w:t>
            </w:r>
            <w:r w:rsidR="00496C01" w:rsidRPr="00F14453">
              <w:rPr>
                <w:sz w:val="16"/>
                <w:szCs w:val="24"/>
              </w:rPr>
              <w:t xml:space="preserve"> </w:t>
            </w:r>
            <w:r w:rsidR="00D94BA5" w:rsidRPr="00F14453">
              <w:rPr>
                <w:sz w:val="16"/>
                <w:szCs w:val="24"/>
              </w:rPr>
              <w:t>–</w:t>
            </w:r>
            <w:r w:rsidR="00496C01" w:rsidRPr="00F14453">
              <w:rPr>
                <w:sz w:val="16"/>
                <w:szCs w:val="24"/>
              </w:rPr>
              <w:t xml:space="preserve">                </w:t>
            </w:r>
            <w:r w:rsidRPr="00F14453">
              <w:rPr>
                <w:sz w:val="16"/>
                <w:szCs w:val="24"/>
              </w:rPr>
              <w:t>1 day</w:t>
            </w:r>
          </w:p>
        </w:tc>
        <w:tc>
          <w:tcPr>
            <w:tcW w:w="2534" w:type="dxa"/>
            <w:hideMark/>
          </w:tcPr>
          <w:p w14:paraId="17A36821" w14:textId="77777777"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Day-ahead market ops, DER scheduling, maintenance planning</w:t>
            </w:r>
          </w:p>
        </w:tc>
        <w:tc>
          <w:tcPr>
            <w:tcW w:w="2534" w:type="dxa"/>
            <w:hideMark/>
          </w:tcPr>
          <w:p w14:paraId="72DE6A77" w14:textId="1386AF0E" w:rsidR="00BD7065" w:rsidRPr="00F14453" w:rsidRDefault="00BD7065" w:rsidP="00DE3589">
            <w:pPr>
              <w:spacing w:before="60" w:after="60"/>
              <w:cnfStyle w:val="000000000000" w:firstRow="0" w:lastRow="0" w:firstColumn="0" w:lastColumn="0" w:oddVBand="0" w:evenVBand="0" w:oddHBand="0" w:evenHBand="0" w:firstRowFirstColumn="0" w:firstRowLastColumn="0" w:lastRowFirstColumn="0" w:lastRowLastColumn="0"/>
              <w:rPr>
                <w:sz w:val="16"/>
                <w:szCs w:val="24"/>
              </w:rPr>
            </w:pPr>
            <w:r w:rsidRPr="00F14453">
              <w:rPr>
                <w:sz w:val="16"/>
                <w:szCs w:val="24"/>
              </w:rPr>
              <w:t>Operational preparation with allowance for delayed execution</w:t>
            </w:r>
          </w:p>
        </w:tc>
      </w:tr>
      <w:tr w:rsidR="00A332AB" w:rsidRPr="001C6708" w14:paraId="55C4DC1E" w14:textId="77777777" w:rsidTr="0099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shd w:val="clear" w:color="auto" w:fill="067296" w:themeFill="text2"/>
            <w:vAlign w:val="center"/>
            <w:hideMark/>
          </w:tcPr>
          <w:p w14:paraId="0111CED6" w14:textId="77777777" w:rsidR="00BD7065" w:rsidRPr="00F14453" w:rsidRDefault="00BD7065" w:rsidP="00DE3589">
            <w:pPr>
              <w:spacing w:before="60" w:after="60"/>
              <w:jc w:val="center"/>
              <w:rPr>
                <w:b w:val="0"/>
                <w:color w:val="FAFAFA" w:themeColor="background1"/>
                <w:sz w:val="16"/>
                <w:szCs w:val="24"/>
              </w:rPr>
            </w:pPr>
            <w:r w:rsidRPr="00F14453">
              <w:rPr>
                <w:color w:val="FAFAFA" w:themeColor="background1"/>
                <w:sz w:val="16"/>
                <w:szCs w:val="24"/>
              </w:rPr>
              <w:t>Long-Term Coordination</w:t>
            </w:r>
          </w:p>
        </w:tc>
        <w:tc>
          <w:tcPr>
            <w:tcW w:w="1142" w:type="dxa"/>
            <w:shd w:val="clear" w:color="auto" w:fill="auto"/>
            <w:hideMark/>
          </w:tcPr>
          <w:p w14:paraId="23388E8F" w14:textId="5A68A264" w:rsidR="00BD7065" w:rsidRPr="00F14453" w:rsidRDefault="00BD7065" w:rsidP="00DE3589">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1 day</w:t>
            </w:r>
            <w:r w:rsidR="00496C01" w:rsidRPr="00F14453">
              <w:rPr>
                <w:sz w:val="16"/>
                <w:szCs w:val="24"/>
              </w:rPr>
              <w:t xml:space="preserve"> </w:t>
            </w:r>
            <w:r w:rsidRPr="00F14453">
              <w:rPr>
                <w:sz w:val="16"/>
                <w:szCs w:val="24"/>
              </w:rPr>
              <w:t>–weeks</w:t>
            </w:r>
          </w:p>
        </w:tc>
        <w:tc>
          <w:tcPr>
            <w:tcW w:w="2534" w:type="dxa"/>
            <w:shd w:val="clear" w:color="auto" w:fill="auto"/>
            <w:hideMark/>
          </w:tcPr>
          <w:p w14:paraId="4BC1BADF" w14:textId="77777777"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Network planning, long-term settlement, infrastructure coordination</w:t>
            </w:r>
          </w:p>
        </w:tc>
        <w:tc>
          <w:tcPr>
            <w:tcW w:w="2534" w:type="dxa"/>
            <w:shd w:val="clear" w:color="auto" w:fill="auto"/>
            <w:hideMark/>
          </w:tcPr>
          <w:p w14:paraId="622AE7D2" w14:textId="3EB0E162" w:rsidR="00BD7065" w:rsidRPr="00F14453" w:rsidRDefault="00BD7065" w:rsidP="00DE3589">
            <w:pPr>
              <w:spacing w:before="60" w:after="60"/>
              <w:cnfStyle w:val="000000100000" w:firstRow="0" w:lastRow="0" w:firstColumn="0" w:lastColumn="0" w:oddVBand="0" w:evenVBand="0" w:oddHBand="1" w:evenHBand="0" w:firstRowFirstColumn="0" w:firstRowLastColumn="0" w:lastRowFirstColumn="0" w:lastRowLastColumn="0"/>
              <w:rPr>
                <w:sz w:val="16"/>
                <w:szCs w:val="24"/>
              </w:rPr>
            </w:pPr>
            <w:r w:rsidRPr="00F14453">
              <w:rPr>
                <w:sz w:val="16"/>
                <w:szCs w:val="24"/>
              </w:rPr>
              <w:t>Strategic alignment</w:t>
            </w:r>
            <w:r w:rsidR="00F43BF1">
              <w:rPr>
                <w:sz w:val="16"/>
                <w:szCs w:val="24"/>
              </w:rPr>
              <w:t>:</w:t>
            </w:r>
            <w:r w:rsidRPr="00F14453">
              <w:rPr>
                <w:sz w:val="16"/>
                <w:szCs w:val="24"/>
              </w:rPr>
              <w:t xml:space="preserve"> non-operational</w:t>
            </w:r>
            <w:r w:rsidR="00837D76" w:rsidRPr="00F14453">
              <w:rPr>
                <w:sz w:val="16"/>
                <w:szCs w:val="24"/>
              </w:rPr>
              <w:t xml:space="preserve"> planning functions that</w:t>
            </w:r>
            <w:r w:rsidRPr="00F14453">
              <w:rPr>
                <w:sz w:val="16"/>
                <w:szCs w:val="24"/>
              </w:rPr>
              <w:t xml:space="preserve"> support</w:t>
            </w:r>
            <w:r w:rsidR="00837D76" w:rsidRPr="00F14453">
              <w:rPr>
                <w:sz w:val="16"/>
                <w:szCs w:val="24"/>
              </w:rPr>
              <w:t xml:space="preserve"> </w:t>
            </w:r>
            <w:r w:rsidRPr="00F14453">
              <w:rPr>
                <w:sz w:val="16"/>
                <w:szCs w:val="24"/>
              </w:rPr>
              <w:t>future readiness and design</w:t>
            </w:r>
          </w:p>
        </w:tc>
      </w:tr>
    </w:tbl>
    <w:p w14:paraId="7792ADB6" w14:textId="56E294B5" w:rsidR="007D64C1" w:rsidRDefault="00056A5A" w:rsidP="00470C91">
      <w:pPr>
        <w:pStyle w:val="ListParagraph"/>
        <w:numPr>
          <w:ilvl w:val="0"/>
          <w:numId w:val="10"/>
        </w:numPr>
        <w:spacing w:before="360" w:line="288" w:lineRule="auto"/>
        <w:ind w:left="567" w:hanging="425"/>
        <w:rPr>
          <w:rFonts w:cs="Calibri"/>
          <w:szCs w:val="18"/>
        </w:rPr>
      </w:pPr>
      <w:r w:rsidRPr="00DE3589">
        <w:rPr>
          <w:rFonts w:cs="Calibri"/>
          <w:b/>
          <w:szCs w:val="18"/>
        </w:rPr>
        <w:t>Possible Data Exchange</w:t>
      </w:r>
      <w:r w:rsidR="000729A4" w:rsidRPr="00F14453">
        <w:rPr>
          <w:rFonts w:cs="Calibri"/>
          <w:b/>
          <w:szCs w:val="18"/>
        </w:rPr>
        <w:t>:</w:t>
      </w:r>
      <w:r w:rsidR="000729A4" w:rsidRPr="0063735B">
        <w:rPr>
          <w:rFonts w:cs="Calibri"/>
          <w:szCs w:val="18"/>
        </w:rPr>
        <w:t xml:space="preserve"> Indicates</w:t>
      </w:r>
      <w:r w:rsidR="001A02CC" w:rsidRPr="0063735B">
        <w:rPr>
          <w:rFonts w:cs="Calibri"/>
          <w:szCs w:val="18"/>
        </w:rPr>
        <w:t xml:space="preserve"> potential data exchange options between transmission and distribution systems</w:t>
      </w:r>
      <w:r w:rsidR="00607255" w:rsidRPr="0063735B">
        <w:rPr>
          <w:rFonts w:cs="Calibri"/>
          <w:szCs w:val="18"/>
        </w:rPr>
        <w:t xml:space="preserve">, including </w:t>
      </w:r>
      <w:r w:rsidR="001A02CC" w:rsidRPr="0063735B">
        <w:rPr>
          <w:rFonts w:cs="Calibri"/>
          <w:szCs w:val="18"/>
        </w:rPr>
        <w:t xml:space="preserve">how it </w:t>
      </w:r>
      <w:r w:rsidR="003E5E51">
        <w:rPr>
          <w:rFonts w:cs="Calibri"/>
          <w:szCs w:val="18"/>
        </w:rPr>
        <w:t xml:space="preserve">might </w:t>
      </w:r>
      <w:r w:rsidR="003E5E51" w:rsidRPr="0063735B">
        <w:rPr>
          <w:rFonts w:cs="Calibri"/>
          <w:szCs w:val="18"/>
        </w:rPr>
        <w:t>be</w:t>
      </w:r>
      <w:r w:rsidR="001A02CC" w:rsidRPr="0063735B">
        <w:rPr>
          <w:rFonts w:cs="Calibri"/>
          <w:szCs w:val="18"/>
        </w:rPr>
        <w:t xml:space="preserve"> facilitated through standardi</w:t>
      </w:r>
      <w:r w:rsidR="00607255" w:rsidRPr="0063735B">
        <w:rPr>
          <w:rFonts w:cs="Calibri"/>
          <w:szCs w:val="18"/>
        </w:rPr>
        <w:t>s</w:t>
      </w:r>
      <w:r w:rsidR="001A02CC" w:rsidRPr="0063735B">
        <w:rPr>
          <w:rFonts w:cs="Calibri"/>
          <w:szCs w:val="18"/>
        </w:rPr>
        <w:t xml:space="preserve">ed protocols to ensure interoperability and coordination. </w:t>
      </w:r>
      <w:r w:rsidR="007D64C1">
        <w:rPr>
          <w:rFonts w:cs="Calibri"/>
          <w:szCs w:val="18"/>
        </w:rPr>
        <w:t>This includes:</w:t>
      </w:r>
    </w:p>
    <w:p w14:paraId="14A4500E" w14:textId="16B0AAEE" w:rsidR="007D64C1" w:rsidRDefault="001A02CC" w:rsidP="00991970">
      <w:pPr>
        <w:numPr>
          <w:ilvl w:val="0"/>
          <w:numId w:val="17"/>
        </w:numPr>
        <w:spacing w:before="180" w:after="120" w:line="288" w:lineRule="auto"/>
        <w:ind w:left="851" w:hanging="284"/>
        <w:rPr>
          <w:rFonts w:cs="Calibri"/>
          <w:szCs w:val="18"/>
        </w:rPr>
      </w:pPr>
      <w:r w:rsidRPr="0063735B">
        <w:rPr>
          <w:rFonts w:cs="Calibri"/>
          <w:szCs w:val="18"/>
        </w:rPr>
        <w:t>Common Information Model (CIM, IEC 61970/61968)</w:t>
      </w:r>
      <w:r w:rsidR="007D64C1">
        <w:rPr>
          <w:rFonts w:cs="Calibri"/>
          <w:szCs w:val="18"/>
        </w:rPr>
        <w:t>-</w:t>
      </w:r>
      <w:r w:rsidR="00FF0C40">
        <w:rPr>
          <w:rFonts w:cs="Calibri"/>
          <w:szCs w:val="18"/>
        </w:rPr>
        <w:t>based sharing</w:t>
      </w:r>
      <w:r w:rsidRPr="0063735B">
        <w:rPr>
          <w:rFonts w:cs="Calibri"/>
          <w:szCs w:val="18"/>
        </w:rPr>
        <w:t xml:space="preserve"> </w:t>
      </w:r>
      <w:r w:rsidR="00F43BF1">
        <w:rPr>
          <w:rFonts w:cs="Calibri"/>
          <w:szCs w:val="18"/>
        </w:rPr>
        <w:t xml:space="preserve">of </w:t>
      </w:r>
      <w:r w:rsidR="007D64C1">
        <w:rPr>
          <w:rFonts w:cs="Calibri"/>
          <w:szCs w:val="18"/>
        </w:rPr>
        <w:t xml:space="preserve">physical network </w:t>
      </w:r>
      <w:r w:rsidRPr="0063735B">
        <w:rPr>
          <w:rFonts w:cs="Calibri"/>
          <w:szCs w:val="18"/>
        </w:rPr>
        <w:t>data</w:t>
      </w:r>
      <w:r w:rsidR="007D64C1">
        <w:rPr>
          <w:rFonts w:cs="Calibri"/>
          <w:szCs w:val="18"/>
        </w:rPr>
        <w:t xml:space="preserve"> and </w:t>
      </w:r>
      <w:r w:rsidR="00282211">
        <w:rPr>
          <w:rFonts w:cs="Calibri"/>
          <w:szCs w:val="18"/>
        </w:rPr>
        <w:t>models,</w:t>
      </w:r>
      <w:r w:rsidRPr="0063735B">
        <w:rPr>
          <w:rFonts w:cs="Calibri"/>
          <w:szCs w:val="18"/>
        </w:rPr>
        <w:t xml:space="preserve"> enabling integration of planning, operations, and market systems. </w:t>
      </w:r>
    </w:p>
    <w:p w14:paraId="78CF8E46" w14:textId="77777777" w:rsidR="007D64C1" w:rsidRDefault="001A02CC" w:rsidP="00991970">
      <w:pPr>
        <w:numPr>
          <w:ilvl w:val="0"/>
          <w:numId w:val="17"/>
        </w:numPr>
        <w:spacing w:before="180" w:after="120" w:line="288" w:lineRule="auto"/>
        <w:ind w:left="851" w:hanging="284"/>
        <w:rPr>
          <w:rFonts w:cs="Calibri"/>
          <w:szCs w:val="18"/>
        </w:rPr>
      </w:pPr>
      <w:r w:rsidRPr="0063735B">
        <w:rPr>
          <w:rFonts w:cs="Calibri"/>
          <w:szCs w:val="18"/>
        </w:rPr>
        <w:lastRenderedPageBreak/>
        <w:t>IEC 61850 supports substation automation and real-time communication for protection and control.</w:t>
      </w:r>
    </w:p>
    <w:p w14:paraId="3E2C3EE1" w14:textId="4A506E90" w:rsidR="007D64C1" w:rsidRDefault="001E031A" w:rsidP="00991970">
      <w:pPr>
        <w:numPr>
          <w:ilvl w:val="0"/>
          <w:numId w:val="17"/>
        </w:numPr>
        <w:spacing w:before="180" w:after="120" w:line="288" w:lineRule="auto"/>
        <w:ind w:left="851" w:hanging="284"/>
        <w:rPr>
          <w:rFonts w:cs="Calibri"/>
          <w:szCs w:val="18"/>
        </w:rPr>
      </w:pPr>
      <w:r>
        <w:rPr>
          <w:rFonts w:cs="Calibri"/>
          <w:szCs w:val="18"/>
        </w:rPr>
        <w:t xml:space="preserve">IEC 61968-5:2020 and </w:t>
      </w:r>
      <w:r w:rsidR="00C92A88">
        <w:rPr>
          <w:rFonts w:cs="Calibri"/>
          <w:szCs w:val="18"/>
        </w:rPr>
        <w:t xml:space="preserve">other </w:t>
      </w:r>
      <w:r>
        <w:rPr>
          <w:rFonts w:cs="Calibri"/>
          <w:szCs w:val="18"/>
        </w:rPr>
        <w:t xml:space="preserve">DER group management standards </w:t>
      </w:r>
      <w:r w:rsidR="00983988">
        <w:rPr>
          <w:rFonts w:cs="Calibri"/>
          <w:szCs w:val="18"/>
        </w:rPr>
        <w:t xml:space="preserve">for </w:t>
      </w:r>
      <w:r w:rsidR="00EC54F0">
        <w:rPr>
          <w:rFonts w:cs="Calibri"/>
          <w:szCs w:val="18"/>
        </w:rPr>
        <w:t xml:space="preserve">DER Group-level interactions at the TDIO, including </w:t>
      </w:r>
      <w:r>
        <w:rPr>
          <w:rFonts w:cs="Calibri"/>
          <w:szCs w:val="18"/>
        </w:rPr>
        <w:t xml:space="preserve">DER group </w:t>
      </w:r>
      <w:r w:rsidR="00263941">
        <w:rPr>
          <w:rFonts w:cs="Calibri"/>
          <w:szCs w:val="18"/>
        </w:rPr>
        <w:t>classificatio</w:t>
      </w:r>
      <w:r w:rsidR="00EC54F0">
        <w:rPr>
          <w:rFonts w:cs="Calibri"/>
          <w:szCs w:val="18"/>
        </w:rPr>
        <w:t>n</w:t>
      </w:r>
      <w:r w:rsidR="00C92A88">
        <w:rPr>
          <w:rFonts w:cs="Calibri"/>
          <w:szCs w:val="18"/>
        </w:rPr>
        <w:t xml:space="preserve"> and</w:t>
      </w:r>
      <w:r w:rsidR="00BD6BD5">
        <w:rPr>
          <w:rFonts w:cs="Calibri"/>
          <w:szCs w:val="18"/>
        </w:rPr>
        <w:t xml:space="preserve"> </w:t>
      </w:r>
      <w:r w:rsidR="00C92A88">
        <w:rPr>
          <w:rFonts w:cs="Calibri"/>
          <w:szCs w:val="18"/>
        </w:rPr>
        <w:t>a</w:t>
      </w:r>
      <w:r w:rsidR="00585767">
        <w:rPr>
          <w:rFonts w:cs="Calibri"/>
          <w:szCs w:val="18"/>
        </w:rPr>
        <w:t>ggreg</w:t>
      </w:r>
      <w:r w:rsidR="00160979">
        <w:rPr>
          <w:rFonts w:cs="Calibri"/>
          <w:szCs w:val="18"/>
        </w:rPr>
        <w:t>ated</w:t>
      </w:r>
      <w:r w:rsidR="008B39FB">
        <w:rPr>
          <w:rFonts w:cs="Calibri"/>
          <w:szCs w:val="18"/>
        </w:rPr>
        <w:t xml:space="preserve"> DER monitoring</w:t>
      </w:r>
      <w:r w:rsidR="002C0E36">
        <w:rPr>
          <w:rFonts w:cs="Calibri"/>
          <w:szCs w:val="18"/>
        </w:rPr>
        <w:t xml:space="preserve"> and control</w:t>
      </w:r>
      <w:r w:rsidR="00C2736C">
        <w:rPr>
          <w:rFonts w:cs="Calibri"/>
          <w:szCs w:val="18"/>
        </w:rPr>
        <w:t xml:space="preserve"> outcome</w:t>
      </w:r>
      <w:r w:rsidR="00376DC3">
        <w:rPr>
          <w:rFonts w:cs="Calibri"/>
          <w:szCs w:val="18"/>
        </w:rPr>
        <w:t>s</w:t>
      </w:r>
      <w:r w:rsidR="00C2736C">
        <w:rPr>
          <w:rFonts w:cs="Calibri"/>
          <w:szCs w:val="18"/>
        </w:rPr>
        <w:t xml:space="preserve"> </w:t>
      </w:r>
    </w:p>
    <w:p w14:paraId="2BAB46ED" w14:textId="47E17C75" w:rsidR="00C646F6" w:rsidRPr="0063735B" w:rsidRDefault="007F0C29" w:rsidP="00991970">
      <w:pPr>
        <w:numPr>
          <w:ilvl w:val="0"/>
          <w:numId w:val="17"/>
        </w:numPr>
        <w:spacing w:before="180" w:after="120" w:line="288" w:lineRule="auto"/>
        <w:ind w:left="851" w:hanging="284"/>
        <w:rPr>
          <w:rFonts w:cs="Calibri"/>
          <w:szCs w:val="18"/>
        </w:rPr>
      </w:pPr>
      <w:r>
        <w:rPr>
          <w:rFonts w:cs="Calibri"/>
          <w:szCs w:val="18"/>
        </w:rPr>
        <w:t xml:space="preserve">Device and plant-level interactions through various communication standards and protocols </w:t>
      </w:r>
      <w:r w:rsidR="004A161A">
        <w:rPr>
          <w:rFonts w:cs="Calibri"/>
          <w:szCs w:val="18"/>
        </w:rPr>
        <w:t>including</w:t>
      </w:r>
      <w:r w:rsidR="001A02CC" w:rsidRPr="0063735B">
        <w:rPr>
          <w:rFonts w:cs="Calibri"/>
          <w:szCs w:val="18"/>
        </w:rPr>
        <w:t xml:space="preserve"> IEC 60870-5-104 and DNP3 for SCADA </w:t>
      </w:r>
      <w:r w:rsidR="00F96092">
        <w:rPr>
          <w:rFonts w:cs="Calibri"/>
          <w:szCs w:val="18"/>
        </w:rPr>
        <w:t xml:space="preserve">monitoring and control </w:t>
      </w:r>
      <w:r w:rsidR="005643EA">
        <w:rPr>
          <w:rFonts w:cs="Calibri"/>
          <w:szCs w:val="18"/>
        </w:rPr>
        <w:t>of larger DER installations</w:t>
      </w:r>
      <w:r w:rsidR="001A02CC" w:rsidRPr="0063735B">
        <w:rPr>
          <w:rFonts w:cs="Calibri"/>
          <w:szCs w:val="18"/>
        </w:rPr>
        <w:t>, and IEEE 2030.5</w:t>
      </w:r>
      <w:r>
        <w:rPr>
          <w:rFonts w:cs="Calibri"/>
          <w:szCs w:val="18"/>
        </w:rPr>
        <w:t>, Modbus, DNP3</w:t>
      </w:r>
      <w:r w:rsidR="001A02CC" w:rsidRPr="0063735B">
        <w:rPr>
          <w:rFonts w:cs="Calibri"/>
          <w:szCs w:val="18"/>
        </w:rPr>
        <w:t xml:space="preserve"> for </w:t>
      </w:r>
      <w:r w:rsidR="003710D9">
        <w:rPr>
          <w:rFonts w:cs="Calibri"/>
          <w:szCs w:val="18"/>
        </w:rPr>
        <w:t xml:space="preserve">the </w:t>
      </w:r>
      <w:r w:rsidR="001A02CC" w:rsidRPr="0063735B">
        <w:rPr>
          <w:rFonts w:cs="Calibri"/>
          <w:szCs w:val="18"/>
        </w:rPr>
        <w:t xml:space="preserve">DER interface. These standards support key functions like </w:t>
      </w:r>
      <w:r w:rsidR="00EC54F0">
        <w:rPr>
          <w:rFonts w:cs="Calibri"/>
          <w:szCs w:val="18"/>
        </w:rPr>
        <w:t>monitoring, control</w:t>
      </w:r>
      <w:r w:rsidR="00A1324C">
        <w:rPr>
          <w:rFonts w:cs="Calibri"/>
          <w:szCs w:val="18"/>
        </w:rPr>
        <w:t xml:space="preserve"> and various grid support functions.</w:t>
      </w:r>
    </w:p>
    <w:p w14:paraId="11AED3C9" w14:textId="02A3B7C6" w:rsidR="00056A5A" w:rsidRPr="0063735B" w:rsidRDefault="002D7E3B" w:rsidP="00470C91">
      <w:pPr>
        <w:pStyle w:val="ListParagraph"/>
        <w:numPr>
          <w:ilvl w:val="0"/>
          <w:numId w:val="10"/>
        </w:numPr>
        <w:spacing w:before="240" w:line="288" w:lineRule="auto"/>
        <w:ind w:left="567" w:hanging="425"/>
        <w:rPr>
          <w:rFonts w:cs="Calibri"/>
          <w:szCs w:val="18"/>
        </w:rPr>
      </w:pPr>
      <w:r>
        <w:rPr>
          <w:rFonts w:cs="Calibri"/>
          <w:b/>
          <w:szCs w:val="18"/>
        </w:rPr>
        <w:t>Evolution as DSOs mature</w:t>
      </w:r>
      <w:r w:rsidR="00A22974" w:rsidRPr="00DE3589">
        <w:rPr>
          <w:rFonts w:cs="Calibri"/>
          <w:b/>
          <w:szCs w:val="18"/>
        </w:rPr>
        <w:t>:</w:t>
      </w:r>
      <w:r w:rsidR="00A22974" w:rsidRPr="0063735B">
        <w:rPr>
          <w:rFonts w:cs="Calibri"/>
          <w:szCs w:val="18"/>
        </w:rPr>
        <w:t xml:space="preserve"> </w:t>
      </w:r>
      <w:r w:rsidR="00895D42" w:rsidRPr="0063735B">
        <w:rPr>
          <w:rFonts w:cs="Calibri"/>
          <w:szCs w:val="18"/>
        </w:rPr>
        <w:t>As noted above, m</w:t>
      </w:r>
      <w:r w:rsidR="003E037C" w:rsidRPr="0063735B">
        <w:rPr>
          <w:rFonts w:cs="Calibri"/>
          <w:szCs w:val="18"/>
        </w:rPr>
        <w:t>any f</w:t>
      </w:r>
      <w:r w:rsidR="00A22974" w:rsidRPr="0063735B">
        <w:rPr>
          <w:rFonts w:cs="Calibri"/>
          <w:szCs w:val="18"/>
        </w:rPr>
        <w:t xml:space="preserve">unctions </w:t>
      </w:r>
      <w:r w:rsidR="003E037C" w:rsidRPr="0063735B">
        <w:rPr>
          <w:rFonts w:cs="Calibri"/>
          <w:szCs w:val="18"/>
        </w:rPr>
        <w:t xml:space="preserve">that </w:t>
      </w:r>
      <w:r w:rsidR="00473EC1">
        <w:rPr>
          <w:rFonts w:cs="Calibri"/>
          <w:szCs w:val="18"/>
        </w:rPr>
        <w:t>span</w:t>
      </w:r>
      <w:r w:rsidR="00A22974" w:rsidRPr="0063735B">
        <w:rPr>
          <w:rFonts w:cs="Calibri"/>
          <w:szCs w:val="18"/>
        </w:rPr>
        <w:t xml:space="preserve"> the </w:t>
      </w:r>
      <w:r w:rsidR="00473EC1">
        <w:rPr>
          <w:rFonts w:cs="Calibri"/>
          <w:szCs w:val="18"/>
        </w:rPr>
        <w:t xml:space="preserve">TDI </w:t>
      </w:r>
      <w:r w:rsidR="00E511F4" w:rsidRPr="0063735B">
        <w:rPr>
          <w:rFonts w:cs="Calibri"/>
          <w:szCs w:val="18"/>
        </w:rPr>
        <w:t xml:space="preserve">will need to evolve over time as DSOs mature and </w:t>
      </w:r>
      <w:r w:rsidR="005D23E3" w:rsidRPr="0063735B">
        <w:rPr>
          <w:rFonts w:cs="Calibri"/>
          <w:szCs w:val="18"/>
        </w:rPr>
        <w:t xml:space="preserve">assume more responsibility for system operations within their </w:t>
      </w:r>
      <w:r w:rsidR="00473EC1">
        <w:rPr>
          <w:rFonts w:cs="Calibri"/>
          <w:szCs w:val="18"/>
        </w:rPr>
        <w:t>localised service area</w:t>
      </w:r>
      <w:r w:rsidR="005D23E3" w:rsidRPr="0063735B">
        <w:rPr>
          <w:rFonts w:cs="Calibri"/>
          <w:szCs w:val="18"/>
        </w:rPr>
        <w:t xml:space="preserve">. </w:t>
      </w:r>
      <w:r w:rsidR="00473EC1">
        <w:rPr>
          <w:rFonts w:cs="Calibri"/>
          <w:szCs w:val="18"/>
        </w:rPr>
        <w:t xml:space="preserve">Due to the </w:t>
      </w:r>
      <w:r w:rsidR="0054227E">
        <w:rPr>
          <w:rFonts w:cs="Calibri"/>
          <w:szCs w:val="18"/>
        </w:rPr>
        <w:t xml:space="preserve">scalability issues inherent to </w:t>
      </w:r>
      <w:r w:rsidR="0065334D">
        <w:rPr>
          <w:rFonts w:cs="Calibri"/>
          <w:szCs w:val="18"/>
        </w:rPr>
        <w:t>Multi-entity</w:t>
      </w:r>
      <w:r w:rsidR="0068605B" w:rsidRPr="0063735B">
        <w:rPr>
          <w:rFonts w:cs="Calibri"/>
          <w:szCs w:val="18"/>
        </w:rPr>
        <w:t xml:space="preserve"> </w:t>
      </w:r>
      <w:r w:rsidR="00473EC1">
        <w:rPr>
          <w:rFonts w:cs="Calibri"/>
          <w:szCs w:val="18"/>
        </w:rPr>
        <w:t xml:space="preserve">DSO </w:t>
      </w:r>
      <w:r w:rsidR="0068605B" w:rsidRPr="0063735B">
        <w:rPr>
          <w:rFonts w:cs="Calibri"/>
          <w:szCs w:val="18"/>
        </w:rPr>
        <w:t>architectures</w:t>
      </w:r>
      <w:r w:rsidR="0054227E">
        <w:rPr>
          <w:rFonts w:cs="Calibri"/>
          <w:szCs w:val="18"/>
        </w:rPr>
        <w:t xml:space="preserve">, it is anticipated that these </w:t>
      </w:r>
      <w:r w:rsidR="00FF3985">
        <w:rPr>
          <w:rFonts w:cs="Calibri"/>
          <w:szCs w:val="18"/>
        </w:rPr>
        <w:t xml:space="preserve">structural archetypes will need to </w:t>
      </w:r>
      <w:r w:rsidR="00D94BA5" w:rsidRPr="0063735B">
        <w:rPr>
          <w:rFonts w:cs="Calibri"/>
          <w:szCs w:val="18"/>
        </w:rPr>
        <w:t xml:space="preserve">evolve </w:t>
      </w:r>
      <w:r w:rsidR="00FF3985">
        <w:rPr>
          <w:rFonts w:cs="Calibri"/>
          <w:szCs w:val="18"/>
        </w:rPr>
        <w:t>in the direction of Layered Coordination DSO models over time</w:t>
      </w:r>
      <w:r w:rsidR="00B46996">
        <w:rPr>
          <w:rFonts w:cs="Calibri"/>
          <w:szCs w:val="18"/>
        </w:rPr>
        <w:t xml:space="preserve"> (Refer</w:t>
      </w:r>
      <w:r w:rsidR="004A3203" w:rsidRPr="0063735B">
        <w:rPr>
          <w:rFonts w:cs="Calibri"/>
          <w:szCs w:val="18"/>
        </w:rPr>
        <w:t xml:space="preserve"> Report 4 Section 10.4)</w:t>
      </w:r>
      <w:r w:rsidR="0032191A" w:rsidRPr="0063735B">
        <w:rPr>
          <w:rFonts w:cs="Calibri"/>
          <w:szCs w:val="18"/>
        </w:rPr>
        <w:t xml:space="preserve">. For </w:t>
      </w:r>
      <w:r w:rsidR="00D94BA5" w:rsidRPr="0063735B">
        <w:rPr>
          <w:rFonts w:cs="Calibri"/>
          <w:szCs w:val="18"/>
        </w:rPr>
        <w:t>example,</w:t>
      </w:r>
      <w:r w:rsidR="00A22974" w:rsidRPr="0063735B">
        <w:rPr>
          <w:rFonts w:cs="Calibri"/>
          <w:szCs w:val="18"/>
        </w:rPr>
        <w:t xml:space="preserve"> </w:t>
      </w:r>
      <w:r w:rsidR="00784B87" w:rsidRPr="0063735B">
        <w:rPr>
          <w:rFonts w:cs="Calibri"/>
          <w:szCs w:val="18"/>
        </w:rPr>
        <w:t>CER/</w:t>
      </w:r>
      <w:r w:rsidR="00A22974" w:rsidRPr="0063735B">
        <w:rPr>
          <w:rFonts w:cs="Calibri"/>
          <w:szCs w:val="18"/>
        </w:rPr>
        <w:t xml:space="preserve">DER dispatch, </w:t>
      </w:r>
      <w:r w:rsidR="0032191A" w:rsidRPr="0063735B">
        <w:rPr>
          <w:rFonts w:cs="Calibri"/>
          <w:szCs w:val="18"/>
        </w:rPr>
        <w:t>constraints</w:t>
      </w:r>
      <w:r w:rsidR="00A22974" w:rsidRPr="0063735B">
        <w:rPr>
          <w:rFonts w:cs="Calibri"/>
          <w:szCs w:val="18"/>
        </w:rPr>
        <w:t xml:space="preserve"> management, and voltage control</w:t>
      </w:r>
      <w:r w:rsidR="0032191A" w:rsidRPr="0063735B">
        <w:rPr>
          <w:rFonts w:cs="Calibri"/>
          <w:szCs w:val="18"/>
        </w:rPr>
        <w:t xml:space="preserve"> </w:t>
      </w:r>
      <w:r w:rsidR="00A22974" w:rsidRPr="0063735B">
        <w:rPr>
          <w:rFonts w:cs="Calibri"/>
          <w:szCs w:val="18"/>
        </w:rPr>
        <w:t xml:space="preserve">often begin under a </w:t>
      </w:r>
      <w:r w:rsidR="0065334D">
        <w:rPr>
          <w:rFonts w:cs="Calibri"/>
          <w:szCs w:val="18"/>
        </w:rPr>
        <w:t>Multi-entity</w:t>
      </w:r>
      <w:r w:rsidR="00A22974" w:rsidRPr="0063735B">
        <w:rPr>
          <w:rFonts w:cs="Calibri"/>
          <w:szCs w:val="18"/>
        </w:rPr>
        <w:t xml:space="preserve"> </w:t>
      </w:r>
      <w:r w:rsidR="00B46996">
        <w:rPr>
          <w:rFonts w:cs="Calibri"/>
          <w:szCs w:val="18"/>
        </w:rPr>
        <w:t xml:space="preserve">DSO </w:t>
      </w:r>
      <w:r w:rsidR="00A22974" w:rsidRPr="0063735B">
        <w:rPr>
          <w:rFonts w:cs="Calibri"/>
          <w:szCs w:val="18"/>
        </w:rPr>
        <w:t xml:space="preserve">model with </w:t>
      </w:r>
      <w:r w:rsidR="00B46996">
        <w:rPr>
          <w:rFonts w:cs="Calibri"/>
          <w:szCs w:val="18"/>
        </w:rPr>
        <w:t>System Operator</w:t>
      </w:r>
      <w:r w:rsidR="00A22974" w:rsidRPr="0063735B">
        <w:rPr>
          <w:rFonts w:cs="Calibri"/>
          <w:szCs w:val="18"/>
        </w:rPr>
        <w:t xml:space="preserve">-led coordination and DSO support. As systems mature, responsibility may progressively shift to DSOs in a layered architecture. </w:t>
      </w:r>
      <w:r w:rsidR="00531462" w:rsidRPr="00531462">
        <w:rPr>
          <w:rFonts w:cs="Calibri"/>
          <w:szCs w:val="18"/>
        </w:rPr>
        <w:t>Consequently</w:t>
      </w:r>
      <w:r w:rsidR="00651CF4" w:rsidRPr="0063735B">
        <w:rPr>
          <w:rFonts w:cs="Calibri"/>
          <w:szCs w:val="18"/>
        </w:rPr>
        <w:t xml:space="preserve">, a commensurate evolution of T-D </w:t>
      </w:r>
      <w:r w:rsidR="00A330C6">
        <w:rPr>
          <w:rFonts w:cs="Calibri"/>
          <w:szCs w:val="18"/>
        </w:rPr>
        <w:t>Coordination</w:t>
      </w:r>
      <w:r w:rsidR="00651CF4" w:rsidRPr="0063735B">
        <w:rPr>
          <w:rFonts w:cs="Calibri"/>
          <w:szCs w:val="18"/>
        </w:rPr>
        <w:t xml:space="preserve"> will </w:t>
      </w:r>
      <w:r w:rsidR="00020A25" w:rsidRPr="0063735B">
        <w:rPr>
          <w:rFonts w:cs="Calibri"/>
          <w:szCs w:val="18"/>
        </w:rPr>
        <w:t>be required</w:t>
      </w:r>
      <w:r w:rsidR="00A22974" w:rsidRPr="0063735B">
        <w:rPr>
          <w:rFonts w:cs="Calibri"/>
          <w:szCs w:val="18"/>
        </w:rPr>
        <w:t>.</w:t>
      </w:r>
    </w:p>
    <w:p w14:paraId="4698C2AA" w14:textId="3A794EF4" w:rsidR="00533F80" w:rsidRPr="0063735B" w:rsidRDefault="00533F80" w:rsidP="00470C91">
      <w:pPr>
        <w:pStyle w:val="ListParagraph"/>
        <w:numPr>
          <w:ilvl w:val="0"/>
          <w:numId w:val="10"/>
        </w:numPr>
        <w:spacing w:before="240" w:line="288" w:lineRule="auto"/>
        <w:ind w:left="567" w:hanging="425"/>
        <w:rPr>
          <w:rFonts w:cs="Calibri"/>
          <w:szCs w:val="18"/>
        </w:rPr>
      </w:pPr>
      <w:r w:rsidRPr="00DE3589">
        <w:rPr>
          <w:rFonts w:cs="Calibri"/>
          <w:b/>
          <w:szCs w:val="18"/>
        </w:rPr>
        <w:t>Directionality</w:t>
      </w:r>
      <w:r w:rsidR="00BF4005" w:rsidRPr="0063735B">
        <w:rPr>
          <w:rFonts w:cs="Calibri"/>
          <w:szCs w:val="18"/>
        </w:rPr>
        <w:t xml:space="preserve">: </w:t>
      </w:r>
      <w:r w:rsidR="00147EE3" w:rsidRPr="0063735B">
        <w:rPr>
          <w:rFonts w:cs="Calibri"/>
          <w:szCs w:val="18"/>
        </w:rPr>
        <w:t>Indicates wh</w:t>
      </w:r>
      <w:r w:rsidR="00B506F2" w:rsidRPr="0063735B">
        <w:rPr>
          <w:rFonts w:cs="Calibri"/>
          <w:szCs w:val="18"/>
        </w:rPr>
        <w:t xml:space="preserve">ich </w:t>
      </w:r>
      <w:r w:rsidR="00147EE3" w:rsidRPr="0063735B">
        <w:rPr>
          <w:rFonts w:cs="Calibri"/>
          <w:szCs w:val="18"/>
        </w:rPr>
        <w:t>actors</w:t>
      </w:r>
      <w:r w:rsidR="00837F1E" w:rsidRPr="0063735B">
        <w:rPr>
          <w:rFonts w:cs="Calibri"/>
          <w:szCs w:val="18"/>
        </w:rPr>
        <w:t xml:space="preserve"> have dependencies on other actors to perform the function, most</w:t>
      </w:r>
      <w:r w:rsidR="00B34788" w:rsidRPr="0063735B">
        <w:rPr>
          <w:rFonts w:cs="Calibri"/>
          <w:szCs w:val="18"/>
        </w:rPr>
        <w:t xml:space="preserve"> often referring to the provision of required data.</w:t>
      </w:r>
      <w:r w:rsidR="00B506F2" w:rsidRPr="0063735B">
        <w:rPr>
          <w:rFonts w:cs="Calibri"/>
          <w:szCs w:val="18"/>
        </w:rPr>
        <w:t xml:space="preserve"> </w:t>
      </w:r>
      <w:r w:rsidR="00804E8E" w:rsidRPr="0063735B">
        <w:rPr>
          <w:rFonts w:cs="Calibri"/>
          <w:szCs w:val="18"/>
        </w:rPr>
        <w:t>Arrows indicated the directionality of the dependency.</w:t>
      </w:r>
    </w:p>
    <w:p w14:paraId="04755FD4" w14:textId="68F4E021" w:rsidR="00533F80" w:rsidRPr="0063735B" w:rsidRDefault="00533F80" w:rsidP="00470C91">
      <w:pPr>
        <w:pStyle w:val="ListParagraph"/>
        <w:numPr>
          <w:ilvl w:val="0"/>
          <w:numId w:val="10"/>
        </w:numPr>
        <w:spacing w:before="240" w:line="288" w:lineRule="auto"/>
        <w:ind w:left="567" w:hanging="425"/>
        <w:rPr>
          <w:rFonts w:cs="Calibri"/>
          <w:szCs w:val="18"/>
        </w:rPr>
      </w:pPr>
      <w:r w:rsidRPr="00DE3589">
        <w:rPr>
          <w:rFonts w:cs="Calibri"/>
          <w:b/>
          <w:szCs w:val="18"/>
        </w:rPr>
        <w:t>Implementation Maturity</w:t>
      </w:r>
      <w:r w:rsidR="00B34788" w:rsidRPr="00DE3589">
        <w:rPr>
          <w:rFonts w:cs="Calibri"/>
          <w:b/>
          <w:szCs w:val="18"/>
        </w:rPr>
        <w:t>:</w:t>
      </w:r>
      <w:r w:rsidR="00B34788" w:rsidRPr="0063735B">
        <w:rPr>
          <w:rFonts w:cs="Calibri"/>
          <w:szCs w:val="18"/>
        </w:rPr>
        <w:t xml:space="preserve"> Refers to the </w:t>
      </w:r>
      <w:r w:rsidR="006D72E2" w:rsidRPr="0063735B">
        <w:rPr>
          <w:rFonts w:cs="Calibri"/>
          <w:szCs w:val="18"/>
        </w:rPr>
        <w:t>current maturity of the function</w:t>
      </w:r>
      <w:r w:rsidR="00AF49CF" w:rsidRPr="0063735B">
        <w:rPr>
          <w:rFonts w:cs="Calibri"/>
          <w:szCs w:val="18"/>
        </w:rPr>
        <w:t xml:space="preserve"> including </w:t>
      </w:r>
      <w:r w:rsidR="0003044C" w:rsidRPr="0063735B">
        <w:rPr>
          <w:rFonts w:cs="Calibri"/>
          <w:szCs w:val="18"/>
        </w:rPr>
        <w:t xml:space="preserve">whether the function is an </w:t>
      </w:r>
      <w:r w:rsidR="00AF49CF" w:rsidRPr="0063735B">
        <w:rPr>
          <w:rFonts w:cs="Calibri"/>
          <w:szCs w:val="18"/>
        </w:rPr>
        <w:t xml:space="preserve">entirely new </w:t>
      </w:r>
      <w:r w:rsidR="00C105C8" w:rsidRPr="0063735B">
        <w:rPr>
          <w:rFonts w:cs="Calibri"/>
          <w:szCs w:val="18"/>
        </w:rPr>
        <w:t>function</w:t>
      </w:r>
      <w:r w:rsidR="0003044C" w:rsidRPr="0063735B">
        <w:rPr>
          <w:rFonts w:cs="Calibri"/>
          <w:szCs w:val="18"/>
        </w:rPr>
        <w:t xml:space="preserve"> set.</w:t>
      </w:r>
      <w:r w:rsidR="00C105C8" w:rsidRPr="0063735B">
        <w:rPr>
          <w:rFonts w:cs="Calibri"/>
          <w:szCs w:val="18"/>
        </w:rPr>
        <w:t xml:space="preserve"> Conversely, this indicates the </w:t>
      </w:r>
      <w:r w:rsidR="003945D9" w:rsidRPr="0063735B">
        <w:rPr>
          <w:rFonts w:cs="Calibri"/>
          <w:szCs w:val="18"/>
        </w:rPr>
        <w:t>capability gap that must be addressed to support T-D Coordination.</w:t>
      </w:r>
    </w:p>
    <w:p w14:paraId="6C41FFF1" w14:textId="77777777" w:rsidR="00CF3B11" w:rsidRPr="00531462" w:rsidRDefault="00CF3B11" w:rsidP="00F14453">
      <w:pPr>
        <w:ind w:left="142"/>
        <w:sectPr w:rsidR="00CF3B11" w:rsidRPr="00531462" w:rsidSect="00CF3B11">
          <w:pgSz w:w="11906" w:h="16838"/>
          <w:pgMar w:top="2552" w:right="1134" w:bottom="851" w:left="2552" w:header="709" w:footer="709" w:gutter="0"/>
          <w:cols w:space="708"/>
          <w:docGrid w:linePitch="360"/>
        </w:sectPr>
      </w:pPr>
    </w:p>
    <w:p w14:paraId="05D4E7E2" w14:textId="1035BB8C" w:rsidR="00CA2EFE" w:rsidRPr="00DE3589" w:rsidRDefault="009443EA" w:rsidP="00D63C88">
      <w:pPr>
        <w:pStyle w:val="Heading2"/>
        <w:ind w:left="709" w:hanging="709"/>
      </w:pPr>
      <w:bookmarkStart w:id="200" w:name="_Toc205532870"/>
      <w:r>
        <w:lastRenderedPageBreak/>
        <w:t>Structural</w:t>
      </w:r>
      <w:r w:rsidR="00A22CD9">
        <w:t xml:space="preserve"> Coordination</w:t>
      </w:r>
      <w:r w:rsidR="00895D42">
        <w:t xml:space="preserve"> </w:t>
      </w:r>
      <w:r w:rsidR="00895D42" w:rsidRPr="00895D42">
        <w:t>and Data Exchange</w:t>
      </w:r>
      <w:bookmarkEnd w:id="200"/>
    </w:p>
    <w:p w14:paraId="1C48738D" w14:textId="6832ED9A" w:rsidR="00000936" w:rsidRPr="00DE3589" w:rsidRDefault="005D46B0" w:rsidP="008A24FA">
      <w:r w:rsidRPr="005D46B0">
        <w:rPr>
          <w:rFonts w:cs="Calibri"/>
          <w:szCs w:val="18"/>
        </w:rPr>
        <w:t xml:space="preserve">Structural coordination and data exchange supports grid modelling for planning and operations. It includes persistent attributes like </w:t>
      </w:r>
      <w:r w:rsidR="00EB1DD9">
        <w:rPr>
          <w:rFonts w:cs="Calibri"/>
          <w:szCs w:val="18"/>
        </w:rPr>
        <w:t xml:space="preserve">physical </w:t>
      </w:r>
      <w:r w:rsidRPr="005D46B0">
        <w:rPr>
          <w:rFonts w:cs="Calibri"/>
          <w:szCs w:val="18"/>
        </w:rPr>
        <w:t xml:space="preserve">asset capacities, network topology, and operational limits. This data forms the foundation for </w:t>
      </w:r>
      <w:r w:rsidR="00E55EA0">
        <w:rPr>
          <w:rFonts w:cs="Calibri"/>
          <w:szCs w:val="18"/>
        </w:rPr>
        <w:t>the</w:t>
      </w:r>
      <w:r w:rsidR="00E55EA0" w:rsidRPr="005D46B0">
        <w:rPr>
          <w:rFonts w:cs="Calibri"/>
          <w:szCs w:val="18"/>
        </w:rPr>
        <w:t xml:space="preserve"> </w:t>
      </w:r>
      <w:r w:rsidRPr="005D46B0">
        <w:rPr>
          <w:rFonts w:cs="Calibri"/>
          <w:szCs w:val="18"/>
        </w:rPr>
        <w:t>observability</w:t>
      </w:r>
      <w:r w:rsidR="00E55EA0">
        <w:rPr>
          <w:rFonts w:cs="Calibri"/>
          <w:szCs w:val="18"/>
        </w:rPr>
        <w:t xml:space="preserve"> required</w:t>
      </w:r>
      <w:r w:rsidRPr="005D46B0">
        <w:rPr>
          <w:rFonts w:cs="Calibri"/>
          <w:szCs w:val="18"/>
        </w:rPr>
        <w:t xml:space="preserve"> across the </w:t>
      </w:r>
      <w:r w:rsidR="008A6D24">
        <w:rPr>
          <w:rFonts w:cs="Calibri"/>
          <w:szCs w:val="18"/>
        </w:rPr>
        <w:t>Transmission-Distribution Interface</w:t>
      </w:r>
      <w:r w:rsidR="00E73450">
        <w:rPr>
          <w:rFonts w:cs="Calibri"/>
          <w:szCs w:val="18"/>
        </w:rPr>
        <w:t>s (TDI)</w:t>
      </w:r>
      <w:r w:rsidRPr="005D46B0">
        <w:rPr>
          <w:rFonts w:cs="Calibri"/>
          <w:szCs w:val="18"/>
        </w:rPr>
        <w:t>, enabling power flow and voltage analysis, essential for dynamic security assessments, constraint monitoring, and congestion mitigation</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54"/>
        <w:gridCol w:w="2665"/>
        <w:gridCol w:w="1109"/>
        <w:gridCol w:w="1453"/>
        <w:gridCol w:w="1086"/>
        <w:gridCol w:w="3685"/>
        <w:gridCol w:w="1200"/>
        <w:gridCol w:w="1811"/>
      </w:tblGrid>
      <w:tr w:rsidR="003F5A19" w:rsidRPr="005938BE" w14:paraId="173DF644" w14:textId="056314E5" w:rsidTr="00ED5BCF">
        <w:trPr>
          <w:trHeight w:val="454"/>
          <w:tblHeader/>
        </w:trPr>
        <w:tc>
          <w:tcPr>
            <w:tcW w:w="15163" w:type="dxa"/>
            <w:gridSpan w:val="8"/>
            <w:shd w:val="clear" w:color="auto" w:fill="013C4C"/>
            <w:vAlign w:val="center"/>
          </w:tcPr>
          <w:p w14:paraId="452535B6" w14:textId="117D5569" w:rsidR="003F5A19" w:rsidRPr="00D20196" w:rsidRDefault="003F5A19" w:rsidP="00DE3589">
            <w:pPr>
              <w:spacing w:before="0" w:after="0" w:line="252" w:lineRule="auto"/>
              <w:jc w:val="center"/>
              <w:rPr>
                <w:rFonts w:ascii="PP Mori SemiBold" w:eastAsia="Aptos" w:hAnsi="PP Mori SemiBold" w:cs="Cordia New"/>
                <w:b/>
                <w:sz w:val="16"/>
                <w:szCs w:val="16"/>
                <w:lang w:eastAsia="en-US"/>
              </w:rPr>
            </w:pPr>
            <w:r w:rsidRPr="00DE3589">
              <w:rPr>
                <w:rFonts w:ascii="PP Mori SemiBold" w:eastAsia="Aptos" w:hAnsi="PP Mori SemiBold" w:cs="Cordia New"/>
                <w:b/>
                <w:sz w:val="16"/>
                <w:szCs w:val="16"/>
                <w:lang w:eastAsia="en-US"/>
              </w:rPr>
              <w:t>Structural Coordination</w:t>
            </w:r>
            <w:r w:rsidR="00895D42">
              <w:rPr>
                <w:rFonts w:ascii="PP Mori SemiBold" w:eastAsia="Aptos" w:hAnsi="PP Mori SemiBold" w:cs="Cordia New"/>
                <w:b/>
                <w:sz w:val="16"/>
                <w:szCs w:val="16"/>
                <w:lang w:eastAsia="en-US"/>
              </w:rPr>
              <w:t xml:space="preserve"> </w:t>
            </w:r>
            <w:r w:rsidR="00895D42" w:rsidRPr="00895D42">
              <w:rPr>
                <w:rFonts w:ascii="PP Mori SemiBold" w:eastAsia="Aptos" w:hAnsi="PP Mori SemiBold" w:cs="Cordia New"/>
                <w:b/>
                <w:sz w:val="16"/>
                <w:szCs w:val="16"/>
                <w:lang w:eastAsia="en-US"/>
              </w:rPr>
              <w:t>and Data Exchange</w:t>
            </w:r>
          </w:p>
        </w:tc>
      </w:tr>
      <w:tr w:rsidR="00537F3D" w:rsidRPr="005938BE" w14:paraId="7E870EC4" w14:textId="77777777" w:rsidTr="00ED5BCF">
        <w:trPr>
          <w:tblHeader/>
        </w:trPr>
        <w:tc>
          <w:tcPr>
            <w:tcW w:w="2154" w:type="dxa"/>
            <w:shd w:val="clear" w:color="auto" w:fill="067296" w:themeFill="text2"/>
            <w:vAlign w:val="center"/>
            <w:hideMark/>
          </w:tcPr>
          <w:p w14:paraId="3F1D44F4" w14:textId="07DB5208" w:rsidR="00D20196" w:rsidRPr="00DE3589"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sidRPr="00DE3589">
              <w:rPr>
                <w:rFonts w:ascii="PP Mori SemiBold" w:eastAsia="Aptos" w:hAnsi="PP Mori SemiBold" w:cs="Cordia New"/>
                <w:color w:val="FAFAFA" w:themeColor="background1"/>
                <w:sz w:val="16"/>
                <w:szCs w:val="16"/>
                <w:lang w:eastAsia="en-US"/>
              </w:rPr>
              <w:t>Core Functions</w:t>
            </w:r>
          </w:p>
        </w:tc>
        <w:tc>
          <w:tcPr>
            <w:tcW w:w="2665" w:type="dxa"/>
            <w:shd w:val="clear" w:color="auto" w:fill="067296" w:themeFill="text2"/>
            <w:vAlign w:val="center"/>
            <w:hideMark/>
          </w:tcPr>
          <w:p w14:paraId="60EB0B99" w14:textId="77777777" w:rsidR="00D20196" w:rsidRPr="00DE3589"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sidRPr="00DE3589">
              <w:rPr>
                <w:rFonts w:ascii="PP Mori SemiBold" w:eastAsia="Aptos" w:hAnsi="PP Mori SemiBold" w:cs="Cordia New"/>
                <w:color w:val="FAFAFA" w:themeColor="background1"/>
                <w:sz w:val="16"/>
                <w:szCs w:val="16"/>
                <w:lang w:eastAsia="en-US"/>
              </w:rPr>
              <w:t>Purpose</w:t>
            </w:r>
          </w:p>
        </w:tc>
        <w:tc>
          <w:tcPr>
            <w:tcW w:w="1109" w:type="dxa"/>
            <w:shd w:val="clear" w:color="auto" w:fill="067296" w:themeFill="text2"/>
            <w:vAlign w:val="center"/>
          </w:tcPr>
          <w:p w14:paraId="6F02CEB6" w14:textId="55447859" w:rsidR="00D20196" w:rsidRPr="00DE3589"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sidRPr="00DE3589">
              <w:rPr>
                <w:rFonts w:ascii="PP Mori SemiBold" w:eastAsia="Aptos" w:hAnsi="PP Mori SemiBold" w:cs="Cordia New"/>
                <w:color w:val="FAFAFA" w:themeColor="background1"/>
                <w:sz w:val="16"/>
                <w:szCs w:val="16"/>
                <w:lang w:eastAsia="en-US"/>
              </w:rPr>
              <w:t>Timeframes</w:t>
            </w:r>
          </w:p>
        </w:tc>
        <w:tc>
          <w:tcPr>
            <w:tcW w:w="1453" w:type="dxa"/>
            <w:shd w:val="clear" w:color="auto" w:fill="067296" w:themeFill="text2"/>
            <w:vAlign w:val="center"/>
          </w:tcPr>
          <w:p w14:paraId="1AAC2456" w14:textId="53D779A3" w:rsidR="00D20196" w:rsidRPr="00DE3589"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sidRPr="00DE3589">
              <w:rPr>
                <w:rFonts w:ascii="PP Mori SemiBold" w:eastAsia="Aptos" w:hAnsi="PP Mori SemiBold" w:cs="Cordia New"/>
                <w:color w:val="FAFAFA" w:themeColor="background1"/>
                <w:sz w:val="16"/>
                <w:szCs w:val="16"/>
                <w:lang w:eastAsia="en-US"/>
              </w:rPr>
              <w:t>Latency Tolerance</w:t>
            </w:r>
          </w:p>
        </w:tc>
        <w:tc>
          <w:tcPr>
            <w:tcW w:w="1086" w:type="dxa"/>
            <w:shd w:val="clear" w:color="auto" w:fill="067296" w:themeFill="text2"/>
            <w:vAlign w:val="center"/>
          </w:tcPr>
          <w:p w14:paraId="5D2498DE" w14:textId="5D57F7B7" w:rsidR="00D20196" w:rsidRPr="00DE3589"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sidRPr="00DE3589">
              <w:rPr>
                <w:rFonts w:ascii="PP Mori SemiBold" w:eastAsia="Aptos" w:hAnsi="PP Mori SemiBold" w:cs="Cordia New"/>
                <w:color w:val="FAFAFA" w:themeColor="background1"/>
                <w:sz w:val="16"/>
                <w:szCs w:val="16"/>
                <w:lang w:eastAsia="en-US"/>
              </w:rPr>
              <w:t>Possible Data Exchange</w:t>
            </w:r>
          </w:p>
        </w:tc>
        <w:tc>
          <w:tcPr>
            <w:tcW w:w="3685" w:type="dxa"/>
            <w:shd w:val="clear" w:color="auto" w:fill="067296" w:themeFill="text2"/>
            <w:vAlign w:val="center"/>
          </w:tcPr>
          <w:p w14:paraId="547ED4F6" w14:textId="076CF68C" w:rsidR="00D20196" w:rsidRPr="00DE3589" w:rsidRDefault="00D845F3" w:rsidP="007A03F3">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Evolution as DSOs mature</w:t>
            </w:r>
          </w:p>
        </w:tc>
        <w:tc>
          <w:tcPr>
            <w:tcW w:w="1200" w:type="dxa"/>
            <w:shd w:val="clear" w:color="auto" w:fill="067296" w:themeFill="text2"/>
            <w:vAlign w:val="center"/>
          </w:tcPr>
          <w:p w14:paraId="6B76C63B" w14:textId="0ECA7AD7" w:rsidR="00D20196" w:rsidRPr="005938BE" w:rsidRDefault="00D20196" w:rsidP="007A03F3">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Directionality</w:t>
            </w:r>
          </w:p>
        </w:tc>
        <w:tc>
          <w:tcPr>
            <w:tcW w:w="1811" w:type="dxa"/>
            <w:shd w:val="clear" w:color="auto" w:fill="067296" w:themeFill="text2"/>
            <w:vAlign w:val="center"/>
          </w:tcPr>
          <w:p w14:paraId="79EC96F2" w14:textId="46A60E76" w:rsidR="00D20196" w:rsidRPr="00DE3589" w:rsidRDefault="00D20196" w:rsidP="007A03F3">
            <w:pPr>
              <w:spacing w:before="0" w:after="0" w:line="240" w:lineRule="auto"/>
              <w:jc w:val="center"/>
              <w:rPr>
                <w:rFonts w:ascii="PP Mori SemiBold" w:eastAsia="Aptos" w:hAnsi="PP Mori SemiBold" w:cs="Cordia New"/>
                <w:color w:val="FAFAFA" w:themeColor="background1"/>
                <w:sz w:val="14"/>
                <w:szCs w:val="14"/>
                <w:lang w:eastAsia="en-US"/>
              </w:rPr>
            </w:pPr>
            <w:r w:rsidRPr="00776409">
              <w:rPr>
                <w:rFonts w:ascii="PP Mori SemiBold" w:eastAsia="Aptos" w:hAnsi="PP Mori SemiBold" w:cs="Cordia New"/>
                <w:color w:val="FAFAFA" w:themeColor="background1"/>
                <w:sz w:val="16"/>
                <w:szCs w:val="16"/>
                <w:lang w:eastAsia="en-US"/>
              </w:rPr>
              <w:t>Implementation Maturity</w:t>
            </w:r>
          </w:p>
        </w:tc>
      </w:tr>
      <w:tr w:rsidR="00776409" w:rsidRPr="005938BE" w14:paraId="68B369F2" w14:textId="7C7BE4E6" w:rsidTr="00ED5BCF">
        <w:tc>
          <w:tcPr>
            <w:tcW w:w="2154" w:type="dxa"/>
            <w:hideMark/>
          </w:tcPr>
          <w:p w14:paraId="6F59A473" w14:textId="3751799B" w:rsidR="00776409" w:rsidRPr="00DE3589" w:rsidRDefault="00871449" w:rsidP="00192F89">
            <w:pPr>
              <w:spacing w:before="0" w:after="0" w:line="240" w:lineRule="auto"/>
              <w:rPr>
                <w:rFonts w:eastAsia="Aptos" w:cs="Cordia New"/>
                <w:sz w:val="14"/>
                <w:szCs w:val="14"/>
                <w:lang w:eastAsia="en-US"/>
              </w:rPr>
            </w:pPr>
            <w:r>
              <w:rPr>
                <w:rFonts w:eastAsia="Aptos" w:cs="Cordia New"/>
                <w:sz w:val="14"/>
                <w:szCs w:val="14"/>
                <w:lang w:eastAsia="en-US"/>
              </w:rPr>
              <w:t>Default</w:t>
            </w:r>
            <w:r w:rsidR="00776409" w:rsidRPr="00DE3589">
              <w:rPr>
                <w:rFonts w:eastAsia="Aptos" w:cs="Cordia New"/>
                <w:sz w:val="14"/>
                <w:szCs w:val="14"/>
                <w:lang w:eastAsia="en-US"/>
              </w:rPr>
              <w:t xml:space="preserve"> grid equivalents at T-D interconnection points for models</w:t>
            </w:r>
          </w:p>
        </w:tc>
        <w:tc>
          <w:tcPr>
            <w:tcW w:w="2665" w:type="dxa"/>
            <w:hideMark/>
          </w:tcPr>
          <w:p w14:paraId="5D06CB55" w14:textId="33ECD58A" w:rsidR="00776409" w:rsidRPr="00DE3589" w:rsidRDefault="0077640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Enables both system operators </w:t>
            </w:r>
            <w:r w:rsidR="00871449">
              <w:rPr>
                <w:rFonts w:eastAsia="Aptos" w:cs="Cordia New"/>
                <w:sz w:val="14"/>
                <w:szCs w:val="14"/>
                <w:lang w:eastAsia="en-US"/>
              </w:rPr>
              <w:t xml:space="preserve">to develop </w:t>
            </w:r>
            <w:r w:rsidRPr="00DE3589">
              <w:rPr>
                <w:rFonts w:eastAsia="Aptos" w:cs="Cordia New"/>
                <w:sz w:val="14"/>
                <w:szCs w:val="14"/>
                <w:lang w:eastAsia="en-US"/>
              </w:rPr>
              <w:t>model</w:t>
            </w:r>
            <w:r w:rsidR="00871449">
              <w:rPr>
                <w:rFonts w:eastAsia="Aptos" w:cs="Cordia New"/>
                <w:sz w:val="14"/>
                <w:szCs w:val="14"/>
                <w:lang w:eastAsia="en-US"/>
              </w:rPr>
              <w:t>s</w:t>
            </w:r>
            <w:r w:rsidR="003516D8">
              <w:rPr>
                <w:rFonts w:eastAsia="Aptos" w:cs="Cordia New"/>
                <w:sz w:val="14"/>
                <w:szCs w:val="14"/>
                <w:lang w:eastAsia="en-US"/>
              </w:rPr>
              <w:t xml:space="preserve"> of</w:t>
            </w:r>
            <w:r w:rsidRPr="00DE3589">
              <w:rPr>
                <w:rFonts w:eastAsia="Aptos" w:cs="Cordia New"/>
                <w:sz w:val="14"/>
                <w:szCs w:val="14"/>
                <w:lang w:eastAsia="en-US"/>
              </w:rPr>
              <w:t xml:space="preserve"> upstream/downstream systems </w:t>
            </w:r>
            <w:r w:rsidR="003516D8">
              <w:rPr>
                <w:rFonts w:eastAsia="Aptos" w:cs="Cordia New"/>
                <w:sz w:val="14"/>
                <w:szCs w:val="14"/>
                <w:lang w:eastAsia="en-US"/>
              </w:rPr>
              <w:t xml:space="preserve">as </w:t>
            </w:r>
            <w:r w:rsidR="000D16AA">
              <w:rPr>
                <w:rFonts w:eastAsia="Aptos" w:cs="Cordia New"/>
                <w:sz w:val="14"/>
                <w:szCs w:val="14"/>
                <w:lang w:eastAsia="en-US"/>
              </w:rPr>
              <w:t>a baseline to be updated with schedule data (below)</w:t>
            </w:r>
            <w:r w:rsidRPr="00DE3589">
              <w:rPr>
                <w:rFonts w:eastAsia="Aptos" w:cs="Cordia New"/>
                <w:sz w:val="14"/>
                <w:szCs w:val="14"/>
                <w:lang w:eastAsia="en-US"/>
              </w:rPr>
              <w:t>.</w:t>
            </w:r>
          </w:p>
        </w:tc>
        <w:tc>
          <w:tcPr>
            <w:tcW w:w="1109" w:type="dxa"/>
          </w:tcPr>
          <w:p w14:paraId="47E22183" w14:textId="02991BE4" w:rsidR="00776409" w:rsidRPr="00DE3589" w:rsidRDefault="00776409" w:rsidP="00192F89">
            <w:pPr>
              <w:spacing w:before="0" w:after="0" w:line="240" w:lineRule="auto"/>
              <w:rPr>
                <w:rFonts w:eastAsia="Aptos" w:cs="Cordia New"/>
                <w:sz w:val="14"/>
                <w:szCs w:val="14"/>
                <w:lang w:eastAsia="en-US"/>
              </w:rPr>
            </w:pPr>
            <w:r w:rsidRPr="00DE3589">
              <w:rPr>
                <w:sz w:val="14"/>
                <w:szCs w:val="14"/>
              </w:rPr>
              <w:t>Pre-event</w:t>
            </w:r>
          </w:p>
        </w:tc>
        <w:tc>
          <w:tcPr>
            <w:tcW w:w="1453" w:type="dxa"/>
          </w:tcPr>
          <w:p w14:paraId="3FDF03A2" w14:textId="290FF150" w:rsidR="00776409" w:rsidRPr="00DE3589" w:rsidRDefault="00776409" w:rsidP="00192F89">
            <w:pPr>
              <w:spacing w:before="0" w:after="0" w:line="240" w:lineRule="auto"/>
              <w:rPr>
                <w:rFonts w:eastAsia="Aptos" w:cs="Cordia New"/>
                <w:sz w:val="14"/>
                <w:szCs w:val="14"/>
                <w:lang w:eastAsia="en-US"/>
              </w:rPr>
            </w:pPr>
            <w:r w:rsidRPr="00DE3589">
              <w:rPr>
                <w:sz w:val="14"/>
                <w:szCs w:val="14"/>
              </w:rPr>
              <w:t>Long-Term Coordination</w:t>
            </w:r>
          </w:p>
        </w:tc>
        <w:tc>
          <w:tcPr>
            <w:tcW w:w="1086" w:type="dxa"/>
          </w:tcPr>
          <w:p w14:paraId="04C625D6" w14:textId="71B885A0" w:rsidR="00776409" w:rsidRPr="00DE3589" w:rsidRDefault="00776409" w:rsidP="00192F89">
            <w:pPr>
              <w:spacing w:before="0" w:after="0" w:line="240" w:lineRule="auto"/>
              <w:rPr>
                <w:rFonts w:eastAsia="Aptos" w:cs="Cordia New"/>
                <w:sz w:val="14"/>
                <w:szCs w:val="14"/>
                <w:lang w:eastAsia="en-US"/>
              </w:rPr>
            </w:pPr>
            <w:r w:rsidRPr="00DE3589">
              <w:rPr>
                <w:sz w:val="14"/>
                <w:szCs w:val="14"/>
              </w:rPr>
              <w:t>CIM (IEC 61970/61968), CGMES</w:t>
            </w:r>
          </w:p>
        </w:tc>
        <w:tc>
          <w:tcPr>
            <w:tcW w:w="3685" w:type="dxa"/>
          </w:tcPr>
          <w:p w14:paraId="05539E9C" w14:textId="22C6AD79" w:rsidR="00776409" w:rsidRPr="00DE3589" w:rsidRDefault="00295090" w:rsidP="00192F89">
            <w:pPr>
              <w:spacing w:before="0" w:after="0" w:line="240" w:lineRule="auto"/>
              <w:rPr>
                <w:rFonts w:eastAsia="Aptos" w:cs="Cordia New"/>
                <w:sz w:val="14"/>
                <w:szCs w:val="14"/>
                <w:highlight w:val="yellow"/>
                <w:lang w:eastAsia="en-US"/>
              </w:rPr>
            </w:pPr>
            <w:r w:rsidRPr="00DE3589">
              <w:rPr>
                <w:sz w:val="14"/>
                <w:szCs w:val="14"/>
              </w:rPr>
              <w:t xml:space="preserve">Persists </w:t>
            </w:r>
            <w:r w:rsidR="00036F6D" w:rsidRPr="00DE3589">
              <w:rPr>
                <w:sz w:val="14"/>
                <w:szCs w:val="14"/>
              </w:rPr>
              <w:t>as DSO matures</w:t>
            </w:r>
            <w:r w:rsidR="00776409" w:rsidRPr="0013211D">
              <w:rPr>
                <w:sz w:val="14"/>
                <w:szCs w:val="14"/>
              </w:rPr>
              <w:t xml:space="preserve">. </w:t>
            </w:r>
            <w:r w:rsidR="00766962">
              <w:rPr>
                <w:sz w:val="14"/>
                <w:szCs w:val="14"/>
              </w:rPr>
              <w:t>In near</w:t>
            </w:r>
            <w:r w:rsidR="003B18C2">
              <w:rPr>
                <w:sz w:val="14"/>
                <w:szCs w:val="14"/>
              </w:rPr>
              <w:t>er</w:t>
            </w:r>
            <w:r w:rsidR="00766962">
              <w:rPr>
                <w:sz w:val="14"/>
                <w:szCs w:val="14"/>
              </w:rPr>
              <w:t xml:space="preserve">-term </w:t>
            </w:r>
            <w:r w:rsidR="000C2456">
              <w:rPr>
                <w:sz w:val="14"/>
                <w:szCs w:val="14"/>
              </w:rPr>
              <w:t xml:space="preserve">hybridised approach, </w:t>
            </w:r>
            <w:r w:rsidR="00766962">
              <w:rPr>
                <w:sz w:val="14"/>
                <w:szCs w:val="14"/>
              </w:rPr>
              <w:t xml:space="preserve">shared </w:t>
            </w:r>
            <w:r w:rsidR="00632866">
              <w:rPr>
                <w:sz w:val="14"/>
                <w:szCs w:val="14"/>
              </w:rPr>
              <w:t xml:space="preserve">registers of CER/DER </w:t>
            </w:r>
            <w:r w:rsidR="000C2456">
              <w:rPr>
                <w:sz w:val="14"/>
                <w:szCs w:val="14"/>
              </w:rPr>
              <w:t xml:space="preserve">required to build out </w:t>
            </w:r>
            <w:r w:rsidR="003B18C2">
              <w:rPr>
                <w:sz w:val="14"/>
                <w:szCs w:val="14"/>
              </w:rPr>
              <w:t xml:space="preserve">D-side </w:t>
            </w:r>
            <w:r w:rsidR="00687E02" w:rsidRPr="00DE3589">
              <w:rPr>
                <w:sz w:val="14"/>
                <w:szCs w:val="14"/>
              </w:rPr>
              <w:t>m</w:t>
            </w:r>
            <w:r w:rsidR="001C5C5A" w:rsidRPr="0013211D">
              <w:rPr>
                <w:sz w:val="14"/>
                <w:szCs w:val="14"/>
              </w:rPr>
              <w:t>odelling</w:t>
            </w:r>
            <w:r w:rsidR="00776409" w:rsidRPr="0013211D">
              <w:rPr>
                <w:sz w:val="14"/>
                <w:szCs w:val="14"/>
              </w:rPr>
              <w:t xml:space="preserve"> </w:t>
            </w:r>
            <w:r w:rsidR="003B18C2">
              <w:rPr>
                <w:sz w:val="14"/>
                <w:szCs w:val="14"/>
              </w:rPr>
              <w:t xml:space="preserve">inputs </w:t>
            </w:r>
            <w:r w:rsidR="00776409" w:rsidRPr="0013211D">
              <w:rPr>
                <w:sz w:val="14"/>
                <w:szCs w:val="14"/>
              </w:rPr>
              <w:t>at the T-D boundary</w:t>
            </w:r>
            <w:r w:rsidR="00700872">
              <w:rPr>
                <w:sz w:val="14"/>
                <w:szCs w:val="14"/>
              </w:rPr>
              <w:t>.</w:t>
            </w:r>
            <w:r w:rsidR="00776409" w:rsidRPr="0013211D">
              <w:rPr>
                <w:sz w:val="14"/>
                <w:szCs w:val="14"/>
              </w:rPr>
              <w:t xml:space="preserve"> </w:t>
            </w:r>
            <w:r w:rsidR="00EB689E">
              <w:rPr>
                <w:sz w:val="14"/>
                <w:szCs w:val="14"/>
              </w:rPr>
              <w:t>Where</w:t>
            </w:r>
            <w:r w:rsidR="00700872" w:rsidRPr="00594DEE">
              <w:rPr>
                <w:sz w:val="14"/>
                <w:szCs w:val="14"/>
              </w:rPr>
              <w:t xml:space="preserve"> </w:t>
            </w:r>
            <w:r w:rsidR="00700872" w:rsidRPr="0013211D">
              <w:rPr>
                <w:sz w:val="14"/>
                <w:szCs w:val="14"/>
              </w:rPr>
              <w:t>DSO</w:t>
            </w:r>
            <w:r w:rsidR="00700872" w:rsidRPr="00594DEE">
              <w:rPr>
                <w:sz w:val="14"/>
                <w:szCs w:val="14"/>
              </w:rPr>
              <w:t>/DMO</w:t>
            </w:r>
            <w:r w:rsidR="00700872" w:rsidRPr="0013211D">
              <w:rPr>
                <w:sz w:val="14"/>
                <w:szCs w:val="14"/>
              </w:rPr>
              <w:t xml:space="preserve"> </w:t>
            </w:r>
            <w:r w:rsidR="00700872" w:rsidRPr="00594DEE">
              <w:rPr>
                <w:sz w:val="14"/>
                <w:szCs w:val="14"/>
              </w:rPr>
              <w:t>manage</w:t>
            </w:r>
            <w:r w:rsidR="00EB689E">
              <w:rPr>
                <w:sz w:val="14"/>
                <w:szCs w:val="14"/>
              </w:rPr>
              <w:t>s</w:t>
            </w:r>
            <w:r w:rsidR="00700872" w:rsidRPr="00594DEE">
              <w:rPr>
                <w:sz w:val="14"/>
                <w:szCs w:val="14"/>
              </w:rPr>
              <w:t xml:space="preserve"> resources</w:t>
            </w:r>
            <w:r w:rsidR="00FB0493">
              <w:rPr>
                <w:sz w:val="14"/>
                <w:szCs w:val="14"/>
              </w:rPr>
              <w:t>,</w:t>
            </w:r>
            <w:r w:rsidR="00700872" w:rsidRPr="00594DEE">
              <w:rPr>
                <w:sz w:val="14"/>
                <w:szCs w:val="14"/>
              </w:rPr>
              <w:t xml:space="preserve"> this becomes </w:t>
            </w:r>
            <w:r w:rsidR="008301B1">
              <w:rPr>
                <w:sz w:val="14"/>
                <w:szCs w:val="14"/>
              </w:rPr>
              <w:t>internalised</w:t>
            </w:r>
            <w:r w:rsidR="00687E02" w:rsidRPr="00DE3589">
              <w:rPr>
                <w:sz w:val="14"/>
                <w:szCs w:val="14"/>
              </w:rPr>
              <w:t xml:space="preserve"> </w:t>
            </w:r>
            <w:r w:rsidR="008A7024">
              <w:rPr>
                <w:sz w:val="14"/>
                <w:szCs w:val="14"/>
              </w:rPr>
              <w:t xml:space="preserve">to DSO and </w:t>
            </w:r>
            <w:r w:rsidR="00687E02" w:rsidRPr="00DE3589">
              <w:rPr>
                <w:sz w:val="14"/>
                <w:szCs w:val="14"/>
              </w:rPr>
              <w:t xml:space="preserve">more precise </w:t>
            </w:r>
            <w:r w:rsidR="00D50DDA" w:rsidRPr="00DE3589">
              <w:rPr>
                <w:sz w:val="14"/>
                <w:szCs w:val="14"/>
              </w:rPr>
              <w:t>through</w:t>
            </w:r>
            <w:r w:rsidR="00687E02" w:rsidRPr="00DE3589">
              <w:rPr>
                <w:sz w:val="14"/>
                <w:szCs w:val="14"/>
              </w:rPr>
              <w:t xml:space="preserve"> operational experience</w:t>
            </w:r>
            <w:r w:rsidR="00776409" w:rsidRPr="0013211D">
              <w:rPr>
                <w:sz w:val="14"/>
                <w:szCs w:val="14"/>
              </w:rPr>
              <w:t xml:space="preserve">. </w:t>
            </w:r>
          </w:p>
        </w:tc>
        <w:tc>
          <w:tcPr>
            <w:tcW w:w="1200" w:type="dxa"/>
          </w:tcPr>
          <w:p w14:paraId="53ADCD24" w14:textId="7AB381FA" w:rsidR="00776409" w:rsidRPr="00DE3589" w:rsidRDefault="00776409" w:rsidP="00192F89">
            <w:pPr>
              <w:spacing w:before="0" w:after="0" w:line="240" w:lineRule="auto"/>
              <w:rPr>
                <w:rFonts w:eastAsia="Aptos" w:cs="Cordia New"/>
                <w:sz w:val="14"/>
                <w:szCs w:val="14"/>
                <w:lang w:eastAsia="en-US"/>
              </w:rPr>
            </w:pPr>
            <w:r w:rsidRPr="00DE3589">
              <w:rPr>
                <w:sz w:val="14"/>
                <w:szCs w:val="14"/>
              </w:rPr>
              <w:t>Bidirectional (</w:t>
            </w:r>
            <w:r w:rsidR="00600128">
              <w:rPr>
                <w:sz w:val="14"/>
                <w:szCs w:val="14"/>
              </w:rPr>
              <w:t>SO</w:t>
            </w:r>
            <w:r w:rsidRPr="00DE3589">
              <w:rPr>
                <w:sz w:val="14"/>
                <w:szCs w:val="14"/>
              </w:rPr>
              <w:t xml:space="preserve"> ↔ DSO)</w:t>
            </w:r>
          </w:p>
        </w:tc>
        <w:tc>
          <w:tcPr>
            <w:tcW w:w="1811" w:type="dxa"/>
          </w:tcPr>
          <w:p w14:paraId="38094EAE" w14:textId="401A870C" w:rsidR="00776409" w:rsidRPr="00DE3589" w:rsidRDefault="00776409" w:rsidP="00192F89">
            <w:pPr>
              <w:spacing w:before="0" w:after="0" w:line="240" w:lineRule="auto"/>
              <w:rPr>
                <w:rFonts w:eastAsia="Aptos" w:cs="Cordia New"/>
                <w:sz w:val="14"/>
                <w:szCs w:val="14"/>
                <w:lang w:eastAsia="en-US"/>
              </w:rPr>
            </w:pPr>
            <w:r w:rsidRPr="00DE3589">
              <w:rPr>
                <w:sz w:val="14"/>
                <w:szCs w:val="14"/>
              </w:rPr>
              <w:t xml:space="preserve">Australia: </w:t>
            </w:r>
            <w:r w:rsidR="00C859B7">
              <w:rPr>
                <w:sz w:val="14"/>
                <w:szCs w:val="14"/>
              </w:rPr>
              <w:t>Legacy</w:t>
            </w:r>
            <w:r w:rsidR="009155AD" w:rsidRPr="009155AD">
              <w:rPr>
                <w:sz w:val="14"/>
                <w:szCs w:val="14"/>
              </w:rPr>
              <w:t xml:space="preserve"> approaches in place</w:t>
            </w:r>
            <w:r w:rsidRPr="00DE3589">
              <w:rPr>
                <w:sz w:val="14"/>
                <w:szCs w:val="14"/>
              </w:rPr>
              <w:t>. Global: More developed in EU interoperability pilots.</w:t>
            </w:r>
          </w:p>
        </w:tc>
      </w:tr>
      <w:tr w:rsidR="00776409" w:rsidRPr="005938BE" w14:paraId="0C0F6187" w14:textId="77777777" w:rsidTr="00ED5BCF">
        <w:tc>
          <w:tcPr>
            <w:tcW w:w="2154" w:type="dxa"/>
          </w:tcPr>
          <w:p w14:paraId="78285656" w14:textId="5FD1FE40" w:rsidR="00776409" w:rsidRPr="00DE3589" w:rsidRDefault="00871449" w:rsidP="00192F89">
            <w:pPr>
              <w:spacing w:before="0" w:after="0" w:line="240" w:lineRule="auto"/>
              <w:rPr>
                <w:rFonts w:eastAsia="Aptos" w:cs="Cordia New"/>
                <w:sz w:val="14"/>
                <w:szCs w:val="14"/>
                <w:lang w:eastAsia="en-US"/>
              </w:rPr>
            </w:pPr>
            <w:r>
              <w:rPr>
                <w:rFonts w:eastAsia="Aptos" w:cs="Cordia New"/>
                <w:sz w:val="14"/>
                <w:szCs w:val="14"/>
                <w:lang w:eastAsia="en-US"/>
              </w:rPr>
              <w:t>Default</w:t>
            </w:r>
            <w:r w:rsidR="00776409" w:rsidRPr="00DE3589">
              <w:rPr>
                <w:rFonts w:eastAsia="Aptos" w:cs="Cordia New"/>
                <w:sz w:val="14"/>
                <w:szCs w:val="14"/>
                <w:lang w:eastAsia="en-US"/>
              </w:rPr>
              <w:t xml:space="preserve"> network switching, connectivity and topology updates</w:t>
            </w:r>
          </w:p>
        </w:tc>
        <w:tc>
          <w:tcPr>
            <w:tcW w:w="2665" w:type="dxa"/>
          </w:tcPr>
          <w:p w14:paraId="3E8517EE" w14:textId="38373386" w:rsidR="00776409" w:rsidRPr="00DE3589" w:rsidRDefault="0077640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Provides </w:t>
            </w:r>
            <w:r w:rsidR="000D16AA">
              <w:rPr>
                <w:rFonts w:eastAsia="Aptos" w:cs="Cordia New"/>
                <w:sz w:val="14"/>
                <w:szCs w:val="14"/>
                <w:lang w:eastAsia="en-US"/>
              </w:rPr>
              <w:t>standing data</w:t>
            </w:r>
            <w:r w:rsidRPr="00DE3589">
              <w:rPr>
                <w:rFonts w:eastAsia="Aptos" w:cs="Cordia New"/>
                <w:sz w:val="14"/>
                <w:szCs w:val="14"/>
                <w:lang w:eastAsia="en-US"/>
              </w:rPr>
              <w:t xml:space="preserve"> </w:t>
            </w:r>
            <w:r w:rsidR="000D16AA">
              <w:rPr>
                <w:rFonts w:eastAsia="Aptos" w:cs="Cordia New"/>
                <w:sz w:val="14"/>
                <w:szCs w:val="14"/>
                <w:lang w:eastAsia="en-US"/>
              </w:rPr>
              <w:t>to develop</w:t>
            </w:r>
            <w:r w:rsidR="00C07336">
              <w:rPr>
                <w:rFonts w:eastAsia="Aptos" w:cs="Cordia New"/>
                <w:sz w:val="14"/>
                <w:szCs w:val="14"/>
                <w:lang w:eastAsia="en-US"/>
              </w:rPr>
              <w:t xml:space="preserve"> models </w:t>
            </w:r>
            <w:r w:rsidR="00C07336" w:rsidRPr="00C07336">
              <w:rPr>
                <w:rFonts w:eastAsia="Aptos" w:cs="Cordia New"/>
                <w:sz w:val="14"/>
                <w:szCs w:val="14"/>
                <w:lang w:eastAsia="en-US"/>
              </w:rPr>
              <w:t>as a baseline to be updated with schedule data (below)</w:t>
            </w:r>
            <w:r w:rsidRPr="00DE3589">
              <w:rPr>
                <w:rFonts w:eastAsia="Aptos" w:cs="Cordia New"/>
                <w:sz w:val="14"/>
                <w:szCs w:val="14"/>
                <w:lang w:eastAsia="en-US"/>
              </w:rPr>
              <w:t xml:space="preserve">. </w:t>
            </w:r>
            <w:r w:rsidR="00FB0493">
              <w:rPr>
                <w:rFonts w:eastAsia="Aptos" w:cs="Cordia New"/>
                <w:sz w:val="14"/>
                <w:szCs w:val="14"/>
                <w:lang w:eastAsia="en-US"/>
              </w:rPr>
              <w:t>V</w:t>
            </w:r>
            <w:r w:rsidR="00FB0493" w:rsidRPr="00FB0493">
              <w:rPr>
                <w:rFonts w:eastAsia="Aptos" w:cs="Cordia New"/>
                <w:sz w:val="14"/>
                <w:szCs w:val="14"/>
                <w:lang w:eastAsia="en-US"/>
              </w:rPr>
              <w:t>isibility at the interface is required by both sides to avoid uncoordinated switching that may impact upstream or downstream flows.</w:t>
            </w:r>
            <w:r w:rsidRPr="00DE3589">
              <w:rPr>
                <w:rFonts w:eastAsia="Aptos" w:cs="Cordia New"/>
                <w:sz w:val="14"/>
                <w:szCs w:val="14"/>
                <w:lang w:eastAsia="en-US"/>
              </w:rPr>
              <w:t xml:space="preserve"> </w:t>
            </w:r>
          </w:p>
        </w:tc>
        <w:tc>
          <w:tcPr>
            <w:tcW w:w="1109" w:type="dxa"/>
          </w:tcPr>
          <w:p w14:paraId="12F3D483" w14:textId="7E2863C6" w:rsidR="00776409" w:rsidRPr="00DE3589" w:rsidRDefault="000D3405" w:rsidP="00192F89">
            <w:pPr>
              <w:spacing w:before="0" w:after="0" w:line="240" w:lineRule="auto"/>
              <w:rPr>
                <w:rFonts w:eastAsia="Aptos" w:cs="Cordia New"/>
                <w:sz w:val="14"/>
                <w:szCs w:val="14"/>
                <w:lang w:eastAsia="en-US"/>
              </w:rPr>
            </w:pPr>
            <w:r>
              <w:rPr>
                <w:sz w:val="14"/>
                <w:szCs w:val="14"/>
              </w:rPr>
              <w:t xml:space="preserve">Pre-event, </w:t>
            </w:r>
          </w:p>
        </w:tc>
        <w:tc>
          <w:tcPr>
            <w:tcW w:w="1453" w:type="dxa"/>
          </w:tcPr>
          <w:p w14:paraId="2F2C7145" w14:textId="6C64A28A" w:rsidR="00776409" w:rsidRPr="00DE3589" w:rsidRDefault="00776409" w:rsidP="00DE3589">
            <w:pPr>
              <w:spacing w:before="0" w:after="0" w:line="240" w:lineRule="auto"/>
              <w:rPr>
                <w:rFonts w:eastAsia="Aptos" w:cs="Cordia New"/>
                <w:sz w:val="14"/>
                <w:szCs w:val="14"/>
                <w:lang w:eastAsia="en-US"/>
              </w:rPr>
            </w:pPr>
            <w:r w:rsidRPr="00DE3589">
              <w:rPr>
                <w:sz w:val="14"/>
                <w:szCs w:val="14"/>
              </w:rPr>
              <w:t>Low to Moderate Latency</w:t>
            </w:r>
          </w:p>
        </w:tc>
        <w:tc>
          <w:tcPr>
            <w:tcW w:w="1086" w:type="dxa"/>
          </w:tcPr>
          <w:p w14:paraId="57022913" w14:textId="3765E3FE" w:rsidR="00776409" w:rsidRPr="00DE3589" w:rsidRDefault="00776409" w:rsidP="00192F89">
            <w:pPr>
              <w:spacing w:before="0" w:after="0" w:line="240" w:lineRule="auto"/>
              <w:rPr>
                <w:rFonts w:eastAsia="Aptos" w:cs="Cordia New"/>
                <w:sz w:val="14"/>
                <w:szCs w:val="14"/>
                <w:lang w:eastAsia="en-US"/>
              </w:rPr>
            </w:pPr>
            <w:r w:rsidRPr="00DE3589">
              <w:rPr>
                <w:sz w:val="14"/>
                <w:szCs w:val="14"/>
              </w:rPr>
              <w:t>IEC 61850, ICCP/TASE.2, DNP3</w:t>
            </w:r>
          </w:p>
        </w:tc>
        <w:tc>
          <w:tcPr>
            <w:tcW w:w="3685" w:type="dxa"/>
          </w:tcPr>
          <w:p w14:paraId="08EEA2E9" w14:textId="054B267A" w:rsidR="00776409" w:rsidRPr="00DE3589" w:rsidRDefault="00FB0493" w:rsidP="00192F89">
            <w:pPr>
              <w:spacing w:before="0" w:after="0" w:line="240" w:lineRule="auto"/>
              <w:rPr>
                <w:rFonts w:eastAsia="Aptos" w:cs="Cordia New"/>
                <w:sz w:val="14"/>
                <w:szCs w:val="14"/>
                <w:highlight w:val="yellow"/>
                <w:lang w:eastAsia="en-US"/>
              </w:rPr>
            </w:pPr>
            <w:r w:rsidRPr="00FF0C3B">
              <w:rPr>
                <w:sz w:val="14"/>
                <w:szCs w:val="14"/>
              </w:rPr>
              <w:t xml:space="preserve">Persists </w:t>
            </w:r>
            <w:r w:rsidR="00BC204D">
              <w:rPr>
                <w:sz w:val="14"/>
                <w:szCs w:val="14"/>
              </w:rPr>
              <w:t xml:space="preserve">in some form </w:t>
            </w:r>
            <w:r w:rsidRPr="00FF0C3B">
              <w:rPr>
                <w:sz w:val="14"/>
                <w:szCs w:val="14"/>
              </w:rPr>
              <w:t xml:space="preserve">as DSO </w:t>
            </w:r>
            <w:r w:rsidRPr="00FC615B">
              <w:rPr>
                <w:sz w:val="14"/>
                <w:szCs w:val="14"/>
              </w:rPr>
              <w:t>matures</w:t>
            </w:r>
            <w:r w:rsidR="00776409" w:rsidRPr="00FC615B">
              <w:rPr>
                <w:sz w:val="14"/>
                <w:szCs w:val="14"/>
              </w:rPr>
              <w:t xml:space="preserve">. </w:t>
            </w:r>
            <w:r w:rsidR="00934988" w:rsidRPr="00FC615B">
              <w:rPr>
                <w:sz w:val="14"/>
                <w:szCs w:val="14"/>
              </w:rPr>
              <w:t>In</w:t>
            </w:r>
            <w:r w:rsidR="00934988">
              <w:rPr>
                <w:sz w:val="14"/>
                <w:szCs w:val="14"/>
              </w:rPr>
              <w:t xml:space="preserve"> more layered approach</w:t>
            </w:r>
            <w:r w:rsidR="00FC615B">
              <w:rPr>
                <w:sz w:val="14"/>
                <w:szCs w:val="14"/>
              </w:rPr>
              <w:t>es</w:t>
            </w:r>
            <w:r w:rsidR="00934988">
              <w:rPr>
                <w:sz w:val="14"/>
                <w:szCs w:val="14"/>
              </w:rPr>
              <w:t xml:space="preserve">, </w:t>
            </w:r>
            <w:r w:rsidR="00BE6A84">
              <w:rPr>
                <w:sz w:val="14"/>
                <w:szCs w:val="14"/>
              </w:rPr>
              <w:t xml:space="preserve">where distribution system state </w:t>
            </w:r>
            <w:r w:rsidR="00C32327">
              <w:rPr>
                <w:sz w:val="14"/>
                <w:szCs w:val="14"/>
              </w:rPr>
              <w:t xml:space="preserve">inputs are </w:t>
            </w:r>
            <w:r w:rsidR="00BE6A84">
              <w:rPr>
                <w:sz w:val="14"/>
                <w:szCs w:val="14"/>
              </w:rPr>
              <w:t xml:space="preserve">consolidated </w:t>
            </w:r>
            <w:r w:rsidR="00C32327">
              <w:rPr>
                <w:sz w:val="14"/>
                <w:szCs w:val="14"/>
              </w:rPr>
              <w:t xml:space="preserve">with </w:t>
            </w:r>
            <w:r w:rsidR="00BE6A84">
              <w:rPr>
                <w:sz w:val="14"/>
                <w:szCs w:val="14"/>
              </w:rPr>
              <w:t xml:space="preserve">DSO, </w:t>
            </w:r>
            <w:r w:rsidR="00BF2EFC">
              <w:rPr>
                <w:sz w:val="14"/>
                <w:szCs w:val="14"/>
              </w:rPr>
              <w:t xml:space="preserve">these D-level </w:t>
            </w:r>
            <w:r w:rsidR="00C51DDD">
              <w:rPr>
                <w:sz w:val="14"/>
                <w:szCs w:val="14"/>
              </w:rPr>
              <w:t xml:space="preserve">data points </w:t>
            </w:r>
            <w:r w:rsidR="00BF2EFC">
              <w:rPr>
                <w:sz w:val="14"/>
                <w:szCs w:val="14"/>
              </w:rPr>
              <w:t xml:space="preserve">may be </w:t>
            </w:r>
            <w:r w:rsidR="00AE2C8D">
              <w:rPr>
                <w:sz w:val="14"/>
                <w:szCs w:val="14"/>
              </w:rPr>
              <w:t xml:space="preserve">integrated into </w:t>
            </w:r>
            <w:r w:rsidR="00FC615B">
              <w:rPr>
                <w:sz w:val="14"/>
                <w:szCs w:val="14"/>
              </w:rPr>
              <w:t xml:space="preserve">other </w:t>
            </w:r>
            <w:r w:rsidR="00AE2C8D">
              <w:rPr>
                <w:sz w:val="14"/>
                <w:szCs w:val="14"/>
              </w:rPr>
              <w:t>analys</w:t>
            </w:r>
            <w:r w:rsidR="00BC204D">
              <w:rPr>
                <w:sz w:val="14"/>
                <w:szCs w:val="14"/>
              </w:rPr>
              <w:t>e</w:t>
            </w:r>
            <w:r w:rsidR="00AE2C8D">
              <w:rPr>
                <w:sz w:val="14"/>
                <w:szCs w:val="14"/>
              </w:rPr>
              <w:t xml:space="preserve">s </w:t>
            </w:r>
            <w:r w:rsidR="00BC204D">
              <w:rPr>
                <w:sz w:val="14"/>
                <w:szCs w:val="14"/>
              </w:rPr>
              <w:t xml:space="preserve">relevant </w:t>
            </w:r>
            <w:r w:rsidR="00C51DDD">
              <w:rPr>
                <w:sz w:val="14"/>
                <w:szCs w:val="14"/>
              </w:rPr>
              <w:t xml:space="preserve">to system-level </w:t>
            </w:r>
            <w:r w:rsidR="00E46BAC">
              <w:rPr>
                <w:sz w:val="14"/>
                <w:szCs w:val="14"/>
              </w:rPr>
              <w:t>operating variables.</w:t>
            </w:r>
          </w:p>
        </w:tc>
        <w:tc>
          <w:tcPr>
            <w:tcW w:w="1200" w:type="dxa"/>
          </w:tcPr>
          <w:p w14:paraId="45EC726D" w14:textId="537BD3DE" w:rsidR="00776409" w:rsidRPr="00DE3589" w:rsidRDefault="00776409" w:rsidP="00192F89">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600128">
              <w:rPr>
                <w:sz w:val="14"/>
                <w:szCs w:val="14"/>
              </w:rPr>
              <w:t>SO</w:t>
            </w:r>
            <w:r w:rsidRPr="00DE3589">
              <w:rPr>
                <w:sz w:val="14"/>
                <w:szCs w:val="14"/>
              </w:rPr>
              <w:t xml:space="preserve"> (for local topology), </w:t>
            </w:r>
            <w:r w:rsidR="00600128">
              <w:rPr>
                <w:sz w:val="14"/>
                <w:szCs w:val="14"/>
              </w:rPr>
              <w:t>SO</w:t>
            </w:r>
            <w:r w:rsidRPr="00DE3589">
              <w:rPr>
                <w:sz w:val="14"/>
                <w:szCs w:val="14"/>
              </w:rPr>
              <w:t xml:space="preserve"> </w:t>
            </w:r>
            <w:r w:rsidRPr="00DE3589">
              <w:rPr>
                <w:rFonts w:hint="eastAsia"/>
                <w:sz w:val="14"/>
                <w:szCs w:val="14"/>
              </w:rPr>
              <w:t>→</w:t>
            </w:r>
            <w:r w:rsidRPr="00DE3589">
              <w:rPr>
                <w:sz w:val="14"/>
                <w:szCs w:val="14"/>
              </w:rPr>
              <w:t xml:space="preserve"> DSO (for HV topology)</w:t>
            </w:r>
          </w:p>
        </w:tc>
        <w:tc>
          <w:tcPr>
            <w:tcW w:w="1811" w:type="dxa"/>
          </w:tcPr>
          <w:p w14:paraId="1AEE98C4" w14:textId="55533564" w:rsidR="00776409" w:rsidRPr="00DE3589" w:rsidRDefault="00776409" w:rsidP="00192F89">
            <w:pPr>
              <w:spacing w:before="0" w:after="0" w:line="240" w:lineRule="auto"/>
              <w:rPr>
                <w:rFonts w:eastAsia="Aptos" w:cs="Cordia New"/>
                <w:sz w:val="14"/>
                <w:szCs w:val="14"/>
                <w:lang w:eastAsia="en-US"/>
              </w:rPr>
            </w:pPr>
            <w:r w:rsidRPr="00DE3589">
              <w:rPr>
                <w:sz w:val="14"/>
                <w:szCs w:val="14"/>
              </w:rPr>
              <w:t xml:space="preserve">Australia: </w:t>
            </w:r>
            <w:r w:rsidR="009155AD" w:rsidRPr="00DE3589">
              <w:rPr>
                <w:sz w:val="14"/>
                <w:szCs w:val="14"/>
              </w:rPr>
              <w:t>Legacy approaches in place</w:t>
            </w:r>
            <w:r w:rsidRPr="00DE3589">
              <w:rPr>
                <w:sz w:val="14"/>
                <w:szCs w:val="14"/>
              </w:rPr>
              <w:t xml:space="preserve">. Global: </w:t>
            </w:r>
            <w:r w:rsidR="009155AD" w:rsidRPr="00DE3589">
              <w:rPr>
                <w:sz w:val="14"/>
                <w:szCs w:val="14"/>
              </w:rPr>
              <w:t>Increasing</w:t>
            </w:r>
            <w:r w:rsidRPr="00DE3589">
              <w:rPr>
                <w:sz w:val="14"/>
                <w:szCs w:val="14"/>
              </w:rPr>
              <w:t xml:space="preserve"> maturity in North America/EU.</w:t>
            </w:r>
          </w:p>
        </w:tc>
      </w:tr>
      <w:tr w:rsidR="00776409" w:rsidRPr="005938BE" w14:paraId="6AAC1B93" w14:textId="77777777" w:rsidTr="00ED5BCF">
        <w:tc>
          <w:tcPr>
            <w:tcW w:w="2154" w:type="dxa"/>
          </w:tcPr>
          <w:p w14:paraId="12F5D2BF" w14:textId="286A54C7" w:rsidR="00776409" w:rsidRPr="00DE3589" w:rsidRDefault="0077640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Voltage and thermal operating limits at DSO boundary</w:t>
            </w:r>
          </w:p>
        </w:tc>
        <w:tc>
          <w:tcPr>
            <w:tcW w:w="2665" w:type="dxa"/>
          </w:tcPr>
          <w:p w14:paraId="7BA2AA1F" w14:textId="7FA84D81" w:rsidR="00776409" w:rsidRPr="00DE3589" w:rsidRDefault="0077640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Constraints imposed by </w:t>
            </w:r>
            <w:r w:rsidR="00600128">
              <w:rPr>
                <w:rFonts w:eastAsia="Aptos" w:cs="Cordia New"/>
                <w:sz w:val="14"/>
                <w:szCs w:val="14"/>
                <w:lang w:eastAsia="en-US"/>
              </w:rPr>
              <w:t>SO</w:t>
            </w:r>
            <w:r w:rsidRPr="00DE3589">
              <w:rPr>
                <w:rFonts w:eastAsia="Aptos" w:cs="Cordia New"/>
                <w:sz w:val="14"/>
                <w:szCs w:val="14"/>
                <w:lang w:eastAsia="en-US"/>
              </w:rPr>
              <w:t xml:space="preserve"> or DSO which limit</w:t>
            </w:r>
            <w:r>
              <w:rPr>
                <w:rFonts w:eastAsia="Aptos" w:cs="Cordia New"/>
                <w:sz w:val="14"/>
                <w:szCs w:val="14"/>
                <w:lang w:eastAsia="en-US"/>
              </w:rPr>
              <w:t xml:space="preserve"> </w:t>
            </w:r>
            <w:r w:rsidR="009155AD">
              <w:rPr>
                <w:rFonts w:eastAsia="Aptos" w:cs="Cordia New"/>
                <w:sz w:val="14"/>
                <w:szCs w:val="14"/>
                <w:lang w:eastAsia="en-US"/>
              </w:rPr>
              <w:t>aggregate</w:t>
            </w:r>
            <w:r w:rsidRPr="00DE3589">
              <w:rPr>
                <w:rFonts w:eastAsia="Aptos" w:cs="Cordia New"/>
                <w:sz w:val="14"/>
                <w:szCs w:val="14"/>
                <w:lang w:eastAsia="en-US"/>
              </w:rPr>
              <w:t xml:space="preserve"> CER/DER injection or absorption. Separate to dynamic operating envelopes.</w:t>
            </w:r>
          </w:p>
        </w:tc>
        <w:tc>
          <w:tcPr>
            <w:tcW w:w="1109" w:type="dxa"/>
          </w:tcPr>
          <w:p w14:paraId="2A656511" w14:textId="7177DB50" w:rsidR="00776409" w:rsidRPr="00DE3589" w:rsidRDefault="00776409" w:rsidP="00192F89">
            <w:pPr>
              <w:spacing w:before="0" w:after="0" w:line="240" w:lineRule="auto"/>
              <w:rPr>
                <w:rFonts w:eastAsia="Aptos" w:cs="Cordia New"/>
                <w:sz w:val="14"/>
                <w:szCs w:val="14"/>
                <w:lang w:eastAsia="en-US"/>
              </w:rPr>
            </w:pPr>
            <w:r w:rsidRPr="00DE3589">
              <w:rPr>
                <w:sz w:val="14"/>
                <w:szCs w:val="14"/>
              </w:rPr>
              <w:t xml:space="preserve">Pre-dispatch, </w:t>
            </w:r>
          </w:p>
        </w:tc>
        <w:tc>
          <w:tcPr>
            <w:tcW w:w="1453" w:type="dxa"/>
          </w:tcPr>
          <w:p w14:paraId="0EE3161E" w14:textId="1F81E303" w:rsidR="00776409" w:rsidRPr="00DE3589" w:rsidRDefault="00776409" w:rsidP="00DE3589">
            <w:pPr>
              <w:spacing w:before="0" w:after="0" w:line="240" w:lineRule="auto"/>
              <w:rPr>
                <w:rFonts w:eastAsia="Aptos" w:cs="Cordia New"/>
                <w:sz w:val="14"/>
                <w:szCs w:val="14"/>
                <w:lang w:eastAsia="en-US"/>
              </w:rPr>
            </w:pPr>
            <w:r w:rsidRPr="00DE3589">
              <w:rPr>
                <w:sz w:val="14"/>
                <w:szCs w:val="14"/>
              </w:rPr>
              <w:t>Moderate Latency</w:t>
            </w:r>
          </w:p>
        </w:tc>
        <w:tc>
          <w:tcPr>
            <w:tcW w:w="1086" w:type="dxa"/>
          </w:tcPr>
          <w:p w14:paraId="38D447AD" w14:textId="64447122" w:rsidR="00776409" w:rsidRPr="00DE3589" w:rsidRDefault="00776409" w:rsidP="00192F89">
            <w:pPr>
              <w:spacing w:before="0" w:after="0" w:line="240" w:lineRule="auto"/>
              <w:rPr>
                <w:rFonts w:eastAsia="Aptos" w:cs="Cordia New"/>
                <w:sz w:val="14"/>
                <w:szCs w:val="14"/>
                <w:lang w:eastAsia="en-US"/>
              </w:rPr>
            </w:pPr>
            <w:r w:rsidRPr="00DE3589">
              <w:rPr>
                <w:sz w:val="14"/>
                <w:szCs w:val="14"/>
              </w:rPr>
              <w:t>CIM, ICCP/TASE.2</w:t>
            </w:r>
          </w:p>
        </w:tc>
        <w:tc>
          <w:tcPr>
            <w:tcW w:w="3685" w:type="dxa"/>
          </w:tcPr>
          <w:p w14:paraId="42CE9C54" w14:textId="103D482C" w:rsidR="00776409" w:rsidRPr="00DE3589" w:rsidRDefault="00FB0493" w:rsidP="00DE3589">
            <w:pPr>
              <w:spacing w:before="0" w:after="0"/>
              <w:rPr>
                <w:rFonts w:eastAsia="Aptos" w:cs="Cordia New"/>
                <w:sz w:val="14"/>
                <w:szCs w:val="14"/>
                <w:highlight w:val="yellow"/>
                <w:lang w:eastAsia="en-US"/>
              </w:rPr>
            </w:pPr>
            <w:r w:rsidRPr="0037749B">
              <w:rPr>
                <w:sz w:val="14"/>
                <w:szCs w:val="14"/>
              </w:rPr>
              <w:t>Persists as DSO matures</w:t>
            </w:r>
            <w:r w:rsidR="00776409" w:rsidRPr="0037749B">
              <w:rPr>
                <w:sz w:val="14"/>
                <w:szCs w:val="14"/>
              </w:rPr>
              <w:t xml:space="preserve">. Even </w:t>
            </w:r>
            <w:r w:rsidR="00543FAA" w:rsidRPr="00DE3589">
              <w:rPr>
                <w:sz w:val="14"/>
                <w:szCs w:val="14"/>
              </w:rPr>
              <w:t>with DSO-centric CER/</w:t>
            </w:r>
            <w:r w:rsidR="00776409" w:rsidRPr="0037749B">
              <w:rPr>
                <w:sz w:val="14"/>
                <w:szCs w:val="14"/>
              </w:rPr>
              <w:t xml:space="preserve">DER coordination, </w:t>
            </w:r>
            <w:r w:rsidR="009577FF" w:rsidRPr="00DE3589">
              <w:rPr>
                <w:sz w:val="14"/>
                <w:szCs w:val="14"/>
              </w:rPr>
              <w:t xml:space="preserve">limits at </w:t>
            </w:r>
            <w:r w:rsidR="00971DBE">
              <w:rPr>
                <w:sz w:val="14"/>
                <w:szCs w:val="14"/>
              </w:rPr>
              <w:t>T-D</w:t>
            </w:r>
            <w:r w:rsidR="009577FF" w:rsidRPr="00DE3589">
              <w:rPr>
                <w:sz w:val="14"/>
                <w:szCs w:val="14"/>
              </w:rPr>
              <w:t xml:space="preserve"> boundary must be </w:t>
            </w:r>
            <w:r w:rsidR="00776409" w:rsidRPr="0037749B">
              <w:rPr>
                <w:sz w:val="14"/>
                <w:szCs w:val="14"/>
              </w:rPr>
              <w:t>respect</w:t>
            </w:r>
            <w:r w:rsidR="009577FF" w:rsidRPr="00DE3589">
              <w:rPr>
                <w:sz w:val="14"/>
                <w:szCs w:val="14"/>
              </w:rPr>
              <w:t xml:space="preserve">ed </w:t>
            </w:r>
            <w:r w:rsidR="00774E5C" w:rsidRPr="00DE3589">
              <w:rPr>
                <w:sz w:val="14"/>
                <w:szCs w:val="14"/>
              </w:rPr>
              <w:t>for both upstream and downstream power flows</w:t>
            </w:r>
            <w:r w:rsidR="00776409" w:rsidRPr="0037749B">
              <w:rPr>
                <w:sz w:val="14"/>
                <w:szCs w:val="14"/>
              </w:rPr>
              <w:t>.</w:t>
            </w:r>
          </w:p>
        </w:tc>
        <w:tc>
          <w:tcPr>
            <w:tcW w:w="1200" w:type="dxa"/>
          </w:tcPr>
          <w:p w14:paraId="0B500C40" w14:textId="0092ABC8" w:rsidR="00776409" w:rsidRPr="00DE3589" w:rsidRDefault="00776409" w:rsidP="00192F89">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600128">
              <w:rPr>
                <w:sz w:val="14"/>
                <w:szCs w:val="14"/>
              </w:rPr>
              <w:t>SO</w:t>
            </w:r>
          </w:p>
        </w:tc>
        <w:tc>
          <w:tcPr>
            <w:tcW w:w="1811" w:type="dxa"/>
          </w:tcPr>
          <w:p w14:paraId="18F29C8A" w14:textId="4A6671B1" w:rsidR="00776409" w:rsidRPr="00DE3589" w:rsidRDefault="00776409" w:rsidP="00192F89">
            <w:pPr>
              <w:spacing w:before="0" w:after="0" w:line="240" w:lineRule="auto"/>
              <w:rPr>
                <w:rFonts w:eastAsia="Aptos" w:cs="Cordia New"/>
                <w:sz w:val="14"/>
                <w:szCs w:val="14"/>
                <w:lang w:eastAsia="en-US"/>
              </w:rPr>
            </w:pPr>
            <w:r w:rsidRPr="00DE3589">
              <w:rPr>
                <w:sz w:val="14"/>
                <w:szCs w:val="14"/>
              </w:rPr>
              <w:t>Australia: Emerging in some jurisdictions. Global: More mature among advanced DSOs.</w:t>
            </w:r>
          </w:p>
        </w:tc>
      </w:tr>
      <w:tr w:rsidR="006E3478" w:rsidRPr="005938BE" w14:paraId="6CD7B621" w14:textId="77777777" w:rsidTr="00ED5BCF">
        <w:tc>
          <w:tcPr>
            <w:tcW w:w="2154" w:type="dxa"/>
          </w:tcPr>
          <w:p w14:paraId="606AABD4" w14:textId="11EDA7C8" w:rsidR="006E3478" w:rsidRPr="00DE3589" w:rsidRDefault="004C2CE6" w:rsidP="006E3478">
            <w:pPr>
              <w:spacing w:before="0" w:after="0" w:line="240" w:lineRule="auto"/>
              <w:rPr>
                <w:rFonts w:eastAsia="Aptos" w:cs="Cordia New"/>
                <w:sz w:val="14"/>
                <w:szCs w:val="14"/>
                <w:lang w:eastAsia="en-US"/>
              </w:rPr>
            </w:pPr>
            <w:r>
              <w:rPr>
                <w:rFonts w:eastAsia="Aptos" w:cs="Cordia New"/>
                <w:sz w:val="14"/>
                <w:szCs w:val="14"/>
                <w:lang w:eastAsia="en-US"/>
              </w:rPr>
              <w:lastRenderedPageBreak/>
              <w:t xml:space="preserve">T-D </w:t>
            </w:r>
            <w:r w:rsidR="00043DD8">
              <w:rPr>
                <w:rFonts w:eastAsia="Aptos" w:cs="Cordia New"/>
                <w:sz w:val="14"/>
                <w:szCs w:val="14"/>
                <w:lang w:eastAsia="en-US"/>
              </w:rPr>
              <w:t>interface-relevant p</w:t>
            </w:r>
            <w:r w:rsidR="006E3478" w:rsidRPr="00DE3589">
              <w:rPr>
                <w:rFonts w:eastAsia="Aptos" w:cs="Cordia New"/>
                <w:sz w:val="14"/>
                <w:szCs w:val="14"/>
                <w:lang w:eastAsia="en-US"/>
              </w:rPr>
              <w:t xml:space="preserve">rotection settings, </w:t>
            </w:r>
            <w:r w:rsidR="006E3478">
              <w:rPr>
                <w:rFonts w:eastAsia="Aptos" w:cs="Cordia New"/>
                <w:sz w:val="14"/>
                <w:szCs w:val="14"/>
                <w:lang w:eastAsia="en-US"/>
              </w:rPr>
              <w:t xml:space="preserve">plant boiler-plate </w:t>
            </w:r>
            <w:r w:rsidR="006E3478" w:rsidRPr="00DE3589">
              <w:rPr>
                <w:rFonts w:eastAsia="Aptos" w:cs="Cordia New"/>
                <w:sz w:val="14"/>
                <w:szCs w:val="14"/>
                <w:lang w:eastAsia="en-US"/>
              </w:rPr>
              <w:t>ratings</w:t>
            </w:r>
          </w:p>
        </w:tc>
        <w:tc>
          <w:tcPr>
            <w:tcW w:w="2665" w:type="dxa"/>
          </w:tcPr>
          <w:p w14:paraId="774EDC0C" w14:textId="1E9C6415"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Ensures parameters are not exceeded or conflicted by counterparty actions </w:t>
            </w:r>
          </w:p>
        </w:tc>
        <w:tc>
          <w:tcPr>
            <w:tcW w:w="1109" w:type="dxa"/>
          </w:tcPr>
          <w:p w14:paraId="275CB81D" w14:textId="0B0CD4DA"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Pre-event, </w:t>
            </w:r>
          </w:p>
        </w:tc>
        <w:tc>
          <w:tcPr>
            <w:tcW w:w="1453" w:type="dxa"/>
          </w:tcPr>
          <w:p w14:paraId="2B0FFED6" w14:textId="7D9632B4" w:rsidR="006E3478" w:rsidRPr="00DE3589" w:rsidRDefault="006E3478" w:rsidP="00DE3589">
            <w:pPr>
              <w:spacing w:before="0" w:after="0" w:line="240" w:lineRule="auto"/>
              <w:rPr>
                <w:rFonts w:eastAsia="Aptos" w:cs="Cordia New"/>
                <w:sz w:val="14"/>
                <w:szCs w:val="14"/>
                <w:lang w:eastAsia="en-US"/>
              </w:rPr>
            </w:pPr>
            <w:r>
              <w:rPr>
                <w:sz w:val="14"/>
                <w:szCs w:val="14"/>
              </w:rPr>
              <w:t>High</w:t>
            </w:r>
            <w:r w:rsidRPr="00FF0C3B">
              <w:rPr>
                <w:rFonts w:hint="eastAsia"/>
                <w:sz w:val="14"/>
                <w:szCs w:val="14"/>
              </w:rPr>
              <w:t xml:space="preserve"> Latency</w:t>
            </w:r>
          </w:p>
        </w:tc>
        <w:tc>
          <w:tcPr>
            <w:tcW w:w="1086" w:type="dxa"/>
          </w:tcPr>
          <w:p w14:paraId="1FB02A77" w14:textId="3BCA4B55" w:rsidR="006E3478" w:rsidRPr="00DE3589" w:rsidRDefault="006E3478" w:rsidP="006E3478">
            <w:pPr>
              <w:spacing w:before="0" w:after="0" w:line="240" w:lineRule="auto"/>
              <w:rPr>
                <w:rFonts w:eastAsia="Aptos" w:cs="Cordia New"/>
                <w:sz w:val="14"/>
                <w:szCs w:val="14"/>
                <w:lang w:eastAsia="en-US"/>
              </w:rPr>
            </w:pPr>
            <w:r w:rsidRPr="00DE3589">
              <w:rPr>
                <w:sz w:val="14"/>
                <w:szCs w:val="14"/>
              </w:rPr>
              <w:t>IEC 61850, ICCP, DNP3</w:t>
            </w:r>
          </w:p>
        </w:tc>
        <w:tc>
          <w:tcPr>
            <w:tcW w:w="3685" w:type="dxa"/>
          </w:tcPr>
          <w:p w14:paraId="4459DF16" w14:textId="7C91B5E2" w:rsidR="006E3478" w:rsidRPr="00DE3589" w:rsidRDefault="006E3478" w:rsidP="00DE3589">
            <w:pPr>
              <w:spacing w:before="0" w:after="0"/>
              <w:rPr>
                <w:rFonts w:eastAsia="Aptos" w:cs="Cordia New"/>
                <w:sz w:val="14"/>
                <w:szCs w:val="14"/>
                <w:lang w:eastAsia="en-US"/>
              </w:rPr>
            </w:pPr>
            <w:r w:rsidRPr="00DE3589">
              <w:rPr>
                <w:sz w:val="14"/>
                <w:szCs w:val="14"/>
              </w:rPr>
              <w:t>P</w:t>
            </w:r>
            <w:r w:rsidRPr="005A559B">
              <w:rPr>
                <w:sz w:val="14"/>
                <w:szCs w:val="14"/>
              </w:rPr>
              <w:t>ersists</w:t>
            </w:r>
            <w:r w:rsidRPr="00DE3589">
              <w:rPr>
                <w:sz w:val="14"/>
                <w:szCs w:val="14"/>
              </w:rPr>
              <w:t xml:space="preserve"> at the T-D boundary, though standing data and coordination deeper down in the distribution operating zone may no longer be required as DSO matures. </w:t>
            </w:r>
            <w:r w:rsidRPr="005A559B">
              <w:rPr>
                <w:sz w:val="14"/>
                <w:szCs w:val="14"/>
              </w:rPr>
              <w:t>Protection settings for equipment</w:t>
            </w:r>
            <w:r w:rsidRPr="00DE3589">
              <w:rPr>
                <w:sz w:val="14"/>
                <w:szCs w:val="14"/>
              </w:rPr>
              <w:t xml:space="preserve"> at the interface</w:t>
            </w:r>
            <w:r w:rsidRPr="005A559B">
              <w:rPr>
                <w:sz w:val="14"/>
                <w:szCs w:val="14"/>
              </w:rPr>
              <w:t xml:space="preserve"> remain jointly relevant.</w:t>
            </w:r>
          </w:p>
        </w:tc>
        <w:tc>
          <w:tcPr>
            <w:tcW w:w="1200" w:type="dxa"/>
          </w:tcPr>
          <w:p w14:paraId="46D03040" w14:textId="0AAFABA9"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600128">
              <w:rPr>
                <w:sz w:val="14"/>
                <w:szCs w:val="14"/>
              </w:rPr>
              <w:t>SO</w:t>
            </w:r>
            <w:r w:rsidRPr="00DE3589">
              <w:rPr>
                <w:sz w:val="14"/>
                <w:szCs w:val="14"/>
              </w:rPr>
              <w:t xml:space="preserve">, with </w:t>
            </w:r>
            <w:r w:rsidR="00600128">
              <w:rPr>
                <w:sz w:val="14"/>
                <w:szCs w:val="14"/>
              </w:rPr>
              <w:t>SO</w:t>
            </w:r>
            <w:r w:rsidRPr="00DE3589">
              <w:rPr>
                <w:sz w:val="14"/>
                <w:szCs w:val="14"/>
              </w:rPr>
              <w:t xml:space="preserve"> feedback</w:t>
            </w:r>
          </w:p>
        </w:tc>
        <w:tc>
          <w:tcPr>
            <w:tcW w:w="1811" w:type="dxa"/>
          </w:tcPr>
          <w:p w14:paraId="3BD7D840" w14:textId="37F7C698"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Australia: </w:t>
            </w:r>
            <w:r w:rsidR="00956BD3" w:rsidRPr="00DE3589">
              <w:rPr>
                <w:sz w:val="14"/>
                <w:szCs w:val="14"/>
              </w:rPr>
              <w:t>Legacy approaches in place</w:t>
            </w:r>
            <w:r w:rsidR="00167C84" w:rsidRPr="00DE3589">
              <w:rPr>
                <w:sz w:val="14"/>
                <w:szCs w:val="14"/>
              </w:rPr>
              <w:t xml:space="preserve"> </w:t>
            </w:r>
            <w:r w:rsidR="005D6DFD">
              <w:rPr>
                <w:sz w:val="14"/>
                <w:szCs w:val="14"/>
              </w:rPr>
              <w:t>to be</w:t>
            </w:r>
            <w:r w:rsidR="00167C84" w:rsidRPr="00DE3589">
              <w:rPr>
                <w:sz w:val="14"/>
                <w:szCs w:val="14"/>
              </w:rPr>
              <w:t xml:space="preserve"> reviewed</w:t>
            </w:r>
            <w:r w:rsidRPr="00DE3589">
              <w:rPr>
                <w:sz w:val="14"/>
                <w:szCs w:val="14"/>
              </w:rPr>
              <w:t xml:space="preserve">. Global: </w:t>
            </w:r>
            <w:r w:rsidR="00C53E5C" w:rsidRPr="00DE3589">
              <w:rPr>
                <w:sz w:val="14"/>
                <w:szCs w:val="14"/>
              </w:rPr>
              <w:t>CER/DER protection impacts under review</w:t>
            </w:r>
            <w:r w:rsidRPr="00DE3589">
              <w:rPr>
                <w:sz w:val="14"/>
                <w:szCs w:val="14"/>
              </w:rPr>
              <w:t>.</w:t>
            </w:r>
          </w:p>
        </w:tc>
      </w:tr>
      <w:tr w:rsidR="006E3478" w:rsidRPr="005938BE" w14:paraId="7252EED4" w14:textId="77777777" w:rsidTr="00ED5BCF">
        <w:tc>
          <w:tcPr>
            <w:tcW w:w="2154" w:type="dxa"/>
          </w:tcPr>
          <w:p w14:paraId="6FBFEA5B" w14:textId="76C22FB7"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CER/DER group categories</w:t>
            </w:r>
          </w:p>
        </w:tc>
        <w:tc>
          <w:tcPr>
            <w:tcW w:w="2665" w:type="dxa"/>
          </w:tcPr>
          <w:p w14:paraId="308EA603" w14:textId="4E1ADA69"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A prerequisite to monitor and manage CER/DER by topology (substation, bus, feeder, circuit, electrical node), attributes (PV, storage, EV), contractual arrangement (VPP, DNSP program), location (postcode, lat/lon), user class (industrial residential), etc.</w:t>
            </w:r>
          </w:p>
        </w:tc>
        <w:tc>
          <w:tcPr>
            <w:tcW w:w="1109" w:type="dxa"/>
          </w:tcPr>
          <w:p w14:paraId="6B838BCB" w14:textId="40BC1D9C" w:rsidR="006E3478" w:rsidRPr="00DE3589" w:rsidRDefault="006E3478" w:rsidP="006E3478">
            <w:pPr>
              <w:spacing w:before="0" w:after="0" w:line="240" w:lineRule="auto"/>
              <w:rPr>
                <w:rFonts w:eastAsia="Aptos" w:cs="Cordia New"/>
                <w:sz w:val="14"/>
                <w:szCs w:val="14"/>
                <w:lang w:eastAsia="en-US"/>
              </w:rPr>
            </w:pPr>
            <w:r w:rsidRPr="00DE3589">
              <w:rPr>
                <w:sz w:val="14"/>
                <w:szCs w:val="14"/>
              </w:rPr>
              <w:t>Pre-event</w:t>
            </w:r>
          </w:p>
        </w:tc>
        <w:tc>
          <w:tcPr>
            <w:tcW w:w="1453" w:type="dxa"/>
          </w:tcPr>
          <w:p w14:paraId="3096C842" w14:textId="0BC8C084" w:rsidR="006E3478" w:rsidRPr="00DE3589" w:rsidRDefault="006E3478" w:rsidP="00DE3589">
            <w:pPr>
              <w:spacing w:before="0" w:after="0" w:line="240" w:lineRule="auto"/>
              <w:rPr>
                <w:rFonts w:eastAsia="Aptos" w:cs="Cordia New"/>
                <w:sz w:val="14"/>
                <w:szCs w:val="14"/>
                <w:lang w:eastAsia="en-US"/>
              </w:rPr>
            </w:pPr>
            <w:r w:rsidRPr="00DE3589">
              <w:rPr>
                <w:sz w:val="14"/>
                <w:szCs w:val="14"/>
              </w:rPr>
              <w:t>Very High Latency</w:t>
            </w:r>
          </w:p>
        </w:tc>
        <w:tc>
          <w:tcPr>
            <w:tcW w:w="1086" w:type="dxa"/>
          </w:tcPr>
          <w:p w14:paraId="238D59D4" w14:textId="20D56BEA" w:rsidR="006E3478" w:rsidRPr="00DE3589" w:rsidRDefault="00596569" w:rsidP="006E3478">
            <w:pPr>
              <w:spacing w:before="0" w:after="0" w:line="240" w:lineRule="auto"/>
              <w:rPr>
                <w:rFonts w:eastAsia="Aptos" w:cs="Cordia New"/>
                <w:sz w:val="14"/>
                <w:szCs w:val="14"/>
                <w:lang w:eastAsia="en-US"/>
              </w:rPr>
            </w:pPr>
            <w:r w:rsidRPr="00596569">
              <w:rPr>
                <w:sz w:val="14"/>
                <w:szCs w:val="14"/>
              </w:rPr>
              <w:t>IEC 61968-5, IEEE 2030.11,</w:t>
            </w:r>
            <w:r w:rsidR="006E3478" w:rsidRPr="00DE3589">
              <w:rPr>
                <w:sz w:val="14"/>
                <w:szCs w:val="14"/>
              </w:rPr>
              <w:t xml:space="preserve"> UUID-based registries</w:t>
            </w:r>
          </w:p>
        </w:tc>
        <w:tc>
          <w:tcPr>
            <w:tcW w:w="3685" w:type="dxa"/>
          </w:tcPr>
          <w:p w14:paraId="00BBE94B" w14:textId="21BD0FAE" w:rsidR="006E3478" w:rsidRPr="00DE3589" w:rsidRDefault="00A36BF2" w:rsidP="00DE3589">
            <w:pPr>
              <w:spacing w:before="0" w:after="0"/>
              <w:rPr>
                <w:rFonts w:eastAsia="Aptos" w:cs="Cordia New"/>
                <w:sz w:val="14"/>
                <w:szCs w:val="14"/>
                <w:lang w:eastAsia="en-US"/>
              </w:rPr>
            </w:pPr>
            <w:r>
              <w:rPr>
                <w:sz w:val="14"/>
                <w:szCs w:val="14"/>
              </w:rPr>
              <w:t>As DSO</w:t>
            </w:r>
            <w:r w:rsidR="00603815">
              <w:rPr>
                <w:sz w:val="14"/>
                <w:szCs w:val="14"/>
              </w:rPr>
              <w:t xml:space="preserve">s assume more </w:t>
            </w:r>
            <w:r w:rsidR="002921C6">
              <w:rPr>
                <w:sz w:val="14"/>
                <w:szCs w:val="14"/>
              </w:rPr>
              <w:t xml:space="preserve">operational </w:t>
            </w:r>
            <w:r w:rsidR="00603815">
              <w:rPr>
                <w:sz w:val="14"/>
                <w:szCs w:val="14"/>
              </w:rPr>
              <w:t>responsibility for</w:t>
            </w:r>
            <w:r w:rsidR="00AE5685">
              <w:rPr>
                <w:sz w:val="14"/>
                <w:szCs w:val="14"/>
              </w:rPr>
              <w:t xml:space="preserve"> </w:t>
            </w:r>
            <w:r w:rsidR="00850B24" w:rsidRPr="00DE3589">
              <w:rPr>
                <w:sz w:val="14"/>
                <w:szCs w:val="14"/>
              </w:rPr>
              <w:t>CER/</w:t>
            </w:r>
            <w:r w:rsidR="006E3478" w:rsidRPr="00FD2F31">
              <w:rPr>
                <w:sz w:val="14"/>
                <w:szCs w:val="14"/>
              </w:rPr>
              <w:t xml:space="preserve">DER </w:t>
            </w:r>
            <w:r w:rsidR="006321DD">
              <w:rPr>
                <w:sz w:val="14"/>
                <w:szCs w:val="14"/>
              </w:rPr>
              <w:t xml:space="preserve">in their services territories, </w:t>
            </w:r>
            <w:r w:rsidR="00D74322">
              <w:rPr>
                <w:sz w:val="14"/>
                <w:szCs w:val="14"/>
              </w:rPr>
              <w:t>the</w:t>
            </w:r>
            <w:r w:rsidR="00531B90">
              <w:rPr>
                <w:sz w:val="14"/>
                <w:szCs w:val="14"/>
              </w:rPr>
              <w:t xml:space="preserve">y </w:t>
            </w:r>
            <w:r w:rsidR="004678AF">
              <w:rPr>
                <w:sz w:val="14"/>
                <w:szCs w:val="14"/>
              </w:rPr>
              <w:t>will likely</w:t>
            </w:r>
            <w:r w:rsidR="00531B90">
              <w:rPr>
                <w:sz w:val="14"/>
                <w:szCs w:val="14"/>
              </w:rPr>
              <w:t xml:space="preserve"> </w:t>
            </w:r>
            <w:r w:rsidR="00D972BF">
              <w:rPr>
                <w:sz w:val="14"/>
                <w:szCs w:val="14"/>
              </w:rPr>
              <w:t xml:space="preserve">be well-placed to collect and maintain </w:t>
            </w:r>
            <w:r w:rsidR="004678AF">
              <w:rPr>
                <w:sz w:val="14"/>
                <w:szCs w:val="14"/>
              </w:rPr>
              <w:t>group categories</w:t>
            </w:r>
            <w:r w:rsidR="00D972BF">
              <w:rPr>
                <w:sz w:val="14"/>
                <w:szCs w:val="14"/>
              </w:rPr>
              <w:t xml:space="preserve"> and</w:t>
            </w:r>
            <w:r w:rsidR="00B01019">
              <w:rPr>
                <w:sz w:val="14"/>
                <w:szCs w:val="14"/>
              </w:rPr>
              <w:t xml:space="preserve">, in some cases, expose only </w:t>
            </w:r>
            <w:r w:rsidR="006E3478" w:rsidRPr="00FD2F31">
              <w:rPr>
                <w:sz w:val="14"/>
                <w:szCs w:val="14"/>
              </w:rPr>
              <w:t xml:space="preserve">aggregated views </w:t>
            </w:r>
            <w:r w:rsidR="004678AF">
              <w:rPr>
                <w:sz w:val="14"/>
                <w:szCs w:val="14"/>
              </w:rPr>
              <w:t xml:space="preserve">to the </w:t>
            </w:r>
            <w:r w:rsidR="00600128">
              <w:rPr>
                <w:sz w:val="14"/>
                <w:szCs w:val="14"/>
              </w:rPr>
              <w:t>SO</w:t>
            </w:r>
            <w:r w:rsidR="006E3478" w:rsidRPr="00FD2F31">
              <w:rPr>
                <w:sz w:val="14"/>
                <w:szCs w:val="14"/>
              </w:rPr>
              <w:t>.</w:t>
            </w:r>
          </w:p>
        </w:tc>
        <w:tc>
          <w:tcPr>
            <w:tcW w:w="1200" w:type="dxa"/>
          </w:tcPr>
          <w:p w14:paraId="43F19C77" w14:textId="107D4E84"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AGG/DSO </w:t>
            </w:r>
            <w:r w:rsidRPr="00DE3589">
              <w:rPr>
                <w:rFonts w:hint="eastAsia"/>
                <w:sz w:val="14"/>
                <w:szCs w:val="14"/>
              </w:rPr>
              <w:t>→</w:t>
            </w:r>
            <w:r w:rsidRPr="00DE3589">
              <w:rPr>
                <w:sz w:val="14"/>
                <w:szCs w:val="14"/>
              </w:rPr>
              <w:t xml:space="preserve"> </w:t>
            </w:r>
            <w:r w:rsidR="00600128">
              <w:rPr>
                <w:sz w:val="14"/>
                <w:szCs w:val="14"/>
              </w:rPr>
              <w:t>SO</w:t>
            </w:r>
          </w:p>
        </w:tc>
        <w:tc>
          <w:tcPr>
            <w:tcW w:w="1811" w:type="dxa"/>
          </w:tcPr>
          <w:p w14:paraId="270C603E" w14:textId="370332F1" w:rsidR="006E3478" w:rsidRPr="00DE3589" w:rsidRDefault="006E3478" w:rsidP="006E3478">
            <w:pPr>
              <w:spacing w:before="0" w:after="0" w:line="240" w:lineRule="auto"/>
              <w:rPr>
                <w:rFonts w:eastAsia="Aptos" w:cs="Cordia New"/>
                <w:sz w:val="14"/>
                <w:szCs w:val="14"/>
                <w:lang w:eastAsia="en-US"/>
              </w:rPr>
            </w:pPr>
            <w:r w:rsidRPr="00DE3589">
              <w:rPr>
                <w:sz w:val="14"/>
                <w:szCs w:val="14"/>
              </w:rPr>
              <w:t>Australia: Early maturity</w:t>
            </w:r>
            <w:r w:rsidR="0098792B" w:rsidRPr="00DE3589">
              <w:rPr>
                <w:sz w:val="14"/>
                <w:szCs w:val="14"/>
              </w:rPr>
              <w:t xml:space="preserve"> for VPP/aggregator groups</w:t>
            </w:r>
            <w:r w:rsidRPr="00DE3589">
              <w:rPr>
                <w:sz w:val="14"/>
                <w:szCs w:val="14"/>
              </w:rPr>
              <w:t>. Global: Evolving with DSO frameworks.</w:t>
            </w:r>
          </w:p>
        </w:tc>
      </w:tr>
      <w:tr w:rsidR="006E3478" w:rsidRPr="005938BE" w14:paraId="3DCA3EF1" w14:textId="179E5215" w:rsidTr="00ED5BCF">
        <w:tc>
          <w:tcPr>
            <w:tcW w:w="2154" w:type="dxa"/>
            <w:hideMark/>
          </w:tcPr>
          <w:p w14:paraId="45F46299" w14:textId="7548483D"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CER/DER Resource IDs (NMIs) by groupings</w:t>
            </w:r>
          </w:p>
        </w:tc>
        <w:tc>
          <w:tcPr>
            <w:tcW w:w="2665" w:type="dxa"/>
            <w:hideMark/>
          </w:tcPr>
          <w:p w14:paraId="4B7760D2" w14:textId="0C01C02D"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Exchange of CER/DER resource identifiers, groupings, and nested control logic relevant to orchestrated flexibility.</w:t>
            </w:r>
          </w:p>
        </w:tc>
        <w:tc>
          <w:tcPr>
            <w:tcW w:w="1109" w:type="dxa"/>
          </w:tcPr>
          <w:p w14:paraId="198C401C" w14:textId="0BDCC088" w:rsidR="006E3478" w:rsidRPr="00DE3589" w:rsidRDefault="006E3478" w:rsidP="006E3478">
            <w:pPr>
              <w:spacing w:before="0" w:after="0" w:line="240" w:lineRule="auto"/>
              <w:rPr>
                <w:rFonts w:eastAsia="Aptos" w:cs="Cordia New"/>
                <w:sz w:val="14"/>
                <w:szCs w:val="14"/>
                <w:lang w:eastAsia="en-US"/>
              </w:rPr>
            </w:pPr>
            <w:r w:rsidRPr="00DE3589">
              <w:rPr>
                <w:sz w:val="14"/>
                <w:szCs w:val="14"/>
              </w:rPr>
              <w:t>Pre-event, Day-ahead</w:t>
            </w:r>
          </w:p>
        </w:tc>
        <w:tc>
          <w:tcPr>
            <w:tcW w:w="1453" w:type="dxa"/>
          </w:tcPr>
          <w:p w14:paraId="5A19BA6D" w14:textId="2ED2C60C" w:rsidR="006E3478" w:rsidRPr="00DE3589" w:rsidRDefault="006E3478" w:rsidP="006E3478">
            <w:pPr>
              <w:spacing w:before="0" w:after="0" w:line="240" w:lineRule="auto"/>
              <w:rPr>
                <w:rFonts w:eastAsia="Aptos" w:cs="Cordia New"/>
                <w:sz w:val="14"/>
                <w:szCs w:val="14"/>
                <w:lang w:eastAsia="en-US"/>
              </w:rPr>
            </w:pPr>
            <w:r w:rsidRPr="00DE3589">
              <w:rPr>
                <w:sz w:val="14"/>
                <w:szCs w:val="14"/>
              </w:rPr>
              <w:t>High Latency</w:t>
            </w:r>
          </w:p>
        </w:tc>
        <w:tc>
          <w:tcPr>
            <w:tcW w:w="1086" w:type="dxa"/>
          </w:tcPr>
          <w:p w14:paraId="110BAF2D" w14:textId="2B22447E" w:rsidR="006E3478" w:rsidRPr="00DE3589" w:rsidRDefault="00596569" w:rsidP="006E3478">
            <w:pPr>
              <w:spacing w:before="0" w:after="0" w:line="240" w:lineRule="auto"/>
              <w:rPr>
                <w:rFonts w:eastAsia="Aptos" w:cs="Cordia New"/>
                <w:sz w:val="14"/>
                <w:szCs w:val="14"/>
                <w:lang w:eastAsia="en-US"/>
              </w:rPr>
            </w:pPr>
            <w:r w:rsidRPr="00596569">
              <w:rPr>
                <w:sz w:val="14"/>
                <w:szCs w:val="14"/>
              </w:rPr>
              <w:t>IEC 61968-5</w:t>
            </w:r>
            <w:r w:rsidR="006E3478" w:rsidRPr="00DE3589">
              <w:rPr>
                <w:sz w:val="14"/>
                <w:szCs w:val="14"/>
              </w:rPr>
              <w:t xml:space="preserve">, </w:t>
            </w:r>
            <w:r w:rsidRPr="00596569">
              <w:rPr>
                <w:sz w:val="14"/>
                <w:szCs w:val="14"/>
              </w:rPr>
              <w:t>IEEE 2030.11</w:t>
            </w:r>
            <w:r>
              <w:rPr>
                <w:sz w:val="14"/>
                <w:szCs w:val="14"/>
              </w:rPr>
              <w:t xml:space="preserve">, </w:t>
            </w:r>
            <w:r w:rsidR="006E3478" w:rsidRPr="00DE3589">
              <w:rPr>
                <w:sz w:val="14"/>
                <w:szCs w:val="14"/>
              </w:rPr>
              <w:t>IEC 61968-13</w:t>
            </w:r>
          </w:p>
        </w:tc>
        <w:tc>
          <w:tcPr>
            <w:tcW w:w="3685" w:type="dxa"/>
          </w:tcPr>
          <w:p w14:paraId="7DF492F2" w14:textId="4763C687" w:rsidR="006E3478" w:rsidRPr="00DE3589" w:rsidRDefault="006E3478" w:rsidP="00DE3589">
            <w:pPr>
              <w:spacing w:before="0" w:after="0"/>
              <w:rPr>
                <w:sz w:val="14"/>
                <w:szCs w:val="14"/>
              </w:rPr>
            </w:pPr>
            <w:r w:rsidRPr="00FD2F31">
              <w:rPr>
                <w:sz w:val="14"/>
                <w:szCs w:val="14"/>
              </w:rPr>
              <w:t xml:space="preserve">In </w:t>
            </w:r>
            <w:r w:rsidR="00FD2F31">
              <w:rPr>
                <w:sz w:val="14"/>
                <w:szCs w:val="14"/>
              </w:rPr>
              <w:t>more layered approaches</w:t>
            </w:r>
            <w:r w:rsidRPr="00FD2F31">
              <w:rPr>
                <w:sz w:val="14"/>
                <w:szCs w:val="14"/>
              </w:rPr>
              <w:t xml:space="preserve">, </w:t>
            </w:r>
            <w:r w:rsidR="001A4015">
              <w:rPr>
                <w:sz w:val="14"/>
                <w:szCs w:val="14"/>
              </w:rPr>
              <w:t xml:space="preserve">it may only be necessary </w:t>
            </w:r>
            <w:r w:rsidR="00546576">
              <w:rPr>
                <w:sz w:val="14"/>
                <w:szCs w:val="14"/>
              </w:rPr>
              <w:t xml:space="preserve">to </w:t>
            </w:r>
            <w:r w:rsidR="001C77A1">
              <w:rPr>
                <w:sz w:val="14"/>
                <w:szCs w:val="14"/>
              </w:rPr>
              <w:t>expose</w:t>
            </w:r>
            <w:r w:rsidR="001A4015" w:rsidRPr="00FD2F31">
              <w:rPr>
                <w:sz w:val="14"/>
                <w:szCs w:val="14"/>
              </w:rPr>
              <w:t xml:space="preserve"> </w:t>
            </w:r>
            <w:r w:rsidRPr="00FD2F31">
              <w:rPr>
                <w:sz w:val="14"/>
                <w:szCs w:val="14"/>
              </w:rPr>
              <w:t xml:space="preserve">aggregated or service-level capabilities </w:t>
            </w:r>
            <w:r w:rsidR="006A5E2C">
              <w:rPr>
                <w:sz w:val="14"/>
                <w:szCs w:val="14"/>
              </w:rPr>
              <w:t xml:space="preserve">to </w:t>
            </w:r>
            <w:r w:rsidR="00923E78">
              <w:rPr>
                <w:sz w:val="14"/>
                <w:szCs w:val="14"/>
              </w:rPr>
              <w:t xml:space="preserve">the </w:t>
            </w:r>
            <w:r w:rsidR="00600128">
              <w:rPr>
                <w:sz w:val="14"/>
                <w:szCs w:val="14"/>
              </w:rPr>
              <w:t>SO</w:t>
            </w:r>
            <w:r w:rsidRPr="00FD2F31">
              <w:rPr>
                <w:sz w:val="14"/>
                <w:szCs w:val="14"/>
              </w:rPr>
              <w:t xml:space="preserve">. </w:t>
            </w:r>
            <w:r w:rsidR="00CA779B">
              <w:rPr>
                <w:sz w:val="14"/>
                <w:szCs w:val="14"/>
              </w:rPr>
              <w:t xml:space="preserve">In this </w:t>
            </w:r>
            <w:r w:rsidR="001B477B">
              <w:rPr>
                <w:sz w:val="14"/>
                <w:szCs w:val="14"/>
              </w:rPr>
              <w:t>scenario</w:t>
            </w:r>
            <w:r w:rsidR="00CA779B">
              <w:rPr>
                <w:sz w:val="14"/>
                <w:szCs w:val="14"/>
              </w:rPr>
              <w:t xml:space="preserve">, </w:t>
            </w:r>
            <w:r w:rsidR="00923E78">
              <w:rPr>
                <w:sz w:val="14"/>
                <w:szCs w:val="14"/>
              </w:rPr>
              <w:t>Individual r</w:t>
            </w:r>
            <w:r w:rsidRPr="00FD2F31">
              <w:rPr>
                <w:sz w:val="14"/>
                <w:szCs w:val="14"/>
              </w:rPr>
              <w:t xml:space="preserve">esource-level data </w:t>
            </w:r>
            <w:r w:rsidR="00CA779B">
              <w:rPr>
                <w:sz w:val="14"/>
                <w:szCs w:val="14"/>
              </w:rPr>
              <w:t>w</w:t>
            </w:r>
            <w:r w:rsidR="00AA1D25">
              <w:rPr>
                <w:sz w:val="14"/>
                <w:szCs w:val="14"/>
              </w:rPr>
              <w:t xml:space="preserve">ould be </w:t>
            </w:r>
            <w:r w:rsidR="00A9525B">
              <w:rPr>
                <w:sz w:val="14"/>
                <w:szCs w:val="14"/>
              </w:rPr>
              <w:t>synthesised by the</w:t>
            </w:r>
            <w:r w:rsidRPr="00FD2F31">
              <w:rPr>
                <w:sz w:val="14"/>
                <w:szCs w:val="14"/>
              </w:rPr>
              <w:t xml:space="preserve"> DSO </w:t>
            </w:r>
            <w:r w:rsidR="00A9525B">
              <w:rPr>
                <w:sz w:val="14"/>
                <w:szCs w:val="14"/>
              </w:rPr>
              <w:t xml:space="preserve">for their </w:t>
            </w:r>
            <w:r w:rsidR="00556E81">
              <w:rPr>
                <w:sz w:val="14"/>
                <w:szCs w:val="14"/>
              </w:rPr>
              <w:t>operating zone</w:t>
            </w:r>
            <w:r w:rsidR="001B477B">
              <w:rPr>
                <w:sz w:val="14"/>
                <w:szCs w:val="14"/>
              </w:rPr>
              <w:t xml:space="preserve"> and </w:t>
            </w:r>
            <w:r w:rsidR="007610A7">
              <w:rPr>
                <w:sz w:val="14"/>
                <w:szCs w:val="14"/>
              </w:rPr>
              <w:t>‘</w:t>
            </w:r>
            <w:r w:rsidR="001B477B">
              <w:rPr>
                <w:sz w:val="14"/>
                <w:szCs w:val="14"/>
              </w:rPr>
              <w:t>passed up</w:t>
            </w:r>
            <w:r w:rsidR="007610A7">
              <w:rPr>
                <w:sz w:val="14"/>
                <w:szCs w:val="14"/>
              </w:rPr>
              <w:t>’</w:t>
            </w:r>
            <w:r w:rsidR="001B477B">
              <w:rPr>
                <w:sz w:val="14"/>
                <w:szCs w:val="14"/>
              </w:rPr>
              <w:t xml:space="preserve"> on an as needed basis</w:t>
            </w:r>
            <w:r w:rsidRPr="00FD2F31">
              <w:rPr>
                <w:sz w:val="14"/>
                <w:szCs w:val="14"/>
              </w:rPr>
              <w:t>.</w:t>
            </w:r>
          </w:p>
        </w:tc>
        <w:tc>
          <w:tcPr>
            <w:tcW w:w="1200" w:type="dxa"/>
          </w:tcPr>
          <w:p w14:paraId="58A8AA6A" w14:textId="5ED7205E"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AGG ↔ DSO ↔ </w:t>
            </w:r>
            <w:r w:rsidR="00600128">
              <w:rPr>
                <w:sz w:val="14"/>
                <w:szCs w:val="14"/>
              </w:rPr>
              <w:t>SO</w:t>
            </w:r>
          </w:p>
        </w:tc>
        <w:tc>
          <w:tcPr>
            <w:tcW w:w="1811" w:type="dxa"/>
          </w:tcPr>
          <w:p w14:paraId="2FBFA5E1" w14:textId="0D968193" w:rsidR="006E3478" w:rsidRPr="00DE3589" w:rsidRDefault="006E3478" w:rsidP="006E3478">
            <w:pPr>
              <w:spacing w:before="0" w:after="0" w:line="240" w:lineRule="auto"/>
              <w:rPr>
                <w:rFonts w:eastAsia="Aptos" w:cs="Cordia New"/>
                <w:sz w:val="14"/>
                <w:szCs w:val="14"/>
                <w:lang w:eastAsia="en-US"/>
              </w:rPr>
            </w:pPr>
            <w:r w:rsidRPr="00DE3589">
              <w:rPr>
                <w:sz w:val="14"/>
                <w:szCs w:val="14"/>
              </w:rPr>
              <w:t>Australia: Emerging in VPP pilots. Global: Mature in locali</w:t>
            </w:r>
            <w:r w:rsidR="00DA5B1A">
              <w:rPr>
                <w:sz w:val="14"/>
                <w:szCs w:val="14"/>
              </w:rPr>
              <w:t>s</w:t>
            </w:r>
            <w:r w:rsidRPr="00DE3589">
              <w:rPr>
                <w:sz w:val="14"/>
                <w:szCs w:val="14"/>
              </w:rPr>
              <w:t>ed flexibility markets.</w:t>
            </w:r>
          </w:p>
        </w:tc>
      </w:tr>
      <w:tr w:rsidR="006E3478" w:rsidRPr="005938BE" w14:paraId="17ADEF9E" w14:textId="77777777" w:rsidTr="00ED5BCF">
        <w:tc>
          <w:tcPr>
            <w:tcW w:w="2154" w:type="dxa"/>
          </w:tcPr>
          <w:p w14:paraId="018D7FC3" w14:textId="20DDDD19"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CER/DER group standing data</w:t>
            </w:r>
          </w:p>
        </w:tc>
        <w:tc>
          <w:tcPr>
            <w:tcW w:w="2665" w:type="dxa"/>
          </w:tcPr>
          <w:p w14:paraId="2C6B11B7" w14:textId="6B98F0EB" w:rsidR="006E3478" w:rsidRPr="00DE3589" w:rsidRDefault="006E3478" w:rsidP="006E3478">
            <w:pPr>
              <w:spacing w:before="0" w:after="0" w:line="240" w:lineRule="auto"/>
              <w:rPr>
                <w:rFonts w:eastAsia="Aptos" w:cs="Cordia New"/>
                <w:sz w:val="14"/>
                <w:szCs w:val="14"/>
                <w:lang w:eastAsia="en-US"/>
              </w:rPr>
            </w:pPr>
            <w:r w:rsidRPr="00DE3589">
              <w:rPr>
                <w:rFonts w:eastAsia="Aptos" w:cs="Cordia New"/>
                <w:sz w:val="14"/>
                <w:szCs w:val="14"/>
                <w:lang w:eastAsia="en-US"/>
              </w:rPr>
              <w:t>Data on CER/DER group market participation, pre-qualification status, controllability, real/reactive limits, ramp rates, frequency response, telemetry, etc.</w:t>
            </w:r>
          </w:p>
        </w:tc>
        <w:tc>
          <w:tcPr>
            <w:tcW w:w="1109" w:type="dxa"/>
          </w:tcPr>
          <w:p w14:paraId="229363F6" w14:textId="1F6542D5" w:rsidR="006E3478" w:rsidRPr="00DE3589" w:rsidRDefault="006E3478" w:rsidP="006E3478">
            <w:pPr>
              <w:spacing w:before="0" w:after="0" w:line="240" w:lineRule="auto"/>
              <w:rPr>
                <w:rFonts w:eastAsia="Aptos" w:cs="Cordia New"/>
                <w:sz w:val="14"/>
                <w:szCs w:val="14"/>
                <w:lang w:eastAsia="en-US"/>
              </w:rPr>
            </w:pPr>
            <w:r w:rsidRPr="00DE3589">
              <w:rPr>
                <w:sz w:val="14"/>
                <w:szCs w:val="14"/>
              </w:rPr>
              <w:t>Pre-event</w:t>
            </w:r>
          </w:p>
        </w:tc>
        <w:tc>
          <w:tcPr>
            <w:tcW w:w="1453" w:type="dxa"/>
          </w:tcPr>
          <w:p w14:paraId="0B6EA87A" w14:textId="0AC1B39C" w:rsidR="006E3478" w:rsidRPr="00DE3589" w:rsidRDefault="006E3478" w:rsidP="00DE3589">
            <w:pPr>
              <w:spacing w:before="0" w:after="0" w:line="240" w:lineRule="auto"/>
              <w:rPr>
                <w:rFonts w:eastAsia="Aptos" w:cs="Cordia New"/>
                <w:sz w:val="14"/>
                <w:szCs w:val="14"/>
                <w:lang w:eastAsia="en-US"/>
              </w:rPr>
            </w:pPr>
            <w:r w:rsidRPr="00DE3589">
              <w:rPr>
                <w:sz w:val="14"/>
                <w:szCs w:val="14"/>
              </w:rPr>
              <w:t>Moderate Latency</w:t>
            </w:r>
          </w:p>
        </w:tc>
        <w:tc>
          <w:tcPr>
            <w:tcW w:w="1086" w:type="dxa"/>
          </w:tcPr>
          <w:p w14:paraId="2F4212D2" w14:textId="5CAA5529" w:rsidR="006E3478" w:rsidRPr="00DE3589" w:rsidRDefault="00596569" w:rsidP="006E3478">
            <w:pPr>
              <w:spacing w:before="0" w:after="0" w:line="240" w:lineRule="auto"/>
              <w:rPr>
                <w:rFonts w:eastAsia="Aptos" w:cs="Cordia New"/>
                <w:sz w:val="14"/>
                <w:szCs w:val="14"/>
                <w:lang w:eastAsia="en-US"/>
              </w:rPr>
            </w:pPr>
            <w:r w:rsidRPr="00596569">
              <w:rPr>
                <w:sz w:val="14"/>
                <w:szCs w:val="14"/>
              </w:rPr>
              <w:t>IEC 61968-5, IEEE 2030.11</w:t>
            </w:r>
            <w:r w:rsidR="006E3478" w:rsidRPr="00DE3589">
              <w:rPr>
                <w:sz w:val="14"/>
                <w:szCs w:val="14"/>
              </w:rPr>
              <w:t>, ICCP</w:t>
            </w:r>
          </w:p>
        </w:tc>
        <w:tc>
          <w:tcPr>
            <w:tcW w:w="3685" w:type="dxa"/>
          </w:tcPr>
          <w:p w14:paraId="14D8D0DB" w14:textId="20E942C3" w:rsidR="006E3478" w:rsidRPr="00DE3589" w:rsidRDefault="00794D93" w:rsidP="006E3478">
            <w:pPr>
              <w:spacing w:before="0" w:after="0" w:line="240" w:lineRule="auto"/>
              <w:rPr>
                <w:rFonts w:eastAsia="Aptos" w:cs="Cordia New"/>
                <w:sz w:val="14"/>
                <w:szCs w:val="14"/>
                <w:highlight w:val="yellow"/>
                <w:lang w:eastAsia="en-US"/>
              </w:rPr>
            </w:pPr>
            <w:r>
              <w:rPr>
                <w:sz w:val="14"/>
                <w:szCs w:val="14"/>
              </w:rPr>
              <w:t xml:space="preserve">Data acquisition and validation </w:t>
            </w:r>
            <w:r w:rsidR="001E4A89">
              <w:rPr>
                <w:sz w:val="14"/>
                <w:szCs w:val="14"/>
              </w:rPr>
              <w:t>Increasingly shared across m</w:t>
            </w:r>
            <w:r w:rsidR="00F909F2">
              <w:rPr>
                <w:sz w:val="14"/>
                <w:szCs w:val="14"/>
              </w:rPr>
              <w:t xml:space="preserve">ature DSOs </w:t>
            </w:r>
            <w:r w:rsidR="006D208C">
              <w:rPr>
                <w:sz w:val="14"/>
                <w:szCs w:val="14"/>
              </w:rPr>
              <w:t>with distribution</w:t>
            </w:r>
            <w:r w:rsidR="00F60497">
              <w:rPr>
                <w:sz w:val="14"/>
                <w:szCs w:val="14"/>
              </w:rPr>
              <w:t>-level</w:t>
            </w:r>
            <w:r w:rsidR="006D208C">
              <w:rPr>
                <w:sz w:val="14"/>
                <w:szCs w:val="14"/>
              </w:rPr>
              <w:t xml:space="preserve"> market mechanism</w:t>
            </w:r>
            <w:r w:rsidR="00F7715F">
              <w:rPr>
                <w:sz w:val="14"/>
                <w:szCs w:val="14"/>
              </w:rPr>
              <w:t>s</w:t>
            </w:r>
            <w:r w:rsidR="001E4A89">
              <w:rPr>
                <w:sz w:val="14"/>
                <w:szCs w:val="14"/>
              </w:rPr>
              <w:t xml:space="preserve"> and</w:t>
            </w:r>
            <w:r w:rsidR="005C429C">
              <w:rPr>
                <w:sz w:val="14"/>
                <w:szCs w:val="14"/>
              </w:rPr>
              <w:t xml:space="preserve"> wholesale market operators</w:t>
            </w:r>
            <w:r w:rsidR="006E3478" w:rsidRPr="008635CC">
              <w:rPr>
                <w:sz w:val="14"/>
                <w:szCs w:val="14"/>
              </w:rPr>
              <w:t>.</w:t>
            </w:r>
          </w:p>
        </w:tc>
        <w:tc>
          <w:tcPr>
            <w:tcW w:w="1200" w:type="dxa"/>
          </w:tcPr>
          <w:p w14:paraId="5CD1131F" w14:textId="3DC75C31"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DSO ↔ </w:t>
            </w:r>
            <w:r w:rsidR="00600128">
              <w:rPr>
                <w:sz w:val="14"/>
                <w:szCs w:val="14"/>
              </w:rPr>
              <w:t>SO</w:t>
            </w:r>
            <w:r w:rsidRPr="00DE3589">
              <w:rPr>
                <w:sz w:val="14"/>
                <w:szCs w:val="14"/>
              </w:rPr>
              <w:t xml:space="preserve">, AGG </w:t>
            </w:r>
            <w:r w:rsidRPr="00DE3589">
              <w:rPr>
                <w:rFonts w:hint="eastAsia"/>
                <w:sz w:val="14"/>
                <w:szCs w:val="14"/>
              </w:rPr>
              <w:t>→</w:t>
            </w:r>
            <w:r w:rsidRPr="00DE3589">
              <w:rPr>
                <w:sz w:val="14"/>
                <w:szCs w:val="14"/>
              </w:rPr>
              <w:t xml:space="preserve"> DSO</w:t>
            </w:r>
          </w:p>
        </w:tc>
        <w:tc>
          <w:tcPr>
            <w:tcW w:w="1811" w:type="dxa"/>
          </w:tcPr>
          <w:p w14:paraId="5BD77F3D" w14:textId="6CA610BD" w:rsidR="006E3478" w:rsidRPr="00DE3589" w:rsidRDefault="006E3478" w:rsidP="006E3478">
            <w:pPr>
              <w:spacing w:before="0" w:after="0" w:line="240" w:lineRule="auto"/>
              <w:rPr>
                <w:rFonts w:eastAsia="Aptos" w:cs="Cordia New"/>
                <w:sz w:val="14"/>
                <w:szCs w:val="14"/>
                <w:lang w:eastAsia="en-US"/>
              </w:rPr>
            </w:pPr>
            <w:r w:rsidRPr="00DE3589">
              <w:rPr>
                <w:sz w:val="14"/>
                <w:szCs w:val="14"/>
              </w:rPr>
              <w:t xml:space="preserve">Australia: Used in some trials. Global: Implemented in </w:t>
            </w:r>
            <w:r w:rsidR="00EB51B6">
              <w:rPr>
                <w:sz w:val="14"/>
                <w:szCs w:val="14"/>
              </w:rPr>
              <w:t xml:space="preserve">some </w:t>
            </w:r>
            <w:r w:rsidRPr="00DE3589">
              <w:rPr>
                <w:sz w:val="14"/>
                <w:szCs w:val="14"/>
              </w:rPr>
              <w:t>DSOs with DERMS integration.</w:t>
            </w:r>
          </w:p>
        </w:tc>
      </w:tr>
    </w:tbl>
    <w:p w14:paraId="23AACDE3" w14:textId="77777777" w:rsidR="00D96B4E" w:rsidRPr="00DE3589" w:rsidRDefault="00D96B4E" w:rsidP="00DE3589">
      <w:r w:rsidRPr="00D96B4E">
        <w:br w:type="page"/>
      </w:r>
    </w:p>
    <w:p w14:paraId="10A035A4" w14:textId="104BD932" w:rsidR="00FF1EE4" w:rsidRDefault="00FF1EE4" w:rsidP="00D63C88">
      <w:pPr>
        <w:pStyle w:val="Heading2"/>
        <w:ind w:left="709" w:hanging="709"/>
      </w:pPr>
      <w:bookmarkStart w:id="201" w:name="_Toc205532871"/>
      <w:r>
        <w:lastRenderedPageBreak/>
        <w:t>Schedule</w:t>
      </w:r>
      <w:r w:rsidR="00A956AA">
        <w:t>d</w:t>
      </w:r>
      <w:r>
        <w:t xml:space="preserve"> Coordination</w:t>
      </w:r>
      <w:r w:rsidR="00895D42">
        <w:t xml:space="preserve"> and Data Exchange</w:t>
      </w:r>
      <w:bookmarkEnd w:id="201"/>
    </w:p>
    <w:p w14:paraId="5C0DC8F4" w14:textId="7DC711C2" w:rsidR="008A24FA" w:rsidRPr="008A24FA" w:rsidRDefault="008A24FA" w:rsidP="00961484">
      <w:pPr>
        <w:ind w:right="-1307"/>
      </w:pPr>
      <w:r w:rsidRPr="008A24FA">
        <w:t>Schedule</w:t>
      </w:r>
      <w:r w:rsidR="00430E1D">
        <w:t>d</w:t>
      </w:r>
      <w:r w:rsidRPr="008A24FA">
        <w:t xml:space="preserve"> coordination and data exchange captures </w:t>
      </w:r>
      <w:r w:rsidR="00E81B18">
        <w:t xml:space="preserve">interactions required at regular intervals for a specific purpose, such as </w:t>
      </w:r>
      <w:r w:rsidR="00000E17" w:rsidRPr="008A24FA">
        <w:t>forecast</w:t>
      </w:r>
      <w:r w:rsidR="00000E17">
        <w:t xml:space="preserve">ing </w:t>
      </w:r>
      <w:r w:rsidR="00000E17" w:rsidRPr="008A24FA">
        <w:t>generation</w:t>
      </w:r>
      <w:r w:rsidRPr="008A24FA">
        <w:t xml:space="preserve"> </w:t>
      </w:r>
      <w:r w:rsidR="00E81B18">
        <w:t>and</w:t>
      </w:r>
      <w:r w:rsidRPr="008A24FA">
        <w:t xml:space="preserve"> load, planned outages, network switching and demand response. Combined with structural data, it allows operators to simulate near-future states of the grid for operational planning. It supports proactive transmission and distribution network optimisation and enables coordinated off-market flexibility activation across network layers.</w:t>
      </w:r>
      <w: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030"/>
        <w:gridCol w:w="2476"/>
        <w:gridCol w:w="1107"/>
        <w:gridCol w:w="1429"/>
        <w:gridCol w:w="1347"/>
        <w:gridCol w:w="3395"/>
        <w:gridCol w:w="1591"/>
        <w:gridCol w:w="1788"/>
      </w:tblGrid>
      <w:tr w:rsidR="00FF1EE4" w:rsidRPr="005938BE" w14:paraId="5415EEEE" w14:textId="77777777" w:rsidTr="00ED5BCF">
        <w:trPr>
          <w:trHeight w:val="454"/>
          <w:tblHeader/>
        </w:trPr>
        <w:tc>
          <w:tcPr>
            <w:tcW w:w="15163" w:type="dxa"/>
            <w:gridSpan w:val="8"/>
            <w:shd w:val="clear" w:color="auto" w:fill="013C4C"/>
            <w:vAlign w:val="center"/>
          </w:tcPr>
          <w:p w14:paraId="35B0A0CF" w14:textId="0B98C2F3" w:rsidR="00FF1EE4" w:rsidRPr="00D20196" w:rsidRDefault="00895D42" w:rsidP="00112F7B">
            <w:pPr>
              <w:spacing w:before="0" w:after="0" w:line="252" w:lineRule="auto"/>
              <w:jc w:val="center"/>
              <w:rPr>
                <w:rFonts w:ascii="PP Mori SemiBold" w:eastAsia="Aptos" w:hAnsi="PP Mori SemiBold" w:cs="Cordia New"/>
                <w:b/>
                <w:sz w:val="16"/>
                <w:szCs w:val="16"/>
                <w:lang w:eastAsia="en-US"/>
              </w:rPr>
            </w:pPr>
            <w:r>
              <w:rPr>
                <w:rFonts w:ascii="PP Mori SemiBold" w:eastAsia="Aptos" w:hAnsi="PP Mori SemiBold" w:cs="Cordia New"/>
                <w:b/>
                <w:sz w:val="16"/>
                <w:szCs w:val="16"/>
                <w:lang w:eastAsia="en-US"/>
              </w:rPr>
              <w:t>Schedule</w:t>
            </w:r>
            <w:r w:rsidR="00430E1D">
              <w:rPr>
                <w:rFonts w:ascii="PP Mori SemiBold" w:eastAsia="Aptos" w:hAnsi="PP Mori SemiBold" w:cs="Cordia New"/>
                <w:b/>
                <w:sz w:val="16"/>
                <w:szCs w:val="16"/>
                <w:lang w:eastAsia="en-US"/>
              </w:rPr>
              <w:t>d</w:t>
            </w:r>
            <w:r w:rsidR="00FF1EE4" w:rsidRPr="00FF0C3B">
              <w:rPr>
                <w:rFonts w:ascii="PP Mori SemiBold" w:eastAsia="Aptos" w:hAnsi="PP Mori SemiBold" w:cs="Cordia New"/>
                <w:b/>
                <w:sz w:val="16"/>
                <w:szCs w:val="16"/>
                <w:lang w:eastAsia="en-US"/>
              </w:rPr>
              <w:t xml:space="preserve"> Coordination</w:t>
            </w:r>
            <w:r>
              <w:rPr>
                <w:rFonts w:ascii="PP Mori SemiBold" w:eastAsia="Aptos" w:hAnsi="PP Mori SemiBold" w:cs="Cordia New"/>
                <w:b/>
                <w:sz w:val="16"/>
                <w:szCs w:val="16"/>
                <w:lang w:eastAsia="en-US"/>
              </w:rPr>
              <w:t xml:space="preserve"> </w:t>
            </w:r>
            <w:r w:rsidRPr="00895D42">
              <w:rPr>
                <w:rFonts w:ascii="PP Mori SemiBold" w:eastAsia="Aptos" w:hAnsi="PP Mori SemiBold" w:cs="Cordia New"/>
                <w:b/>
                <w:sz w:val="16"/>
                <w:szCs w:val="16"/>
                <w:lang w:eastAsia="en-US"/>
              </w:rPr>
              <w:t>and Data Exchange</w:t>
            </w:r>
          </w:p>
        </w:tc>
      </w:tr>
      <w:tr w:rsidR="001C5C5A" w:rsidRPr="005938BE" w14:paraId="5C4BBF24" w14:textId="77777777" w:rsidTr="00ED5BCF">
        <w:trPr>
          <w:tblHeader/>
        </w:trPr>
        <w:tc>
          <w:tcPr>
            <w:tcW w:w="2030" w:type="dxa"/>
            <w:shd w:val="clear" w:color="auto" w:fill="067296" w:themeFill="text2"/>
            <w:vAlign w:val="center"/>
            <w:hideMark/>
          </w:tcPr>
          <w:p w14:paraId="687BF01C"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Core Functions</w:t>
            </w:r>
          </w:p>
        </w:tc>
        <w:tc>
          <w:tcPr>
            <w:tcW w:w="2476" w:type="dxa"/>
            <w:shd w:val="clear" w:color="auto" w:fill="067296" w:themeFill="text2"/>
            <w:vAlign w:val="center"/>
            <w:hideMark/>
          </w:tcPr>
          <w:p w14:paraId="75B73F3B"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Purpose</w:t>
            </w:r>
          </w:p>
        </w:tc>
        <w:tc>
          <w:tcPr>
            <w:tcW w:w="1107" w:type="dxa"/>
            <w:shd w:val="clear" w:color="auto" w:fill="067296" w:themeFill="text2"/>
            <w:vAlign w:val="center"/>
          </w:tcPr>
          <w:p w14:paraId="1201AB34"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Timeframes</w:t>
            </w:r>
          </w:p>
        </w:tc>
        <w:tc>
          <w:tcPr>
            <w:tcW w:w="1429" w:type="dxa"/>
            <w:shd w:val="clear" w:color="auto" w:fill="067296" w:themeFill="text2"/>
            <w:vAlign w:val="center"/>
          </w:tcPr>
          <w:p w14:paraId="6511AB9A"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Latency Tolerance</w:t>
            </w:r>
          </w:p>
        </w:tc>
        <w:tc>
          <w:tcPr>
            <w:tcW w:w="1347" w:type="dxa"/>
            <w:shd w:val="clear" w:color="auto" w:fill="067296" w:themeFill="text2"/>
            <w:vAlign w:val="center"/>
          </w:tcPr>
          <w:p w14:paraId="71F1183F"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Possible Data Exchange</w:t>
            </w:r>
          </w:p>
        </w:tc>
        <w:tc>
          <w:tcPr>
            <w:tcW w:w="3395" w:type="dxa"/>
            <w:shd w:val="clear" w:color="auto" w:fill="067296" w:themeFill="text2"/>
            <w:vAlign w:val="center"/>
          </w:tcPr>
          <w:p w14:paraId="493C18E7" w14:textId="36330670"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Evolution as DSOs mature</w:t>
            </w:r>
          </w:p>
        </w:tc>
        <w:tc>
          <w:tcPr>
            <w:tcW w:w="1591" w:type="dxa"/>
            <w:shd w:val="clear" w:color="auto" w:fill="067296" w:themeFill="text2"/>
            <w:vAlign w:val="center"/>
          </w:tcPr>
          <w:p w14:paraId="2194450A" w14:textId="77777777" w:rsidR="001C5C5A" w:rsidRPr="005938BE"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Directionality</w:t>
            </w:r>
          </w:p>
        </w:tc>
        <w:tc>
          <w:tcPr>
            <w:tcW w:w="1788" w:type="dxa"/>
            <w:shd w:val="clear" w:color="auto" w:fill="067296" w:themeFill="text2"/>
            <w:vAlign w:val="center"/>
          </w:tcPr>
          <w:p w14:paraId="5029526B"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4"/>
                <w:szCs w:val="14"/>
                <w:lang w:eastAsia="en-US"/>
              </w:rPr>
            </w:pPr>
            <w:r w:rsidRPr="00776409">
              <w:rPr>
                <w:rFonts w:ascii="PP Mori SemiBold" w:eastAsia="Aptos" w:hAnsi="PP Mori SemiBold" w:cs="Cordia New"/>
                <w:color w:val="FAFAFA" w:themeColor="background1"/>
                <w:sz w:val="16"/>
                <w:szCs w:val="16"/>
                <w:lang w:eastAsia="en-US"/>
              </w:rPr>
              <w:t>Implementation Maturity</w:t>
            </w:r>
          </w:p>
        </w:tc>
      </w:tr>
      <w:tr w:rsidR="00F06192" w:rsidRPr="005938BE" w14:paraId="284E9874" w14:textId="77777777" w:rsidTr="00ED5BCF">
        <w:tc>
          <w:tcPr>
            <w:tcW w:w="2030" w:type="dxa"/>
            <w:vAlign w:val="center"/>
          </w:tcPr>
          <w:p w14:paraId="520DEF4B" w14:textId="6BE4D014" w:rsidR="00F06192" w:rsidRPr="001555CA" w:rsidRDefault="006D7D5E" w:rsidP="00F06192">
            <w:pPr>
              <w:spacing w:before="0" w:after="0" w:line="240" w:lineRule="auto"/>
              <w:rPr>
                <w:rFonts w:eastAsia="Aptos" w:cs="Cordia New"/>
                <w:sz w:val="14"/>
                <w:szCs w:val="14"/>
                <w:lang w:eastAsia="en-US"/>
              </w:rPr>
            </w:pPr>
            <w:r>
              <w:rPr>
                <w:rFonts w:eastAsia="Aptos" w:cs="Cordia New"/>
                <w:sz w:val="14"/>
                <w:szCs w:val="14"/>
                <w:lang w:eastAsia="en-US"/>
              </w:rPr>
              <w:t>Schedule of</w:t>
            </w:r>
            <w:r w:rsidR="00F06192" w:rsidRPr="001555CA">
              <w:rPr>
                <w:rFonts w:eastAsia="Aptos" w:cs="Cordia New"/>
                <w:sz w:val="14"/>
                <w:szCs w:val="14"/>
                <w:lang w:eastAsia="en-US"/>
              </w:rPr>
              <w:t xml:space="preserve"> grid equivalents at T-D interconnection points for models</w:t>
            </w:r>
          </w:p>
        </w:tc>
        <w:tc>
          <w:tcPr>
            <w:tcW w:w="2476" w:type="dxa"/>
            <w:vAlign w:val="center"/>
          </w:tcPr>
          <w:p w14:paraId="7BA1E895" w14:textId="18B8F0EE" w:rsidR="00F06192" w:rsidRPr="001555CA" w:rsidRDefault="00F06192" w:rsidP="00F06192">
            <w:pPr>
              <w:spacing w:before="0" w:after="0" w:line="240" w:lineRule="auto"/>
              <w:rPr>
                <w:rFonts w:eastAsia="Aptos" w:cs="Cordia New"/>
                <w:sz w:val="14"/>
                <w:szCs w:val="14"/>
                <w:lang w:eastAsia="en-US"/>
              </w:rPr>
            </w:pPr>
            <w:r w:rsidRPr="001555CA">
              <w:rPr>
                <w:rFonts w:eastAsia="Aptos" w:cs="Cordia New"/>
                <w:sz w:val="14"/>
                <w:szCs w:val="14"/>
                <w:lang w:eastAsia="en-US"/>
              </w:rPr>
              <w:t>Upstream and downstream schedule data to update state estimation models and assess security requirements before dispatch intervals/real-time</w:t>
            </w:r>
            <w:r w:rsidR="00772EEE">
              <w:rPr>
                <w:rFonts w:eastAsia="Aptos" w:cs="Cordia New"/>
                <w:sz w:val="14"/>
                <w:szCs w:val="14"/>
                <w:lang w:eastAsia="en-US"/>
              </w:rPr>
              <w:t xml:space="preserve">. </w:t>
            </w:r>
          </w:p>
        </w:tc>
        <w:tc>
          <w:tcPr>
            <w:tcW w:w="1107" w:type="dxa"/>
          </w:tcPr>
          <w:p w14:paraId="0D64A241" w14:textId="2E5E5E28" w:rsidR="00F06192" w:rsidRPr="001555CA" w:rsidRDefault="00F06192" w:rsidP="00F06192">
            <w:pPr>
              <w:spacing w:before="0" w:after="0" w:line="240" w:lineRule="auto"/>
              <w:rPr>
                <w:rFonts w:eastAsia="Aptos" w:cs="Cordia New"/>
                <w:sz w:val="14"/>
                <w:szCs w:val="14"/>
                <w:lang w:eastAsia="en-US"/>
              </w:rPr>
            </w:pPr>
            <w:r w:rsidRPr="00DE3589">
              <w:rPr>
                <w:sz w:val="14"/>
                <w:szCs w:val="14"/>
              </w:rPr>
              <w:t>Pre-event, Day-ahead</w:t>
            </w:r>
          </w:p>
        </w:tc>
        <w:tc>
          <w:tcPr>
            <w:tcW w:w="1429" w:type="dxa"/>
          </w:tcPr>
          <w:p w14:paraId="68B1507B" w14:textId="754EE5CA" w:rsidR="00F06192" w:rsidRPr="001555CA" w:rsidRDefault="00F06192" w:rsidP="00F06192">
            <w:pPr>
              <w:spacing w:before="0" w:after="0" w:line="240" w:lineRule="auto"/>
              <w:rPr>
                <w:rFonts w:eastAsia="Aptos" w:cs="Cordia New"/>
                <w:sz w:val="14"/>
                <w:szCs w:val="14"/>
                <w:lang w:eastAsia="en-US"/>
              </w:rPr>
            </w:pPr>
            <w:r w:rsidRPr="00DE3589">
              <w:rPr>
                <w:sz w:val="14"/>
                <w:szCs w:val="14"/>
              </w:rPr>
              <w:t>High Latency</w:t>
            </w:r>
          </w:p>
        </w:tc>
        <w:tc>
          <w:tcPr>
            <w:tcW w:w="1347" w:type="dxa"/>
          </w:tcPr>
          <w:p w14:paraId="756979B7" w14:textId="6ED27E9A" w:rsidR="00F06192" w:rsidRPr="001555CA" w:rsidRDefault="00F06192" w:rsidP="00F06192">
            <w:pPr>
              <w:spacing w:before="0" w:after="0" w:line="240" w:lineRule="auto"/>
              <w:rPr>
                <w:rFonts w:eastAsia="Aptos" w:cs="Cordia New"/>
                <w:sz w:val="14"/>
                <w:szCs w:val="14"/>
                <w:lang w:eastAsia="en-US"/>
              </w:rPr>
            </w:pPr>
            <w:r w:rsidRPr="00DE3589">
              <w:rPr>
                <w:sz w:val="14"/>
                <w:szCs w:val="14"/>
              </w:rPr>
              <w:t>CIM (IEC 61970/61968), CGMES</w:t>
            </w:r>
          </w:p>
        </w:tc>
        <w:tc>
          <w:tcPr>
            <w:tcW w:w="3395" w:type="dxa"/>
          </w:tcPr>
          <w:p w14:paraId="6A6F450F" w14:textId="0EBB6FB8" w:rsidR="00F06192" w:rsidRPr="001555CA" w:rsidRDefault="005C4D9C" w:rsidP="00F06192">
            <w:pPr>
              <w:spacing w:before="0" w:after="0" w:line="240" w:lineRule="auto"/>
              <w:rPr>
                <w:rFonts w:eastAsia="Aptos" w:cs="Cordia New"/>
                <w:sz w:val="14"/>
                <w:szCs w:val="14"/>
                <w:lang w:eastAsia="en-US"/>
              </w:rPr>
            </w:pPr>
            <w:r>
              <w:rPr>
                <w:sz w:val="14"/>
                <w:szCs w:val="14"/>
              </w:rPr>
              <w:t xml:space="preserve">DSOs to assume increased ownership of </w:t>
            </w:r>
            <w:r w:rsidRPr="002473B8">
              <w:rPr>
                <w:sz w:val="14"/>
                <w:szCs w:val="14"/>
              </w:rPr>
              <w:t xml:space="preserve">forecasted equivalents </w:t>
            </w:r>
            <w:r>
              <w:rPr>
                <w:sz w:val="14"/>
                <w:szCs w:val="14"/>
              </w:rPr>
              <w:t xml:space="preserve">derived from enhanced CER/DER integration capabilities </w:t>
            </w:r>
            <w:r w:rsidRPr="002473B8">
              <w:rPr>
                <w:sz w:val="14"/>
                <w:szCs w:val="14"/>
              </w:rPr>
              <w:t>for pre-dispatch planning.</w:t>
            </w:r>
            <w:r>
              <w:rPr>
                <w:sz w:val="14"/>
                <w:szCs w:val="14"/>
              </w:rPr>
              <w:t xml:space="preserve"> Increasingly c</w:t>
            </w:r>
            <w:r w:rsidR="004A0354">
              <w:rPr>
                <w:sz w:val="14"/>
                <w:szCs w:val="14"/>
              </w:rPr>
              <w:t>ritical</w:t>
            </w:r>
            <w:r w:rsidR="007628C8">
              <w:rPr>
                <w:sz w:val="14"/>
                <w:szCs w:val="14"/>
              </w:rPr>
              <w:t xml:space="preserve"> as operational variables </w:t>
            </w:r>
            <w:r w:rsidR="00984CED">
              <w:rPr>
                <w:sz w:val="14"/>
                <w:szCs w:val="14"/>
              </w:rPr>
              <w:t xml:space="preserve">push </w:t>
            </w:r>
            <w:r w:rsidR="00C47A1C">
              <w:rPr>
                <w:sz w:val="14"/>
                <w:szCs w:val="14"/>
              </w:rPr>
              <w:t xml:space="preserve">security </w:t>
            </w:r>
            <w:r w:rsidR="00984CED">
              <w:rPr>
                <w:sz w:val="14"/>
                <w:szCs w:val="14"/>
              </w:rPr>
              <w:t>thresholds</w:t>
            </w:r>
            <w:r w:rsidR="00981571">
              <w:rPr>
                <w:sz w:val="14"/>
                <w:szCs w:val="14"/>
              </w:rPr>
              <w:t xml:space="preserve"> under increased system bifurcation</w:t>
            </w:r>
            <w:r w:rsidR="00F06192" w:rsidRPr="00DE3589">
              <w:rPr>
                <w:sz w:val="14"/>
                <w:szCs w:val="14"/>
              </w:rPr>
              <w:t xml:space="preserve">. </w:t>
            </w:r>
          </w:p>
        </w:tc>
        <w:tc>
          <w:tcPr>
            <w:tcW w:w="1591" w:type="dxa"/>
          </w:tcPr>
          <w:p w14:paraId="49B939B9" w14:textId="2F42FCC7" w:rsidR="00F06192" w:rsidRPr="001555CA" w:rsidRDefault="00F06192" w:rsidP="00F06192">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600128">
              <w:rPr>
                <w:sz w:val="14"/>
                <w:szCs w:val="14"/>
              </w:rPr>
              <w:t>SO</w:t>
            </w:r>
          </w:p>
        </w:tc>
        <w:tc>
          <w:tcPr>
            <w:tcW w:w="1788" w:type="dxa"/>
          </w:tcPr>
          <w:p w14:paraId="61E84FE9" w14:textId="7005F5E0" w:rsidR="00F06192" w:rsidRPr="001555CA" w:rsidRDefault="00F06192" w:rsidP="00F06192">
            <w:pPr>
              <w:spacing w:before="0" w:after="0" w:line="240" w:lineRule="auto"/>
              <w:rPr>
                <w:rFonts w:eastAsia="Aptos" w:cs="Cordia New"/>
                <w:sz w:val="14"/>
                <w:szCs w:val="14"/>
                <w:lang w:eastAsia="en-US"/>
              </w:rPr>
            </w:pPr>
            <w:r w:rsidRPr="00DE3589">
              <w:rPr>
                <w:sz w:val="14"/>
                <w:szCs w:val="14"/>
              </w:rPr>
              <w:t>Australia: Conceptual/pilot. Global: Advanced in Nordic and EU markets</w:t>
            </w:r>
          </w:p>
        </w:tc>
      </w:tr>
      <w:tr w:rsidR="00F06192" w:rsidRPr="005938BE" w14:paraId="00102AA1" w14:textId="77777777" w:rsidTr="00ED5BCF">
        <w:tc>
          <w:tcPr>
            <w:tcW w:w="2030" w:type="dxa"/>
            <w:vAlign w:val="center"/>
          </w:tcPr>
          <w:p w14:paraId="5CEC5FEE" w14:textId="5A6B14E6" w:rsidR="00F06192" w:rsidRPr="001555CA" w:rsidRDefault="006D7D5E" w:rsidP="00F06192">
            <w:pPr>
              <w:spacing w:before="0" w:after="0" w:line="240" w:lineRule="auto"/>
              <w:rPr>
                <w:rFonts w:eastAsia="Aptos" w:cs="Cordia New"/>
                <w:sz w:val="14"/>
                <w:szCs w:val="14"/>
                <w:lang w:eastAsia="en-US"/>
              </w:rPr>
            </w:pPr>
            <w:r>
              <w:rPr>
                <w:rFonts w:eastAsia="Aptos" w:cs="Cordia New"/>
                <w:sz w:val="14"/>
                <w:szCs w:val="14"/>
                <w:lang w:eastAsia="en-US"/>
              </w:rPr>
              <w:t>Scheduled</w:t>
            </w:r>
            <w:r w:rsidR="00F06192" w:rsidRPr="001555CA">
              <w:rPr>
                <w:rFonts w:eastAsia="Aptos" w:cs="Cordia New"/>
                <w:sz w:val="14"/>
                <w:szCs w:val="14"/>
                <w:lang w:eastAsia="en-US"/>
              </w:rPr>
              <w:t xml:space="preserve"> substantive network switching, deratings and topology updates</w:t>
            </w:r>
          </w:p>
        </w:tc>
        <w:tc>
          <w:tcPr>
            <w:tcW w:w="2476" w:type="dxa"/>
            <w:vAlign w:val="center"/>
          </w:tcPr>
          <w:p w14:paraId="7329275E" w14:textId="2CA739D8" w:rsidR="00F06192" w:rsidRPr="001555CA" w:rsidRDefault="00F06192" w:rsidP="00F06192">
            <w:pPr>
              <w:spacing w:before="0" w:after="0" w:line="240" w:lineRule="auto"/>
              <w:rPr>
                <w:rFonts w:eastAsia="Aptos" w:cs="Cordia New"/>
                <w:sz w:val="14"/>
                <w:szCs w:val="14"/>
                <w:lang w:eastAsia="en-US"/>
              </w:rPr>
            </w:pPr>
            <w:r w:rsidRPr="001555CA">
              <w:rPr>
                <w:rFonts w:eastAsia="Aptos" w:cs="Cordia New"/>
                <w:sz w:val="14"/>
                <w:szCs w:val="14"/>
                <w:lang w:eastAsia="en-US"/>
              </w:rPr>
              <w:t>Schedule data to update state estimation models and assess security requirements before dispatch intervals/real-time</w:t>
            </w:r>
            <w:r w:rsidR="00772EEE">
              <w:rPr>
                <w:rFonts w:eastAsia="Aptos" w:cs="Cordia New"/>
                <w:sz w:val="14"/>
                <w:szCs w:val="14"/>
                <w:lang w:eastAsia="en-US"/>
              </w:rPr>
              <w:t xml:space="preserve">. </w:t>
            </w:r>
          </w:p>
        </w:tc>
        <w:tc>
          <w:tcPr>
            <w:tcW w:w="1107" w:type="dxa"/>
          </w:tcPr>
          <w:p w14:paraId="0CD82F4C" w14:textId="2FB687F0" w:rsidR="00F06192" w:rsidRPr="001555CA" w:rsidRDefault="00F06192" w:rsidP="00F06192">
            <w:pPr>
              <w:spacing w:before="0" w:after="0" w:line="240" w:lineRule="auto"/>
              <w:rPr>
                <w:rFonts w:eastAsia="Aptos" w:cs="Cordia New"/>
                <w:sz w:val="14"/>
                <w:szCs w:val="14"/>
                <w:lang w:eastAsia="en-US"/>
              </w:rPr>
            </w:pPr>
            <w:r w:rsidRPr="00DE3589">
              <w:rPr>
                <w:sz w:val="14"/>
                <w:szCs w:val="14"/>
              </w:rPr>
              <w:t>Day-ahead, Pre-dispatch</w:t>
            </w:r>
          </w:p>
        </w:tc>
        <w:tc>
          <w:tcPr>
            <w:tcW w:w="1429" w:type="dxa"/>
          </w:tcPr>
          <w:p w14:paraId="5C9B2AAF" w14:textId="0889DBE1" w:rsidR="00F06192" w:rsidRPr="001555CA" w:rsidRDefault="00F06192" w:rsidP="00F06192">
            <w:pPr>
              <w:spacing w:before="0" w:after="0" w:line="240" w:lineRule="auto"/>
              <w:rPr>
                <w:rFonts w:eastAsia="Aptos" w:cs="Cordia New"/>
                <w:sz w:val="14"/>
                <w:szCs w:val="14"/>
                <w:lang w:eastAsia="en-US"/>
              </w:rPr>
            </w:pPr>
            <w:r w:rsidRPr="00DE3589">
              <w:rPr>
                <w:sz w:val="14"/>
                <w:szCs w:val="14"/>
              </w:rPr>
              <w:t>High Latency</w:t>
            </w:r>
          </w:p>
        </w:tc>
        <w:tc>
          <w:tcPr>
            <w:tcW w:w="1347" w:type="dxa"/>
          </w:tcPr>
          <w:p w14:paraId="47C15EA1" w14:textId="2BC50A7A" w:rsidR="00F06192" w:rsidRPr="001555CA" w:rsidRDefault="00F06192" w:rsidP="00F06192">
            <w:pPr>
              <w:spacing w:before="0" w:after="0" w:line="240" w:lineRule="auto"/>
              <w:rPr>
                <w:rFonts w:eastAsia="Aptos" w:cs="Cordia New"/>
                <w:sz w:val="14"/>
                <w:szCs w:val="14"/>
                <w:lang w:eastAsia="en-US"/>
              </w:rPr>
            </w:pPr>
            <w:r w:rsidRPr="00DE3589">
              <w:rPr>
                <w:sz w:val="14"/>
                <w:szCs w:val="14"/>
              </w:rPr>
              <w:t>IEC 61850, ICCP/TASE.2</w:t>
            </w:r>
          </w:p>
        </w:tc>
        <w:tc>
          <w:tcPr>
            <w:tcW w:w="3395" w:type="dxa"/>
          </w:tcPr>
          <w:p w14:paraId="60582545" w14:textId="06DD5A91" w:rsidR="00F06192" w:rsidRPr="001555CA" w:rsidRDefault="004421E0" w:rsidP="00F06192">
            <w:pPr>
              <w:spacing w:before="0" w:after="0" w:line="240" w:lineRule="auto"/>
              <w:rPr>
                <w:rFonts w:eastAsia="Aptos" w:cs="Cordia New"/>
                <w:sz w:val="14"/>
                <w:szCs w:val="14"/>
                <w:lang w:eastAsia="en-US"/>
              </w:rPr>
            </w:pPr>
            <w:r>
              <w:rPr>
                <w:sz w:val="14"/>
                <w:szCs w:val="14"/>
              </w:rPr>
              <w:t>Will</w:t>
            </w:r>
            <w:r w:rsidR="00F06192" w:rsidRPr="00DE3589">
              <w:rPr>
                <w:sz w:val="14"/>
                <w:szCs w:val="14"/>
              </w:rPr>
              <w:t xml:space="preserve"> remain relevant</w:t>
            </w:r>
            <w:r w:rsidR="000564A0">
              <w:rPr>
                <w:sz w:val="14"/>
                <w:szCs w:val="14"/>
              </w:rPr>
              <w:t xml:space="preserve"> though likely integrated into </w:t>
            </w:r>
            <w:r w:rsidR="00584EE7">
              <w:rPr>
                <w:sz w:val="14"/>
                <w:szCs w:val="14"/>
              </w:rPr>
              <w:t xml:space="preserve">bi-directional </w:t>
            </w:r>
            <w:r w:rsidR="000564A0">
              <w:rPr>
                <w:sz w:val="14"/>
                <w:szCs w:val="14"/>
              </w:rPr>
              <w:t>forecasting</w:t>
            </w:r>
            <w:r w:rsidR="00F06192" w:rsidRPr="00DE3589">
              <w:rPr>
                <w:sz w:val="14"/>
                <w:szCs w:val="14"/>
              </w:rPr>
              <w:t xml:space="preserve">. </w:t>
            </w:r>
            <w:r w:rsidR="003947FF">
              <w:rPr>
                <w:sz w:val="14"/>
                <w:szCs w:val="14"/>
              </w:rPr>
              <w:t>Both sides of the T</w:t>
            </w:r>
            <w:r w:rsidR="009560E1">
              <w:rPr>
                <w:sz w:val="14"/>
                <w:szCs w:val="14"/>
              </w:rPr>
              <w:t>DI</w:t>
            </w:r>
            <w:r w:rsidR="003947FF">
              <w:rPr>
                <w:sz w:val="14"/>
                <w:szCs w:val="14"/>
              </w:rPr>
              <w:t xml:space="preserve"> </w:t>
            </w:r>
            <w:r w:rsidR="00F06192" w:rsidRPr="00DE3589">
              <w:rPr>
                <w:sz w:val="14"/>
                <w:szCs w:val="14"/>
              </w:rPr>
              <w:t>require advance</w:t>
            </w:r>
            <w:r w:rsidR="003947FF">
              <w:rPr>
                <w:sz w:val="14"/>
                <w:szCs w:val="14"/>
              </w:rPr>
              <w:t>d</w:t>
            </w:r>
            <w:r w:rsidR="00F06192" w:rsidRPr="00DE3589">
              <w:rPr>
                <w:sz w:val="14"/>
                <w:szCs w:val="14"/>
              </w:rPr>
              <w:t xml:space="preserve"> awareness of switching actions and deratings affecting stability or dispatchability</w:t>
            </w:r>
            <w:r w:rsidR="003947FF">
              <w:rPr>
                <w:sz w:val="14"/>
                <w:szCs w:val="14"/>
              </w:rPr>
              <w:t xml:space="preserve"> in their own operating zone</w:t>
            </w:r>
            <w:r w:rsidR="00F06192" w:rsidRPr="00DE3589">
              <w:rPr>
                <w:sz w:val="14"/>
                <w:szCs w:val="14"/>
              </w:rPr>
              <w:t>.</w:t>
            </w:r>
          </w:p>
        </w:tc>
        <w:tc>
          <w:tcPr>
            <w:tcW w:w="1591" w:type="dxa"/>
          </w:tcPr>
          <w:p w14:paraId="309ABFA7" w14:textId="5E83012D" w:rsidR="00F06192" w:rsidRPr="001555CA" w:rsidRDefault="00F06192" w:rsidP="00F06192">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600128">
              <w:rPr>
                <w:sz w:val="14"/>
                <w:szCs w:val="14"/>
              </w:rPr>
              <w:t>SO</w:t>
            </w:r>
          </w:p>
        </w:tc>
        <w:tc>
          <w:tcPr>
            <w:tcW w:w="1788" w:type="dxa"/>
          </w:tcPr>
          <w:p w14:paraId="3BB73F9C" w14:textId="4D4C821E" w:rsidR="00F06192" w:rsidRPr="001555CA" w:rsidRDefault="00F06192" w:rsidP="00F06192">
            <w:pPr>
              <w:spacing w:before="0" w:after="0" w:line="240" w:lineRule="auto"/>
              <w:rPr>
                <w:rFonts w:eastAsia="Aptos" w:cs="Cordia New"/>
                <w:sz w:val="14"/>
                <w:szCs w:val="14"/>
                <w:lang w:eastAsia="en-US"/>
              </w:rPr>
            </w:pPr>
            <w:r w:rsidRPr="00DE3589">
              <w:rPr>
                <w:sz w:val="14"/>
                <w:szCs w:val="14"/>
              </w:rPr>
              <w:t>Australia: Partially embedded. Global: Moderate in countries with centrali</w:t>
            </w:r>
            <w:r w:rsidR="004C5575">
              <w:rPr>
                <w:sz w:val="14"/>
                <w:szCs w:val="14"/>
              </w:rPr>
              <w:t>s</w:t>
            </w:r>
            <w:r w:rsidRPr="00DE3589">
              <w:rPr>
                <w:sz w:val="14"/>
                <w:szCs w:val="14"/>
              </w:rPr>
              <w:t>ed outage planners</w:t>
            </w:r>
          </w:p>
        </w:tc>
      </w:tr>
      <w:tr w:rsidR="00F06192" w:rsidRPr="005938BE" w14:paraId="1D26367F" w14:textId="77777777" w:rsidTr="00ED5BCF">
        <w:tc>
          <w:tcPr>
            <w:tcW w:w="2030" w:type="dxa"/>
            <w:vAlign w:val="center"/>
          </w:tcPr>
          <w:p w14:paraId="60F0B3F9" w14:textId="2478FB9D" w:rsidR="00F06192" w:rsidRPr="001555CA" w:rsidRDefault="00F06192" w:rsidP="00F06192">
            <w:pPr>
              <w:spacing w:before="0" w:after="0" w:line="240" w:lineRule="auto"/>
              <w:rPr>
                <w:rFonts w:eastAsia="Aptos" w:cs="Cordia New"/>
                <w:sz w:val="14"/>
                <w:szCs w:val="14"/>
                <w:lang w:eastAsia="en-US"/>
              </w:rPr>
            </w:pPr>
            <w:r w:rsidRPr="001555CA">
              <w:rPr>
                <w:rFonts w:eastAsia="Aptos" w:cs="Cordia New"/>
                <w:sz w:val="14"/>
                <w:szCs w:val="14"/>
                <w:lang w:eastAsia="en-US"/>
              </w:rPr>
              <w:t>CER/DER group f</w:t>
            </w:r>
            <w:r w:rsidRPr="00DE3589">
              <w:rPr>
                <w:rFonts w:eastAsia="Aptos" w:cs="Cordia New"/>
                <w:sz w:val="14"/>
                <w:szCs w:val="14"/>
                <w:lang w:eastAsia="en-US"/>
              </w:rPr>
              <w:t>orecasts of supply/load</w:t>
            </w:r>
            <w:r w:rsidRPr="001555CA">
              <w:rPr>
                <w:rFonts w:eastAsia="Aptos" w:cs="Cordia New"/>
                <w:sz w:val="14"/>
                <w:szCs w:val="14"/>
                <w:lang w:eastAsia="en-US"/>
              </w:rPr>
              <w:t xml:space="preserve"> profiles, voltage, etc.</w:t>
            </w:r>
          </w:p>
        </w:tc>
        <w:tc>
          <w:tcPr>
            <w:tcW w:w="2476" w:type="dxa"/>
            <w:vAlign w:val="center"/>
          </w:tcPr>
          <w:p w14:paraId="0D3546E1" w14:textId="4E287E7C" w:rsidR="00F06192" w:rsidRPr="001555CA" w:rsidRDefault="00F06192" w:rsidP="00F06192">
            <w:pPr>
              <w:spacing w:before="0" w:after="0" w:line="240" w:lineRule="auto"/>
              <w:rPr>
                <w:rFonts w:eastAsia="Aptos" w:cs="Cordia New"/>
                <w:sz w:val="14"/>
                <w:szCs w:val="14"/>
                <w:lang w:eastAsia="en-US"/>
              </w:rPr>
            </w:pPr>
            <w:r w:rsidRPr="001555CA">
              <w:rPr>
                <w:rFonts w:eastAsia="Aptos" w:cs="Cordia New"/>
                <w:sz w:val="14"/>
                <w:szCs w:val="14"/>
                <w:lang w:eastAsia="en-US"/>
              </w:rPr>
              <w:t xml:space="preserve">Forecasts that can be synthesised with other datasets to </w:t>
            </w:r>
            <w:r w:rsidR="00662A01">
              <w:rPr>
                <w:rFonts w:eastAsia="Aptos" w:cs="Cordia New"/>
                <w:sz w:val="14"/>
                <w:szCs w:val="14"/>
                <w:lang w:eastAsia="en-US"/>
              </w:rPr>
              <w:t>forecast</w:t>
            </w:r>
            <w:r w:rsidRPr="001555CA">
              <w:rPr>
                <w:rFonts w:eastAsia="Aptos" w:cs="Cordia New"/>
                <w:sz w:val="14"/>
                <w:szCs w:val="14"/>
                <w:lang w:eastAsia="en-US"/>
              </w:rPr>
              <w:t xml:space="preserve"> </w:t>
            </w:r>
            <w:r w:rsidR="00491FF1">
              <w:rPr>
                <w:rFonts w:eastAsia="Aptos" w:cs="Cordia New"/>
                <w:sz w:val="14"/>
                <w:szCs w:val="14"/>
                <w:lang w:eastAsia="en-US"/>
              </w:rPr>
              <w:t xml:space="preserve">supply/demand balance and other </w:t>
            </w:r>
            <w:r w:rsidRPr="001555CA">
              <w:rPr>
                <w:rFonts w:eastAsia="Aptos" w:cs="Cordia New"/>
                <w:sz w:val="14"/>
                <w:szCs w:val="14"/>
                <w:lang w:eastAsia="en-US"/>
              </w:rPr>
              <w:t>operational variables (</w:t>
            </w:r>
            <w:r w:rsidRPr="00DE3589">
              <w:rPr>
                <w:rFonts w:eastAsia="Aptos" w:cs="Cordia New"/>
                <w:sz w:val="14"/>
                <w:szCs w:val="14"/>
                <w:lang w:eastAsia="en-US"/>
              </w:rPr>
              <w:t>real power, reactive power</w:t>
            </w:r>
            <w:r w:rsidRPr="001555CA">
              <w:rPr>
                <w:rFonts w:eastAsia="Aptos" w:cs="Cordia New"/>
                <w:sz w:val="14"/>
                <w:szCs w:val="14"/>
                <w:lang w:eastAsia="en-US"/>
              </w:rPr>
              <w:t>)</w:t>
            </w:r>
            <w:r w:rsidRPr="00DE3589">
              <w:rPr>
                <w:rFonts w:eastAsia="Aptos" w:cs="Cordia New"/>
                <w:sz w:val="14"/>
                <w:szCs w:val="14"/>
                <w:lang w:eastAsia="en-US"/>
              </w:rPr>
              <w:t>.</w:t>
            </w:r>
          </w:p>
        </w:tc>
        <w:tc>
          <w:tcPr>
            <w:tcW w:w="1107" w:type="dxa"/>
          </w:tcPr>
          <w:p w14:paraId="4FECDD09" w14:textId="458745AC" w:rsidR="00F06192" w:rsidRPr="001555CA" w:rsidRDefault="00F06192" w:rsidP="00F06192">
            <w:pPr>
              <w:spacing w:before="0" w:after="0" w:line="240" w:lineRule="auto"/>
              <w:rPr>
                <w:rFonts w:eastAsia="Aptos" w:cs="Cordia New"/>
                <w:sz w:val="14"/>
                <w:szCs w:val="14"/>
                <w:lang w:eastAsia="en-US"/>
              </w:rPr>
            </w:pPr>
            <w:r w:rsidRPr="00DE3589">
              <w:rPr>
                <w:sz w:val="14"/>
                <w:szCs w:val="14"/>
              </w:rPr>
              <w:t>Day-ahead, Pre-dispatch</w:t>
            </w:r>
          </w:p>
        </w:tc>
        <w:tc>
          <w:tcPr>
            <w:tcW w:w="1429" w:type="dxa"/>
          </w:tcPr>
          <w:p w14:paraId="4CE87E0E" w14:textId="7188B49E" w:rsidR="00F06192" w:rsidRPr="001555CA" w:rsidRDefault="00F06192" w:rsidP="00F06192">
            <w:pPr>
              <w:spacing w:before="0" w:after="0" w:line="240" w:lineRule="auto"/>
              <w:rPr>
                <w:rFonts w:eastAsia="Aptos" w:cs="Cordia New"/>
                <w:sz w:val="14"/>
                <w:szCs w:val="14"/>
                <w:lang w:eastAsia="en-US"/>
              </w:rPr>
            </w:pPr>
            <w:r w:rsidRPr="00DE3589">
              <w:rPr>
                <w:sz w:val="14"/>
                <w:szCs w:val="14"/>
              </w:rPr>
              <w:t>Moderate Latency</w:t>
            </w:r>
          </w:p>
        </w:tc>
        <w:tc>
          <w:tcPr>
            <w:tcW w:w="1347" w:type="dxa"/>
          </w:tcPr>
          <w:p w14:paraId="0E38CC7C" w14:textId="7FC6E0A3" w:rsidR="00F06192" w:rsidRPr="001555CA" w:rsidRDefault="005D4E6C" w:rsidP="00F06192">
            <w:pPr>
              <w:spacing w:before="0" w:after="0" w:line="240" w:lineRule="auto"/>
              <w:rPr>
                <w:rFonts w:eastAsia="Aptos" w:cs="Cordia New"/>
                <w:sz w:val="14"/>
                <w:szCs w:val="14"/>
                <w:lang w:eastAsia="en-US"/>
              </w:rPr>
            </w:pPr>
            <w:r w:rsidRPr="005D4E6C">
              <w:rPr>
                <w:sz w:val="14"/>
                <w:szCs w:val="14"/>
              </w:rPr>
              <w:t xml:space="preserve">IEC 61968-5, IEEE </w:t>
            </w:r>
            <w:r w:rsidR="00D64D7F" w:rsidRPr="005D4E6C">
              <w:rPr>
                <w:sz w:val="14"/>
                <w:szCs w:val="14"/>
              </w:rPr>
              <w:t>2030.11,</w:t>
            </w:r>
            <w:r w:rsidR="00F06192" w:rsidRPr="00DE3589">
              <w:rPr>
                <w:sz w:val="14"/>
                <w:szCs w:val="14"/>
              </w:rPr>
              <w:t xml:space="preserve"> OpenADR, CIM</w:t>
            </w:r>
          </w:p>
        </w:tc>
        <w:tc>
          <w:tcPr>
            <w:tcW w:w="3395" w:type="dxa"/>
          </w:tcPr>
          <w:p w14:paraId="34096C04" w14:textId="058B9046" w:rsidR="00F06192" w:rsidRPr="001555CA" w:rsidRDefault="00C764B6" w:rsidP="00F06192">
            <w:pPr>
              <w:spacing w:before="0" w:after="0" w:line="240" w:lineRule="auto"/>
              <w:rPr>
                <w:rFonts w:eastAsia="Aptos" w:cs="Cordia New"/>
                <w:sz w:val="14"/>
                <w:szCs w:val="14"/>
                <w:lang w:eastAsia="en-US"/>
              </w:rPr>
            </w:pPr>
            <w:r>
              <w:rPr>
                <w:sz w:val="14"/>
                <w:szCs w:val="14"/>
              </w:rPr>
              <w:t xml:space="preserve">Anticipated </w:t>
            </w:r>
            <w:r w:rsidR="00B8742A">
              <w:rPr>
                <w:sz w:val="14"/>
                <w:szCs w:val="14"/>
              </w:rPr>
              <w:t>to</w:t>
            </w:r>
            <w:r w:rsidR="00712C91">
              <w:rPr>
                <w:sz w:val="14"/>
                <w:szCs w:val="14"/>
              </w:rPr>
              <w:t xml:space="preserve"> be</w:t>
            </w:r>
            <w:r w:rsidR="000A248B">
              <w:rPr>
                <w:sz w:val="14"/>
                <w:szCs w:val="14"/>
              </w:rPr>
              <w:t xml:space="preserve">come central to </w:t>
            </w:r>
            <w:r w:rsidR="00712C91">
              <w:rPr>
                <w:sz w:val="14"/>
                <w:szCs w:val="14"/>
              </w:rPr>
              <w:t xml:space="preserve">mature DSOs </w:t>
            </w:r>
            <w:r w:rsidR="000A248B">
              <w:rPr>
                <w:sz w:val="14"/>
                <w:szCs w:val="14"/>
              </w:rPr>
              <w:t xml:space="preserve">operations </w:t>
            </w:r>
            <w:r w:rsidR="00B8742A">
              <w:rPr>
                <w:sz w:val="14"/>
                <w:szCs w:val="14"/>
              </w:rPr>
              <w:t xml:space="preserve">as they progressively </w:t>
            </w:r>
            <w:r w:rsidR="00B8742A" w:rsidRPr="00427E97">
              <w:rPr>
                <w:sz w:val="14"/>
                <w:szCs w:val="14"/>
              </w:rPr>
              <w:t xml:space="preserve">assume </w:t>
            </w:r>
            <w:r w:rsidR="00786F15">
              <w:rPr>
                <w:sz w:val="14"/>
                <w:szCs w:val="14"/>
              </w:rPr>
              <w:t>localised</w:t>
            </w:r>
            <w:r w:rsidR="00786F15" w:rsidRPr="00427E97">
              <w:rPr>
                <w:sz w:val="14"/>
                <w:szCs w:val="14"/>
              </w:rPr>
              <w:t xml:space="preserve"> </w:t>
            </w:r>
            <w:r w:rsidR="00B8742A" w:rsidRPr="00427E97">
              <w:rPr>
                <w:sz w:val="14"/>
                <w:szCs w:val="14"/>
              </w:rPr>
              <w:t>balancing and dispatch responsibility</w:t>
            </w:r>
            <w:r w:rsidR="00B8742A">
              <w:rPr>
                <w:sz w:val="14"/>
                <w:szCs w:val="14"/>
              </w:rPr>
              <w:t xml:space="preserve"> in their operating zone - driven by </w:t>
            </w:r>
            <w:r w:rsidR="00A94F8D">
              <w:rPr>
                <w:sz w:val="14"/>
                <w:szCs w:val="14"/>
              </w:rPr>
              <w:t xml:space="preserve">complexity and volume of </w:t>
            </w:r>
            <w:r w:rsidR="00465F98">
              <w:rPr>
                <w:sz w:val="14"/>
                <w:szCs w:val="14"/>
              </w:rPr>
              <w:t xml:space="preserve">needed </w:t>
            </w:r>
            <w:r w:rsidR="00A94F8D">
              <w:rPr>
                <w:sz w:val="14"/>
                <w:szCs w:val="14"/>
              </w:rPr>
              <w:t xml:space="preserve">coordination. </w:t>
            </w:r>
          </w:p>
        </w:tc>
        <w:tc>
          <w:tcPr>
            <w:tcW w:w="1591" w:type="dxa"/>
          </w:tcPr>
          <w:p w14:paraId="6881AD6B" w14:textId="1EA5B453" w:rsidR="00F06192" w:rsidRPr="001555CA" w:rsidRDefault="00F06192" w:rsidP="00F06192">
            <w:pPr>
              <w:spacing w:before="0" w:after="0" w:line="240" w:lineRule="auto"/>
              <w:rPr>
                <w:rFonts w:eastAsia="Aptos" w:cs="Cordia New"/>
                <w:sz w:val="14"/>
                <w:szCs w:val="14"/>
                <w:lang w:eastAsia="en-US"/>
              </w:rPr>
            </w:pPr>
            <w:r w:rsidRPr="00DE3589">
              <w:rPr>
                <w:sz w:val="14"/>
                <w:szCs w:val="14"/>
              </w:rPr>
              <w:t xml:space="preserve">Aggregator/DSO </w:t>
            </w:r>
            <w:r w:rsidRPr="00DE3589">
              <w:rPr>
                <w:rFonts w:hint="eastAsia"/>
                <w:sz w:val="14"/>
                <w:szCs w:val="14"/>
              </w:rPr>
              <w:t>→</w:t>
            </w:r>
            <w:r w:rsidRPr="00DE3589">
              <w:rPr>
                <w:sz w:val="14"/>
                <w:szCs w:val="14"/>
              </w:rPr>
              <w:t xml:space="preserve"> </w:t>
            </w:r>
            <w:r w:rsidR="00600128">
              <w:rPr>
                <w:sz w:val="14"/>
                <w:szCs w:val="14"/>
              </w:rPr>
              <w:t>SO</w:t>
            </w:r>
          </w:p>
        </w:tc>
        <w:tc>
          <w:tcPr>
            <w:tcW w:w="1788" w:type="dxa"/>
          </w:tcPr>
          <w:p w14:paraId="51E6C526" w14:textId="6C575079" w:rsidR="00F06192" w:rsidRPr="001555CA" w:rsidRDefault="00F06192" w:rsidP="00F06192">
            <w:pPr>
              <w:spacing w:before="0" w:after="0" w:line="240" w:lineRule="auto"/>
              <w:rPr>
                <w:rFonts w:eastAsia="Aptos" w:cs="Cordia New"/>
                <w:sz w:val="14"/>
                <w:szCs w:val="14"/>
                <w:lang w:eastAsia="en-US"/>
              </w:rPr>
            </w:pPr>
            <w:r w:rsidRPr="00DE3589">
              <w:rPr>
                <w:sz w:val="14"/>
                <w:szCs w:val="14"/>
              </w:rPr>
              <w:t>Australia: Emerging through trials. Global: More common in US &amp; EU flexibility platforms</w:t>
            </w:r>
          </w:p>
        </w:tc>
      </w:tr>
      <w:tr w:rsidR="00F06192" w:rsidRPr="005938BE" w14:paraId="6F2D972A" w14:textId="77777777" w:rsidTr="00ED5BCF">
        <w:tc>
          <w:tcPr>
            <w:tcW w:w="2030" w:type="dxa"/>
          </w:tcPr>
          <w:p w14:paraId="3612B43F" w14:textId="774C1F3D" w:rsidR="00F06192" w:rsidRPr="001555CA" w:rsidRDefault="00F06192" w:rsidP="00192F89">
            <w:pPr>
              <w:spacing w:before="0" w:after="0" w:line="240" w:lineRule="auto"/>
              <w:rPr>
                <w:rFonts w:eastAsia="Aptos" w:cs="Cordia New"/>
                <w:sz w:val="14"/>
                <w:szCs w:val="14"/>
                <w:lang w:eastAsia="en-US"/>
              </w:rPr>
            </w:pPr>
            <w:r w:rsidRPr="001555CA">
              <w:rPr>
                <w:rFonts w:eastAsia="Aptos" w:cs="Cordia New"/>
                <w:sz w:val="14"/>
                <w:szCs w:val="14"/>
                <w:lang w:eastAsia="en-US"/>
              </w:rPr>
              <w:t>Planned outages across networks, network assets, and significant CER/DER groups</w:t>
            </w:r>
          </w:p>
        </w:tc>
        <w:tc>
          <w:tcPr>
            <w:tcW w:w="2476" w:type="dxa"/>
          </w:tcPr>
          <w:p w14:paraId="069994A8" w14:textId="2D163236" w:rsidR="00F06192" w:rsidRPr="001555CA" w:rsidRDefault="00F06192" w:rsidP="00192F89">
            <w:pPr>
              <w:spacing w:before="0" w:after="0" w:line="240" w:lineRule="auto"/>
              <w:rPr>
                <w:rFonts w:eastAsia="Aptos" w:cs="Cordia New"/>
                <w:sz w:val="14"/>
                <w:szCs w:val="14"/>
                <w:lang w:eastAsia="en-US"/>
              </w:rPr>
            </w:pPr>
            <w:r w:rsidRPr="001555CA">
              <w:rPr>
                <w:rFonts w:eastAsia="Aptos" w:cs="Cordia New"/>
                <w:sz w:val="14"/>
                <w:szCs w:val="14"/>
                <w:lang w:eastAsia="en-US"/>
              </w:rPr>
              <w:t>For integration with other datasets and to cross-check resource availability against planned dispatch</w:t>
            </w:r>
            <w:r w:rsidR="00A92592">
              <w:rPr>
                <w:rFonts w:eastAsia="Aptos" w:cs="Cordia New"/>
                <w:sz w:val="14"/>
                <w:szCs w:val="14"/>
                <w:lang w:eastAsia="en-US"/>
              </w:rPr>
              <w:t>.</w:t>
            </w:r>
            <w:r w:rsidR="001924CD">
              <w:rPr>
                <w:rFonts w:eastAsia="Aptos" w:cs="Cordia New"/>
                <w:sz w:val="14"/>
                <w:szCs w:val="14"/>
                <w:lang w:eastAsia="en-US"/>
              </w:rPr>
              <w:t xml:space="preserve"> </w:t>
            </w:r>
          </w:p>
        </w:tc>
        <w:tc>
          <w:tcPr>
            <w:tcW w:w="1107" w:type="dxa"/>
          </w:tcPr>
          <w:p w14:paraId="4CE8943F" w14:textId="6CB73335" w:rsidR="00F06192" w:rsidRPr="001555CA" w:rsidRDefault="00F06192" w:rsidP="00192F89">
            <w:pPr>
              <w:spacing w:before="0" w:after="0" w:line="240" w:lineRule="auto"/>
              <w:rPr>
                <w:rFonts w:eastAsia="Aptos" w:cs="Cordia New"/>
                <w:sz w:val="14"/>
                <w:szCs w:val="14"/>
                <w:lang w:eastAsia="en-US"/>
              </w:rPr>
            </w:pPr>
            <w:r w:rsidRPr="00DE3589">
              <w:rPr>
                <w:sz w:val="14"/>
                <w:szCs w:val="14"/>
              </w:rPr>
              <w:t>Pre-event, Day-ahead</w:t>
            </w:r>
          </w:p>
        </w:tc>
        <w:tc>
          <w:tcPr>
            <w:tcW w:w="1429" w:type="dxa"/>
          </w:tcPr>
          <w:p w14:paraId="118C1CF7" w14:textId="4B345ED5" w:rsidR="00F06192" w:rsidRPr="001555CA" w:rsidRDefault="00F06192" w:rsidP="00192F89">
            <w:pPr>
              <w:spacing w:before="0" w:after="0" w:line="240" w:lineRule="auto"/>
              <w:rPr>
                <w:rFonts w:eastAsia="Aptos" w:cs="Cordia New"/>
                <w:sz w:val="14"/>
                <w:szCs w:val="14"/>
                <w:lang w:eastAsia="en-US"/>
              </w:rPr>
            </w:pPr>
            <w:r w:rsidRPr="00DE3589">
              <w:rPr>
                <w:sz w:val="14"/>
                <w:szCs w:val="14"/>
              </w:rPr>
              <w:t>Very High Latency</w:t>
            </w:r>
          </w:p>
        </w:tc>
        <w:tc>
          <w:tcPr>
            <w:tcW w:w="1347" w:type="dxa"/>
          </w:tcPr>
          <w:p w14:paraId="473FEEAC" w14:textId="3326DE7B" w:rsidR="00F06192" w:rsidRPr="001555CA" w:rsidRDefault="00F06192" w:rsidP="00192F89">
            <w:pPr>
              <w:spacing w:before="0" w:after="0" w:line="240" w:lineRule="auto"/>
              <w:rPr>
                <w:rFonts w:eastAsia="Aptos" w:cs="Cordia New"/>
                <w:sz w:val="14"/>
                <w:szCs w:val="14"/>
                <w:lang w:eastAsia="en-US"/>
              </w:rPr>
            </w:pPr>
            <w:r w:rsidRPr="00DE3589">
              <w:rPr>
                <w:sz w:val="14"/>
                <w:szCs w:val="14"/>
              </w:rPr>
              <w:t>ICCP, CIM</w:t>
            </w:r>
          </w:p>
        </w:tc>
        <w:tc>
          <w:tcPr>
            <w:tcW w:w="3395" w:type="dxa"/>
          </w:tcPr>
          <w:p w14:paraId="7AB40623" w14:textId="37FC29BE" w:rsidR="00F06192" w:rsidRPr="001555CA" w:rsidRDefault="00C770F5" w:rsidP="00192F89">
            <w:pPr>
              <w:spacing w:before="0" w:after="0" w:line="240" w:lineRule="auto"/>
              <w:rPr>
                <w:rFonts w:eastAsia="Aptos" w:cs="Cordia New"/>
                <w:sz w:val="14"/>
                <w:szCs w:val="14"/>
                <w:lang w:eastAsia="en-US"/>
              </w:rPr>
            </w:pPr>
            <w:r>
              <w:rPr>
                <w:sz w:val="14"/>
                <w:szCs w:val="14"/>
              </w:rPr>
              <w:t xml:space="preserve">Remains </w:t>
            </w:r>
            <w:r w:rsidR="00A92592">
              <w:rPr>
                <w:sz w:val="14"/>
                <w:szCs w:val="14"/>
              </w:rPr>
              <w:t xml:space="preserve">largely </w:t>
            </w:r>
            <w:r>
              <w:rPr>
                <w:sz w:val="14"/>
                <w:szCs w:val="14"/>
              </w:rPr>
              <w:t>unchanged</w:t>
            </w:r>
            <w:r w:rsidR="00F06192" w:rsidRPr="00DE3589">
              <w:rPr>
                <w:sz w:val="14"/>
                <w:szCs w:val="14"/>
              </w:rPr>
              <w:t xml:space="preserve">. </w:t>
            </w:r>
            <w:r w:rsidR="001924CD">
              <w:rPr>
                <w:sz w:val="14"/>
                <w:szCs w:val="14"/>
              </w:rPr>
              <w:t>Responsibility for digital</w:t>
            </w:r>
            <w:r w:rsidR="00E53DBC">
              <w:rPr>
                <w:sz w:val="14"/>
                <w:szCs w:val="14"/>
              </w:rPr>
              <w:t>ly activated electrical</w:t>
            </w:r>
            <w:r w:rsidR="001924CD">
              <w:rPr>
                <w:sz w:val="14"/>
                <w:szCs w:val="14"/>
              </w:rPr>
              <w:t xml:space="preserve"> isolation of </w:t>
            </w:r>
            <w:r w:rsidR="00E53DBC">
              <w:rPr>
                <w:sz w:val="14"/>
                <w:szCs w:val="14"/>
              </w:rPr>
              <w:t xml:space="preserve">CER/DER resources will likely migrate to DSOs. </w:t>
            </w:r>
            <w:r w:rsidR="00F06192" w:rsidRPr="00DE3589">
              <w:rPr>
                <w:sz w:val="14"/>
                <w:szCs w:val="14"/>
              </w:rPr>
              <w:t xml:space="preserve">Both </w:t>
            </w:r>
            <w:r w:rsidR="00C8549D">
              <w:rPr>
                <w:sz w:val="14"/>
                <w:szCs w:val="14"/>
              </w:rPr>
              <w:t xml:space="preserve">the SO </w:t>
            </w:r>
            <w:r w:rsidR="00F06192" w:rsidRPr="00DE3589">
              <w:rPr>
                <w:sz w:val="14"/>
                <w:szCs w:val="14"/>
              </w:rPr>
              <w:lastRenderedPageBreak/>
              <w:t>and DSOs must avoid conflicting planned works or availability assumptions.</w:t>
            </w:r>
          </w:p>
        </w:tc>
        <w:tc>
          <w:tcPr>
            <w:tcW w:w="1591" w:type="dxa"/>
          </w:tcPr>
          <w:p w14:paraId="675C5BC2" w14:textId="517364FB" w:rsidR="00F06192" w:rsidRPr="001555CA" w:rsidRDefault="00F06192" w:rsidP="00192F89">
            <w:pPr>
              <w:spacing w:before="0" w:after="0" w:line="240" w:lineRule="auto"/>
              <w:rPr>
                <w:rFonts w:eastAsia="Aptos" w:cs="Cordia New"/>
                <w:sz w:val="14"/>
                <w:szCs w:val="14"/>
                <w:lang w:eastAsia="en-US"/>
              </w:rPr>
            </w:pPr>
            <w:r w:rsidRPr="00DE3589">
              <w:rPr>
                <w:sz w:val="14"/>
                <w:szCs w:val="14"/>
              </w:rPr>
              <w:lastRenderedPageBreak/>
              <w:t>Bidirectional (</w:t>
            </w:r>
            <w:r w:rsidR="00C8549D">
              <w:rPr>
                <w:sz w:val="14"/>
                <w:szCs w:val="14"/>
              </w:rPr>
              <w:t>SO</w:t>
            </w:r>
            <w:r w:rsidRPr="00DE3589">
              <w:rPr>
                <w:sz w:val="14"/>
                <w:szCs w:val="14"/>
              </w:rPr>
              <w:t xml:space="preserve"> ↔ DSO)</w:t>
            </w:r>
          </w:p>
        </w:tc>
        <w:tc>
          <w:tcPr>
            <w:tcW w:w="1788" w:type="dxa"/>
          </w:tcPr>
          <w:p w14:paraId="5D3902CF" w14:textId="6AD5BD4F" w:rsidR="00F06192" w:rsidRPr="001555CA" w:rsidRDefault="00F06192" w:rsidP="00192F89">
            <w:pPr>
              <w:spacing w:before="0" w:after="0" w:line="240" w:lineRule="auto"/>
              <w:rPr>
                <w:rFonts w:eastAsia="Aptos" w:cs="Cordia New"/>
                <w:sz w:val="14"/>
                <w:szCs w:val="14"/>
                <w:lang w:eastAsia="en-US"/>
              </w:rPr>
            </w:pPr>
            <w:r w:rsidRPr="00DE3589">
              <w:rPr>
                <w:sz w:val="14"/>
                <w:szCs w:val="14"/>
              </w:rPr>
              <w:t>Australia: Well-established at T</w:t>
            </w:r>
            <w:r w:rsidR="00416253">
              <w:rPr>
                <w:sz w:val="14"/>
                <w:szCs w:val="14"/>
              </w:rPr>
              <w:t>-</w:t>
            </w:r>
            <w:r w:rsidRPr="00DE3589">
              <w:rPr>
                <w:sz w:val="14"/>
                <w:szCs w:val="14"/>
              </w:rPr>
              <w:t xml:space="preserve">level, improving at DSO </w:t>
            </w:r>
            <w:r w:rsidRPr="00DE3589">
              <w:rPr>
                <w:sz w:val="14"/>
                <w:szCs w:val="14"/>
              </w:rPr>
              <w:lastRenderedPageBreak/>
              <w:t>interface. Global: Widespread standard</w:t>
            </w:r>
          </w:p>
        </w:tc>
      </w:tr>
      <w:tr w:rsidR="00F06192" w:rsidRPr="005938BE" w14:paraId="7AEA85A9" w14:textId="77777777" w:rsidTr="00ED5BCF">
        <w:tc>
          <w:tcPr>
            <w:tcW w:w="2030" w:type="dxa"/>
          </w:tcPr>
          <w:p w14:paraId="3049A9D2" w14:textId="54F4DA43" w:rsidR="00F06192" w:rsidRPr="001555CA" w:rsidRDefault="00F06192" w:rsidP="00192F89">
            <w:pPr>
              <w:spacing w:before="0" w:after="0" w:line="240" w:lineRule="auto"/>
              <w:rPr>
                <w:rFonts w:eastAsia="Aptos" w:cs="Cordia New"/>
                <w:sz w:val="14"/>
                <w:szCs w:val="14"/>
                <w:lang w:eastAsia="en-US"/>
              </w:rPr>
            </w:pPr>
            <w:r w:rsidRPr="001555CA">
              <w:rPr>
                <w:rFonts w:eastAsia="Aptos" w:cs="Cordia New"/>
                <w:sz w:val="14"/>
                <w:szCs w:val="14"/>
                <w:lang w:eastAsia="en-US"/>
              </w:rPr>
              <w:lastRenderedPageBreak/>
              <w:t>Forecasted fault-current capacity and protection settings</w:t>
            </w:r>
          </w:p>
        </w:tc>
        <w:tc>
          <w:tcPr>
            <w:tcW w:w="2476" w:type="dxa"/>
          </w:tcPr>
          <w:p w14:paraId="1504BABA" w14:textId="37B3B12C" w:rsidR="00F06192" w:rsidRPr="001555CA" w:rsidRDefault="00F06192" w:rsidP="00192F89">
            <w:pPr>
              <w:spacing w:before="0" w:after="0" w:line="240" w:lineRule="auto"/>
              <w:rPr>
                <w:rFonts w:eastAsia="Aptos" w:cs="Cordia New"/>
                <w:sz w:val="14"/>
                <w:szCs w:val="14"/>
                <w:lang w:eastAsia="en-US"/>
              </w:rPr>
            </w:pPr>
            <w:r w:rsidRPr="001555CA">
              <w:rPr>
                <w:rFonts w:eastAsia="Aptos" w:cs="Cordia New"/>
                <w:sz w:val="14"/>
                <w:szCs w:val="14"/>
                <w:lang w:eastAsia="en-US"/>
              </w:rPr>
              <w:t>Support safe and coordinated operation of protection devices, including where there are bi-directional power flows</w:t>
            </w:r>
            <w:r w:rsidR="00424177">
              <w:rPr>
                <w:rFonts w:eastAsia="Aptos" w:cs="Cordia New"/>
                <w:sz w:val="14"/>
                <w:szCs w:val="14"/>
                <w:lang w:eastAsia="en-US"/>
              </w:rPr>
              <w:t>.</w:t>
            </w:r>
          </w:p>
        </w:tc>
        <w:tc>
          <w:tcPr>
            <w:tcW w:w="1107" w:type="dxa"/>
          </w:tcPr>
          <w:p w14:paraId="717C3873" w14:textId="67F1BA8E" w:rsidR="00F06192" w:rsidRPr="001555CA" w:rsidRDefault="00F06192" w:rsidP="00192F89">
            <w:pPr>
              <w:spacing w:before="0" w:after="0" w:line="240" w:lineRule="auto"/>
              <w:rPr>
                <w:rFonts w:eastAsia="Aptos" w:cs="Cordia New"/>
                <w:sz w:val="14"/>
                <w:szCs w:val="14"/>
                <w:lang w:eastAsia="en-US"/>
              </w:rPr>
            </w:pPr>
            <w:r w:rsidRPr="00DE3589">
              <w:rPr>
                <w:sz w:val="14"/>
                <w:szCs w:val="14"/>
              </w:rPr>
              <w:t>Pre-event</w:t>
            </w:r>
          </w:p>
        </w:tc>
        <w:tc>
          <w:tcPr>
            <w:tcW w:w="1429" w:type="dxa"/>
          </w:tcPr>
          <w:p w14:paraId="458E8D89" w14:textId="3F8ED3A5" w:rsidR="00F06192" w:rsidRPr="001555CA" w:rsidRDefault="00F06192" w:rsidP="00192F89">
            <w:pPr>
              <w:spacing w:before="0" w:after="0" w:line="240" w:lineRule="auto"/>
              <w:rPr>
                <w:rFonts w:eastAsia="Aptos" w:cs="Cordia New"/>
                <w:sz w:val="14"/>
                <w:szCs w:val="14"/>
                <w:lang w:eastAsia="en-US"/>
              </w:rPr>
            </w:pPr>
            <w:r w:rsidRPr="00DE3589">
              <w:rPr>
                <w:sz w:val="14"/>
                <w:szCs w:val="14"/>
              </w:rPr>
              <w:t>Long-Term Coordination</w:t>
            </w:r>
          </w:p>
        </w:tc>
        <w:tc>
          <w:tcPr>
            <w:tcW w:w="1347" w:type="dxa"/>
          </w:tcPr>
          <w:p w14:paraId="08D8A10E" w14:textId="655A36A8" w:rsidR="00F06192" w:rsidRPr="001555CA" w:rsidRDefault="00F06192" w:rsidP="00192F89">
            <w:pPr>
              <w:spacing w:before="0" w:after="0" w:line="240" w:lineRule="auto"/>
              <w:rPr>
                <w:rFonts w:eastAsia="Aptos" w:cs="Cordia New"/>
                <w:sz w:val="14"/>
                <w:szCs w:val="14"/>
                <w:lang w:eastAsia="en-US"/>
              </w:rPr>
            </w:pPr>
            <w:r w:rsidRPr="00DE3589">
              <w:rPr>
                <w:sz w:val="14"/>
                <w:szCs w:val="14"/>
              </w:rPr>
              <w:t>CIM, IEC 61850</w:t>
            </w:r>
          </w:p>
        </w:tc>
        <w:tc>
          <w:tcPr>
            <w:tcW w:w="3395" w:type="dxa"/>
          </w:tcPr>
          <w:p w14:paraId="79A75938" w14:textId="5BF485C7" w:rsidR="00F06192" w:rsidRPr="001555CA" w:rsidRDefault="00287D70" w:rsidP="00192F89">
            <w:pPr>
              <w:spacing w:before="0" w:after="0" w:line="240" w:lineRule="auto"/>
              <w:rPr>
                <w:rFonts w:eastAsia="Aptos" w:cs="Cordia New"/>
                <w:sz w:val="14"/>
                <w:szCs w:val="14"/>
                <w:lang w:eastAsia="en-US"/>
              </w:rPr>
            </w:pPr>
            <w:r>
              <w:rPr>
                <w:sz w:val="14"/>
                <w:szCs w:val="14"/>
              </w:rPr>
              <w:t>Procedures to mature and adapt with DSO role changes</w:t>
            </w:r>
            <w:r w:rsidR="00F06192" w:rsidRPr="00DE3589">
              <w:rPr>
                <w:sz w:val="14"/>
                <w:szCs w:val="14"/>
              </w:rPr>
              <w:t xml:space="preserve">. Accurate protection planning depends on upstream-downstream coordination, </w:t>
            </w:r>
            <w:r w:rsidR="00236DA5">
              <w:rPr>
                <w:sz w:val="14"/>
                <w:szCs w:val="14"/>
              </w:rPr>
              <w:t xml:space="preserve">which is complicated by </w:t>
            </w:r>
            <w:r w:rsidR="00F06192" w:rsidRPr="00DE3589">
              <w:rPr>
                <w:sz w:val="14"/>
                <w:szCs w:val="14"/>
              </w:rPr>
              <w:t xml:space="preserve">bi-directional </w:t>
            </w:r>
            <w:r w:rsidR="00424177">
              <w:rPr>
                <w:sz w:val="14"/>
                <w:szCs w:val="14"/>
              </w:rPr>
              <w:t>CER/</w:t>
            </w:r>
            <w:r w:rsidR="00F06192" w:rsidRPr="00DE3589">
              <w:rPr>
                <w:sz w:val="14"/>
                <w:szCs w:val="14"/>
              </w:rPr>
              <w:t>DER impacts.</w:t>
            </w:r>
          </w:p>
        </w:tc>
        <w:tc>
          <w:tcPr>
            <w:tcW w:w="1591" w:type="dxa"/>
          </w:tcPr>
          <w:p w14:paraId="2416AFF5" w14:textId="3C5825AB" w:rsidR="00F06192" w:rsidRPr="001555CA" w:rsidRDefault="00F06192" w:rsidP="00192F89">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C8549D">
              <w:rPr>
                <w:sz w:val="14"/>
                <w:szCs w:val="14"/>
              </w:rPr>
              <w:t>SO</w:t>
            </w:r>
          </w:p>
        </w:tc>
        <w:tc>
          <w:tcPr>
            <w:tcW w:w="1788" w:type="dxa"/>
          </w:tcPr>
          <w:p w14:paraId="1569122A" w14:textId="472714E3" w:rsidR="00F06192" w:rsidRPr="004A69F4" w:rsidRDefault="00F06192" w:rsidP="00192F89">
            <w:pPr>
              <w:spacing w:before="0" w:after="0" w:line="240" w:lineRule="auto"/>
              <w:rPr>
                <w:rFonts w:eastAsia="Aptos" w:cs="Cordia New"/>
                <w:sz w:val="14"/>
                <w:szCs w:val="14"/>
                <w:lang w:eastAsia="en-US"/>
              </w:rPr>
            </w:pPr>
            <w:r w:rsidRPr="00DE3589">
              <w:rPr>
                <w:sz w:val="14"/>
                <w:szCs w:val="14"/>
              </w:rPr>
              <w:t>Australia: Limited. Global: Growing role in DER integration studies</w:t>
            </w:r>
          </w:p>
        </w:tc>
      </w:tr>
      <w:tr w:rsidR="00EE3698" w:rsidRPr="005938BE" w14:paraId="51C9D942" w14:textId="77777777" w:rsidTr="00ED5BCF">
        <w:tc>
          <w:tcPr>
            <w:tcW w:w="2030" w:type="dxa"/>
          </w:tcPr>
          <w:p w14:paraId="5E056AFF" w14:textId="4A1971B4" w:rsidR="00EE3698" w:rsidRPr="001555CA" w:rsidRDefault="00EE3698" w:rsidP="00192F89">
            <w:pPr>
              <w:spacing w:before="0" w:after="0" w:line="240" w:lineRule="auto"/>
              <w:rPr>
                <w:rFonts w:eastAsia="Aptos" w:cs="Cordia New"/>
                <w:sz w:val="14"/>
                <w:szCs w:val="14"/>
                <w:lang w:eastAsia="en-US"/>
              </w:rPr>
            </w:pPr>
            <w:r w:rsidRPr="00DE3589">
              <w:rPr>
                <w:rFonts w:eastAsia="Aptos" w:cs="Cordia New"/>
                <w:sz w:val="14"/>
                <w:szCs w:val="14"/>
                <w:lang w:eastAsia="en-US"/>
              </w:rPr>
              <w:t>Planned CER/DER service provision schedules</w:t>
            </w:r>
          </w:p>
        </w:tc>
        <w:tc>
          <w:tcPr>
            <w:tcW w:w="2476" w:type="dxa"/>
          </w:tcPr>
          <w:p w14:paraId="10E68FB5" w14:textId="731C2479" w:rsidR="00EE3698" w:rsidRPr="001555CA" w:rsidRDefault="00EE3698"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Aggregated CER/DER group commitments for </w:t>
            </w:r>
            <w:r w:rsidR="00C8549D">
              <w:rPr>
                <w:rFonts w:eastAsia="Aptos" w:cs="Cordia New"/>
                <w:sz w:val="14"/>
                <w:szCs w:val="14"/>
                <w:lang w:eastAsia="en-US"/>
              </w:rPr>
              <w:t>SO</w:t>
            </w:r>
            <w:r w:rsidRPr="00DE3589">
              <w:rPr>
                <w:rFonts w:eastAsia="Aptos" w:cs="Cordia New"/>
                <w:sz w:val="14"/>
                <w:szCs w:val="14"/>
                <w:lang w:eastAsia="en-US"/>
              </w:rPr>
              <w:t>/DSO services (e.g., day-ahead, intraday)</w:t>
            </w:r>
            <w:r w:rsidRPr="001555CA">
              <w:rPr>
                <w:rFonts w:eastAsia="Aptos" w:cs="Cordia New"/>
                <w:sz w:val="14"/>
                <w:szCs w:val="14"/>
                <w:lang w:eastAsia="en-US"/>
              </w:rPr>
              <w:t xml:space="preserve"> including off-market services</w:t>
            </w:r>
            <w:r w:rsidRPr="00DE3589">
              <w:rPr>
                <w:rFonts w:eastAsia="Aptos" w:cs="Cordia New"/>
                <w:sz w:val="14"/>
                <w:szCs w:val="14"/>
                <w:lang w:eastAsia="en-US"/>
              </w:rPr>
              <w:t>.</w:t>
            </w:r>
          </w:p>
        </w:tc>
        <w:tc>
          <w:tcPr>
            <w:tcW w:w="1107" w:type="dxa"/>
          </w:tcPr>
          <w:p w14:paraId="7823C8C6" w14:textId="2D3BA52C" w:rsidR="00EE3698" w:rsidRPr="001555CA" w:rsidRDefault="00EE3698" w:rsidP="00192F89">
            <w:pPr>
              <w:spacing w:before="0" w:after="0" w:line="240" w:lineRule="auto"/>
              <w:rPr>
                <w:rFonts w:eastAsia="Aptos" w:cs="Cordia New"/>
                <w:sz w:val="14"/>
                <w:szCs w:val="14"/>
                <w:lang w:eastAsia="en-US"/>
              </w:rPr>
            </w:pPr>
            <w:r w:rsidRPr="00DE3589">
              <w:rPr>
                <w:sz w:val="14"/>
                <w:szCs w:val="14"/>
              </w:rPr>
              <w:t>Day-ahead, Pre-dispatch</w:t>
            </w:r>
          </w:p>
        </w:tc>
        <w:tc>
          <w:tcPr>
            <w:tcW w:w="1429" w:type="dxa"/>
          </w:tcPr>
          <w:p w14:paraId="0FDA52B6" w14:textId="643C52DD" w:rsidR="00EE3698" w:rsidRPr="001555CA" w:rsidRDefault="00EE3698" w:rsidP="00192F89">
            <w:pPr>
              <w:spacing w:before="0" w:after="0" w:line="240" w:lineRule="auto"/>
              <w:rPr>
                <w:rFonts w:eastAsia="Aptos" w:cs="Cordia New"/>
                <w:sz w:val="14"/>
                <w:szCs w:val="14"/>
                <w:lang w:eastAsia="en-US"/>
              </w:rPr>
            </w:pPr>
            <w:r w:rsidRPr="00DE3589">
              <w:rPr>
                <w:sz w:val="14"/>
                <w:szCs w:val="14"/>
              </w:rPr>
              <w:t>Moderate Latency</w:t>
            </w:r>
          </w:p>
        </w:tc>
        <w:tc>
          <w:tcPr>
            <w:tcW w:w="1347" w:type="dxa"/>
          </w:tcPr>
          <w:p w14:paraId="45A3D07B" w14:textId="4AA3280D" w:rsidR="00EE3698" w:rsidRPr="001555CA" w:rsidRDefault="005D4E6C" w:rsidP="00192F89">
            <w:pPr>
              <w:spacing w:before="0" w:after="0" w:line="240" w:lineRule="auto"/>
              <w:rPr>
                <w:rFonts w:eastAsia="Aptos" w:cs="Cordia New"/>
                <w:sz w:val="14"/>
                <w:szCs w:val="14"/>
                <w:lang w:eastAsia="en-US"/>
              </w:rPr>
            </w:pPr>
            <w:r w:rsidRPr="005D4E6C">
              <w:rPr>
                <w:sz w:val="14"/>
                <w:szCs w:val="14"/>
              </w:rPr>
              <w:t xml:space="preserve">IEC 61968-5, IEEE </w:t>
            </w:r>
            <w:r w:rsidR="00D64D7F" w:rsidRPr="005D4E6C">
              <w:rPr>
                <w:sz w:val="14"/>
                <w:szCs w:val="14"/>
              </w:rPr>
              <w:t>2030.11,</w:t>
            </w:r>
            <w:r w:rsidR="00EE3698" w:rsidRPr="00DE3589">
              <w:rPr>
                <w:sz w:val="14"/>
                <w:szCs w:val="14"/>
              </w:rPr>
              <w:t xml:space="preserve"> OpenADR, CIM</w:t>
            </w:r>
          </w:p>
        </w:tc>
        <w:tc>
          <w:tcPr>
            <w:tcW w:w="3395" w:type="dxa"/>
          </w:tcPr>
          <w:p w14:paraId="3881D9A6" w14:textId="2E518159" w:rsidR="00EE3698" w:rsidRPr="00DE3589" w:rsidRDefault="00B93426" w:rsidP="00192F89">
            <w:pPr>
              <w:spacing w:before="0" w:after="0" w:line="240" w:lineRule="auto"/>
              <w:rPr>
                <w:rFonts w:eastAsia="Aptos" w:cs="Cordia New"/>
                <w:sz w:val="14"/>
                <w:szCs w:val="14"/>
                <w:highlight w:val="yellow"/>
                <w:lang w:eastAsia="en-US"/>
              </w:rPr>
            </w:pPr>
            <w:r>
              <w:rPr>
                <w:sz w:val="14"/>
                <w:szCs w:val="14"/>
              </w:rPr>
              <w:t>M</w:t>
            </w:r>
            <w:r w:rsidR="00B4732C">
              <w:rPr>
                <w:sz w:val="14"/>
                <w:szCs w:val="14"/>
              </w:rPr>
              <w:t>ature DSOs</w:t>
            </w:r>
            <w:r w:rsidR="005F1637">
              <w:rPr>
                <w:sz w:val="14"/>
                <w:szCs w:val="14"/>
              </w:rPr>
              <w:t xml:space="preserve"> </w:t>
            </w:r>
            <w:r>
              <w:rPr>
                <w:sz w:val="14"/>
                <w:szCs w:val="14"/>
              </w:rPr>
              <w:t xml:space="preserve">assume greater responsibility </w:t>
            </w:r>
            <w:r w:rsidR="009D3F5E">
              <w:rPr>
                <w:sz w:val="14"/>
                <w:szCs w:val="14"/>
              </w:rPr>
              <w:t xml:space="preserve">for managing localised </w:t>
            </w:r>
            <w:r w:rsidR="00E1325F">
              <w:rPr>
                <w:sz w:val="14"/>
                <w:szCs w:val="14"/>
              </w:rPr>
              <w:t xml:space="preserve">service provision schedules </w:t>
            </w:r>
            <w:r w:rsidR="005F1637">
              <w:rPr>
                <w:sz w:val="14"/>
                <w:szCs w:val="14"/>
              </w:rPr>
              <w:t xml:space="preserve">under </w:t>
            </w:r>
            <w:r w:rsidR="000034C8">
              <w:rPr>
                <w:sz w:val="14"/>
                <w:szCs w:val="14"/>
              </w:rPr>
              <w:t>more layered role</w:t>
            </w:r>
            <w:r w:rsidR="00EE3698" w:rsidRPr="00DE3589">
              <w:rPr>
                <w:sz w:val="14"/>
                <w:szCs w:val="14"/>
              </w:rPr>
              <w:t xml:space="preserve">. </w:t>
            </w:r>
          </w:p>
        </w:tc>
        <w:tc>
          <w:tcPr>
            <w:tcW w:w="1591" w:type="dxa"/>
          </w:tcPr>
          <w:p w14:paraId="68877C69" w14:textId="64C2FB3F" w:rsidR="00EE3698" w:rsidRPr="001555CA" w:rsidRDefault="00EE3698" w:rsidP="00192F89">
            <w:pPr>
              <w:spacing w:before="0" w:after="0" w:line="240" w:lineRule="auto"/>
              <w:rPr>
                <w:rFonts w:eastAsia="Aptos" w:cs="Cordia New"/>
                <w:sz w:val="14"/>
                <w:szCs w:val="14"/>
                <w:lang w:eastAsia="en-US"/>
              </w:rPr>
            </w:pPr>
            <w:r w:rsidRPr="00DE3589">
              <w:rPr>
                <w:sz w:val="14"/>
                <w:szCs w:val="14"/>
              </w:rPr>
              <w:t xml:space="preserve">Aggregator/DSO </w:t>
            </w:r>
            <w:r w:rsidRPr="00DE3589">
              <w:rPr>
                <w:rFonts w:hint="eastAsia"/>
                <w:sz w:val="14"/>
                <w:szCs w:val="14"/>
              </w:rPr>
              <w:t>→</w:t>
            </w:r>
            <w:r w:rsidRPr="00DE3589">
              <w:rPr>
                <w:sz w:val="14"/>
                <w:szCs w:val="14"/>
              </w:rPr>
              <w:t xml:space="preserve"> </w:t>
            </w:r>
            <w:r w:rsidR="00C8549D">
              <w:rPr>
                <w:sz w:val="14"/>
                <w:szCs w:val="14"/>
              </w:rPr>
              <w:t>SO</w:t>
            </w:r>
          </w:p>
        </w:tc>
        <w:tc>
          <w:tcPr>
            <w:tcW w:w="1788" w:type="dxa"/>
          </w:tcPr>
          <w:p w14:paraId="30BCB072" w14:textId="4970B05D" w:rsidR="00EE3698" w:rsidRPr="004A69F4" w:rsidRDefault="00EE3698" w:rsidP="00192F89">
            <w:pPr>
              <w:spacing w:before="0" w:after="0" w:line="240" w:lineRule="auto"/>
              <w:rPr>
                <w:rFonts w:eastAsia="Aptos" w:cs="Cordia New"/>
                <w:sz w:val="14"/>
                <w:szCs w:val="14"/>
                <w:lang w:eastAsia="en-US"/>
              </w:rPr>
            </w:pPr>
            <w:r w:rsidRPr="00DE3589">
              <w:rPr>
                <w:sz w:val="14"/>
                <w:szCs w:val="14"/>
              </w:rPr>
              <w:t>Australia: Early trials through VPPs. Global: More advanced in EU coordination pilots (e.g., Coordinet)</w:t>
            </w:r>
          </w:p>
        </w:tc>
      </w:tr>
      <w:tr w:rsidR="00EE3698" w:rsidRPr="005938BE" w14:paraId="61F98F7A" w14:textId="77777777" w:rsidTr="00ED5BCF">
        <w:tc>
          <w:tcPr>
            <w:tcW w:w="2030" w:type="dxa"/>
          </w:tcPr>
          <w:p w14:paraId="760120CA" w14:textId="6099B66F" w:rsidR="00EE3698" w:rsidRPr="001555CA" w:rsidRDefault="00C8549D" w:rsidP="00192F89">
            <w:pPr>
              <w:spacing w:before="0" w:after="0" w:line="240" w:lineRule="auto"/>
              <w:rPr>
                <w:rFonts w:eastAsia="Aptos" w:cs="Cordia New"/>
                <w:sz w:val="14"/>
                <w:szCs w:val="14"/>
                <w:lang w:eastAsia="en-US"/>
              </w:rPr>
            </w:pPr>
            <w:r>
              <w:rPr>
                <w:rFonts w:eastAsia="Aptos" w:cs="Cordia New"/>
                <w:sz w:val="14"/>
                <w:szCs w:val="14"/>
                <w:lang w:eastAsia="en-US"/>
              </w:rPr>
              <w:t>SO</w:t>
            </w:r>
            <w:r w:rsidR="00EE3698" w:rsidRPr="001555CA">
              <w:rPr>
                <w:rFonts w:eastAsia="Aptos" w:cs="Cordia New"/>
                <w:sz w:val="14"/>
                <w:szCs w:val="14"/>
                <w:lang w:eastAsia="en-US"/>
              </w:rPr>
              <w:t xml:space="preserve"> and DSO market co-optimisation </w:t>
            </w:r>
          </w:p>
        </w:tc>
        <w:tc>
          <w:tcPr>
            <w:tcW w:w="2476" w:type="dxa"/>
          </w:tcPr>
          <w:p w14:paraId="2453E716" w14:textId="47DAD497" w:rsidR="00EE3698" w:rsidRPr="001555CA" w:rsidRDefault="00EE3698" w:rsidP="00192F89">
            <w:pPr>
              <w:spacing w:before="0" w:after="0" w:line="240" w:lineRule="auto"/>
              <w:rPr>
                <w:rFonts w:eastAsia="Aptos" w:cs="Cordia New"/>
                <w:sz w:val="14"/>
                <w:szCs w:val="14"/>
                <w:lang w:eastAsia="en-US"/>
              </w:rPr>
            </w:pPr>
            <w:r w:rsidRPr="001555CA">
              <w:rPr>
                <w:rFonts w:eastAsia="Aptos" w:cs="Cordia New"/>
                <w:sz w:val="14"/>
                <w:szCs w:val="14"/>
                <w:lang w:eastAsia="en-US"/>
              </w:rPr>
              <w:t xml:space="preserve">Following analysis of the above, assesses economic opportunities across upcoming dispatch intervals, for example, distribution-level flexibility for alleviation of transmission network constraints  </w:t>
            </w:r>
          </w:p>
        </w:tc>
        <w:tc>
          <w:tcPr>
            <w:tcW w:w="1107" w:type="dxa"/>
          </w:tcPr>
          <w:p w14:paraId="41D4FAA7" w14:textId="032ABB47" w:rsidR="00EE3698" w:rsidRPr="001555CA" w:rsidRDefault="00EE3698" w:rsidP="00192F89">
            <w:pPr>
              <w:spacing w:before="0" w:after="0" w:line="240" w:lineRule="auto"/>
              <w:rPr>
                <w:rFonts w:eastAsia="Aptos" w:cs="Cordia New"/>
                <w:sz w:val="14"/>
                <w:szCs w:val="14"/>
                <w:lang w:eastAsia="en-US"/>
              </w:rPr>
            </w:pPr>
            <w:r w:rsidRPr="00DE3589">
              <w:rPr>
                <w:sz w:val="14"/>
                <w:szCs w:val="14"/>
              </w:rPr>
              <w:t>Day-ahead, Pre-dispatch</w:t>
            </w:r>
          </w:p>
        </w:tc>
        <w:tc>
          <w:tcPr>
            <w:tcW w:w="1429" w:type="dxa"/>
          </w:tcPr>
          <w:p w14:paraId="22A0B355" w14:textId="195F3DF4" w:rsidR="00EE3698" w:rsidRPr="001555CA" w:rsidRDefault="00EE3698" w:rsidP="00192F89">
            <w:pPr>
              <w:spacing w:before="0" w:after="0" w:line="240" w:lineRule="auto"/>
              <w:rPr>
                <w:rFonts w:eastAsia="Aptos" w:cs="Cordia New"/>
                <w:sz w:val="14"/>
                <w:szCs w:val="14"/>
                <w:lang w:eastAsia="en-US"/>
              </w:rPr>
            </w:pPr>
            <w:r w:rsidRPr="00DE3589">
              <w:rPr>
                <w:sz w:val="14"/>
                <w:szCs w:val="14"/>
              </w:rPr>
              <w:t>Moderate Latency</w:t>
            </w:r>
          </w:p>
        </w:tc>
        <w:tc>
          <w:tcPr>
            <w:tcW w:w="1347" w:type="dxa"/>
          </w:tcPr>
          <w:p w14:paraId="0A0C957B" w14:textId="75D88518" w:rsidR="00EE3698" w:rsidRPr="001555CA" w:rsidRDefault="00EE3698" w:rsidP="00192F89">
            <w:pPr>
              <w:spacing w:before="0" w:after="0" w:line="240" w:lineRule="auto"/>
              <w:rPr>
                <w:rFonts w:eastAsia="Aptos" w:cs="Cordia New"/>
                <w:sz w:val="14"/>
                <w:szCs w:val="14"/>
                <w:lang w:eastAsia="en-US"/>
              </w:rPr>
            </w:pPr>
            <w:r w:rsidRPr="00DE3589">
              <w:rPr>
                <w:sz w:val="14"/>
                <w:szCs w:val="14"/>
              </w:rPr>
              <w:t>Market APIs, XML/CIM, Clearinghouse platforms</w:t>
            </w:r>
          </w:p>
        </w:tc>
        <w:tc>
          <w:tcPr>
            <w:tcW w:w="3395" w:type="dxa"/>
          </w:tcPr>
          <w:p w14:paraId="1FCF3BBE" w14:textId="32A29565" w:rsidR="00EE3698" w:rsidRPr="00DE3589" w:rsidRDefault="00915A53" w:rsidP="00192F89">
            <w:pPr>
              <w:spacing w:before="0" w:after="0"/>
              <w:rPr>
                <w:rFonts w:eastAsia="Aptos" w:cs="Cordia New"/>
                <w:sz w:val="14"/>
                <w:szCs w:val="14"/>
                <w:highlight w:val="yellow"/>
                <w:lang w:eastAsia="en-US"/>
              </w:rPr>
            </w:pPr>
            <w:r w:rsidRPr="00DE3589">
              <w:rPr>
                <w:sz w:val="14"/>
                <w:szCs w:val="14"/>
              </w:rPr>
              <w:t xml:space="preserve">Likely to evolve significantly as </w:t>
            </w:r>
            <w:r w:rsidR="00525B0F" w:rsidRPr="00DE3589">
              <w:rPr>
                <w:sz w:val="14"/>
                <w:szCs w:val="14"/>
              </w:rPr>
              <w:t xml:space="preserve">DSO matures and </w:t>
            </w:r>
            <w:r w:rsidR="00F9307F" w:rsidRPr="00DE3589">
              <w:rPr>
                <w:sz w:val="14"/>
                <w:szCs w:val="14"/>
              </w:rPr>
              <w:t>DMO</w:t>
            </w:r>
            <w:r w:rsidR="00EE3698" w:rsidRPr="00DE3589">
              <w:rPr>
                <w:sz w:val="14"/>
                <w:szCs w:val="14"/>
              </w:rPr>
              <w:t xml:space="preserve"> emerge</w:t>
            </w:r>
            <w:r w:rsidR="00F9307F" w:rsidRPr="00DE3589">
              <w:rPr>
                <w:sz w:val="14"/>
                <w:szCs w:val="14"/>
              </w:rPr>
              <w:t>s</w:t>
            </w:r>
            <w:r w:rsidR="00E7441A" w:rsidRPr="00DE3589">
              <w:rPr>
                <w:sz w:val="14"/>
                <w:szCs w:val="14"/>
              </w:rPr>
              <w:t xml:space="preserve">. While hybridised, </w:t>
            </w:r>
            <w:r w:rsidR="00C8549D">
              <w:rPr>
                <w:sz w:val="14"/>
                <w:szCs w:val="14"/>
              </w:rPr>
              <w:t>SO</w:t>
            </w:r>
            <w:r w:rsidR="000505C2" w:rsidRPr="00DE3589">
              <w:rPr>
                <w:sz w:val="14"/>
                <w:szCs w:val="14"/>
              </w:rPr>
              <w:t xml:space="preserve"> </w:t>
            </w:r>
            <w:r w:rsidR="001E23E2" w:rsidRPr="00DE3589">
              <w:rPr>
                <w:sz w:val="14"/>
                <w:szCs w:val="14"/>
              </w:rPr>
              <w:t xml:space="preserve">leads </w:t>
            </w:r>
            <w:r w:rsidR="00EE3698" w:rsidRPr="00DE3589">
              <w:rPr>
                <w:sz w:val="14"/>
                <w:szCs w:val="14"/>
              </w:rPr>
              <w:t>coordination of bids and flexibility offers</w:t>
            </w:r>
            <w:r w:rsidR="00E92B6F" w:rsidRPr="00DE3589">
              <w:rPr>
                <w:sz w:val="14"/>
                <w:szCs w:val="14"/>
              </w:rPr>
              <w:t xml:space="preserve">. </w:t>
            </w:r>
            <w:r w:rsidR="00D3602D" w:rsidRPr="00DE3589">
              <w:rPr>
                <w:sz w:val="14"/>
                <w:szCs w:val="14"/>
              </w:rPr>
              <w:t>Mature</w:t>
            </w:r>
            <w:r w:rsidR="00E92B6F" w:rsidRPr="00DE3589">
              <w:rPr>
                <w:sz w:val="14"/>
                <w:szCs w:val="14"/>
              </w:rPr>
              <w:t xml:space="preserve"> DSO</w:t>
            </w:r>
            <w:r w:rsidR="007840D3" w:rsidRPr="00DE3589">
              <w:rPr>
                <w:sz w:val="14"/>
                <w:szCs w:val="14"/>
              </w:rPr>
              <w:t>s</w:t>
            </w:r>
            <w:r w:rsidR="00E92B6F" w:rsidRPr="00DE3589">
              <w:rPr>
                <w:sz w:val="14"/>
                <w:szCs w:val="14"/>
              </w:rPr>
              <w:t>/DMO</w:t>
            </w:r>
            <w:r w:rsidR="007840D3" w:rsidRPr="00DE3589">
              <w:rPr>
                <w:sz w:val="14"/>
                <w:szCs w:val="14"/>
              </w:rPr>
              <w:t>s</w:t>
            </w:r>
            <w:r w:rsidR="00E92B6F" w:rsidRPr="00DE3589">
              <w:rPr>
                <w:sz w:val="14"/>
                <w:szCs w:val="14"/>
              </w:rPr>
              <w:t xml:space="preserve"> </w:t>
            </w:r>
            <w:r w:rsidR="00D3602D" w:rsidRPr="00DE3589">
              <w:rPr>
                <w:sz w:val="14"/>
                <w:szCs w:val="14"/>
              </w:rPr>
              <w:t>with high</w:t>
            </w:r>
            <w:r w:rsidR="009C0EFB" w:rsidRPr="00DE3589">
              <w:rPr>
                <w:sz w:val="14"/>
                <w:szCs w:val="14"/>
              </w:rPr>
              <w:t xml:space="preserve"> transaction volume</w:t>
            </w:r>
            <w:r w:rsidR="00D3602D" w:rsidRPr="00DE3589">
              <w:rPr>
                <w:sz w:val="14"/>
                <w:szCs w:val="14"/>
              </w:rPr>
              <w:t>s</w:t>
            </w:r>
            <w:r w:rsidR="009C0EFB" w:rsidRPr="00DE3589">
              <w:rPr>
                <w:sz w:val="14"/>
                <w:szCs w:val="14"/>
              </w:rPr>
              <w:t xml:space="preserve"> </w:t>
            </w:r>
            <w:r w:rsidR="002A4CA1">
              <w:rPr>
                <w:sz w:val="14"/>
                <w:szCs w:val="14"/>
              </w:rPr>
              <w:t xml:space="preserve">and buffering </w:t>
            </w:r>
            <w:r w:rsidR="00D3602D" w:rsidRPr="00DE3589">
              <w:rPr>
                <w:sz w:val="14"/>
                <w:szCs w:val="14"/>
              </w:rPr>
              <w:t>create</w:t>
            </w:r>
            <w:r w:rsidR="00124D08" w:rsidRPr="00DE3589">
              <w:rPr>
                <w:sz w:val="14"/>
                <w:szCs w:val="14"/>
              </w:rPr>
              <w:t xml:space="preserve"> new co-optimisation opportunities</w:t>
            </w:r>
            <w:r w:rsidR="007840D3" w:rsidRPr="00DE3589">
              <w:rPr>
                <w:sz w:val="14"/>
                <w:szCs w:val="14"/>
              </w:rPr>
              <w:t xml:space="preserve"> – including </w:t>
            </w:r>
            <w:r w:rsidR="004516ED" w:rsidRPr="00DE3589">
              <w:rPr>
                <w:sz w:val="14"/>
                <w:szCs w:val="14"/>
              </w:rPr>
              <w:t xml:space="preserve">across </w:t>
            </w:r>
            <w:r w:rsidR="00BC6834" w:rsidRPr="00DE3589">
              <w:rPr>
                <w:sz w:val="14"/>
                <w:szCs w:val="14"/>
              </w:rPr>
              <w:t xml:space="preserve">multiple </w:t>
            </w:r>
            <w:r w:rsidR="004516ED" w:rsidRPr="00DE3589">
              <w:rPr>
                <w:sz w:val="14"/>
                <w:szCs w:val="14"/>
              </w:rPr>
              <w:t xml:space="preserve">DSOs and </w:t>
            </w:r>
            <w:r w:rsidR="00BC6834" w:rsidRPr="00DE3589">
              <w:rPr>
                <w:sz w:val="14"/>
                <w:szCs w:val="14"/>
              </w:rPr>
              <w:t xml:space="preserve">upstream </w:t>
            </w:r>
            <w:r w:rsidR="00C8549D">
              <w:rPr>
                <w:sz w:val="14"/>
                <w:szCs w:val="14"/>
              </w:rPr>
              <w:t>SO</w:t>
            </w:r>
            <w:r w:rsidR="004516ED" w:rsidRPr="00DE3589">
              <w:rPr>
                <w:sz w:val="14"/>
                <w:szCs w:val="14"/>
              </w:rPr>
              <w:t>.</w:t>
            </w:r>
          </w:p>
        </w:tc>
        <w:tc>
          <w:tcPr>
            <w:tcW w:w="1591" w:type="dxa"/>
          </w:tcPr>
          <w:p w14:paraId="6C33BA5E" w14:textId="552BDACA" w:rsidR="00EE3698" w:rsidRPr="001555CA" w:rsidRDefault="00EE3698" w:rsidP="00192F89">
            <w:pPr>
              <w:spacing w:before="0" w:after="0" w:line="240" w:lineRule="auto"/>
              <w:rPr>
                <w:rFonts w:eastAsia="Aptos" w:cs="Cordia New"/>
                <w:sz w:val="14"/>
                <w:szCs w:val="14"/>
                <w:lang w:eastAsia="en-US"/>
              </w:rPr>
            </w:pPr>
            <w:r w:rsidRPr="00DE3589">
              <w:rPr>
                <w:sz w:val="14"/>
                <w:szCs w:val="14"/>
              </w:rPr>
              <w:t>Bidirectional (</w:t>
            </w:r>
            <w:r w:rsidR="00C8549D">
              <w:rPr>
                <w:sz w:val="14"/>
                <w:szCs w:val="14"/>
              </w:rPr>
              <w:t>SO</w:t>
            </w:r>
            <w:r w:rsidRPr="00DE3589">
              <w:rPr>
                <w:sz w:val="14"/>
                <w:szCs w:val="14"/>
              </w:rPr>
              <w:t xml:space="preserve"> ↔ DSO), mediated via market operator or clearing platform</w:t>
            </w:r>
          </w:p>
        </w:tc>
        <w:tc>
          <w:tcPr>
            <w:tcW w:w="1788" w:type="dxa"/>
          </w:tcPr>
          <w:p w14:paraId="178199E4" w14:textId="6E38EA60" w:rsidR="00EE3698" w:rsidRPr="004A69F4" w:rsidRDefault="00EE3698" w:rsidP="00192F89">
            <w:pPr>
              <w:spacing w:before="0" w:after="0" w:line="240" w:lineRule="auto"/>
              <w:rPr>
                <w:rFonts w:eastAsia="Aptos" w:cs="Cordia New"/>
                <w:sz w:val="14"/>
                <w:szCs w:val="14"/>
                <w:lang w:eastAsia="en-US"/>
              </w:rPr>
            </w:pPr>
            <w:r w:rsidRPr="00DE3589">
              <w:rPr>
                <w:sz w:val="14"/>
                <w:szCs w:val="14"/>
              </w:rPr>
              <w:t>Australia: Emerging in DER integration design. Global: Demonstrated in EU flexibility market pilots</w:t>
            </w:r>
          </w:p>
        </w:tc>
      </w:tr>
      <w:tr w:rsidR="00EE3698" w:rsidRPr="005938BE" w14:paraId="6C375ED5" w14:textId="77777777" w:rsidTr="00ED5BCF">
        <w:tc>
          <w:tcPr>
            <w:tcW w:w="2030" w:type="dxa"/>
          </w:tcPr>
          <w:p w14:paraId="4DB349FD" w14:textId="1F2D17F8" w:rsidR="00EE3698" w:rsidRPr="001555CA" w:rsidRDefault="00C8549D" w:rsidP="00192F89">
            <w:pPr>
              <w:spacing w:before="0" w:after="0" w:line="240" w:lineRule="auto"/>
              <w:rPr>
                <w:rFonts w:eastAsia="Aptos" w:cs="Cordia New"/>
                <w:sz w:val="14"/>
                <w:szCs w:val="14"/>
                <w:lang w:eastAsia="en-US"/>
              </w:rPr>
            </w:pPr>
            <w:r>
              <w:rPr>
                <w:rFonts w:eastAsia="Aptos" w:cs="Cordia New"/>
                <w:sz w:val="14"/>
                <w:szCs w:val="14"/>
                <w:lang w:eastAsia="en-US"/>
              </w:rPr>
              <w:t>SO</w:t>
            </w:r>
            <w:r w:rsidR="00EE3698" w:rsidRPr="00DE3589">
              <w:rPr>
                <w:rFonts w:eastAsia="Aptos" w:cs="Cordia New"/>
                <w:sz w:val="14"/>
                <w:szCs w:val="14"/>
                <w:lang w:eastAsia="en-US"/>
              </w:rPr>
              <w:t xml:space="preserve"> and DSO </w:t>
            </w:r>
            <w:r w:rsidR="00EE3698" w:rsidRPr="001555CA">
              <w:rPr>
                <w:rFonts w:eastAsia="Aptos" w:cs="Cordia New"/>
                <w:sz w:val="14"/>
                <w:szCs w:val="14"/>
                <w:lang w:eastAsia="en-US"/>
              </w:rPr>
              <w:t>asset and network constraint</w:t>
            </w:r>
            <w:r w:rsidR="00F3746C">
              <w:rPr>
                <w:rFonts w:eastAsia="Aptos" w:cs="Cordia New"/>
                <w:sz w:val="14"/>
                <w:szCs w:val="14"/>
                <w:lang w:eastAsia="en-US"/>
              </w:rPr>
              <w:t>s</w:t>
            </w:r>
            <w:r w:rsidR="00EE3698" w:rsidRPr="001555CA">
              <w:rPr>
                <w:rFonts w:eastAsia="Aptos" w:cs="Cordia New"/>
                <w:sz w:val="14"/>
                <w:szCs w:val="14"/>
                <w:lang w:eastAsia="en-US"/>
              </w:rPr>
              <w:t xml:space="preserve"> </w:t>
            </w:r>
            <w:r w:rsidR="00CB652A">
              <w:rPr>
                <w:rFonts w:eastAsia="Aptos" w:cs="Cordia New"/>
                <w:sz w:val="14"/>
                <w:szCs w:val="14"/>
                <w:lang w:eastAsia="en-US"/>
              </w:rPr>
              <w:t>(</w:t>
            </w:r>
            <w:r w:rsidR="00C55EDB">
              <w:rPr>
                <w:rFonts w:eastAsia="Aptos" w:cs="Cordia New"/>
                <w:sz w:val="14"/>
                <w:szCs w:val="14"/>
                <w:lang w:eastAsia="en-US"/>
              </w:rPr>
              <w:t>FELs/</w:t>
            </w:r>
            <w:r w:rsidR="00CB652A">
              <w:rPr>
                <w:rFonts w:eastAsia="Aptos" w:cs="Cordia New"/>
                <w:sz w:val="14"/>
                <w:szCs w:val="14"/>
                <w:lang w:eastAsia="en-US"/>
              </w:rPr>
              <w:t xml:space="preserve">DOEs) </w:t>
            </w:r>
            <w:r w:rsidR="00EE3698" w:rsidRPr="001555CA">
              <w:rPr>
                <w:rFonts w:eastAsia="Aptos" w:cs="Cordia New"/>
                <w:sz w:val="14"/>
                <w:szCs w:val="14"/>
                <w:lang w:eastAsia="en-US"/>
              </w:rPr>
              <w:t xml:space="preserve">and </w:t>
            </w:r>
            <w:r w:rsidR="00EE3698" w:rsidRPr="00DE3589">
              <w:rPr>
                <w:rFonts w:eastAsia="Aptos" w:cs="Cordia New"/>
                <w:sz w:val="14"/>
                <w:szCs w:val="14"/>
                <w:lang w:eastAsia="en-US"/>
              </w:rPr>
              <w:t>conflict resolution</w:t>
            </w:r>
            <w:r w:rsidR="00CB652A">
              <w:rPr>
                <w:rFonts w:eastAsia="Aptos" w:cs="Cordia New"/>
                <w:sz w:val="14"/>
                <w:szCs w:val="14"/>
                <w:lang w:eastAsia="en-US"/>
              </w:rPr>
              <w:t>.</w:t>
            </w:r>
          </w:p>
        </w:tc>
        <w:tc>
          <w:tcPr>
            <w:tcW w:w="2476" w:type="dxa"/>
          </w:tcPr>
          <w:p w14:paraId="722A4ED1" w14:textId="55A8DE29" w:rsidR="00EE3698" w:rsidRPr="001555CA" w:rsidRDefault="00EE3698" w:rsidP="00192F89">
            <w:pPr>
              <w:spacing w:before="0" w:after="0" w:line="240" w:lineRule="auto"/>
              <w:rPr>
                <w:rFonts w:eastAsia="Aptos" w:cs="Cordia New"/>
                <w:sz w:val="14"/>
                <w:szCs w:val="14"/>
                <w:lang w:eastAsia="en-US"/>
              </w:rPr>
            </w:pPr>
            <w:r w:rsidRPr="001555CA">
              <w:rPr>
                <w:rFonts w:eastAsia="Aptos" w:cs="Cordia New"/>
                <w:sz w:val="14"/>
                <w:szCs w:val="14"/>
                <w:lang w:eastAsia="en-US"/>
              </w:rPr>
              <w:t xml:space="preserve">Following analysis of the above, assesses cumulative impacts of CER/DER group actions on network assets, and counter-productive signals from </w:t>
            </w:r>
            <w:r w:rsidR="00C8549D">
              <w:rPr>
                <w:rFonts w:eastAsia="Aptos" w:cs="Cordia New"/>
                <w:sz w:val="14"/>
                <w:szCs w:val="14"/>
                <w:lang w:eastAsia="en-US"/>
              </w:rPr>
              <w:t>SO</w:t>
            </w:r>
            <w:r w:rsidRPr="001555CA">
              <w:rPr>
                <w:rFonts w:eastAsia="Aptos" w:cs="Cordia New"/>
                <w:sz w:val="14"/>
                <w:szCs w:val="14"/>
                <w:lang w:eastAsia="en-US"/>
              </w:rPr>
              <w:t xml:space="preserve"> and DSOs from a whole-system technical perspective</w:t>
            </w:r>
          </w:p>
        </w:tc>
        <w:tc>
          <w:tcPr>
            <w:tcW w:w="1107" w:type="dxa"/>
          </w:tcPr>
          <w:p w14:paraId="5C1E94F2" w14:textId="1884446A" w:rsidR="00EE3698" w:rsidRPr="001555CA" w:rsidRDefault="00EE3698" w:rsidP="00192F89">
            <w:pPr>
              <w:spacing w:before="0" w:after="0" w:line="240" w:lineRule="auto"/>
              <w:rPr>
                <w:rFonts w:eastAsia="Aptos" w:cs="Cordia New"/>
                <w:sz w:val="14"/>
                <w:szCs w:val="14"/>
                <w:lang w:eastAsia="en-US"/>
              </w:rPr>
            </w:pPr>
            <w:r w:rsidRPr="00DE3589">
              <w:rPr>
                <w:sz w:val="14"/>
                <w:szCs w:val="14"/>
              </w:rPr>
              <w:t>Day-ahead, Pre-dispatch</w:t>
            </w:r>
          </w:p>
        </w:tc>
        <w:tc>
          <w:tcPr>
            <w:tcW w:w="1429" w:type="dxa"/>
          </w:tcPr>
          <w:p w14:paraId="1C44ECD8" w14:textId="254148C9" w:rsidR="00EE3698" w:rsidRPr="001555CA" w:rsidRDefault="00EE3698" w:rsidP="00192F89">
            <w:pPr>
              <w:spacing w:before="0" w:after="0" w:line="240" w:lineRule="auto"/>
              <w:rPr>
                <w:rFonts w:eastAsia="Aptos" w:cs="Cordia New"/>
                <w:sz w:val="14"/>
                <w:szCs w:val="14"/>
                <w:lang w:eastAsia="en-US"/>
              </w:rPr>
            </w:pPr>
            <w:r w:rsidRPr="00DE3589">
              <w:rPr>
                <w:sz w:val="14"/>
                <w:szCs w:val="14"/>
              </w:rPr>
              <w:t>High Latency</w:t>
            </w:r>
          </w:p>
        </w:tc>
        <w:tc>
          <w:tcPr>
            <w:tcW w:w="1347" w:type="dxa"/>
          </w:tcPr>
          <w:p w14:paraId="1B3EE7A6" w14:textId="141B880F" w:rsidR="00EE3698" w:rsidRPr="001555CA" w:rsidRDefault="005D4E6C" w:rsidP="00192F89">
            <w:pPr>
              <w:spacing w:before="0" w:after="0" w:line="240" w:lineRule="auto"/>
              <w:rPr>
                <w:rFonts w:eastAsia="Aptos" w:cs="Cordia New"/>
                <w:sz w:val="14"/>
                <w:szCs w:val="14"/>
                <w:lang w:eastAsia="en-US"/>
              </w:rPr>
            </w:pPr>
            <w:r w:rsidRPr="005D4E6C">
              <w:rPr>
                <w:sz w:val="14"/>
                <w:szCs w:val="14"/>
              </w:rPr>
              <w:t xml:space="preserve">IEC 61968-5, IEEE 2030.11, </w:t>
            </w:r>
            <w:r w:rsidR="00EE3698" w:rsidRPr="00DE3589">
              <w:rPr>
                <w:sz w:val="14"/>
                <w:szCs w:val="14"/>
              </w:rPr>
              <w:t>CGMES, coordination dashboards</w:t>
            </w:r>
          </w:p>
        </w:tc>
        <w:tc>
          <w:tcPr>
            <w:tcW w:w="3395" w:type="dxa"/>
          </w:tcPr>
          <w:p w14:paraId="5749823A" w14:textId="755D0883" w:rsidR="00EE3698" w:rsidRPr="00DE3589" w:rsidRDefault="00E0124C" w:rsidP="00192F89">
            <w:pPr>
              <w:spacing w:before="0" w:after="0"/>
              <w:rPr>
                <w:rFonts w:eastAsia="Aptos" w:cs="Cordia New"/>
                <w:sz w:val="14"/>
                <w:szCs w:val="14"/>
                <w:highlight w:val="yellow"/>
                <w:lang w:eastAsia="en-US"/>
              </w:rPr>
            </w:pPr>
            <w:r w:rsidRPr="00DE3589">
              <w:rPr>
                <w:sz w:val="14"/>
                <w:szCs w:val="14"/>
              </w:rPr>
              <w:t>C</w:t>
            </w:r>
            <w:r w:rsidR="00EE3698" w:rsidRPr="00DE3589">
              <w:rPr>
                <w:sz w:val="14"/>
                <w:szCs w:val="14"/>
              </w:rPr>
              <w:t xml:space="preserve">oordination persists. </w:t>
            </w:r>
            <w:r w:rsidR="00C63460" w:rsidRPr="00DE3589">
              <w:rPr>
                <w:sz w:val="14"/>
                <w:szCs w:val="14"/>
              </w:rPr>
              <w:t xml:space="preserve">Maturing </w:t>
            </w:r>
            <w:r w:rsidR="00EE3698" w:rsidRPr="00DE3589">
              <w:rPr>
                <w:sz w:val="14"/>
                <w:szCs w:val="14"/>
              </w:rPr>
              <w:t>DSO</w:t>
            </w:r>
            <w:r w:rsidR="00C63460" w:rsidRPr="00DE3589">
              <w:rPr>
                <w:sz w:val="14"/>
                <w:szCs w:val="14"/>
              </w:rPr>
              <w:t xml:space="preserve"> improves precision of </w:t>
            </w:r>
            <w:r w:rsidR="00EE3698" w:rsidRPr="00DE3589">
              <w:rPr>
                <w:sz w:val="14"/>
                <w:szCs w:val="14"/>
              </w:rPr>
              <w:t>constraint forecasting</w:t>
            </w:r>
            <w:r w:rsidR="00C63460" w:rsidRPr="00DE3589">
              <w:rPr>
                <w:sz w:val="14"/>
                <w:szCs w:val="14"/>
              </w:rPr>
              <w:t xml:space="preserve"> to create more economic opportunity. D</w:t>
            </w:r>
            <w:r w:rsidR="00EE3698" w:rsidRPr="00DE3589">
              <w:rPr>
                <w:sz w:val="14"/>
                <w:szCs w:val="14"/>
              </w:rPr>
              <w:t xml:space="preserve">econfliction </w:t>
            </w:r>
            <w:r w:rsidR="00381BB8" w:rsidRPr="00DE3589">
              <w:rPr>
                <w:sz w:val="14"/>
                <w:szCs w:val="14"/>
              </w:rPr>
              <w:t>procedures established</w:t>
            </w:r>
            <w:r w:rsidR="008E272D" w:rsidRPr="00DE3589">
              <w:rPr>
                <w:sz w:val="14"/>
                <w:szCs w:val="14"/>
              </w:rPr>
              <w:t xml:space="preserve"> as DSO </w:t>
            </w:r>
            <w:r w:rsidR="00D71B59" w:rsidRPr="00DE3589">
              <w:rPr>
                <w:sz w:val="14"/>
                <w:szCs w:val="14"/>
              </w:rPr>
              <w:t>assumes more holistic responsibility for operating zone</w:t>
            </w:r>
            <w:r w:rsidR="00EE3698" w:rsidRPr="00DE3589">
              <w:rPr>
                <w:sz w:val="14"/>
                <w:szCs w:val="14"/>
              </w:rPr>
              <w:t>.</w:t>
            </w:r>
          </w:p>
        </w:tc>
        <w:tc>
          <w:tcPr>
            <w:tcW w:w="1591" w:type="dxa"/>
          </w:tcPr>
          <w:p w14:paraId="3A15CA61" w14:textId="5536125D" w:rsidR="00EE3698" w:rsidRPr="001555CA" w:rsidRDefault="00EE3698" w:rsidP="00192F89">
            <w:pPr>
              <w:spacing w:before="0" w:after="0" w:line="240" w:lineRule="auto"/>
              <w:rPr>
                <w:rFonts w:eastAsia="Aptos" w:cs="Cordia New"/>
                <w:sz w:val="14"/>
                <w:szCs w:val="14"/>
                <w:lang w:eastAsia="en-US"/>
              </w:rPr>
            </w:pPr>
            <w:r w:rsidRPr="00DE3589">
              <w:rPr>
                <w:sz w:val="14"/>
                <w:szCs w:val="14"/>
              </w:rPr>
              <w:t>Bidirectional (</w:t>
            </w:r>
            <w:r w:rsidR="00C8549D">
              <w:rPr>
                <w:sz w:val="14"/>
                <w:szCs w:val="14"/>
              </w:rPr>
              <w:t>SO</w:t>
            </w:r>
            <w:r w:rsidRPr="00DE3589">
              <w:rPr>
                <w:sz w:val="14"/>
                <w:szCs w:val="14"/>
              </w:rPr>
              <w:t xml:space="preserve"> ↔ DSO)</w:t>
            </w:r>
          </w:p>
        </w:tc>
        <w:tc>
          <w:tcPr>
            <w:tcW w:w="1788" w:type="dxa"/>
          </w:tcPr>
          <w:p w14:paraId="7101C6DF" w14:textId="2DA12CFB" w:rsidR="00EE3698" w:rsidRPr="004A69F4" w:rsidRDefault="00EE3698" w:rsidP="00192F89">
            <w:pPr>
              <w:spacing w:before="0" w:after="0" w:line="240" w:lineRule="auto"/>
              <w:rPr>
                <w:rFonts w:eastAsia="Aptos" w:cs="Cordia New"/>
                <w:sz w:val="14"/>
                <w:szCs w:val="14"/>
                <w:lang w:eastAsia="en-US"/>
              </w:rPr>
            </w:pPr>
            <w:r w:rsidRPr="00DE3589">
              <w:rPr>
                <w:sz w:val="14"/>
                <w:szCs w:val="14"/>
              </w:rPr>
              <w:t xml:space="preserve">Australia: </w:t>
            </w:r>
            <w:r w:rsidR="00C55EDB" w:rsidRPr="00DE3589">
              <w:rPr>
                <w:sz w:val="14"/>
                <w:szCs w:val="14"/>
              </w:rPr>
              <w:t xml:space="preserve">DNSP </w:t>
            </w:r>
            <w:r w:rsidR="00712CE7" w:rsidRPr="00DE3589">
              <w:rPr>
                <w:sz w:val="14"/>
                <w:szCs w:val="14"/>
              </w:rPr>
              <w:t>DOEs well-advanced</w:t>
            </w:r>
            <w:r w:rsidRPr="00DE3589">
              <w:rPr>
                <w:sz w:val="14"/>
                <w:szCs w:val="14"/>
              </w:rPr>
              <w:t xml:space="preserve">. Global: </w:t>
            </w:r>
            <w:r w:rsidR="00712CE7" w:rsidRPr="00DE3589">
              <w:rPr>
                <w:sz w:val="14"/>
                <w:szCs w:val="14"/>
              </w:rPr>
              <w:t>Proprietary</w:t>
            </w:r>
            <w:r w:rsidR="00EB6276" w:rsidRPr="00DE3589">
              <w:rPr>
                <w:sz w:val="14"/>
                <w:szCs w:val="14"/>
              </w:rPr>
              <w:t xml:space="preserve"> </w:t>
            </w:r>
            <w:r w:rsidR="00BC4ADE" w:rsidRPr="00DE3589">
              <w:rPr>
                <w:sz w:val="14"/>
                <w:szCs w:val="14"/>
              </w:rPr>
              <w:t>implementation</w:t>
            </w:r>
            <w:r w:rsidR="00814821" w:rsidRPr="00DE3589">
              <w:rPr>
                <w:sz w:val="14"/>
                <w:szCs w:val="14"/>
              </w:rPr>
              <w:t xml:space="preserve"> in </w:t>
            </w:r>
            <w:r w:rsidRPr="00DE3589">
              <w:rPr>
                <w:sz w:val="14"/>
                <w:szCs w:val="14"/>
              </w:rPr>
              <w:t>DERMS coordination platforms</w:t>
            </w:r>
          </w:p>
        </w:tc>
      </w:tr>
    </w:tbl>
    <w:p w14:paraId="23AAF78C" w14:textId="3A5F8859" w:rsidR="00FF1EE4" w:rsidRDefault="00FF1EE4" w:rsidP="00D63C88">
      <w:pPr>
        <w:pStyle w:val="Heading2"/>
        <w:ind w:left="709" w:hanging="709"/>
      </w:pPr>
      <w:bookmarkStart w:id="202" w:name="_Toc205532872"/>
      <w:r>
        <w:lastRenderedPageBreak/>
        <w:t>Real-time Coordination</w:t>
      </w:r>
      <w:r w:rsidR="000244FF">
        <w:t xml:space="preserve"> and Data Exchange</w:t>
      </w:r>
      <w:bookmarkEnd w:id="202"/>
    </w:p>
    <w:p w14:paraId="706A33A2" w14:textId="1A28E33E" w:rsidR="008A24FA" w:rsidRPr="008A24FA" w:rsidRDefault="008A24FA" w:rsidP="00DE3589">
      <w:r>
        <w:t>Real-time coordination and data exchange enables live monitoring and control of distributed and bulk power system states. It includes telemetry, setpoints, and activation statuses for CER/DERs, which are vital for situational awareness, frequency stability, and emergency response coordination.</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40"/>
        <w:gridCol w:w="2551"/>
        <w:gridCol w:w="1109"/>
        <w:gridCol w:w="1446"/>
        <w:gridCol w:w="1086"/>
        <w:gridCol w:w="3653"/>
        <w:gridCol w:w="1276"/>
        <w:gridCol w:w="1902"/>
      </w:tblGrid>
      <w:tr w:rsidR="00FF1EE4" w:rsidRPr="005938BE" w14:paraId="59C78352" w14:textId="77777777" w:rsidTr="00ED5BCF">
        <w:trPr>
          <w:trHeight w:val="454"/>
          <w:tblHeader/>
        </w:trPr>
        <w:tc>
          <w:tcPr>
            <w:tcW w:w="15163" w:type="dxa"/>
            <w:gridSpan w:val="8"/>
            <w:shd w:val="clear" w:color="auto" w:fill="013C4C"/>
            <w:vAlign w:val="center"/>
          </w:tcPr>
          <w:p w14:paraId="167D237F" w14:textId="077DD593" w:rsidR="00FF1EE4" w:rsidRPr="00D20196" w:rsidRDefault="000375BD" w:rsidP="00112F7B">
            <w:pPr>
              <w:spacing w:before="0" w:after="0" w:line="252" w:lineRule="auto"/>
              <w:jc w:val="center"/>
              <w:rPr>
                <w:rFonts w:ascii="PP Mori SemiBold" w:eastAsia="Aptos" w:hAnsi="PP Mori SemiBold" w:cs="Cordia New"/>
                <w:b/>
                <w:sz w:val="16"/>
                <w:szCs w:val="16"/>
                <w:lang w:eastAsia="en-US"/>
              </w:rPr>
            </w:pPr>
            <w:r w:rsidRPr="000375BD">
              <w:rPr>
                <w:rFonts w:ascii="PP Mori SemiBold" w:eastAsia="Aptos" w:hAnsi="PP Mori SemiBold" w:cs="Cordia New"/>
                <w:b/>
                <w:sz w:val="16"/>
                <w:szCs w:val="16"/>
                <w:lang w:eastAsia="en-US"/>
              </w:rPr>
              <w:t>Real-time Coordination and Data Exchange</w:t>
            </w:r>
          </w:p>
        </w:tc>
      </w:tr>
      <w:tr w:rsidR="001C5C5A" w:rsidRPr="005938BE" w14:paraId="0484A15B" w14:textId="77777777" w:rsidTr="00ED5BCF">
        <w:trPr>
          <w:tblHeader/>
        </w:trPr>
        <w:tc>
          <w:tcPr>
            <w:tcW w:w="2140" w:type="dxa"/>
            <w:shd w:val="clear" w:color="auto" w:fill="067296" w:themeFill="text2"/>
            <w:vAlign w:val="center"/>
            <w:hideMark/>
          </w:tcPr>
          <w:p w14:paraId="5605C5DE"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Core Functions</w:t>
            </w:r>
          </w:p>
        </w:tc>
        <w:tc>
          <w:tcPr>
            <w:tcW w:w="2551" w:type="dxa"/>
            <w:shd w:val="clear" w:color="auto" w:fill="067296" w:themeFill="text2"/>
            <w:vAlign w:val="center"/>
            <w:hideMark/>
          </w:tcPr>
          <w:p w14:paraId="3684B0C3"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Purpose</w:t>
            </w:r>
          </w:p>
        </w:tc>
        <w:tc>
          <w:tcPr>
            <w:tcW w:w="1109" w:type="dxa"/>
            <w:shd w:val="clear" w:color="auto" w:fill="067296" w:themeFill="text2"/>
            <w:vAlign w:val="center"/>
          </w:tcPr>
          <w:p w14:paraId="1B7DFDE3"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Timeframes</w:t>
            </w:r>
          </w:p>
        </w:tc>
        <w:tc>
          <w:tcPr>
            <w:tcW w:w="1446" w:type="dxa"/>
            <w:shd w:val="clear" w:color="auto" w:fill="067296" w:themeFill="text2"/>
            <w:vAlign w:val="center"/>
          </w:tcPr>
          <w:p w14:paraId="4B81A729"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Latency Tolerance</w:t>
            </w:r>
          </w:p>
        </w:tc>
        <w:tc>
          <w:tcPr>
            <w:tcW w:w="1086" w:type="dxa"/>
            <w:shd w:val="clear" w:color="auto" w:fill="067296" w:themeFill="text2"/>
            <w:vAlign w:val="center"/>
          </w:tcPr>
          <w:p w14:paraId="47F6A47D"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sidRPr="00FF0C3B">
              <w:rPr>
                <w:rFonts w:ascii="PP Mori SemiBold" w:eastAsia="Aptos" w:hAnsi="PP Mori SemiBold" w:cs="Cordia New"/>
                <w:color w:val="FAFAFA" w:themeColor="background1"/>
                <w:sz w:val="16"/>
                <w:szCs w:val="16"/>
                <w:lang w:eastAsia="en-US"/>
              </w:rPr>
              <w:t>Possible Data Exchange</w:t>
            </w:r>
          </w:p>
        </w:tc>
        <w:tc>
          <w:tcPr>
            <w:tcW w:w="3653" w:type="dxa"/>
            <w:shd w:val="clear" w:color="auto" w:fill="067296" w:themeFill="text2"/>
            <w:vAlign w:val="center"/>
          </w:tcPr>
          <w:p w14:paraId="5C112C05" w14:textId="4BA494B0" w:rsidR="001C5C5A" w:rsidRPr="00FF0C3B"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Evolution as DSOs mature</w:t>
            </w:r>
          </w:p>
        </w:tc>
        <w:tc>
          <w:tcPr>
            <w:tcW w:w="1276" w:type="dxa"/>
            <w:shd w:val="clear" w:color="auto" w:fill="067296" w:themeFill="text2"/>
            <w:vAlign w:val="center"/>
          </w:tcPr>
          <w:p w14:paraId="19D2A924" w14:textId="77777777" w:rsidR="001C5C5A" w:rsidRPr="005938BE" w:rsidRDefault="001C5C5A" w:rsidP="001C5C5A">
            <w:pPr>
              <w:spacing w:before="0" w:after="0" w:line="240" w:lineRule="auto"/>
              <w:jc w:val="center"/>
              <w:rPr>
                <w:rFonts w:ascii="PP Mori SemiBold" w:eastAsia="Aptos" w:hAnsi="PP Mori SemiBold" w:cs="Cordia New"/>
                <w:color w:val="FAFAFA" w:themeColor="background1"/>
                <w:sz w:val="16"/>
                <w:szCs w:val="16"/>
                <w:lang w:eastAsia="en-US"/>
              </w:rPr>
            </w:pPr>
            <w:r>
              <w:rPr>
                <w:rFonts w:ascii="PP Mori SemiBold" w:eastAsia="Aptos" w:hAnsi="PP Mori SemiBold" w:cs="Cordia New"/>
                <w:color w:val="FAFAFA" w:themeColor="background1"/>
                <w:sz w:val="16"/>
                <w:szCs w:val="16"/>
                <w:lang w:eastAsia="en-US"/>
              </w:rPr>
              <w:t>Directionality</w:t>
            </w:r>
          </w:p>
        </w:tc>
        <w:tc>
          <w:tcPr>
            <w:tcW w:w="1902" w:type="dxa"/>
            <w:shd w:val="clear" w:color="auto" w:fill="067296" w:themeFill="text2"/>
            <w:vAlign w:val="center"/>
          </w:tcPr>
          <w:p w14:paraId="41AF7E14" w14:textId="77777777" w:rsidR="001C5C5A" w:rsidRPr="00FF0C3B" w:rsidRDefault="001C5C5A" w:rsidP="001C5C5A">
            <w:pPr>
              <w:spacing w:before="0" w:after="0" w:line="240" w:lineRule="auto"/>
              <w:jc w:val="center"/>
              <w:rPr>
                <w:rFonts w:ascii="PP Mori SemiBold" w:eastAsia="Aptos" w:hAnsi="PP Mori SemiBold" w:cs="Cordia New"/>
                <w:color w:val="FAFAFA" w:themeColor="background1"/>
                <w:sz w:val="14"/>
                <w:szCs w:val="14"/>
                <w:lang w:eastAsia="en-US"/>
              </w:rPr>
            </w:pPr>
            <w:r w:rsidRPr="00776409">
              <w:rPr>
                <w:rFonts w:ascii="PP Mori SemiBold" w:eastAsia="Aptos" w:hAnsi="PP Mori SemiBold" w:cs="Cordia New"/>
                <w:color w:val="FAFAFA" w:themeColor="background1"/>
                <w:sz w:val="16"/>
                <w:szCs w:val="16"/>
                <w:lang w:eastAsia="en-US"/>
              </w:rPr>
              <w:t>Implementation Maturity</w:t>
            </w:r>
          </w:p>
        </w:tc>
      </w:tr>
      <w:tr w:rsidR="00192F89" w:rsidRPr="005938BE" w14:paraId="4C96A696" w14:textId="77777777" w:rsidTr="00ED5BCF">
        <w:tc>
          <w:tcPr>
            <w:tcW w:w="2140" w:type="dxa"/>
          </w:tcPr>
          <w:p w14:paraId="6F2EDC99" w14:textId="2C291E02"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CER/DER group telemetry</w:t>
            </w:r>
          </w:p>
        </w:tc>
        <w:tc>
          <w:tcPr>
            <w:tcW w:w="2551" w:type="dxa"/>
          </w:tcPr>
          <w:p w14:paraId="73D1D0CA" w14:textId="03044F0E"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Real-time active/reactive power, state-of-charge, voltage</w:t>
            </w:r>
            <w:r w:rsidRPr="00192F89">
              <w:rPr>
                <w:rFonts w:eastAsia="Aptos" w:cs="Cordia New"/>
                <w:sz w:val="14"/>
                <w:szCs w:val="14"/>
                <w:lang w:eastAsia="en-US"/>
              </w:rPr>
              <w:t>, etc,</w:t>
            </w:r>
            <w:r w:rsidRPr="00DE3589">
              <w:rPr>
                <w:rFonts w:eastAsia="Aptos" w:cs="Cordia New"/>
                <w:sz w:val="14"/>
                <w:szCs w:val="14"/>
                <w:lang w:eastAsia="en-US"/>
              </w:rPr>
              <w:t xml:space="preserve"> at </w:t>
            </w:r>
            <w:r w:rsidR="007E0665">
              <w:rPr>
                <w:rFonts w:eastAsia="Aptos" w:cs="Cordia New"/>
                <w:sz w:val="14"/>
                <w:szCs w:val="14"/>
                <w:lang w:eastAsia="en-US"/>
              </w:rPr>
              <w:t>CER/</w:t>
            </w:r>
            <w:r w:rsidRPr="00DE3589">
              <w:rPr>
                <w:rFonts w:eastAsia="Aptos" w:cs="Cordia New"/>
                <w:sz w:val="14"/>
                <w:szCs w:val="14"/>
                <w:lang w:eastAsia="en-US"/>
              </w:rPr>
              <w:t>DER aggregation points</w:t>
            </w:r>
            <w:r w:rsidR="00A50563">
              <w:rPr>
                <w:rFonts w:eastAsia="Aptos" w:cs="Cordia New"/>
                <w:sz w:val="14"/>
                <w:szCs w:val="14"/>
                <w:lang w:eastAsia="en-US"/>
              </w:rPr>
              <w:t xml:space="preserve"> requiring coordination</w:t>
            </w:r>
            <w:r w:rsidRPr="00DE3589">
              <w:rPr>
                <w:rFonts w:eastAsia="Aptos" w:cs="Cordia New"/>
                <w:sz w:val="14"/>
                <w:szCs w:val="14"/>
                <w:lang w:eastAsia="en-US"/>
              </w:rPr>
              <w:t>.</w:t>
            </w:r>
          </w:p>
        </w:tc>
        <w:tc>
          <w:tcPr>
            <w:tcW w:w="1109" w:type="dxa"/>
          </w:tcPr>
          <w:p w14:paraId="5343D549" w14:textId="6DD35EAC"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6C5A2DC1" w14:textId="60E3DAED" w:rsidR="00192F89" w:rsidRPr="00192F89" w:rsidRDefault="00192F89" w:rsidP="00192F89">
            <w:pPr>
              <w:spacing w:before="0" w:after="0" w:line="240" w:lineRule="auto"/>
              <w:rPr>
                <w:rFonts w:eastAsia="Aptos" w:cs="Cordia New"/>
                <w:sz w:val="14"/>
                <w:szCs w:val="14"/>
                <w:lang w:eastAsia="en-US"/>
              </w:rPr>
            </w:pPr>
            <w:r w:rsidRPr="00DE3589">
              <w:rPr>
                <w:sz w:val="14"/>
                <w:szCs w:val="14"/>
              </w:rPr>
              <w:t>Low to Very Low Latency</w:t>
            </w:r>
          </w:p>
        </w:tc>
        <w:tc>
          <w:tcPr>
            <w:tcW w:w="1086" w:type="dxa"/>
          </w:tcPr>
          <w:p w14:paraId="5A9A35F4" w14:textId="22C820A9" w:rsidR="00192F89" w:rsidRPr="00192F89" w:rsidRDefault="004F01EF" w:rsidP="00192F89">
            <w:pPr>
              <w:spacing w:before="0" w:after="0" w:line="240" w:lineRule="auto"/>
              <w:rPr>
                <w:rFonts w:eastAsia="Aptos" w:cs="Cordia New"/>
                <w:sz w:val="14"/>
                <w:szCs w:val="14"/>
                <w:lang w:eastAsia="en-US"/>
              </w:rPr>
            </w:pPr>
            <w:r w:rsidRPr="00FF0C3B">
              <w:rPr>
                <w:rFonts w:hint="eastAsia"/>
                <w:sz w:val="14"/>
                <w:szCs w:val="14"/>
              </w:rPr>
              <w:t>SCADA integration</w:t>
            </w:r>
            <w:r>
              <w:rPr>
                <w:sz w:val="14"/>
                <w:szCs w:val="14"/>
              </w:rPr>
              <w:t>,</w:t>
            </w:r>
            <w:r w:rsidRPr="004F01EF">
              <w:rPr>
                <w:rFonts w:hint="eastAsia"/>
                <w:sz w:val="14"/>
                <w:szCs w:val="14"/>
              </w:rPr>
              <w:t xml:space="preserve"> </w:t>
            </w:r>
            <w:r w:rsidR="00632B3A" w:rsidRPr="00632B3A">
              <w:rPr>
                <w:sz w:val="14"/>
                <w:szCs w:val="14"/>
              </w:rPr>
              <w:t>IEC 61968-5, IEEE 2030.11</w:t>
            </w:r>
            <w:r w:rsidR="00632B3A">
              <w:rPr>
                <w:sz w:val="14"/>
                <w:szCs w:val="14"/>
              </w:rPr>
              <w:t xml:space="preserve">, </w:t>
            </w:r>
            <w:r w:rsidR="00192F89" w:rsidRPr="00DE3589">
              <w:rPr>
                <w:sz w:val="14"/>
                <w:szCs w:val="14"/>
              </w:rPr>
              <w:t>ICCP/TASE.2, MQTT</w:t>
            </w:r>
            <w:r w:rsidR="008066EF">
              <w:rPr>
                <w:sz w:val="14"/>
                <w:szCs w:val="14"/>
              </w:rPr>
              <w:t>,</w:t>
            </w:r>
          </w:p>
        </w:tc>
        <w:tc>
          <w:tcPr>
            <w:tcW w:w="3653" w:type="dxa"/>
          </w:tcPr>
          <w:p w14:paraId="6914C0C2" w14:textId="369F4070" w:rsidR="00192F89" w:rsidRPr="009E009B" w:rsidRDefault="007003C8" w:rsidP="00192F89">
            <w:pPr>
              <w:spacing w:before="0" w:after="0" w:line="240" w:lineRule="auto"/>
              <w:rPr>
                <w:rFonts w:eastAsia="Aptos" w:cs="Cordia New"/>
                <w:sz w:val="14"/>
                <w:szCs w:val="14"/>
                <w:lang w:eastAsia="en-US"/>
              </w:rPr>
            </w:pPr>
            <w:r w:rsidRPr="00DE3589">
              <w:rPr>
                <w:sz w:val="14"/>
                <w:szCs w:val="14"/>
              </w:rPr>
              <w:t xml:space="preserve">DSO assumes greater responsibility for </w:t>
            </w:r>
            <w:r w:rsidR="00031425" w:rsidRPr="00DE3589">
              <w:rPr>
                <w:sz w:val="14"/>
                <w:szCs w:val="14"/>
              </w:rPr>
              <w:t>surfacing aggregate contribution of CER/DER</w:t>
            </w:r>
            <w:r w:rsidR="00002639" w:rsidRPr="00DE3589">
              <w:rPr>
                <w:sz w:val="14"/>
                <w:szCs w:val="14"/>
              </w:rPr>
              <w:t xml:space="preserve"> to </w:t>
            </w:r>
            <w:r w:rsidR="005D182A" w:rsidRPr="00DE3589">
              <w:rPr>
                <w:sz w:val="14"/>
                <w:szCs w:val="14"/>
              </w:rPr>
              <w:t xml:space="preserve">system-level operation to </w:t>
            </w:r>
            <w:r w:rsidR="00C8549D">
              <w:rPr>
                <w:sz w:val="14"/>
                <w:szCs w:val="14"/>
              </w:rPr>
              <w:t>SO</w:t>
            </w:r>
            <w:r w:rsidR="00031425" w:rsidRPr="00DE3589">
              <w:rPr>
                <w:sz w:val="14"/>
                <w:szCs w:val="14"/>
              </w:rPr>
              <w:t xml:space="preserve">. </w:t>
            </w:r>
            <w:r w:rsidR="00563C29" w:rsidRPr="00DE3589">
              <w:rPr>
                <w:sz w:val="14"/>
                <w:szCs w:val="14"/>
              </w:rPr>
              <w:t xml:space="preserve">In layered </w:t>
            </w:r>
            <w:r w:rsidR="00921D9B" w:rsidRPr="00DE3589">
              <w:rPr>
                <w:sz w:val="14"/>
                <w:szCs w:val="14"/>
              </w:rPr>
              <w:t xml:space="preserve">control architecture, </w:t>
            </w:r>
            <w:r w:rsidR="00C8549D">
              <w:rPr>
                <w:sz w:val="14"/>
                <w:szCs w:val="14"/>
              </w:rPr>
              <w:t>SO</w:t>
            </w:r>
            <w:r w:rsidR="00921D9B" w:rsidRPr="00DE3589">
              <w:rPr>
                <w:sz w:val="14"/>
                <w:szCs w:val="14"/>
              </w:rPr>
              <w:t xml:space="preserve"> abstracted from CER/DER telemetry, only receiving needed </w:t>
            </w:r>
            <w:r w:rsidR="004A7AB7" w:rsidRPr="00DE3589">
              <w:rPr>
                <w:sz w:val="14"/>
                <w:szCs w:val="14"/>
              </w:rPr>
              <w:t xml:space="preserve">aggregate </w:t>
            </w:r>
            <w:r w:rsidR="00921D9B" w:rsidRPr="00DE3589">
              <w:rPr>
                <w:sz w:val="14"/>
                <w:szCs w:val="14"/>
              </w:rPr>
              <w:t>operational variables at T-D interface.</w:t>
            </w:r>
          </w:p>
        </w:tc>
        <w:tc>
          <w:tcPr>
            <w:tcW w:w="1276" w:type="dxa"/>
          </w:tcPr>
          <w:p w14:paraId="5C33BAA0" w14:textId="4B4CAC18" w:rsidR="00192F89" w:rsidRPr="00192F89" w:rsidRDefault="00192F89" w:rsidP="00192F89">
            <w:pPr>
              <w:spacing w:before="0" w:after="0" w:line="240" w:lineRule="auto"/>
              <w:rPr>
                <w:rFonts w:eastAsia="Aptos" w:cs="Cordia New"/>
                <w:sz w:val="14"/>
                <w:szCs w:val="14"/>
                <w:lang w:eastAsia="en-US"/>
              </w:rPr>
            </w:pPr>
            <w:r w:rsidRPr="00DE3589">
              <w:rPr>
                <w:sz w:val="14"/>
                <w:szCs w:val="14"/>
              </w:rPr>
              <w:t xml:space="preserve">Aggregator/DSO </w:t>
            </w:r>
            <w:r w:rsidRPr="00DE3589">
              <w:rPr>
                <w:rFonts w:hint="eastAsia"/>
                <w:sz w:val="14"/>
                <w:szCs w:val="14"/>
              </w:rPr>
              <w:t>→</w:t>
            </w:r>
            <w:r w:rsidRPr="00DE3589">
              <w:rPr>
                <w:sz w:val="14"/>
                <w:szCs w:val="14"/>
              </w:rPr>
              <w:t xml:space="preserve"> </w:t>
            </w:r>
            <w:r w:rsidR="00C8549D">
              <w:rPr>
                <w:sz w:val="14"/>
                <w:szCs w:val="14"/>
              </w:rPr>
              <w:t>SO</w:t>
            </w:r>
          </w:p>
        </w:tc>
        <w:tc>
          <w:tcPr>
            <w:tcW w:w="1902" w:type="dxa"/>
          </w:tcPr>
          <w:p w14:paraId="478B7865" w14:textId="3859EDDC" w:rsidR="00192F89" w:rsidRPr="00743CAB" w:rsidRDefault="00192F89" w:rsidP="00192F89">
            <w:pPr>
              <w:spacing w:before="0" w:after="0" w:line="240" w:lineRule="auto"/>
              <w:rPr>
                <w:rFonts w:eastAsia="Aptos" w:cs="Cordia New"/>
                <w:sz w:val="14"/>
                <w:szCs w:val="14"/>
                <w:lang w:eastAsia="en-US"/>
              </w:rPr>
            </w:pPr>
            <w:r w:rsidRPr="00DE3589">
              <w:rPr>
                <w:sz w:val="14"/>
                <w:szCs w:val="14"/>
              </w:rPr>
              <w:t xml:space="preserve">Australia: </w:t>
            </w:r>
            <w:r w:rsidR="00DA7EAA" w:rsidRPr="00DE3589">
              <w:rPr>
                <w:sz w:val="14"/>
                <w:szCs w:val="14"/>
              </w:rPr>
              <w:t xml:space="preserve">Early </w:t>
            </w:r>
            <w:r w:rsidR="00DD1BD3" w:rsidRPr="00DE3589">
              <w:rPr>
                <w:sz w:val="14"/>
                <w:szCs w:val="14"/>
              </w:rPr>
              <w:t xml:space="preserve">VPP </w:t>
            </w:r>
            <w:r w:rsidR="00DA7EAA" w:rsidRPr="00DE3589">
              <w:rPr>
                <w:sz w:val="14"/>
                <w:szCs w:val="14"/>
              </w:rPr>
              <w:t>versions</w:t>
            </w:r>
            <w:r w:rsidR="00DD1BD3" w:rsidRPr="00DE3589">
              <w:rPr>
                <w:sz w:val="14"/>
                <w:szCs w:val="14"/>
              </w:rPr>
              <w:t>, i.e</w:t>
            </w:r>
            <w:r w:rsidR="00772EEE">
              <w:rPr>
                <w:sz w:val="14"/>
                <w:szCs w:val="14"/>
              </w:rPr>
              <w:t xml:space="preserve">. </w:t>
            </w:r>
            <w:r w:rsidRPr="00DE3589">
              <w:rPr>
                <w:sz w:val="14"/>
                <w:szCs w:val="14"/>
              </w:rPr>
              <w:t>Project EDGE. Global: Matur</w:t>
            </w:r>
            <w:r w:rsidR="001F39AE" w:rsidRPr="00DE3589">
              <w:rPr>
                <w:sz w:val="14"/>
                <w:szCs w:val="14"/>
              </w:rPr>
              <w:t>ing</w:t>
            </w:r>
            <w:r w:rsidRPr="00DE3589">
              <w:rPr>
                <w:sz w:val="14"/>
                <w:szCs w:val="14"/>
              </w:rPr>
              <w:t xml:space="preserve"> in DERMS and VPP systems</w:t>
            </w:r>
          </w:p>
        </w:tc>
      </w:tr>
      <w:tr w:rsidR="00192F89" w:rsidRPr="005938BE" w14:paraId="0445C675" w14:textId="77777777" w:rsidTr="00ED5BCF">
        <w:tc>
          <w:tcPr>
            <w:tcW w:w="2140" w:type="dxa"/>
          </w:tcPr>
          <w:p w14:paraId="4A81B7E9" w14:textId="48053600"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CER/DER group dispatch commands</w:t>
            </w:r>
          </w:p>
        </w:tc>
        <w:tc>
          <w:tcPr>
            <w:tcW w:w="2551" w:type="dxa"/>
          </w:tcPr>
          <w:p w14:paraId="6D79434D" w14:textId="6E5E4B52"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Real-time (or near-real-time) setpoints or adjustments for </w:t>
            </w:r>
            <w:r w:rsidRPr="00192F89">
              <w:rPr>
                <w:rFonts w:eastAsia="Aptos" w:cs="Cordia New"/>
                <w:sz w:val="14"/>
                <w:szCs w:val="14"/>
                <w:lang w:eastAsia="en-US"/>
              </w:rPr>
              <w:t>CER/</w:t>
            </w:r>
            <w:r w:rsidRPr="00DE3589">
              <w:rPr>
                <w:rFonts w:eastAsia="Aptos" w:cs="Cordia New"/>
                <w:sz w:val="14"/>
                <w:szCs w:val="14"/>
                <w:lang w:eastAsia="en-US"/>
              </w:rPr>
              <w:t>DER services (e.g., MW, MVAr).</w:t>
            </w:r>
          </w:p>
        </w:tc>
        <w:tc>
          <w:tcPr>
            <w:tcW w:w="1109" w:type="dxa"/>
          </w:tcPr>
          <w:p w14:paraId="6017E31F" w14:textId="086511DB"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0F7109BC" w14:textId="286AC6A4" w:rsidR="00192F89" w:rsidRPr="00192F89" w:rsidRDefault="00192F89" w:rsidP="00192F89">
            <w:pPr>
              <w:spacing w:before="0" w:after="0" w:line="240" w:lineRule="auto"/>
              <w:rPr>
                <w:rFonts w:eastAsia="Aptos" w:cs="Cordia New"/>
                <w:sz w:val="14"/>
                <w:szCs w:val="14"/>
                <w:lang w:eastAsia="en-US"/>
              </w:rPr>
            </w:pPr>
            <w:r w:rsidRPr="00DE3589">
              <w:rPr>
                <w:sz w:val="14"/>
                <w:szCs w:val="14"/>
              </w:rPr>
              <w:t>Very Low Latency</w:t>
            </w:r>
          </w:p>
        </w:tc>
        <w:tc>
          <w:tcPr>
            <w:tcW w:w="1086" w:type="dxa"/>
          </w:tcPr>
          <w:p w14:paraId="7E8F333B" w14:textId="240618AB" w:rsidR="00192F89" w:rsidRPr="00192F89" w:rsidRDefault="007A605C" w:rsidP="00192F89">
            <w:pPr>
              <w:spacing w:before="0" w:after="0" w:line="240" w:lineRule="auto"/>
              <w:rPr>
                <w:rFonts w:eastAsia="Aptos" w:cs="Cordia New"/>
                <w:sz w:val="14"/>
                <w:szCs w:val="14"/>
                <w:lang w:eastAsia="en-US"/>
              </w:rPr>
            </w:pPr>
            <w:r w:rsidRPr="00632B3A">
              <w:rPr>
                <w:sz w:val="14"/>
                <w:szCs w:val="14"/>
              </w:rPr>
              <w:t>IEC 61968-5, IEEE 2030.11</w:t>
            </w:r>
          </w:p>
        </w:tc>
        <w:tc>
          <w:tcPr>
            <w:tcW w:w="3653" w:type="dxa"/>
          </w:tcPr>
          <w:p w14:paraId="56AD58A4" w14:textId="5FE1F154" w:rsidR="00192F89" w:rsidRPr="009E009B" w:rsidRDefault="000E0BB2" w:rsidP="00192F89">
            <w:pPr>
              <w:spacing w:before="0" w:after="0" w:line="240" w:lineRule="auto"/>
              <w:rPr>
                <w:rFonts w:eastAsia="Aptos" w:cs="Cordia New"/>
                <w:sz w:val="14"/>
                <w:szCs w:val="14"/>
                <w:lang w:eastAsia="en-US"/>
              </w:rPr>
            </w:pPr>
            <w:r w:rsidRPr="00DE3589">
              <w:rPr>
                <w:sz w:val="14"/>
                <w:szCs w:val="14"/>
              </w:rPr>
              <w:t>Shared/</w:t>
            </w:r>
            <w:r w:rsidR="00C8549D">
              <w:rPr>
                <w:sz w:val="14"/>
                <w:szCs w:val="14"/>
              </w:rPr>
              <w:t>SO</w:t>
            </w:r>
            <w:r w:rsidRPr="00DE3589">
              <w:rPr>
                <w:sz w:val="14"/>
                <w:szCs w:val="14"/>
              </w:rPr>
              <w:t>-centric under hybridised</w:t>
            </w:r>
            <w:r w:rsidR="00D3470C" w:rsidRPr="00DE3589">
              <w:rPr>
                <w:sz w:val="14"/>
                <w:szCs w:val="14"/>
              </w:rPr>
              <w:t>, evolving to DSO-exclusive under layered</w:t>
            </w:r>
            <w:r w:rsidRPr="00DE3589">
              <w:rPr>
                <w:sz w:val="14"/>
                <w:szCs w:val="14"/>
              </w:rPr>
              <w:t xml:space="preserve"> </w:t>
            </w:r>
            <w:r w:rsidR="00AF6485" w:rsidRPr="00DE3589">
              <w:rPr>
                <w:sz w:val="14"/>
                <w:szCs w:val="14"/>
              </w:rPr>
              <w:t>control architecture</w:t>
            </w:r>
            <w:r w:rsidR="00772EEE">
              <w:rPr>
                <w:sz w:val="14"/>
                <w:szCs w:val="14"/>
              </w:rPr>
              <w:t xml:space="preserve">. </w:t>
            </w:r>
            <w:r w:rsidR="00C8549D">
              <w:rPr>
                <w:sz w:val="14"/>
                <w:szCs w:val="14"/>
              </w:rPr>
              <w:t>SO</w:t>
            </w:r>
            <w:r w:rsidR="007C3D64" w:rsidRPr="009E009B">
              <w:rPr>
                <w:sz w:val="14"/>
                <w:szCs w:val="14"/>
              </w:rPr>
              <w:t xml:space="preserve"> </w:t>
            </w:r>
            <w:r w:rsidR="004A7AB7" w:rsidRPr="009E009B">
              <w:rPr>
                <w:sz w:val="14"/>
                <w:szCs w:val="14"/>
              </w:rPr>
              <w:t xml:space="preserve">eventually </w:t>
            </w:r>
            <w:r w:rsidR="007C3D64" w:rsidRPr="009E009B">
              <w:rPr>
                <w:sz w:val="14"/>
                <w:szCs w:val="14"/>
              </w:rPr>
              <w:t xml:space="preserve">abstracted from CER/DER dispatch, only receiving needed </w:t>
            </w:r>
            <w:r w:rsidR="004A7AB7" w:rsidRPr="009E009B">
              <w:rPr>
                <w:sz w:val="14"/>
                <w:szCs w:val="14"/>
              </w:rPr>
              <w:t xml:space="preserve">aggregate </w:t>
            </w:r>
            <w:r w:rsidR="007C3D64" w:rsidRPr="009E009B">
              <w:rPr>
                <w:sz w:val="14"/>
                <w:szCs w:val="14"/>
              </w:rPr>
              <w:t>operational variables at T-D interface.</w:t>
            </w:r>
          </w:p>
        </w:tc>
        <w:tc>
          <w:tcPr>
            <w:tcW w:w="1276" w:type="dxa"/>
          </w:tcPr>
          <w:p w14:paraId="532E6F4F" w14:textId="3B5ACBC3" w:rsidR="00192F89" w:rsidRPr="00192F89" w:rsidRDefault="00C8549D" w:rsidP="00192F89">
            <w:pPr>
              <w:spacing w:before="0" w:after="0" w:line="240" w:lineRule="auto"/>
              <w:rPr>
                <w:rFonts w:eastAsia="Aptos" w:cs="Cordia New"/>
                <w:sz w:val="14"/>
                <w:szCs w:val="14"/>
                <w:lang w:eastAsia="en-US"/>
              </w:rPr>
            </w:pPr>
            <w:r>
              <w:rPr>
                <w:sz w:val="14"/>
                <w:szCs w:val="14"/>
              </w:rPr>
              <w:t>SO</w:t>
            </w:r>
            <w:r w:rsidR="00192F89" w:rsidRPr="00DE3589">
              <w:rPr>
                <w:sz w:val="14"/>
                <w:szCs w:val="14"/>
              </w:rPr>
              <w:t xml:space="preserve"> </w:t>
            </w:r>
            <w:r w:rsidR="00192F89" w:rsidRPr="00DE3589">
              <w:rPr>
                <w:rFonts w:hint="eastAsia"/>
                <w:sz w:val="14"/>
                <w:szCs w:val="14"/>
              </w:rPr>
              <w:t>→</w:t>
            </w:r>
            <w:r w:rsidR="00192F89" w:rsidRPr="00DE3589">
              <w:rPr>
                <w:sz w:val="14"/>
                <w:szCs w:val="14"/>
              </w:rPr>
              <w:t xml:space="preserve"> DSO </w:t>
            </w:r>
            <w:r w:rsidR="00192F89" w:rsidRPr="00DE3589">
              <w:rPr>
                <w:rFonts w:hint="eastAsia"/>
                <w:sz w:val="14"/>
                <w:szCs w:val="14"/>
              </w:rPr>
              <w:t>→</w:t>
            </w:r>
            <w:r w:rsidR="00192F89" w:rsidRPr="00DE3589">
              <w:rPr>
                <w:sz w:val="14"/>
                <w:szCs w:val="14"/>
              </w:rPr>
              <w:t xml:space="preserve"> Aggregator</w:t>
            </w:r>
          </w:p>
        </w:tc>
        <w:tc>
          <w:tcPr>
            <w:tcW w:w="1902" w:type="dxa"/>
          </w:tcPr>
          <w:p w14:paraId="791E1DBF" w14:textId="77777777" w:rsidR="00192F89" w:rsidRDefault="00192F89" w:rsidP="00192F89">
            <w:pPr>
              <w:spacing w:before="0" w:after="0" w:line="240" w:lineRule="auto"/>
              <w:rPr>
                <w:sz w:val="14"/>
                <w:szCs w:val="14"/>
              </w:rPr>
            </w:pPr>
            <w:r w:rsidRPr="00DE3589">
              <w:rPr>
                <w:sz w:val="14"/>
                <w:szCs w:val="14"/>
              </w:rPr>
              <w:t>Australia: Early stage. Global: Moderately mature in DERMS and aggregator-enabled platforms</w:t>
            </w:r>
          </w:p>
          <w:p w14:paraId="3770FA79" w14:textId="4978A185" w:rsidR="00000E17" w:rsidRPr="00743CAB" w:rsidRDefault="00000E17" w:rsidP="00192F89">
            <w:pPr>
              <w:spacing w:before="0" w:after="0" w:line="240" w:lineRule="auto"/>
              <w:rPr>
                <w:rFonts w:eastAsia="Aptos" w:cs="Cordia New"/>
                <w:sz w:val="14"/>
                <w:szCs w:val="14"/>
                <w:lang w:eastAsia="en-US"/>
              </w:rPr>
            </w:pPr>
          </w:p>
        </w:tc>
      </w:tr>
      <w:tr w:rsidR="00192F89" w:rsidRPr="005938BE" w14:paraId="1904AAB3" w14:textId="77777777" w:rsidTr="00ED5BCF">
        <w:tc>
          <w:tcPr>
            <w:tcW w:w="2140" w:type="dxa"/>
          </w:tcPr>
          <w:p w14:paraId="03DB2976" w14:textId="4FAEE0A0" w:rsidR="00192F89" w:rsidRPr="00192F89" w:rsidRDefault="00C8549D" w:rsidP="00192F89">
            <w:pPr>
              <w:spacing w:before="0" w:after="0" w:line="240" w:lineRule="auto"/>
              <w:rPr>
                <w:rFonts w:eastAsia="Aptos" w:cs="Cordia New"/>
                <w:sz w:val="14"/>
                <w:szCs w:val="14"/>
                <w:lang w:eastAsia="en-US"/>
              </w:rPr>
            </w:pPr>
            <w:r>
              <w:rPr>
                <w:rFonts w:eastAsia="Aptos" w:cs="Cordia New"/>
                <w:sz w:val="14"/>
                <w:szCs w:val="14"/>
                <w:lang w:eastAsia="en-US"/>
              </w:rPr>
              <w:t>SO</w:t>
            </w:r>
            <w:r w:rsidR="00192F89" w:rsidRPr="00DE3589">
              <w:rPr>
                <w:rFonts w:eastAsia="Aptos" w:cs="Cordia New"/>
                <w:sz w:val="14"/>
                <w:szCs w:val="14"/>
                <w:lang w:eastAsia="en-US"/>
              </w:rPr>
              <w:t>-initiated curtailment / override</w:t>
            </w:r>
          </w:p>
        </w:tc>
        <w:tc>
          <w:tcPr>
            <w:tcW w:w="2551" w:type="dxa"/>
          </w:tcPr>
          <w:p w14:paraId="09D234C4" w14:textId="03022973"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When required for bulk system stability, coordinated curtailment of </w:t>
            </w:r>
            <w:r w:rsidRPr="00192F89">
              <w:rPr>
                <w:rFonts w:eastAsia="Aptos" w:cs="Cordia New"/>
                <w:sz w:val="14"/>
                <w:szCs w:val="14"/>
                <w:lang w:eastAsia="en-US"/>
              </w:rPr>
              <w:t>CERs/</w:t>
            </w:r>
            <w:r w:rsidRPr="00DE3589">
              <w:rPr>
                <w:rFonts w:eastAsia="Aptos" w:cs="Cordia New"/>
                <w:sz w:val="14"/>
                <w:szCs w:val="14"/>
                <w:lang w:eastAsia="en-US"/>
              </w:rPr>
              <w:t>DERs via DSOs.</w:t>
            </w:r>
          </w:p>
        </w:tc>
        <w:tc>
          <w:tcPr>
            <w:tcW w:w="1109" w:type="dxa"/>
          </w:tcPr>
          <w:p w14:paraId="603EECB6" w14:textId="33D9429C"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690BF415" w14:textId="30DD259A" w:rsidR="00192F89" w:rsidRPr="00192F89" w:rsidRDefault="00192F89" w:rsidP="00192F89">
            <w:pPr>
              <w:spacing w:before="0" w:after="0" w:line="240" w:lineRule="auto"/>
              <w:rPr>
                <w:rFonts w:eastAsia="Aptos" w:cs="Cordia New"/>
                <w:sz w:val="14"/>
                <w:szCs w:val="14"/>
                <w:lang w:eastAsia="en-US"/>
              </w:rPr>
            </w:pPr>
            <w:r w:rsidRPr="00DE3589">
              <w:rPr>
                <w:sz w:val="14"/>
                <w:szCs w:val="14"/>
              </w:rPr>
              <w:t>Ultra-low to Very Low Latency</w:t>
            </w:r>
          </w:p>
        </w:tc>
        <w:tc>
          <w:tcPr>
            <w:tcW w:w="1086" w:type="dxa"/>
          </w:tcPr>
          <w:p w14:paraId="0A9FAE09" w14:textId="2EF85100" w:rsidR="00192F89" w:rsidRPr="00192F89" w:rsidRDefault="00192F89" w:rsidP="00192F89">
            <w:pPr>
              <w:spacing w:before="0" w:after="0" w:line="240" w:lineRule="auto"/>
              <w:rPr>
                <w:rFonts w:eastAsia="Aptos" w:cs="Cordia New"/>
                <w:sz w:val="14"/>
                <w:szCs w:val="14"/>
                <w:lang w:eastAsia="en-US"/>
              </w:rPr>
            </w:pPr>
            <w:r w:rsidRPr="00DE3589">
              <w:rPr>
                <w:sz w:val="14"/>
                <w:szCs w:val="14"/>
              </w:rPr>
              <w:t>ICCP/TASE.2, custom SCADA APIs</w:t>
            </w:r>
          </w:p>
        </w:tc>
        <w:tc>
          <w:tcPr>
            <w:tcW w:w="3653" w:type="dxa"/>
          </w:tcPr>
          <w:p w14:paraId="2AE45208" w14:textId="52719D7A" w:rsidR="00192F89" w:rsidRPr="009E009B" w:rsidRDefault="003D1072" w:rsidP="00192F89">
            <w:pPr>
              <w:spacing w:before="0" w:after="0"/>
              <w:rPr>
                <w:rFonts w:eastAsia="Aptos" w:cs="Cordia New"/>
                <w:sz w:val="14"/>
                <w:szCs w:val="14"/>
                <w:lang w:eastAsia="en-US"/>
              </w:rPr>
            </w:pPr>
            <w:r w:rsidRPr="00DE3589">
              <w:rPr>
                <w:sz w:val="14"/>
                <w:szCs w:val="14"/>
              </w:rPr>
              <w:t xml:space="preserve">Retained by </w:t>
            </w:r>
            <w:r w:rsidR="00C8549D">
              <w:rPr>
                <w:sz w:val="14"/>
                <w:szCs w:val="14"/>
              </w:rPr>
              <w:t>SO</w:t>
            </w:r>
            <w:r w:rsidRPr="00DE3589">
              <w:rPr>
                <w:sz w:val="14"/>
                <w:szCs w:val="14"/>
              </w:rPr>
              <w:t xml:space="preserve"> as DSO matures. </w:t>
            </w:r>
            <w:r w:rsidR="00192F89" w:rsidRPr="00DE3589">
              <w:rPr>
                <w:sz w:val="14"/>
                <w:szCs w:val="14"/>
              </w:rPr>
              <w:t>Needed during contingencies. Will persist for bulk system stability coordination, even in DSO-centric environments.</w:t>
            </w:r>
          </w:p>
        </w:tc>
        <w:tc>
          <w:tcPr>
            <w:tcW w:w="1276" w:type="dxa"/>
          </w:tcPr>
          <w:p w14:paraId="142BD0AE" w14:textId="54A9221E" w:rsidR="00192F89" w:rsidRPr="00192F89" w:rsidRDefault="00C8549D" w:rsidP="00192F89">
            <w:pPr>
              <w:spacing w:before="0" w:after="0" w:line="240" w:lineRule="auto"/>
              <w:rPr>
                <w:rFonts w:eastAsia="Aptos" w:cs="Cordia New"/>
                <w:sz w:val="14"/>
                <w:szCs w:val="14"/>
                <w:lang w:eastAsia="en-US"/>
              </w:rPr>
            </w:pPr>
            <w:r>
              <w:rPr>
                <w:sz w:val="14"/>
                <w:szCs w:val="14"/>
              </w:rPr>
              <w:t>SO</w:t>
            </w:r>
            <w:r w:rsidR="00192F89" w:rsidRPr="00DE3589">
              <w:rPr>
                <w:sz w:val="14"/>
                <w:szCs w:val="14"/>
              </w:rPr>
              <w:t xml:space="preserve"> </w:t>
            </w:r>
            <w:r w:rsidR="00192F89" w:rsidRPr="00DE3589">
              <w:rPr>
                <w:rFonts w:hint="eastAsia"/>
                <w:sz w:val="14"/>
                <w:szCs w:val="14"/>
              </w:rPr>
              <w:t>→</w:t>
            </w:r>
            <w:r w:rsidR="00192F89" w:rsidRPr="00DE3589">
              <w:rPr>
                <w:sz w:val="14"/>
                <w:szCs w:val="14"/>
              </w:rPr>
              <w:t xml:space="preserve"> DSO</w:t>
            </w:r>
          </w:p>
        </w:tc>
        <w:tc>
          <w:tcPr>
            <w:tcW w:w="1902" w:type="dxa"/>
          </w:tcPr>
          <w:p w14:paraId="1CE6EB23" w14:textId="77777777" w:rsidR="00192F89" w:rsidRDefault="00192F89" w:rsidP="00192F89">
            <w:pPr>
              <w:spacing w:before="0" w:after="0" w:line="240" w:lineRule="auto"/>
              <w:rPr>
                <w:sz w:val="14"/>
                <w:szCs w:val="14"/>
              </w:rPr>
            </w:pPr>
            <w:r w:rsidRPr="00DE3589">
              <w:rPr>
                <w:sz w:val="14"/>
                <w:szCs w:val="14"/>
              </w:rPr>
              <w:t xml:space="preserve">Australia: </w:t>
            </w:r>
            <w:r w:rsidR="00743CAB" w:rsidRPr="00DE3589">
              <w:rPr>
                <w:sz w:val="14"/>
                <w:szCs w:val="14"/>
              </w:rPr>
              <w:t>MVP operationalised for DPV Curtailment</w:t>
            </w:r>
            <w:r w:rsidRPr="00DE3589">
              <w:rPr>
                <w:sz w:val="14"/>
                <w:szCs w:val="14"/>
              </w:rPr>
              <w:t xml:space="preserve">. Global: </w:t>
            </w:r>
            <w:r w:rsidR="00743CAB" w:rsidRPr="00DE3589">
              <w:rPr>
                <w:sz w:val="14"/>
                <w:szCs w:val="14"/>
              </w:rPr>
              <w:t xml:space="preserve">Tested by </w:t>
            </w:r>
            <w:r w:rsidRPr="00DE3589">
              <w:rPr>
                <w:sz w:val="14"/>
                <w:szCs w:val="14"/>
              </w:rPr>
              <w:t>Coordinet projects</w:t>
            </w:r>
          </w:p>
          <w:p w14:paraId="6FF15988" w14:textId="495B3762" w:rsidR="00000E17" w:rsidRPr="00743CAB" w:rsidRDefault="00000E17" w:rsidP="00192F89">
            <w:pPr>
              <w:spacing w:before="0" w:after="0" w:line="240" w:lineRule="auto"/>
              <w:rPr>
                <w:rFonts w:eastAsia="Aptos" w:cs="Cordia New"/>
                <w:sz w:val="14"/>
                <w:szCs w:val="14"/>
                <w:lang w:eastAsia="en-US"/>
              </w:rPr>
            </w:pPr>
          </w:p>
        </w:tc>
      </w:tr>
      <w:tr w:rsidR="00192F89" w:rsidRPr="005938BE" w14:paraId="76081F41" w14:textId="77777777" w:rsidTr="00ED5BCF">
        <w:tc>
          <w:tcPr>
            <w:tcW w:w="2140" w:type="dxa"/>
          </w:tcPr>
          <w:p w14:paraId="631544E8" w14:textId="5ADAD147"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lastRenderedPageBreak/>
              <w:t xml:space="preserve">DSO </w:t>
            </w:r>
            <w:r w:rsidR="007B141E">
              <w:rPr>
                <w:rFonts w:eastAsia="Aptos" w:cs="Cordia New"/>
                <w:sz w:val="14"/>
                <w:szCs w:val="14"/>
                <w:lang w:eastAsia="en-US"/>
              </w:rPr>
              <w:t>group</w:t>
            </w:r>
            <w:r w:rsidRPr="00DE3589">
              <w:rPr>
                <w:rFonts w:eastAsia="Aptos" w:cs="Cordia New"/>
                <w:sz w:val="14"/>
                <w:szCs w:val="14"/>
                <w:lang w:eastAsia="en-US"/>
              </w:rPr>
              <w:t xml:space="preserve">-level </w:t>
            </w:r>
            <w:r w:rsidR="006D2CC9">
              <w:rPr>
                <w:rFonts w:eastAsia="Aptos" w:cs="Cordia New"/>
                <w:sz w:val="14"/>
                <w:szCs w:val="14"/>
                <w:lang w:eastAsia="en-US"/>
              </w:rPr>
              <w:t>unavailability</w:t>
            </w:r>
            <w:r w:rsidR="006D2CC9" w:rsidRPr="00FF0C3B">
              <w:rPr>
                <w:rFonts w:eastAsia="Aptos" w:cs="Cordia New"/>
                <w:sz w:val="14"/>
                <w:szCs w:val="14"/>
                <w:lang w:eastAsia="en-US"/>
              </w:rPr>
              <w:t xml:space="preserve"> </w:t>
            </w:r>
            <w:r w:rsidRPr="00DE3589">
              <w:rPr>
                <w:rFonts w:eastAsia="Aptos" w:cs="Cordia New"/>
                <w:sz w:val="14"/>
                <w:szCs w:val="14"/>
                <w:lang w:eastAsia="en-US"/>
              </w:rPr>
              <w:t>notification</w:t>
            </w:r>
            <w:r w:rsidR="004D4A60">
              <w:rPr>
                <w:rFonts w:eastAsia="Aptos" w:cs="Cordia New"/>
                <w:sz w:val="14"/>
                <w:szCs w:val="14"/>
                <w:lang w:eastAsia="en-US"/>
              </w:rPr>
              <w:t xml:space="preserve"> </w:t>
            </w:r>
            <w:r w:rsidR="00EC213A">
              <w:rPr>
                <w:rFonts w:eastAsia="Aptos" w:cs="Cordia New"/>
                <w:sz w:val="14"/>
                <w:szCs w:val="14"/>
                <w:lang w:eastAsia="en-US"/>
              </w:rPr>
              <w:t>due to contingency event</w:t>
            </w:r>
          </w:p>
        </w:tc>
        <w:tc>
          <w:tcPr>
            <w:tcW w:w="2551" w:type="dxa"/>
          </w:tcPr>
          <w:p w14:paraId="420154BE" w14:textId="3F2DD010" w:rsidR="00192F89" w:rsidRPr="00192F89" w:rsidRDefault="00C8549D" w:rsidP="00192F89">
            <w:pPr>
              <w:spacing w:before="0" w:after="0" w:line="240" w:lineRule="auto"/>
              <w:rPr>
                <w:rFonts w:eastAsia="Aptos" w:cs="Cordia New"/>
                <w:sz w:val="14"/>
                <w:szCs w:val="14"/>
                <w:lang w:eastAsia="en-US"/>
              </w:rPr>
            </w:pPr>
            <w:r>
              <w:rPr>
                <w:rFonts w:eastAsia="Aptos" w:cs="Cordia New"/>
                <w:sz w:val="14"/>
                <w:szCs w:val="14"/>
                <w:lang w:eastAsia="en-US"/>
              </w:rPr>
              <w:t>SO</w:t>
            </w:r>
            <w:r w:rsidR="00192F89" w:rsidRPr="00DE3589">
              <w:rPr>
                <w:rFonts w:eastAsia="Aptos" w:cs="Cordia New"/>
                <w:sz w:val="14"/>
                <w:szCs w:val="14"/>
                <w:lang w:eastAsia="en-US"/>
              </w:rPr>
              <w:t xml:space="preserve"> informed of </w:t>
            </w:r>
            <w:r w:rsidR="00192F89" w:rsidRPr="00192F89">
              <w:rPr>
                <w:rFonts w:eastAsia="Aptos" w:cs="Cordia New"/>
                <w:sz w:val="14"/>
                <w:szCs w:val="14"/>
                <w:lang w:eastAsia="en-US"/>
              </w:rPr>
              <w:t>CER/</w:t>
            </w:r>
            <w:r w:rsidR="00192F89" w:rsidRPr="00DE3589">
              <w:rPr>
                <w:rFonts w:eastAsia="Aptos" w:cs="Cordia New"/>
                <w:sz w:val="14"/>
                <w:szCs w:val="14"/>
                <w:lang w:eastAsia="en-US"/>
              </w:rPr>
              <w:t xml:space="preserve">DER </w:t>
            </w:r>
            <w:r w:rsidR="00970D3D">
              <w:rPr>
                <w:rFonts w:eastAsia="Aptos" w:cs="Cordia New"/>
                <w:sz w:val="14"/>
                <w:szCs w:val="14"/>
                <w:lang w:eastAsia="en-US"/>
              </w:rPr>
              <w:t>unavailability</w:t>
            </w:r>
            <w:r w:rsidR="00192F89" w:rsidRPr="00DE3589">
              <w:rPr>
                <w:rFonts w:eastAsia="Aptos" w:cs="Cordia New"/>
                <w:sz w:val="14"/>
                <w:szCs w:val="14"/>
                <w:lang w:eastAsia="en-US"/>
              </w:rPr>
              <w:t xml:space="preserve"> due to distribution</w:t>
            </w:r>
            <w:r w:rsidR="006D2CC9">
              <w:rPr>
                <w:rFonts w:eastAsia="Aptos" w:cs="Cordia New"/>
                <w:sz w:val="14"/>
                <w:szCs w:val="14"/>
                <w:lang w:eastAsia="en-US"/>
              </w:rPr>
              <w:t>-level</w:t>
            </w:r>
            <w:r w:rsidR="00192F89" w:rsidRPr="00DE3589">
              <w:rPr>
                <w:rFonts w:eastAsia="Aptos" w:cs="Cordia New"/>
                <w:sz w:val="14"/>
                <w:szCs w:val="14"/>
                <w:lang w:eastAsia="en-US"/>
              </w:rPr>
              <w:t xml:space="preserve"> </w:t>
            </w:r>
            <w:r w:rsidR="00970D3D">
              <w:rPr>
                <w:rFonts w:eastAsia="Aptos" w:cs="Cordia New"/>
                <w:sz w:val="14"/>
                <w:szCs w:val="14"/>
                <w:lang w:eastAsia="en-US"/>
              </w:rPr>
              <w:t>contingency event</w:t>
            </w:r>
            <w:r w:rsidR="00192F89" w:rsidRPr="00DE3589">
              <w:rPr>
                <w:rFonts w:eastAsia="Aptos" w:cs="Cordia New"/>
                <w:sz w:val="14"/>
                <w:szCs w:val="14"/>
                <w:lang w:eastAsia="en-US"/>
              </w:rPr>
              <w:t>.</w:t>
            </w:r>
          </w:p>
        </w:tc>
        <w:tc>
          <w:tcPr>
            <w:tcW w:w="1109" w:type="dxa"/>
          </w:tcPr>
          <w:p w14:paraId="481CDC68" w14:textId="3941C3E7"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16406464" w14:textId="2B053A61" w:rsidR="00192F89" w:rsidRPr="00192F89" w:rsidRDefault="00192F89" w:rsidP="00192F89">
            <w:pPr>
              <w:spacing w:before="0" w:after="0" w:line="240" w:lineRule="auto"/>
              <w:rPr>
                <w:rFonts w:eastAsia="Aptos" w:cs="Cordia New"/>
                <w:sz w:val="14"/>
                <w:szCs w:val="14"/>
                <w:lang w:eastAsia="en-US"/>
              </w:rPr>
            </w:pPr>
            <w:r w:rsidRPr="00DE3589">
              <w:rPr>
                <w:sz w:val="14"/>
                <w:szCs w:val="14"/>
              </w:rPr>
              <w:t>Low Latency</w:t>
            </w:r>
          </w:p>
        </w:tc>
        <w:tc>
          <w:tcPr>
            <w:tcW w:w="1086" w:type="dxa"/>
          </w:tcPr>
          <w:p w14:paraId="3F58054E" w14:textId="720AB8AD" w:rsidR="00192F89" w:rsidRPr="00192F89" w:rsidRDefault="00050CDD" w:rsidP="00192F89">
            <w:pPr>
              <w:spacing w:before="0" w:after="0" w:line="240" w:lineRule="auto"/>
              <w:rPr>
                <w:rFonts w:eastAsia="Aptos" w:cs="Cordia New"/>
                <w:sz w:val="14"/>
                <w:szCs w:val="14"/>
                <w:lang w:eastAsia="en-US"/>
              </w:rPr>
            </w:pPr>
            <w:r w:rsidRPr="00FF0C3B">
              <w:rPr>
                <w:rFonts w:hint="eastAsia"/>
                <w:sz w:val="14"/>
                <w:szCs w:val="14"/>
              </w:rPr>
              <w:t>SCADA integration</w:t>
            </w:r>
            <w:r>
              <w:rPr>
                <w:sz w:val="14"/>
                <w:szCs w:val="14"/>
              </w:rPr>
              <w:t>,</w:t>
            </w:r>
            <w:r w:rsidRPr="00050CDD">
              <w:rPr>
                <w:rFonts w:hint="eastAsia"/>
                <w:sz w:val="14"/>
                <w:szCs w:val="14"/>
              </w:rPr>
              <w:t xml:space="preserve"> </w:t>
            </w:r>
            <w:r w:rsidR="00192F89" w:rsidRPr="00DE3589">
              <w:rPr>
                <w:sz w:val="14"/>
                <w:szCs w:val="14"/>
              </w:rPr>
              <w:t>IEC 61850, MQTT, OpenADR</w:t>
            </w:r>
          </w:p>
        </w:tc>
        <w:tc>
          <w:tcPr>
            <w:tcW w:w="3653" w:type="dxa"/>
          </w:tcPr>
          <w:p w14:paraId="2ED044EC" w14:textId="679B28D5" w:rsidR="00192F89" w:rsidRPr="009E009B" w:rsidRDefault="00042EB0" w:rsidP="00192F89">
            <w:pPr>
              <w:spacing w:before="0" w:after="0"/>
              <w:rPr>
                <w:rFonts w:eastAsia="Aptos" w:cs="Cordia New"/>
                <w:sz w:val="14"/>
                <w:szCs w:val="14"/>
                <w:lang w:eastAsia="en-US"/>
              </w:rPr>
            </w:pPr>
            <w:r w:rsidRPr="00DE3589">
              <w:rPr>
                <w:sz w:val="14"/>
                <w:szCs w:val="14"/>
              </w:rPr>
              <w:t xml:space="preserve">Persists as DSOs mature </w:t>
            </w:r>
            <w:r w:rsidR="00CA1E4A" w:rsidRPr="00DE3589">
              <w:rPr>
                <w:sz w:val="14"/>
                <w:szCs w:val="14"/>
              </w:rPr>
              <w:t xml:space="preserve">where </w:t>
            </w:r>
            <w:r w:rsidR="00666646" w:rsidRPr="00DE3589">
              <w:rPr>
                <w:sz w:val="14"/>
                <w:szCs w:val="14"/>
              </w:rPr>
              <w:t>unavailability</w:t>
            </w:r>
            <w:r w:rsidR="00CA1E4A" w:rsidRPr="00DE3589">
              <w:rPr>
                <w:sz w:val="14"/>
                <w:szCs w:val="14"/>
              </w:rPr>
              <w:t xml:space="preserve"> affect</w:t>
            </w:r>
            <w:r w:rsidR="00B60BE0" w:rsidRPr="00DE3589">
              <w:rPr>
                <w:sz w:val="14"/>
                <w:szCs w:val="14"/>
              </w:rPr>
              <w:t>s</w:t>
            </w:r>
            <w:r w:rsidR="00CA1E4A" w:rsidRPr="00DE3589">
              <w:rPr>
                <w:sz w:val="14"/>
                <w:szCs w:val="14"/>
              </w:rPr>
              <w:t xml:space="preserve"> system-level operational variables. </w:t>
            </w:r>
            <w:r w:rsidR="00BF4F6F" w:rsidRPr="00DE3589">
              <w:rPr>
                <w:sz w:val="14"/>
                <w:szCs w:val="14"/>
              </w:rPr>
              <w:t xml:space="preserve">Potential for mature DSO to </w:t>
            </w:r>
            <w:r w:rsidR="00117107" w:rsidRPr="00DE3589">
              <w:rPr>
                <w:sz w:val="14"/>
                <w:szCs w:val="14"/>
              </w:rPr>
              <w:t>respond to</w:t>
            </w:r>
            <w:r w:rsidR="004B04E6" w:rsidRPr="00DE3589">
              <w:rPr>
                <w:sz w:val="14"/>
                <w:szCs w:val="14"/>
              </w:rPr>
              <w:t xml:space="preserve"> shortfall</w:t>
            </w:r>
            <w:r w:rsidR="007A26A3" w:rsidRPr="00DE3589">
              <w:rPr>
                <w:sz w:val="14"/>
                <w:szCs w:val="14"/>
              </w:rPr>
              <w:t xml:space="preserve"> w</w:t>
            </w:r>
            <w:r w:rsidR="00C7635F" w:rsidRPr="00DE3589">
              <w:rPr>
                <w:sz w:val="14"/>
                <w:szCs w:val="14"/>
              </w:rPr>
              <w:t xml:space="preserve">ith </w:t>
            </w:r>
            <w:r w:rsidR="002803B3" w:rsidRPr="00DE3589">
              <w:rPr>
                <w:sz w:val="14"/>
                <w:szCs w:val="14"/>
              </w:rPr>
              <w:t xml:space="preserve">buffering </w:t>
            </w:r>
            <w:r w:rsidR="00C7635F" w:rsidRPr="00DE3589">
              <w:rPr>
                <w:sz w:val="14"/>
                <w:szCs w:val="14"/>
              </w:rPr>
              <w:t>resources</w:t>
            </w:r>
            <w:r w:rsidR="002F39E9" w:rsidRPr="00DE3589">
              <w:rPr>
                <w:sz w:val="14"/>
                <w:szCs w:val="14"/>
              </w:rPr>
              <w:t xml:space="preserve"> </w:t>
            </w:r>
            <w:r w:rsidR="00117107" w:rsidRPr="00DE3589">
              <w:rPr>
                <w:sz w:val="14"/>
                <w:szCs w:val="14"/>
              </w:rPr>
              <w:t>within effected time-interval</w:t>
            </w:r>
            <w:r w:rsidR="00B60BE0" w:rsidRPr="00DE3589">
              <w:rPr>
                <w:sz w:val="14"/>
                <w:szCs w:val="14"/>
              </w:rPr>
              <w:t xml:space="preserve"> to circumvent coordination requirement</w:t>
            </w:r>
            <w:r w:rsidR="00192F89" w:rsidRPr="00DE3589">
              <w:rPr>
                <w:sz w:val="14"/>
                <w:szCs w:val="14"/>
              </w:rPr>
              <w:t>.</w:t>
            </w:r>
          </w:p>
        </w:tc>
        <w:tc>
          <w:tcPr>
            <w:tcW w:w="1276" w:type="dxa"/>
          </w:tcPr>
          <w:p w14:paraId="06F0E56F" w14:textId="56D942CD" w:rsidR="00192F89" w:rsidRPr="00192F89" w:rsidRDefault="00192F89" w:rsidP="00192F89">
            <w:pPr>
              <w:spacing w:before="0" w:after="0" w:line="240" w:lineRule="auto"/>
              <w:rPr>
                <w:rFonts w:eastAsia="Aptos" w:cs="Cordia New"/>
                <w:sz w:val="14"/>
                <w:szCs w:val="14"/>
                <w:lang w:eastAsia="en-US"/>
              </w:rPr>
            </w:pPr>
            <w:r w:rsidRPr="00DE3589">
              <w:rPr>
                <w:sz w:val="14"/>
                <w:szCs w:val="14"/>
              </w:rPr>
              <w:t xml:space="preserve">DSO </w:t>
            </w:r>
            <w:r w:rsidRPr="00DE3589">
              <w:rPr>
                <w:rFonts w:hint="eastAsia"/>
                <w:sz w:val="14"/>
                <w:szCs w:val="14"/>
              </w:rPr>
              <w:t>→</w:t>
            </w:r>
            <w:r w:rsidRPr="00DE3589">
              <w:rPr>
                <w:sz w:val="14"/>
                <w:szCs w:val="14"/>
              </w:rPr>
              <w:t xml:space="preserve"> </w:t>
            </w:r>
            <w:r w:rsidR="00C8549D">
              <w:rPr>
                <w:sz w:val="14"/>
                <w:szCs w:val="14"/>
              </w:rPr>
              <w:t>SO</w:t>
            </w:r>
          </w:p>
        </w:tc>
        <w:tc>
          <w:tcPr>
            <w:tcW w:w="1902" w:type="dxa"/>
          </w:tcPr>
          <w:p w14:paraId="629E82AD" w14:textId="40B4EBB8" w:rsidR="00192F89" w:rsidRPr="00101378" w:rsidRDefault="00192F89" w:rsidP="00192F89">
            <w:pPr>
              <w:spacing w:before="0" w:after="0" w:line="240" w:lineRule="auto"/>
              <w:rPr>
                <w:rFonts w:eastAsia="Aptos" w:cs="Cordia New"/>
                <w:sz w:val="14"/>
                <w:szCs w:val="14"/>
                <w:lang w:eastAsia="en-US"/>
              </w:rPr>
            </w:pPr>
            <w:r w:rsidRPr="00DE3589">
              <w:rPr>
                <w:sz w:val="14"/>
                <w:szCs w:val="14"/>
              </w:rPr>
              <w:t>Australia: Conceptual. Global: Piloted in EU congestion coordination tools</w:t>
            </w:r>
          </w:p>
        </w:tc>
      </w:tr>
      <w:tr w:rsidR="00192F89" w:rsidRPr="005938BE" w14:paraId="0F0D3DCD" w14:textId="77777777" w:rsidTr="00ED5BCF">
        <w:tc>
          <w:tcPr>
            <w:tcW w:w="2140" w:type="dxa"/>
          </w:tcPr>
          <w:p w14:paraId="30A3FCD8" w14:textId="15C9C39E"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CER/DER de-rate notifications</w:t>
            </w:r>
            <w:r w:rsidR="00EC213A">
              <w:rPr>
                <w:rFonts w:eastAsia="Aptos" w:cs="Cordia New"/>
                <w:sz w:val="14"/>
                <w:szCs w:val="14"/>
                <w:lang w:eastAsia="en-US"/>
              </w:rPr>
              <w:t xml:space="preserve"> due to contingency event</w:t>
            </w:r>
          </w:p>
        </w:tc>
        <w:tc>
          <w:tcPr>
            <w:tcW w:w="2551" w:type="dxa"/>
          </w:tcPr>
          <w:p w14:paraId="1E27CA9B" w14:textId="6EB9BF0E"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DSO and aggregators notify </w:t>
            </w:r>
            <w:r w:rsidR="00C8549D">
              <w:rPr>
                <w:rFonts w:eastAsia="Aptos" w:cs="Cordia New"/>
                <w:sz w:val="14"/>
                <w:szCs w:val="14"/>
                <w:lang w:eastAsia="en-US"/>
              </w:rPr>
              <w:t>SO</w:t>
            </w:r>
            <w:r w:rsidRPr="00DE3589">
              <w:rPr>
                <w:rFonts w:eastAsia="Aptos" w:cs="Cordia New"/>
                <w:sz w:val="14"/>
                <w:szCs w:val="14"/>
                <w:lang w:eastAsia="en-US"/>
              </w:rPr>
              <w:t xml:space="preserve"> of reduced </w:t>
            </w:r>
            <w:r w:rsidR="009E009B">
              <w:rPr>
                <w:rFonts w:eastAsia="Aptos" w:cs="Cordia New"/>
                <w:sz w:val="14"/>
                <w:szCs w:val="14"/>
                <w:lang w:eastAsia="en-US"/>
              </w:rPr>
              <w:t>CER/</w:t>
            </w:r>
            <w:r w:rsidRPr="00DE3589">
              <w:rPr>
                <w:rFonts w:eastAsia="Aptos" w:cs="Cordia New"/>
                <w:sz w:val="14"/>
                <w:szCs w:val="14"/>
                <w:lang w:eastAsia="en-US"/>
              </w:rPr>
              <w:t xml:space="preserve">DER service levels due to </w:t>
            </w:r>
            <w:r w:rsidR="00042EB0">
              <w:rPr>
                <w:rFonts w:eastAsia="Aptos" w:cs="Cordia New"/>
                <w:sz w:val="14"/>
                <w:szCs w:val="14"/>
                <w:lang w:eastAsia="en-US"/>
              </w:rPr>
              <w:t xml:space="preserve">unforeseen </w:t>
            </w:r>
            <w:r w:rsidRPr="00DE3589">
              <w:rPr>
                <w:rFonts w:eastAsia="Aptos" w:cs="Cordia New"/>
                <w:sz w:val="14"/>
                <w:szCs w:val="14"/>
                <w:lang w:eastAsia="en-US"/>
              </w:rPr>
              <w:t>local or asset conditions.</w:t>
            </w:r>
          </w:p>
        </w:tc>
        <w:tc>
          <w:tcPr>
            <w:tcW w:w="1109" w:type="dxa"/>
          </w:tcPr>
          <w:p w14:paraId="77945181" w14:textId="77C3B859"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1007C0B8" w14:textId="2A842B9D" w:rsidR="00192F89" w:rsidRPr="00192F89" w:rsidRDefault="00192F89" w:rsidP="00192F89">
            <w:pPr>
              <w:spacing w:before="0" w:after="0" w:line="240" w:lineRule="auto"/>
              <w:rPr>
                <w:rFonts w:eastAsia="Aptos" w:cs="Cordia New"/>
                <w:sz w:val="14"/>
                <w:szCs w:val="14"/>
                <w:lang w:eastAsia="en-US"/>
              </w:rPr>
            </w:pPr>
            <w:r w:rsidRPr="00DE3589">
              <w:rPr>
                <w:sz w:val="14"/>
                <w:szCs w:val="14"/>
              </w:rPr>
              <w:t>Moderate to Low Latency</w:t>
            </w:r>
          </w:p>
        </w:tc>
        <w:tc>
          <w:tcPr>
            <w:tcW w:w="1086" w:type="dxa"/>
          </w:tcPr>
          <w:p w14:paraId="14791A41" w14:textId="3BE6BB4E" w:rsidR="00192F89" w:rsidRPr="00192F89" w:rsidRDefault="00050CDD" w:rsidP="00192F89">
            <w:pPr>
              <w:spacing w:before="0" w:after="0" w:line="240" w:lineRule="auto"/>
              <w:rPr>
                <w:rFonts w:eastAsia="Aptos" w:cs="Cordia New"/>
                <w:sz w:val="14"/>
                <w:szCs w:val="14"/>
                <w:lang w:eastAsia="en-US"/>
              </w:rPr>
            </w:pPr>
            <w:r w:rsidRPr="00FF0C3B">
              <w:rPr>
                <w:rFonts w:hint="eastAsia"/>
                <w:sz w:val="14"/>
                <w:szCs w:val="14"/>
              </w:rPr>
              <w:t>SCADA integration</w:t>
            </w:r>
            <w:r>
              <w:rPr>
                <w:sz w:val="14"/>
                <w:szCs w:val="14"/>
              </w:rPr>
              <w:t>,</w:t>
            </w:r>
            <w:r w:rsidRPr="00050CDD">
              <w:rPr>
                <w:rFonts w:hint="eastAsia"/>
                <w:sz w:val="14"/>
                <w:szCs w:val="14"/>
              </w:rPr>
              <w:t xml:space="preserve"> </w:t>
            </w:r>
            <w:r w:rsidR="00192F89" w:rsidRPr="00DE3589">
              <w:rPr>
                <w:sz w:val="14"/>
                <w:szCs w:val="14"/>
              </w:rPr>
              <w:t>CIM, IEEE 2030.5</w:t>
            </w:r>
          </w:p>
        </w:tc>
        <w:tc>
          <w:tcPr>
            <w:tcW w:w="3653" w:type="dxa"/>
          </w:tcPr>
          <w:p w14:paraId="04F0E710" w14:textId="492C4B64" w:rsidR="00192F89" w:rsidRPr="008231D2" w:rsidRDefault="009E009B" w:rsidP="00192F89">
            <w:pPr>
              <w:spacing w:before="0" w:after="0"/>
              <w:rPr>
                <w:rFonts w:eastAsia="Aptos" w:cs="Cordia New"/>
                <w:sz w:val="14"/>
                <w:szCs w:val="14"/>
                <w:lang w:eastAsia="en-US"/>
              </w:rPr>
            </w:pPr>
            <w:r w:rsidRPr="00DE3589">
              <w:rPr>
                <w:sz w:val="14"/>
                <w:szCs w:val="14"/>
              </w:rPr>
              <w:t xml:space="preserve">Persists as DSOs mature where </w:t>
            </w:r>
            <w:r w:rsidR="00A7558B" w:rsidRPr="008231D2">
              <w:rPr>
                <w:sz w:val="14"/>
                <w:szCs w:val="14"/>
              </w:rPr>
              <w:t xml:space="preserve">de-rating </w:t>
            </w:r>
            <w:r w:rsidRPr="00DE3589">
              <w:rPr>
                <w:sz w:val="14"/>
                <w:szCs w:val="14"/>
              </w:rPr>
              <w:t>affects system-level operational variables. Potential for mature DSO to respond to de-rating with buffering resources within effected time-interval to circumvent coordination requirement.</w:t>
            </w:r>
          </w:p>
        </w:tc>
        <w:tc>
          <w:tcPr>
            <w:tcW w:w="1276" w:type="dxa"/>
          </w:tcPr>
          <w:p w14:paraId="28DD142D" w14:textId="16F6B6D3" w:rsidR="00192F89" w:rsidRPr="00192F89" w:rsidRDefault="00192F89" w:rsidP="00192F89">
            <w:pPr>
              <w:spacing w:before="0" w:after="0" w:line="240" w:lineRule="auto"/>
              <w:rPr>
                <w:rFonts w:eastAsia="Aptos" w:cs="Cordia New"/>
                <w:sz w:val="14"/>
                <w:szCs w:val="14"/>
                <w:lang w:eastAsia="en-US"/>
              </w:rPr>
            </w:pPr>
            <w:r w:rsidRPr="00DE3589">
              <w:rPr>
                <w:sz w:val="14"/>
                <w:szCs w:val="14"/>
              </w:rPr>
              <w:t xml:space="preserve">Aggregator/DSO </w:t>
            </w:r>
            <w:r w:rsidRPr="00DE3589">
              <w:rPr>
                <w:rFonts w:hint="eastAsia"/>
                <w:sz w:val="14"/>
                <w:szCs w:val="14"/>
              </w:rPr>
              <w:t>→</w:t>
            </w:r>
            <w:r w:rsidRPr="00DE3589">
              <w:rPr>
                <w:sz w:val="14"/>
                <w:szCs w:val="14"/>
              </w:rPr>
              <w:t xml:space="preserve"> </w:t>
            </w:r>
            <w:r w:rsidR="00C8549D">
              <w:rPr>
                <w:sz w:val="14"/>
                <w:szCs w:val="14"/>
              </w:rPr>
              <w:t>SO</w:t>
            </w:r>
          </w:p>
        </w:tc>
        <w:tc>
          <w:tcPr>
            <w:tcW w:w="1902" w:type="dxa"/>
          </w:tcPr>
          <w:p w14:paraId="445BC123" w14:textId="50D6F31D" w:rsidR="00192F89" w:rsidRPr="00101378" w:rsidRDefault="00192F89" w:rsidP="00192F89">
            <w:pPr>
              <w:spacing w:before="0" w:after="0" w:line="240" w:lineRule="auto"/>
              <w:rPr>
                <w:rFonts w:eastAsia="Aptos" w:cs="Cordia New"/>
                <w:sz w:val="14"/>
                <w:szCs w:val="14"/>
                <w:lang w:eastAsia="en-US"/>
              </w:rPr>
            </w:pPr>
            <w:r w:rsidRPr="00DE3589">
              <w:rPr>
                <w:sz w:val="14"/>
                <w:szCs w:val="14"/>
              </w:rPr>
              <w:t xml:space="preserve">Australia: </w:t>
            </w:r>
            <w:r w:rsidR="0089269F" w:rsidRPr="00101378">
              <w:rPr>
                <w:rFonts w:hint="eastAsia"/>
                <w:sz w:val="14"/>
                <w:szCs w:val="14"/>
              </w:rPr>
              <w:t>Conceptual</w:t>
            </w:r>
            <w:r w:rsidRPr="00DE3589">
              <w:rPr>
                <w:sz w:val="14"/>
                <w:szCs w:val="14"/>
              </w:rPr>
              <w:t>. Global: Implemented in advanced DERMS</w:t>
            </w:r>
          </w:p>
        </w:tc>
      </w:tr>
      <w:tr w:rsidR="00192F89" w:rsidRPr="005938BE" w14:paraId="5D69A761" w14:textId="77777777" w:rsidTr="00ED5BCF">
        <w:tc>
          <w:tcPr>
            <w:tcW w:w="2140" w:type="dxa"/>
          </w:tcPr>
          <w:p w14:paraId="0A088C09" w14:textId="12AD9BA9"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Service delivery confirmation</w:t>
            </w:r>
          </w:p>
        </w:tc>
        <w:tc>
          <w:tcPr>
            <w:tcW w:w="2551" w:type="dxa"/>
          </w:tcPr>
          <w:p w14:paraId="04F0EF58" w14:textId="659FDCAC"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Acknowledgment of </w:t>
            </w:r>
            <w:r w:rsidR="009E009B">
              <w:rPr>
                <w:rFonts w:eastAsia="Aptos" w:cs="Cordia New"/>
                <w:sz w:val="14"/>
                <w:szCs w:val="14"/>
                <w:lang w:eastAsia="en-US"/>
              </w:rPr>
              <w:t>CER/</w:t>
            </w:r>
            <w:r w:rsidRPr="00DE3589">
              <w:rPr>
                <w:rFonts w:eastAsia="Aptos" w:cs="Cordia New"/>
                <w:sz w:val="14"/>
                <w:szCs w:val="14"/>
                <w:lang w:eastAsia="en-US"/>
              </w:rPr>
              <w:t>DER actions, e.g., real power adjustments completed.</w:t>
            </w:r>
          </w:p>
        </w:tc>
        <w:tc>
          <w:tcPr>
            <w:tcW w:w="1109" w:type="dxa"/>
          </w:tcPr>
          <w:p w14:paraId="2A1AADAE" w14:textId="2E71747D"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5C85B437" w14:textId="518E9DAD" w:rsidR="00192F89" w:rsidRPr="00192F89" w:rsidRDefault="00192F89" w:rsidP="00192F89">
            <w:pPr>
              <w:spacing w:before="0" w:after="0" w:line="240" w:lineRule="auto"/>
              <w:rPr>
                <w:rFonts w:eastAsia="Aptos" w:cs="Cordia New"/>
                <w:sz w:val="14"/>
                <w:szCs w:val="14"/>
                <w:lang w:eastAsia="en-US"/>
              </w:rPr>
            </w:pPr>
            <w:r w:rsidRPr="00DE3589">
              <w:rPr>
                <w:sz w:val="14"/>
                <w:szCs w:val="14"/>
              </w:rPr>
              <w:t>Low Latency</w:t>
            </w:r>
          </w:p>
        </w:tc>
        <w:tc>
          <w:tcPr>
            <w:tcW w:w="1086" w:type="dxa"/>
          </w:tcPr>
          <w:p w14:paraId="105F912D" w14:textId="6743CD83" w:rsidR="00192F89" w:rsidRPr="00192F89" w:rsidRDefault="00192F89" w:rsidP="00192F89">
            <w:pPr>
              <w:spacing w:before="0" w:after="0" w:line="240" w:lineRule="auto"/>
              <w:rPr>
                <w:rFonts w:eastAsia="Aptos" w:cs="Cordia New"/>
                <w:sz w:val="14"/>
                <w:szCs w:val="14"/>
                <w:lang w:eastAsia="en-US"/>
              </w:rPr>
            </w:pPr>
            <w:r w:rsidRPr="00DE3589">
              <w:rPr>
                <w:sz w:val="14"/>
                <w:szCs w:val="14"/>
              </w:rPr>
              <w:t>OpenADR, CIM, SCADA integration</w:t>
            </w:r>
          </w:p>
        </w:tc>
        <w:tc>
          <w:tcPr>
            <w:tcW w:w="3653" w:type="dxa"/>
          </w:tcPr>
          <w:p w14:paraId="3D51341B" w14:textId="07DBFA4B" w:rsidR="00192F89" w:rsidRPr="008231D2" w:rsidRDefault="009F6C33" w:rsidP="00192F89">
            <w:pPr>
              <w:spacing w:before="0" w:after="0"/>
              <w:rPr>
                <w:rFonts w:eastAsia="Aptos" w:cs="Cordia New"/>
                <w:sz w:val="14"/>
                <w:szCs w:val="14"/>
                <w:lang w:eastAsia="en-US"/>
              </w:rPr>
            </w:pPr>
            <w:r>
              <w:rPr>
                <w:sz w:val="14"/>
                <w:szCs w:val="14"/>
              </w:rPr>
              <w:t>Potentially i</w:t>
            </w:r>
            <w:r w:rsidR="001F350D" w:rsidRPr="00DE3589">
              <w:rPr>
                <w:sz w:val="14"/>
                <w:szCs w:val="14"/>
              </w:rPr>
              <w:t>nternalised by mature DSO</w:t>
            </w:r>
            <w:r w:rsidR="00192F89" w:rsidRPr="00DE3589">
              <w:rPr>
                <w:sz w:val="14"/>
                <w:szCs w:val="14"/>
              </w:rPr>
              <w:t>.</w:t>
            </w:r>
            <w:r w:rsidR="001F350D" w:rsidRPr="00DE3589">
              <w:rPr>
                <w:sz w:val="14"/>
                <w:szCs w:val="14"/>
              </w:rPr>
              <w:t xml:space="preserve"> </w:t>
            </w:r>
            <w:r w:rsidR="00C8549D">
              <w:rPr>
                <w:sz w:val="14"/>
                <w:szCs w:val="14"/>
              </w:rPr>
              <w:t>SO</w:t>
            </w:r>
            <w:r w:rsidR="001F350D" w:rsidRPr="00DE3589">
              <w:rPr>
                <w:sz w:val="14"/>
                <w:szCs w:val="14"/>
              </w:rPr>
              <w:t xml:space="preserve"> abstracted from</w:t>
            </w:r>
            <w:r w:rsidR="006674C8" w:rsidRPr="00DE3589">
              <w:rPr>
                <w:sz w:val="14"/>
                <w:szCs w:val="14"/>
              </w:rPr>
              <w:t xml:space="preserve"> granular reporting, only receiving </w:t>
            </w:r>
            <w:r w:rsidR="001441E8" w:rsidRPr="00DE3589">
              <w:rPr>
                <w:sz w:val="14"/>
                <w:szCs w:val="14"/>
              </w:rPr>
              <w:t>needed aggregate CER/DER</w:t>
            </w:r>
            <w:r w:rsidR="00F55602" w:rsidRPr="00DE3589">
              <w:rPr>
                <w:sz w:val="14"/>
                <w:szCs w:val="14"/>
              </w:rPr>
              <w:t xml:space="preserve"> </w:t>
            </w:r>
            <w:r w:rsidR="00A7558B" w:rsidRPr="00DE3589">
              <w:rPr>
                <w:sz w:val="14"/>
                <w:szCs w:val="14"/>
              </w:rPr>
              <w:t xml:space="preserve">that affect </w:t>
            </w:r>
            <w:r w:rsidR="00A7558B" w:rsidRPr="008231D2">
              <w:rPr>
                <w:sz w:val="14"/>
                <w:szCs w:val="14"/>
              </w:rPr>
              <w:t>system-level operational variables.</w:t>
            </w:r>
          </w:p>
        </w:tc>
        <w:tc>
          <w:tcPr>
            <w:tcW w:w="1276" w:type="dxa"/>
          </w:tcPr>
          <w:p w14:paraId="6F48B198" w14:textId="151EBE59" w:rsidR="00192F89" w:rsidRPr="00192F89" w:rsidRDefault="00192F89" w:rsidP="00192F89">
            <w:pPr>
              <w:spacing w:before="0" w:after="0" w:line="240" w:lineRule="auto"/>
              <w:rPr>
                <w:rFonts w:eastAsia="Aptos" w:cs="Cordia New"/>
                <w:sz w:val="14"/>
                <w:szCs w:val="14"/>
                <w:lang w:eastAsia="en-US"/>
              </w:rPr>
            </w:pPr>
            <w:r w:rsidRPr="00DE3589">
              <w:rPr>
                <w:sz w:val="14"/>
                <w:szCs w:val="14"/>
              </w:rPr>
              <w:t xml:space="preserve">Aggregator/DSO </w:t>
            </w:r>
            <w:r w:rsidRPr="00DE3589">
              <w:rPr>
                <w:rFonts w:hint="eastAsia"/>
                <w:sz w:val="14"/>
                <w:szCs w:val="14"/>
              </w:rPr>
              <w:t>→</w:t>
            </w:r>
            <w:r w:rsidRPr="00DE3589">
              <w:rPr>
                <w:sz w:val="14"/>
                <w:szCs w:val="14"/>
              </w:rPr>
              <w:t xml:space="preserve"> </w:t>
            </w:r>
            <w:r w:rsidR="00C8549D">
              <w:rPr>
                <w:sz w:val="14"/>
                <w:szCs w:val="14"/>
              </w:rPr>
              <w:t>SO</w:t>
            </w:r>
          </w:p>
        </w:tc>
        <w:tc>
          <w:tcPr>
            <w:tcW w:w="1902" w:type="dxa"/>
          </w:tcPr>
          <w:p w14:paraId="52D2007D" w14:textId="632CB428" w:rsidR="00192F89" w:rsidRPr="00101378" w:rsidRDefault="00192F89" w:rsidP="00192F89">
            <w:pPr>
              <w:spacing w:before="0" w:after="0" w:line="240" w:lineRule="auto"/>
              <w:rPr>
                <w:rFonts w:eastAsia="Aptos" w:cs="Cordia New"/>
                <w:sz w:val="14"/>
                <w:szCs w:val="14"/>
                <w:lang w:eastAsia="en-US"/>
              </w:rPr>
            </w:pPr>
            <w:r w:rsidRPr="00DE3589">
              <w:rPr>
                <w:sz w:val="14"/>
                <w:szCs w:val="14"/>
              </w:rPr>
              <w:t>Australia: In development. Global: Embedded in real-time flexibility markets</w:t>
            </w:r>
          </w:p>
        </w:tc>
      </w:tr>
      <w:tr w:rsidR="00192F89" w:rsidRPr="005938BE" w14:paraId="0B9E05DE" w14:textId="77777777" w:rsidTr="00ED5BCF">
        <w:tc>
          <w:tcPr>
            <w:tcW w:w="2140" w:type="dxa"/>
          </w:tcPr>
          <w:p w14:paraId="39472AA0" w14:textId="0C1990DC" w:rsidR="00192F89" w:rsidRPr="00192F89" w:rsidRDefault="00192F89" w:rsidP="00192F89">
            <w:pPr>
              <w:spacing w:before="0" w:after="0" w:line="240" w:lineRule="auto"/>
              <w:rPr>
                <w:rFonts w:eastAsia="Aptos" w:cs="Cordia New"/>
                <w:sz w:val="14"/>
                <w:szCs w:val="14"/>
                <w:lang w:eastAsia="en-US"/>
              </w:rPr>
            </w:pPr>
            <w:r w:rsidRPr="00192F89">
              <w:rPr>
                <w:rFonts w:eastAsia="Aptos" w:cs="Cordia New"/>
                <w:sz w:val="14"/>
                <w:szCs w:val="14"/>
                <w:lang w:eastAsia="en-US"/>
              </w:rPr>
              <w:t xml:space="preserve">Operational conflicts or </w:t>
            </w:r>
            <w:r w:rsidR="00CB14F4">
              <w:rPr>
                <w:rFonts w:eastAsia="Aptos" w:cs="Cordia New"/>
                <w:sz w:val="14"/>
                <w:szCs w:val="14"/>
                <w:lang w:eastAsia="en-US"/>
              </w:rPr>
              <w:t>exceptions/</w:t>
            </w:r>
            <w:r w:rsidRPr="00192F89">
              <w:rPr>
                <w:rFonts w:eastAsia="Aptos" w:cs="Cordia New"/>
                <w:sz w:val="14"/>
                <w:szCs w:val="14"/>
                <w:lang w:eastAsia="en-US"/>
              </w:rPr>
              <w:t>alerts</w:t>
            </w:r>
          </w:p>
        </w:tc>
        <w:tc>
          <w:tcPr>
            <w:tcW w:w="2551" w:type="dxa"/>
          </w:tcPr>
          <w:p w14:paraId="7A3B15A9" w14:textId="5805A575" w:rsidR="00192F89" w:rsidRPr="00192F89" w:rsidRDefault="00192F89" w:rsidP="00192F89">
            <w:pPr>
              <w:spacing w:before="0" w:after="0" w:line="240" w:lineRule="auto"/>
              <w:rPr>
                <w:rFonts w:eastAsia="Aptos" w:cs="Cordia New"/>
                <w:sz w:val="14"/>
                <w:szCs w:val="14"/>
                <w:lang w:eastAsia="en-US"/>
              </w:rPr>
            </w:pPr>
            <w:r w:rsidRPr="00DE3589">
              <w:rPr>
                <w:rFonts w:eastAsia="Aptos" w:cs="Cordia New"/>
                <w:sz w:val="14"/>
                <w:szCs w:val="14"/>
                <w:lang w:eastAsia="en-US"/>
              </w:rPr>
              <w:t xml:space="preserve">Notification of </w:t>
            </w:r>
            <w:r w:rsidRPr="00192F89">
              <w:rPr>
                <w:rFonts w:eastAsia="Aptos" w:cs="Cordia New"/>
                <w:sz w:val="14"/>
                <w:szCs w:val="14"/>
                <w:lang w:eastAsia="en-US"/>
              </w:rPr>
              <w:t>conflicting</w:t>
            </w:r>
            <w:r w:rsidRPr="00DE3589">
              <w:rPr>
                <w:rFonts w:eastAsia="Aptos" w:cs="Cordia New"/>
                <w:sz w:val="14"/>
                <w:szCs w:val="14"/>
                <w:lang w:eastAsia="en-US"/>
              </w:rPr>
              <w:t xml:space="preserve"> service activity (</w:t>
            </w:r>
            <w:r w:rsidR="00C8549D">
              <w:rPr>
                <w:rFonts w:eastAsia="Aptos" w:cs="Cordia New"/>
                <w:sz w:val="14"/>
                <w:szCs w:val="14"/>
                <w:lang w:eastAsia="en-US"/>
              </w:rPr>
              <w:t>SO</w:t>
            </w:r>
            <w:r w:rsidRPr="00DE3589">
              <w:rPr>
                <w:rFonts w:eastAsia="Aptos" w:cs="Cordia New"/>
                <w:sz w:val="14"/>
                <w:szCs w:val="14"/>
                <w:lang w:eastAsia="en-US"/>
              </w:rPr>
              <w:t xml:space="preserve">/DSO) </w:t>
            </w:r>
            <w:r w:rsidRPr="00192F89">
              <w:rPr>
                <w:rFonts w:eastAsia="Aptos" w:cs="Cordia New"/>
                <w:sz w:val="14"/>
                <w:szCs w:val="14"/>
                <w:lang w:eastAsia="en-US"/>
              </w:rPr>
              <w:t xml:space="preserve">or other alerts </w:t>
            </w:r>
            <w:r w:rsidRPr="00DE3589">
              <w:rPr>
                <w:rFonts w:eastAsia="Aptos" w:cs="Cordia New"/>
                <w:sz w:val="14"/>
                <w:szCs w:val="14"/>
                <w:lang w:eastAsia="en-US"/>
              </w:rPr>
              <w:t>requiring resolution.</w:t>
            </w:r>
          </w:p>
        </w:tc>
        <w:tc>
          <w:tcPr>
            <w:tcW w:w="1109" w:type="dxa"/>
          </w:tcPr>
          <w:p w14:paraId="47BAF6EB" w14:textId="450847AF" w:rsidR="00192F89" w:rsidRPr="00192F89" w:rsidRDefault="00192F89" w:rsidP="00192F89">
            <w:pPr>
              <w:spacing w:before="0" w:after="0" w:line="240" w:lineRule="auto"/>
              <w:rPr>
                <w:rFonts w:eastAsia="Aptos" w:cs="Cordia New"/>
                <w:sz w:val="14"/>
                <w:szCs w:val="14"/>
                <w:lang w:eastAsia="en-US"/>
              </w:rPr>
            </w:pPr>
            <w:r w:rsidRPr="00DE3589">
              <w:rPr>
                <w:sz w:val="14"/>
                <w:szCs w:val="14"/>
              </w:rPr>
              <w:t>Real-time / Dispatch Interval</w:t>
            </w:r>
          </w:p>
        </w:tc>
        <w:tc>
          <w:tcPr>
            <w:tcW w:w="1446" w:type="dxa"/>
          </w:tcPr>
          <w:p w14:paraId="6A9F7F64" w14:textId="69B2E6A7" w:rsidR="00192F89" w:rsidRPr="00192F89" w:rsidRDefault="00192F89" w:rsidP="00192F89">
            <w:pPr>
              <w:spacing w:before="0" w:after="0" w:line="240" w:lineRule="auto"/>
              <w:rPr>
                <w:rFonts w:eastAsia="Aptos" w:cs="Cordia New"/>
                <w:sz w:val="14"/>
                <w:szCs w:val="14"/>
                <w:lang w:eastAsia="en-US"/>
              </w:rPr>
            </w:pPr>
            <w:r w:rsidRPr="00DE3589">
              <w:rPr>
                <w:sz w:val="14"/>
                <w:szCs w:val="14"/>
              </w:rPr>
              <w:t>Very Low Latency</w:t>
            </w:r>
          </w:p>
        </w:tc>
        <w:tc>
          <w:tcPr>
            <w:tcW w:w="1086" w:type="dxa"/>
          </w:tcPr>
          <w:p w14:paraId="03E7205C" w14:textId="0F478BF5" w:rsidR="00192F89" w:rsidRPr="00192F89" w:rsidRDefault="00192F89" w:rsidP="00192F89">
            <w:pPr>
              <w:spacing w:before="0" w:after="0" w:line="240" w:lineRule="auto"/>
              <w:rPr>
                <w:rFonts w:eastAsia="Aptos" w:cs="Cordia New"/>
                <w:sz w:val="14"/>
                <w:szCs w:val="14"/>
                <w:lang w:eastAsia="en-US"/>
              </w:rPr>
            </w:pPr>
            <w:r w:rsidRPr="00DE3589">
              <w:rPr>
                <w:sz w:val="14"/>
                <w:szCs w:val="14"/>
              </w:rPr>
              <w:t>ICCP, SCADA messaging, DERMS APIs</w:t>
            </w:r>
          </w:p>
        </w:tc>
        <w:tc>
          <w:tcPr>
            <w:tcW w:w="3653" w:type="dxa"/>
          </w:tcPr>
          <w:p w14:paraId="54D114A8" w14:textId="69517355" w:rsidR="00192F89" w:rsidRPr="008231D2" w:rsidRDefault="00515F73" w:rsidP="00192F89">
            <w:pPr>
              <w:spacing w:before="0" w:after="0" w:line="240" w:lineRule="auto"/>
              <w:rPr>
                <w:rFonts w:eastAsia="Aptos" w:cs="Cordia New"/>
                <w:sz w:val="14"/>
                <w:szCs w:val="14"/>
                <w:lang w:eastAsia="en-US"/>
              </w:rPr>
            </w:pPr>
            <w:r w:rsidRPr="00DE3589">
              <w:rPr>
                <w:sz w:val="14"/>
                <w:szCs w:val="14"/>
              </w:rPr>
              <w:t xml:space="preserve">Persists </w:t>
            </w:r>
            <w:r w:rsidR="00CD6194" w:rsidRPr="00DE3589">
              <w:rPr>
                <w:sz w:val="14"/>
                <w:szCs w:val="14"/>
              </w:rPr>
              <w:t>for</w:t>
            </w:r>
            <w:r w:rsidR="002E6C25" w:rsidRPr="00DE3589">
              <w:rPr>
                <w:sz w:val="14"/>
                <w:szCs w:val="14"/>
              </w:rPr>
              <w:t xml:space="preserve"> real-time operations time window</w:t>
            </w:r>
            <w:r w:rsidR="00C71B73" w:rsidRPr="00DE3589">
              <w:rPr>
                <w:sz w:val="14"/>
                <w:szCs w:val="14"/>
              </w:rPr>
              <w:t xml:space="preserve"> where conflict</w:t>
            </w:r>
            <w:r w:rsidR="00CD6194" w:rsidRPr="00DE3589">
              <w:rPr>
                <w:sz w:val="14"/>
                <w:szCs w:val="14"/>
              </w:rPr>
              <w:t>s</w:t>
            </w:r>
            <w:r w:rsidR="00C71B73" w:rsidRPr="00DE3589">
              <w:rPr>
                <w:sz w:val="14"/>
                <w:szCs w:val="14"/>
              </w:rPr>
              <w:t xml:space="preserve"> </w:t>
            </w:r>
            <w:r w:rsidR="00CD6194" w:rsidRPr="00DE3589">
              <w:rPr>
                <w:sz w:val="14"/>
                <w:szCs w:val="14"/>
              </w:rPr>
              <w:t>are</w:t>
            </w:r>
            <w:r w:rsidR="00C71B73" w:rsidRPr="00DE3589">
              <w:rPr>
                <w:sz w:val="14"/>
                <w:szCs w:val="14"/>
              </w:rPr>
              <w:t xml:space="preserve"> material enough to affect system-level operational variables</w:t>
            </w:r>
            <w:r w:rsidR="00CD6194" w:rsidRPr="00DE3589">
              <w:rPr>
                <w:sz w:val="14"/>
                <w:szCs w:val="14"/>
              </w:rPr>
              <w:t xml:space="preserve"> and </w:t>
            </w:r>
            <w:r w:rsidR="00C8549D">
              <w:rPr>
                <w:sz w:val="14"/>
                <w:szCs w:val="14"/>
              </w:rPr>
              <w:t>SO</w:t>
            </w:r>
            <w:r w:rsidR="00CD6194" w:rsidRPr="00DE3589">
              <w:rPr>
                <w:sz w:val="14"/>
                <w:szCs w:val="14"/>
              </w:rPr>
              <w:t xml:space="preserve"> and DSO cannot resolve independently without coordination</w:t>
            </w:r>
            <w:r w:rsidR="008231D2" w:rsidRPr="00DE3589">
              <w:rPr>
                <w:sz w:val="14"/>
                <w:szCs w:val="14"/>
              </w:rPr>
              <w:t xml:space="preserve"> or buffering resources</w:t>
            </w:r>
            <w:r w:rsidR="00192F89" w:rsidRPr="00DE3589">
              <w:rPr>
                <w:sz w:val="14"/>
                <w:szCs w:val="14"/>
              </w:rPr>
              <w:t>.</w:t>
            </w:r>
          </w:p>
        </w:tc>
        <w:tc>
          <w:tcPr>
            <w:tcW w:w="1276" w:type="dxa"/>
          </w:tcPr>
          <w:p w14:paraId="74124373" w14:textId="309772DF" w:rsidR="00192F89" w:rsidRPr="00192F89" w:rsidRDefault="00192F89" w:rsidP="00192F89">
            <w:pPr>
              <w:spacing w:before="0" w:after="0" w:line="240" w:lineRule="auto"/>
              <w:rPr>
                <w:rFonts w:eastAsia="Aptos" w:cs="Cordia New"/>
                <w:sz w:val="14"/>
                <w:szCs w:val="14"/>
                <w:lang w:eastAsia="en-US"/>
              </w:rPr>
            </w:pPr>
            <w:r w:rsidRPr="00DE3589">
              <w:rPr>
                <w:sz w:val="14"/>
                <w:szCs w:val="14"/>
              </w:rPr>
              <w:t>Bidirectional (</w:t>
            </w:r>
            <w:r w:rsidR="00C8549D">
              <w:rPr>
                <w:sz w:val="14"/>
                <w:szCs w:val="14"/>
              </w:rPr>
              <w:t>SO</w:t>
            </w:r>
            <w:r w:rsidRPr="00DE3589">
              <w:rPr>
                <w:sz w:val="14"/>
                <w:szCs w:val="14"/>
              </w:rPr>
              <w:t xml:space="preserve"> ↔ DSO)</w:t>
            </w:r>
          </w:p>
        </w:tc>
        <w:tc>
          <w:tcPr>
            <w:tcW w:w="1902" w:type="dxa"/>
          </w:tcPr>
          <w:p w14:paraId="7BB28B7C" w14:textId="08D39201" w:rsidR="00192F89" w:rsidRPr="00101378" w:rsidRDefault="00192F89" w:rsidP="00192F89">
            <w:pPr>
              <w:spacing w:before="0" w:after="0" w:line="240" w:lineRule="auto"/>
              <w:rPr>
                <w:rFonts w:eastAsia="Aptos" w:cs="Cordia New"/>
                <w:sz w:val="14"/>
                <w:szCs w:val="14"/>
                <w:lang w:eastAsia="en-US"/>
              </w:rPr>
            </w:pPr>
            <w:r w:rsidRPr="00DE3589">
              <w:rPr>
                <w:sz w:val="14"/>
                <w:szCs w:val="14"/>
              </w:rPr>
              <w:t>Australia: Emerging in research. Global: Being built into DERMS coordination logic</w:t>
            </w:r>
          </w:p>
        </w:tc>
      </w:tr>
    </w:tbl>
    <w:p w14:paraId="0A086630" w14:textId="729A5284" w:rsidR="00AA3314" w:rsidRPr="000338AB" w:rsidRDefault="00AA3314" w:rsidP="00DE3589">
      <w:pPr>
        <w:rPr>
          <w:lang w:val="en-GB"/>
        </w:rPr>
      </w:pPr>
    </w:p>
    <w:p w14:paraId="01CF242B" w14:textId="77777777" w:rsidR="000B43D5" w:rsidRPr="000338AB" w:rsidRDefault="000B43D5" w:rsidP="000B43D5">
      <w:pPr>
        <w:rPr>
          <w:lang w:val="en-GB"/>
        </w:rPr>
      </w:pPr>
    </w:p>
    <w:p w14:paraId="5CBD10B5" w14:textId="77777777" w:rsidR="001937C7" w:rsidRDefault="001937C7">
      <w:pPr>
        <w:spacing w:before="0" w:after="160" w:line="259" w:lineRule="auto"/>
        <w:rPr>
          <w:lang w:val="en-GB"/>
        </w:rPr>
        <w:sectPr w:rsidR="001937C7" w:rsidSect="00DE3589">
          <w:pgSz w:w="16838" w:h="11906" w:orient="landscape" w:code="9"/>
          <w:pgMar w:top="2552" w:right="2552" w:bottom="1134" w:left="851" w:header="709" w:footer="709" w:gutter="0"/>
          <w:cols w:space="708"/>
          <w:docGrid w:linePitch="360"/>
        </w:sectPr>
      </w:pPr>
      <w:bookmarkStart w:id="203" w:name="_Toc191547172"/>
    </w:p>
    <w:p w14:paraId="6E96F9AF" w14:textId="2C658036" w:rsidR="00C82B8F" w:rsidRPr="000338AB" w:rsidRDefault="000B43D5" w:rsidP="000B43D5">
      <w:pPr>
        <w:pStyle w:val="Heading1"/>
        <w:rPr>
          <w:lang w:val="en-GB"/>
        </w:rPr>
      </w:pPr>
      <w:bookmarkStart w:id="204" w:name="_Toc205532873"/>
      <w:bookmarkStart w:id="205" w:name="S_8"/>
      <w:r w:rsidRPr="000338AB">
        <w:rPr>
          <w:lang w:val="en-GB"/>
        </w:rPr>
        <w:lastRenderedPageBreak/>
        <w:t xml:space="preserve">TDC Benefits: The societal and whole-system benefits TDC </w:t>
      </w:r>
      <w:r w:rsidR="00C82B8F" w:rsidRPr="000338AB">
        <w:rPr>
          <w:lang w:val="en-GB"/>
        </w:rPr>
        <w:t xml:space="preserve">is expected to </w:t>
      </w:r>
      <w:r w:rsidRPr="000338AB">
        <w:rPr>
          <w:lang w:val="en-GB"/>
        </w:rPr>
        <w:t>deliver</w:t>
      </w:r>
      <w:bookmarkEnd w:id="203"/>
      <w:bookmarkEnd w:id="204"/>
    </w:p>
    <w:bookmarkEnd w:id="205"/>
    <w:p w14:paraId="6189D185" w14:textId="08A38208" w:rsidR="004D7B58" w:rsidRDefault="00182D27" w:rsidP="00DE3589">
      <w:r>
        <w:t xml:space="preserve">This section </w:t>
      </w:r>
      <w:r w:rsidR="00A5305E">
        <w:t>assesses the benefits of well implemented TDC i</w:t>
      </w:r>
      <w:r w:rsidR="00B9451E">
        <w:t xml:space="preserve">n the context of Report </w:t>
      </w:r>
      <w:r>
        <w:t>1 – System Objectives, and Report 3</w:t>
      </w:r>
      <w:r w:rsidR="00A5305E">
        <w:t xml:space="preserve"> – Systemic Issues. </w:t>
      </w:r>
      <w:r w:rsidR="00CE3837">
        <w:t xml:space="preserve">For ease of reference, a diagrammatic summary of both reports is provided in </w:t>
      </w:r>
      <w:hyperlink w:anchor="Figure_28" w:history="1">
        <w:r w:rsidR="007D3914" w:rsidRPr="007D3914">
          <w:rPr>
            <w:rStyle w:val="Hyperlink"/>
          </w:rPr>
          <w:t>Figure 28</w:t>
        </w:r>
      </w:hyperlink>
      <w:r w:rsidR="00F1700A">
        <w:t xml:space="preserve"> and </w:t>
      </w:r>
      <w:hyperlink w:anchor="Figure_29" w:history="1">
        <w:r w:rsidR="007D3914" w:rsidRPr="00F9112C">
          <w:rPr>
            <w:rStyle w:val="Hyperlink"/>
          </w:rPr>
          <w:t>Figure 29</w:t>
        </w:r>
      </w:hyperlink>
      <w:r w:rsidR="00504BC8">
        <w:t xml:space="preserve"> respectively</w:t>
      </w:r>
      <w:r w:rsidR="00453C3E" w:rsidRPr="00453C3E">
        <w:t>.</w:t>
      </w:r>
      <w:r w:rsidR="001734E7">
        <w:t xml:space="preserve"> </w:t>
      </w:r>
      <w:r w:rsidR="00092809">
        <w:t xml:space="preserve">It should be noted that </w:t>
      </w:r>
      <w:r w:rsidR="00164243">
        <w:t xml:space="preserve">while this treatment focuses on the benefits of TDC, it assumes </w:t>
      </w:r>
      <w:r w:rsidR="00887632">
        <w:t xml:space="preserve">an accompanying advanced and mature </w:t>
      </w:r>
      <w:r w:rsidR="00092809">
        <w:t xml:space="preserve">DSO </w:t>
      </w:r>
      <w:r w:rsidR="00552655">
        <w:t xml:space="preserve">leveraging the TDI in concert with the </w:t>
      </w:r>
      <w:r w:rsidR="00C8549D">
        <w:t>System Operator (AEMO)</w:t>
      </w:r>
      <w:r w:rsidR="00552655">
        <w:t>.</w:t>
      </w:r>
    </w:p>
    <w:p w14:paraId="00494D0E" w14:textId="6605BD14" w:rsidR="003C476E" w:rsidRDefault="003C476E" w:rsidP="00D63C88">
      <w:pPr>
        <w:pStyle w:val="Heading2"/>
        <w:ind w:left="709" w:hanging="709"/>
      </w:pPr>
      <w:bookmarkStart w:id="206" w:name="_Toc205532874"/>
      <w:r>
        <w:t>Societal Benefits</w:t>
      </w:r>
      <w:bookmarkEnd w:id="206"/>
    </w:p>
    <w:p w14:paraId="59DF6813" w14:textId="77777777" w:rsidR="005E29D3" w:rsidRDefault="00A74F1F" w:rsidP="003C476E">
      <w:r w:rsidRPr="00A74F1F">
        <w:t xml:space="preserve">Transmission-Distribution Coordination (TDC) is a foundational enabler of a </w:t>
      </w:r>
      <w:r>
        <w:t xml:space="preserve">customer-centric, </w:t>
      </w:r>
      <w:r w:rsidRPr="00A74F1F">
        <w:t xml:space="preserve">bi-directional power system. </w:t>
      </w:r>
      <w:r w:rsidR="009E469A">
        <w:t xml:space="preserve">It indirectly </w:t>
      </w:r>
      <w:r w:rsidR="003C476E">
        <w:t xml:space="preserve">supports </w:t>
      </w:r>
      <w:r w:rsidR="009E469A">
        <w:t xml:space="preserve">several </w:t>
      </w:r>
      <w:r w:rsidR="003C476E">
        <w:t xml:space="preserve">of societal objectives as articulated in Report 1, contributing to a system that is affordable, sustainable, dependable, equitable, empowering, adaptable, beneficial, and expandable. </w:t>
      </w:r>
    </w:p>
    <w:p w14:paraId="21E50495" w14:textId="77777777" w:rsidR="005E29D3" w:rsidRDefault="005E29D3" w:rsidP="00DE3589">
      <w:pPr>
        <w:keepNext/>
        <w:jc w:val="center"/>
      </w:pPr>
      <w:bookmarkStart w:id="207" w:name="Figure_28"/>
      <w:r w:rsidRPr="00050A5B">
        <w:rPr>
          <w:noProof/>
          <w:lang w:eastAsia="en-US" w:bidi="ar-SA"/>
        </w:rPr>
        <w:drawing>
          <wp:inline distT="0" distB="0" distL="0" distR="0" wp14:anchorId="1C7E568A" wp14:editId="7E8D4B0B">
            <wp:extent cx="4029075" cy="4029075"/>
            <wp:effectExtent l="0" t="0" r="9525" b="9525"/>
            <wp:docPr id="1283787619" name="Picture 9" descr="A diagram of a customer and social objec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87619" name="Picture 9" descr="A diagram of a customer and social objective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5793" cy="4035793"/>
                    </a:xfrm>
                    <a:prstGeom prst="rect">
                      <a:avLst/>
                    </a:prstGeom>
                    <a:noFill/>
                    <a:ln>
                      <a:noFill/>
                    </a:ln>
                  </pic:spPr>
                </pic:pic>
              </a:graphicData>
            </a:graphic>
          </wp:inline>
        </w:drawing>
      </w:r>
      <w:bookmarkEnd w:id="207"/>
    </w:p>
    <w:p w14:paraId="4809AD9F" w14:textId="0424DC06" w:rsidR="005E29D3" w:rsidRDefault="005E29D3" w:rsidP="00DE3589">
      <w:pPr>
        <w:pStyle w:val="Caption"/>
      </w:pPr>
      <w:bookmarkStart w:id="208" w:name="_Ref200467104"/>
      <w:bookmarkStart w:id="209" w:name="_Toc205377464"/>
      <w:r>
        <w:t xml:space="preserve">Figure </w:t>
      </w:r>
      <w:fldSimple w:instr=" SEQ Figure \* ARABIC ">
        <w:r w:rsidR="00CE6CF1">
          <w:rPr>
            <w:noProof/>
          </w:rPr>
          <w:t>28</w:t>
        </w:r>
      </w:fldSimple>
      <w:bookmarkEnd w:id="208"/>
      <w:r>
        <w:t xml:space="preserve"> - Customer and Societal Objectives outlined in Report 1</w:t>
      </w:r>
      <w:bookmarkEnd w:id="209"/>
    </w:p>
    <w:p w14:paraId="696DD6CC" w14:textId="649BCCB8" w:rsidR="003C476E" w:rsidRDefault="003C476E" w:rsidP="003C476E">
      <w:r>
        <w:lastRenderedPageBreak/>
        <w:t xml:space="preserve">TDC directly facilitates these goals by enabling more precise orchestration of </w:t>
      </w:r>
      <w:r w:rsidR="009E469A">
        <w:t>CER/</w:t>
      </w:r>
      <w:r>
        <w:t>DER and enhancing the operational and investment efficiency of the power system.</w:t>
      </w:r>
      <w:r w:rsidR="00527D6F">
        <w:t xml:space="preserve"> Notably, it more strongly correlates with:</w:t>
      </w:r>
    </w:p>
    <w:p w14:paraId="789CB4C0" w14:textId="213F9EBA" w:rsidR="003C476E" w:rsidRDefault="003C476E" w:rsidP="00470C91">
      <w:pPr>
        <w:pStyle w:val="ListParagraph"/>
        <w:numPr>
          <w:ilvl w:val="0"/>
          <w:numId w:val="11"/>
        </w:numPr>
      </w:pPr>
      <w:r>
        <w:t xml:space="preserve">Affordability and Efficiency: TDC enables shared visibility and access to flexibility services across system layers, allowing for co-optimised network operation and investment. </w:t>
      </w:r>
      <w:r w:rsidR="009C6946">
        <w:t xml:space="preserve">It contributes to equalising economic opportunity between the BPS and distribution-level resources, </w:t>
      </w:r>
      <w:r w:rsidR="00985B3D">
        <w:t xml:space="preserve">providing more direct channels to market for customer infrastructure. </w:t>
      </w:r>
      <w:r>
        <w:t>This minimises unnecessary infrastructure duplication and reduces total system costs.</w:t>
      </w:r>
    </w:p>
    <w:p w14:paraId="2ECF1CFE" w14:textId="02BDCA2E" w:rsidR="003C476E" w:rsidRDefault="003C476E" w:rsidP="00470C91">
      <w:pPr>
        <w:pStyle w:val="ListParagraph"/>
        <w:numPr>
          <w:ilvl w:val="0"/>
          <w:numId w:val="11"/>
        </w:numPr>
      </w:pPr>
      <w:r>
        <w:t xml:space="preserve">Sustainability: </w:t>
      </w:r>
      <w:r w:rsidR="00F43500">
        <w:t xml:space="preserve">Effective </w:t>
      </w:r>
      <w:r>
        <w:t xml:space="preserve">TDC </w:t>
      </w:r>
      <w:r w:rsidR="00F43500">
        <w:t xml:space="preserve">has the potential to </w:t>
      </w:r>
      <w:r>
        <w:t>integrat</w:t>
      </w:r>
      <w:r w:rsidR="00F43500">
        <w:t>e</w:t>
      </w:r>
      <w:r>
        <w:t xml:space="preserve"> high</w:t>
      </w:r>
      <w:r w:rsidR="00F43500">
        <w:t>er</w:t>
      </w:r>
      <w:r>
        <w:t xml:space="preserve"> levels of variable renewable energy (VRE) and </w:t>
      </w:r>
      <w:r w:rsidR="00820C8D">
        <w:t>CER/DER</w:t>
      </w:r>
      <w:r w:rsidR="00D53E9D">
        <w:t xml:space="preserve"> through </w:t>
      </w:r>
      <w:r w:rsidR="001F00A7">
        <w:t xml:space="preserve">transmission and distribution network co-optimisation, </w:t>
      </w:r>
      <w:r w:rsidR="00F43500">
        <w:t xml:space="preserve">supporting </w:t>
      </w:r>
      <w:r w:rsidR="001F00A7">
        <w:t>decarbonisation efforts</w:t>
      </w:r>
      <w:r>
        <w:t>.</w:t>
      </w:r>
    </w:p>
    <w:p w14:paraId="5A97FDD6" w14:textId="129708D9" w:rsidR="003C476E" w:rsidRDefault="003C476E" w:rsidP="00470C91">
      <w:pPr>
        <w:pStyle w:val="ListParagraph"/>
        <w:numPr>
          <w:ilvl w:val="0"/>
          <w:numId w:val="11"/>
        </w:numPr>
      </w:pPr>
      <w:r>
        <w:t xml:space="preserve">Dependability: Coordinated control and forecasting of </w:t>
      </w:r>
      <w:r w:rsidR="00BE446A">
        <w:t>CER/</w:t>
      </w:r>
      <w:r>
        <w:t xml:space="preserve">DER at the </w:t>
      </w:r>
      <w:r w:rsidR="00BE446A">
        <w:t>TDI</w:t>
      </w:r>
      <w:r>
        <w:t xml:space="preserve"> enhances resilience, mitigating risks from system disturbances and increasing dependability during both normal and contingency operations.</w:t>
      </w:r>
    </w:p>
    <w:p w14:paraId="13F1D21D" w14:textId="4E1CF3C1" w:rsidR="003C476E" w:rsidRDefault="003C476E" w:rsidP="00470C91">
      <w:pPr>
        <w:pStyle w:val="ListParagraph"/>
        <w:numPr>
          <w:ilvl w:val="0"/>
          <w:numId w:val="11"/>
        </w:numPr>
      </w:pPr>
      <w:r>
        <w:t xml:space="preserve">Equity and Empowerment: TDC promotes fairness and participation by ensuring </w:t>
      </w:r>
      <w:r w:rsidR="00BE446A">
        <w:t>CER/</w:t>
      </w:r>
      <w:r>
        <w:t>DER owners can contribute to and benefit from both local and wholesale services, fostering a more inclusive energy transition.</w:t>
      </w:r>
    </w:p>
    <w:p w14:paraId="55BDD078" w14:textId="77777777" w:rsidR="003C476E" w:rsidRDefault="003C476E" w:rsidP="003C476E">
      <w:r>
        <w:t>These benefits also reinforce public confidence and trust in the energy transition, delivering outcomes that are beneficial and supportive of broader social license.</w:t>
      </w:r>
    </w:p>
    <w:p w14:paraId="6AEBD570" w14:textId="00933DEE" w:rsidR="003C476E" w:rsidRDefault="003C476E" w:rsidP="00D63C88">
      <w:pPr>
        <w:pStyle w:val="Heading2"/>
        <w:ind w:left="709" w:hanging="709"/>
      </w:pPr>
      <w:bookmarkStart w:id="210" w:name="_Toc205532875"/>
      <w:r>
        <w:t>Strategic Transformation Risks</w:t>
      </w:r>
      <w:bookmarkEnd w:id="210"/>
    </w:p>
    <w:p w14:paraId="59EB2F48" w14:textId="77777777" w:rsidR="003C476E" w:rsidRDefault="003C476E" w:rsidP="003C476E">
      <w:r>
        <w:t>TDC plays a central role in mitigating strategic transformation risks outlined in Report 3. These risks emerge from legacy system structures being misaligned with the operational realities and demands of a high-DER future.</w:t>
      </w:r>
    </w:p>
    <w:p w14:paraId="448C4152" w14:textId="5796E18B" w:rsidR="003C476E" w:rsidRDefault="003C476E" w:rsidP="00470C91">
      <w:pPr>
        <w:pStyle w:val="ListParagraph"/>
        <w:numPr>
          <w:ilvl w:val="0"/>
          <w:numId w:val="12"/>
        </w:numPr>
      </w:pPr>
      <w:r>
        <w:t xml:space="preserve">Limited Shared Future Vision: </w:t>
      </w:r>
      <w:r w:rsidR="00B20316">
        <w:t xml:space="preserve">Understanding </w:t>
      </w:r>
      <w:r>
        <w:t xml:space="preserve">TDC </w:t>
      </w:r>
      <w:r w:rsidR="00270582">
        <w:t>as an enabler of more layered</w:t>
      </w:r>
      <w:r w:rsidR="00770C85">
        <w:t xml:space="preserve"> structural arrangements can help address status-quo </w:t>
      </w:r>
      <w:r w:rsidR="008A488B">
        <w:t xml:space="preserve">bias and reshape legacy paradigms for </w:t>
      </w:r>
      <w:r w:rsidR="003114E5">
        <w:t xml:space="preserve">future </w:t>
      </w:r>
      <w:r w:rsidR="008A488B">
        <w:t xml:space="preserve">power system operation. </w:t>
      </w:r>
    </w:p>
    <w:p w14:paraId="53B2CAD1" w14:textId="62DFEBB8" w:rsidR="003C476E" w:rsidRDefault="003C476E" w:rsidP="00470C91">
      <w:pPr>
        <w:pStyle w:val="ListParagraph"/>
        <w:numPr>
          <w:ilvl w:val="0"/>
          <w:numId w:val="12"/>
        </w:numPr>
      </w:pPr>
      <w:r>
        <w:t xml:space="preserve">Inadequate Complexity Management: Through modular interface definitions and collaborative protocols, TDC </w:t>
      </w:r>
      <w:r w:rsidR="008B5D3A">
        <w:t xml:space="preserve">can </w:t>
      </w:r>
      <w:r w:rsidR="00357EB7">
        <w:t>minimise</w:t>
      </w:r>
      <w:r>
        <w:t xml:space="preserve"> system complexity and decentralisation.</w:t>
      </w:r>
    </w:p>
    <w:p w14:paraId="0D1BA093" w14:textId="04DFC14E" w:rsidR="003C476E" w:rsidRDefault="003C476E" w:rsidP="00470C91">
      <w:pPr>
        <w:pStyle w:val="ListParagraph"/>
        <w:numPr>
          <w:ilvl w:val="0"/>
          <w:numId w:val="12"/>
        </w:numPr>
      </w:pPr>
      <w:r>
        <w:t>Systemic Inertia and Change Fatigue: By structuring coordination roles around clear, shared objectives and leveraging existing capabilities, TDC helps reduce change fatigue and build momentum around the most impactful transformation pathways.</w:t>
      </w:r>
    </w:p>
    <w:p w14:paraId="30666252" w14:textId="77777777" w:rsidR="003C476E" w:rsidRDefault="003C476E" w:rsidP="003C476E">
      <w:r>
        <w:t>By enabling staged, scalable coordination mechanisms, TDC ensures the strategic transformation proceeds cohesively, avoiding structural fragmentation or duplicated efforts.</w:t>
      </w:r>
    </w:p>
    <w:p w14:paraId="5E90D33C" w14:textId="1B00EA15" w:rsidR="001D60C8" w:rsidRDefault="009733B5" w:rsidP="00CC246D">
      <w:pPr>
        <w:keepNext/>
        <w:jc w:val="center"/>
      </w:pPr>
      <w:bookmarkStart w:id="211" w:name="Figure_29"/>
      <w:r>
        <w:rPr>
          <w:noProof/>
        </w:rPr>
        <w:lastRenderedPageBreak/>
        <w:drawing>
          <wp:inline distT="0" distB="0" distL="0" distR="0" wp14:anchorId="0D20F449" wp14:editId="79A3D43E">
            <wp:extent cx="5156487" cy="4945711"/>
            <wp:effectExtent l="0" t="0" r="6350" b="7620"/>
            <wp:docPr id="715176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76902" name="Picture 715176902"/>
                    <pic:cNvPicPr/>
                  </pic:nvPicPr>
                  <pic:blipFill>
                    <a:blip r:embed="rId58">
                      <a:extLst>
                        <a:ext uri="{28A0092B-C50C-407E-A947-70E740481C1C}">
                          <a14:useLocalDpi xmlns:a14="http://schemas.microsoft.com/office/drawing/2010/main" val="0"/>
                        </a:ext>
                      </a:extLst>
                    </a:blip>
                    <a:stretch>
                      <a:fillRect/>
                    </a:stretch>
                  </pic:blipFill>
                  <pic:spPr>
                    <a:xfrm>
                      <a:off x="0" y="0"/>
                      <a:ext cx="5164557" cy="4953452"/>
                    </a:xfrm>
                    <a:prstGeom prst="rect">
                      <a:avLst/>
                    </a:prstGeom>
                  </pic:spPr>
                </pic:pic>
              </a:graphicData>
            </a:graphic>
          </wp:inline>
        </w:drawing>
      </w:r>
      <w:bookmarkEnd w:id="211"/>
    </w:p>
    <w:p w14:paraId="34262BF8" w14:textId="7E05D4DD" w:rsidR="001D60C8" w:rsidRDefault="001D60C8" w:rsidP="00DE3589">
      <w:pPr>
        <w:pStyle w:val="Caption"/>
      </w:pPr>
      <w:bookmarkStart w:id="212" w:name="_Ref200467109"/>
      <w:bookmarkStart w:id="213" w:name="_Toc205377465"/>
      <w:r>
        <w:t xml:space="preserve">Figure </w:t>
      </w:r>
      <w:fldSimple w:instr=" SEQ Figure \* ARABIC ">
        <w:r w:rsidR="00CE6CF1">
          <w:rPr>
            <w:noProof/>
          </w:rPr>
          <w:t>29</w:t>
        </w:r>
      </w:fldSimple>
      <w:bookmarkEnd w:id="212"/>
      <w:r>
        <w:t xml:space="preserve"> - Systemic Issues identified in Report 3 and grouped by category</w:t>
      </w:r>
      <w:bookmarkEnd w:id="213"/>
    </w:p>
    <w:p w14:paraId="5ADF8727" w14:textId="120E29BE" w:rsidR="003C476E" w:rsidRDefault="003408E3" w:rsidP="00D63C88">
      <w:pPr>
        <w:pStyle w:val="Heading2"/>
        <w:ind w:left="709" w:hanging="709"/>
      </w:pPr>
      <w:bookmarkStart w:id="214" w:name="_Toc205532876"/>
      <w:r w:rsidRPr="003408E3">
        <w:t>Core Structural and Operability Issues</w:t>
      </w:r>
      <w:bookmarkEnd w:id="214"/>
    </w:p>
    <w:p w14:paraId="30BBFE14" w14:textId="77777777" w:rsidR="003408E3" w:rsidRDefault="003408E3" w:rsidP="003408E3">
      <w:r>
        <w:t>TDC is central to addressing foundational structural and operability challenges that arise as power systems transition from centralised, one-way architectures to highly distributed, bidirectional and dynamic systems. These challenges include maintaining coherence, stability, and predictability across a grid increasingly shaped by active customer participation and inverter-based resources.</w:t>
      </w:r>
    </w:p>
    <w:p w14:paraId="59E42395" w14:textId="5DB558B3" w:rsidR="003408E3" w:rsidRDefault="003408E3" w:rsidP="00470C91">
      <w:pPr>
        <w:pStyle w:val="ListParagraph"/>
        <w:numPr>
          <w:ilvl w:val="0"/>
          <w:numId w:val="12"/>
        </w:numPr>
      </w:pPr>
      <w:r>
        <w:t xml:space="preserve">System Coordination and Balancing Risks: TDC provides the </w:t>
      </w:r>
      <w:r w:rsidR="00B33101">
        <w:t>mechanisms</w:t>
      </w:r>
      <w:r>
        <w:t xml:space="preserve"> and protocols necessary to coordinate the increasing diversity and spatial dispersion of CER</w:t>
      </w:r>
      <w:r w:rsidR="00AF4DA4">
        <w:t>/DER</w:t>
      </w:r>
      <w:r>
        <w:t xml:space="preserve"> and VRE. By enabling near real-time data exchange and flexible dispatchability across system layers, it enhances the system's ability to maintain balance under a wider range of operating conditions.</w:t>
      </w:r>
    </w:p>
    <w:p w14:paraId="51DF6A43" w14:textId="6A5C858F" w:rsidR="003408E3" w:rsidRDefault="003408E3" w:rsidP="00470C91">
      <w:pPr>
        <w:pStyle w:val="ListParagraph"/>
        <w:numPr>
          <w:ilvl w:val="0"/>
          <w:numId w:val="12"/>
        </w:numPr>
      </w:pPr>
      <w:r>
        <w:lastRenderedPageBreak/>
        <w:t xml:space="preserve">Single Point of Failure Risks: TDC promotes a </w:t>
      </w:r>
      <w:r w:rsidR="00BA524D">
        <w:t xml:space="preserve">more </w:t>
      </w:r>
      <w:r>
        <w:t xml:space="preserve">layered and distributed architecture that reduces dependence on centralised control or visibility hubs. It </w:t>
      </w:r>
      <w:r w:rsidR="00321358">
        <w:t xml:space="preserve">provides a pathway toward </w:t>
      </w:r>
      <w:r>
        <w:t xml:space="preserve">resilient </w:t>
      </w:r>
      <w:r w:rsidR="006F364E">
        <w:t xml:space="preserve">islanding and </w:t>
      </w:r>
      <w:r>
        <w:t>fallback modes</w:t>
      </w:r>
      <w:r w:rsidR="006F364E">
        <w:t xml:space="preserve"> over time through enabling</w:t>
      </w:r>
      <w:r>
        <w:t xml:space="preserve"> distributed intelligence and shared </w:t>
      </w:r>
      <w:r w:rsidR="00343438">
        <w:t>system operator</w:t>
      </w:r>
      <w:r>
        <w:t xml:space="preserve"> responsibilities</w:t>
      </w:r>
      <w:r w:rsidR="00343438">
        <w:t xml:space="preserve">. It can also reduce </w:t>
      </w:r>
      <w:r>
        <w:t>the likelihood and consequence of local failures escalating into system-wide disruptions.</w:t>
      </w:r>
    </w:p>
    <w:p w14:paraId="26F74F3F" w14:textId="47F4000E" w:rsidR="003408E3" w:rsidRDefault="003408E3" w:rsidP="00470C91">
      <w:pPr>
        <w:pStyle w:val="ListParagraph"/>
        <w:numPr>
          <w:ilvl w:val="0"/>
          <w:numId w:val="12"/>
        </w:numPr>
      </w:pPr>
      <w:r>
        <w:t>Whole-System Buffering Needs: The shift from synchronous to</w:t>
      </w:r>
      <w:r w:rsidR="00001DA3">
        <w:t xml:space="preserve"> weather-dependent</w:t>
      </w:r>
      <w:r>
        <w:t xml:space="preserve"> inverter-based generation </w:t>
      </w:r>
      <w:r w:rsidR="00001DA3">
        <w:t xml:space="preserve">increases system dynamics and </w:t>
      </w:r>
      <w:r>
        <w:t xml:space="preserve">reduces inherent inertia and fault ride-through capability. TDC supports </w:t>
      </w:r>
      <w:r w:rsidR="00EE4AC5">
        <w:t>advanced integration and orchestration of storage</w:t>
      </w:r>
      <w:r w:rsidR="00DE58AF">
        <w:t xml:space="preserve"> across transmission and distribution</w:t>
      </w:r>
      <w:r w:rsidR="00EE4AC5">
        <w:t xml:space="preserve"> to smooth supply/demand </w:t>
      </w:r>
      <w:r w:rsidR="00F14DA8">
        <w:t>volatility and</w:t>
      </w:r>
      <w:r w:rsidR="00EE4AC5">
        <w:t xml:space="preserve"> </w:t>
      </w:r>
      <w:r>
        <w:t xml:space="preserve">coordinated synthetic inertia </w:t>
      </w:r>
      <w:r w:rsidR="00ED51E3">
        <w:t xml:space="preserve">and related </w:t>
      </w:r>
      <w:r>
        <w:t xml:space="preserve">system services procurement from </w:t>
      </w:r>
      <w:r w:rsidR="003B188C">
        <w:t>CER/</w:t>
      </w:r>
      <w:r>
        <w:t>DER, enhancing the system’s capability to buffer against disturbances.</w:t>
      </w:r>
    </w:p>
    <w:p w14:paraId="5FCEF078" w14:textId="53860C82" w:rsidR="003408E3" w:rsidRDefault="003408E3" w:rsidP="00470C91">
      <w:pPr>
        <w:pStyle w:val="ListParagraph"/>
        <w:numPr>
          <w:ilvl w:val="0"/>
          <w:numId w:val="12"/>
        </w:numPr>
      </w:pPr>
      <w:r>
        <w:t>System Model Drift and Unintended Feedback Loops: TDC supports tighter alignment between operational data, planning models, and system states</w:t>
      </w:r>
      <w:r w:rsidR="00E10608">
        <w:t xml:space="preserve"> across distribution and transmission systems</w:t>
      </w:r>
      <w:r>
        <w:t xml:space="preserve">. This is achieved through shared interface definitions, feedback mechanisms, and collaborative forecasting—minimising the risks of unobserved </w:t>
      </w:r>
      <w:r w:rsidR="00F418B8">
        <w:t>dynamics</w:t>
      </w:r>
      <w:r>
        <w:t xml:space="preserve"> or misaligned interventions.</w:t>
      </w:r>
    </w:p>
    <w:p w14:paraId="1A3A3DC2" w14:textId="363B8252" w:rsidR="003408E3" w:rsidRDefault="003408E3" w:rsidP="00470C91">
      <w:pPr>
        <w:pStyle w:val="ListParagraph"/>
        <w:numPr>
          <w:ilvl w:val="0"/>
          <w:numId w:val="12"/>
        </w:numPr>
      </w:pPr>
      <w:r>
        <w:t>Emergency Interventions and Override Risks: In high-DER contexts, uncoordinated emergency actions (e.g. mass disconnection) can lead to cascading impacts. TDC enables structured prioritisation, pre-agreed response frameworks, and co-visibility of actions, enhancing operability under stress scenarios.</w:t>
      </w:r>
    </w:p>
    <w:p w14:paraId="46369A1F" w14:textId="1F706F99" w:rsidR="003408E3" w:rsidRDefault="003408E3" w:rsidP="003408E3">
      <w:r>
        <w:t xml:space="preserve">Collectively, these capabilities ensure that the power system retains stability, controllability, and adaptability as its structural underpinnings evolve. TDC acts not only as a bridge between legacy and future system states, but as a foundational mechanism for sustaining operability in increasingly complex and </w:t>
      </w:r>
      <w:r w:rsidR="00631195">
        <w:t>distributed</w:t>
      </w:r>
      <w:r>
        <w:t xml:space="preserve"> grid environments.</w:t>
      </w:r>
    </w:p>
    <w:p w14:paraId="1DA193DC" w14:textId="77777777" w:rsidR="003408E3" w:rsidRDefault="003408E3" w:rsidP="00D63C88">
      <w:pPr>
        <w:pStyle w:val="Heading2"/>
        <w:ind w:left="709" w:hanging="709"/>
      </w:pPr>
      <w:bookmarkStart w:id="215" w:name="_Toc205532877"/>
      <w:r>
        <w:t>Digitalisation and Scalability Risks</w:t>
      </w:r>
      <w:bookmarkEnd w:id="215"/>
    </w:p>
    <w:p w14:paraId="54359BF2" w14:textId="4EDE7543" w:rsidR="003C476E" w:rsidRDefault="003C476E" w:rsidP="003408E3">
      <w:r>
        <w:t>Effective TDC addresses key digitalisation and scalability risks, particularly around data access, system visibility, and flexible orchestration capabilities.</w:t>
      </w:r>
    </w:p>
    <w:p w14:paraId="1C39C0C5" w14:textId="3EFE2C13" w:rsidR="003C476E" w:rsidRDefault="003C476E" w:rsidP="00470C91">
      <w:pPr>
        <w:pStyle w:val="ListParagraph"/>
        <w:numPr>
          <w:ilvl w:val="0"/>
          <w:numId w:val="13"/>
        </w:numPr>
      </w:pPr>
      <w:r>
        <w:t xml:space="preserve">Operational Visibility: TDC facilitates consistent and actionable observability at both the transmission and distribution levels, a prerequisite for </w:t>
      </w:r>
      <w:r w:rsidR="007A7107">
        <w:t>much more dynamic</w:t>
      </w:r>
      <w:r>
        <w:t xml:space="preserve"> control and coordination of </w:t>
      </w:r>
      <w:r w:rsidR="007A7107">
        <w:t>CER/</w:t>
      </w:r>
      <w:r>
        <w:t>DER.</w:t>
      </w:r>
    </w:p>
    <w:p w14:paraId="6EA51750" w14:textId="4861358F" w:rsidR="003C476E" w:rsidRDefault="003C476E" w:rsidP="00470C91">
      <w:pPr>
        <w:pStyle w:val="ListParagraph"/>
        <w:numPr>
          <w:ilvl w:val="0"/>
          <w:numId w:val="13"/>
        </w:numPr>
      </w:pPr>
      <w:r>
        <w:t>Modelling and Forecasting: Shared data models and co-developed forecasting frameworks enable accurate, timely insights across system layers, enhancing both planning and operational decision-making.</w:t>
      </w:r>
    </w:p>
    <w:p w14:paraId="4E7C386B" w14:textId="531A02A1" w:rsidR="003C476E" w:rsidRDefault="003C476E" w:rsidP="00470C91">
      <w:pPr>
        <w:pStyle w:val="ListParagraph"/>
        <w:numPr>
          <w:ilvl w:val="0"/>
          <w:numId w:val="13"/>
        </w:numPr>
      </w:pPr>
      <w:r>
        <w:t>Digital Infrastructure Scalability: By driving</w:t>
      </w:r>
      <w:r w:rsidR="00744368">
        <w:t xml:space="preserve"> inter</w:t>
      </w:r>
      <w:r w:rsidR="00816D6C">
        <w:t xml:space="preserve">face </w:t>
      </w:r>
      <w:r w:rsidR="00057EFE">
        <w:t>consistency</w:t>
      </w:r>
      <w:r w:rsidR="00816D6C">
        <w:t xml:space="preserve"> </w:t>
      </w:r>
      <w:r w:rsidR="00057EFE">
        <w:t>b</w:t>
      </w:r>
      <w:r w:rsidR="00816D6C">
        <w:t xml:space="preserve">etween </w:t>
      </w:r>
      <w:r w:rsidR="00C8549D">
        <w:t>the System Operator (AEMO)</w:t>
      </w:r>
      <w:r w:rsidR="00816D6C">
        <w:t xml:space="preserve"> and DSOs</w:t>
      </w:r>
      <w:r w:rsidR="00057EFE">
        <w:t>,</w:t>
      </w:r>
      <w:r>
        <w:t xml:space="preserve"> interoperability standards and interface modularity, TDC supports scalable digitalisation and avoids vendor or platform lock-in that could constrain long-term flexibility.</w:t>
      </w:r>
    </w:p>
    <w:p w14:paraId="5E7C0279" w14:textId="69B338FA" w:rsidR="003C476E" w:rsidRDefault="003C476E" w:rsidP="003C476E">
      <w:r>
        <w:lastRenderedPageBreak/>
        <w:t xml:space="preserve">These digital enablers underpin a </w:t>
      </w:r>
      <w:r w:rsidR="008530A9">
        <w:t>power system</w:t>
      </w:r>
      <w:r>
        <w:t xml:space="preserve"> architecture capable of supporting evolving </w:t>
      </w:r>
      <w:r w:rsidR="008530A9">
        <w:t>CER/</w:t>
      </w:r>
      <w:r>
        <w:t>DER volumes and behaviours, enabling efficient scaling without reengineering foundational coordination frameworks.</w:t>
      </w:r>
    </w:p>
    <w:p w14:paraId="245C6B0F" w14:textId="5864A2C5" w:rsidR="003C476E" w:rsidRDefault="003C476E" w:rsidP="00D63C88">
      <w:pPr>
        <w:pStyle w:val="Heading2"/>
        <w:ind w:left="709" w:hanging="709"/>
      </w:pPr>
      <w:bookmarkStart w:id="216" w:name="_Toc205532878"/>
      <w:r>
        <w:t>Sectoral Alignment and Participation Risks</w:t>
      </w:r>
      <w:bookmarkEnd w:id="216"/>
    </w:p>
    <w:p w14:paraId="444740B3" w14:textId="0B77AE97" w:rsidR="003C476E" w:rsidRDefault="003C476E" w:rsidP="003C476E">
      <w:r>
        <w:t>TDC helps mitigate risks related to fragmented sectoral roles, lack of coordinated decision-making, and misaligned market incentives—all of which constrain effective CER</w:t>
      </w:r>
      <w:r w:rsidR="008530A9">
        <w:t>/DER</w:t>
      </w:r>
      <w:r>
        <w:t xml:space="preserve"> integration.</w:t>
      </w:r>
    </w:p>
    <w:p w14:paraId="53DD8079" w14:textId="421075F5" w:rsidR="003C476E" w:rsidRDefault="003C476E" w:rsidP="00470C91">
      <w:pPr>
        <w:pStyle w:val="ListParagraph"/>
        <w:numPr>
          <w:ilvl w:val="0"/>
          <w:numId w:val="12"/>
        </w:numPr>
      </w:pPr>
      <w:r>
        <w:t xml:space="preserve">Role Clarity and Responsibility Allocation: TDC provides a basis for clarifying who does what at the </w:t>
      </w:r>
      <w:r w:rsidR="00C8549D">
        <w:t>SO</w:t>
      </w:r>
      <w:r>
        <w:t>-DSO interface and within evolving DSO functions, reducing duplication and conflict.</w:t>
      </w:r>
    </w:p>
    <w:p w14:paraId="73968216" w14:textId="4F50D7FF" w:rsidR="003C476E" w:rsidRDefault="003C476E" w:rsidP="00470C91">
      <w:pPr>
        <w:pStyle w:val="ListParagraph"/>
        <w:numPr>
          <w:ilvl w:val="0"/>
          <w:numId w:val="12"/>
        </w:numPr>
      </w:pPr>
      <w:r>
        <w:t xml:space="preserve">Value Stack Misalignment: Coordination frameworks help resolve conflicting signals for </w:t>
      </w:r>
      <w:r w:rsidR="009834BA">
        <w:t>CER/</w:t>
      </w:r>
      <w:r>
        <w:t xml:space="preserve">DER between </w:t>
      </w:r>
      <w:r w:rsidR="009834BA">
        <w:t>distribution</w:t>
      </w:r>
      <w:r>
        <w:t xml:space="preserve"> and </w:t>
      </w:r>
      <w:r w:rsidR="009834BA">
        <w:t xml:space="preserve">transmission </w:t>
      </w:r>
      <w:r>
        <w:t>system-level services, improving investment signals and service efficiency.</w:t>
      </w:r>
    </w:p>
    <w:p w14:paraId="700987EA" w14:textId="438DD775" w:rsidR="003C476E" w:rsidRDefault="003C476E" w:rsidP="00470C91">
      <w:pPr>
        <w:pStyle w:val="ListParagraph"/>
        <w:numPr>
          <w:ilvl w:val="0"/>
          <w:numId w:val="12"/>
        </w:numPr>
      </w:pPr>
      <w:r>
        <w:t xml:space="preserve">Participation Equity: Structured coordination supports consistent access to markets and services across customer segments and jurisdictions, ensuring that </w:t>
      </w:r>
      <w:r w:rsidR="00DE65CA">
        <w:t>CER/</w:t>
      </w:r>
      <w:r>
        <w:t>DER participation is not limited by technical or regulatory silos.</w:t>
      </w:r>
    </w:p>
    <w:p w14:paraId="5709176F" w14:textId="77777777" w:rsidR="003C476E" w:rsidRDefault="003C476E" w:rsidP="003C476E">
      <w:r>
        <w:t>By aligning operational, planning, and regulatory functions across sectors, TDC enhances the legitimacy, consistency, and effectiveness of the transition pathway.</w:t>
      </w:r>
    </w:p>
    <w:p w14:paraId="7C151308" w14:textId="77777777" w:rsidR="00504BC8" w:rsidRDefault="00504BC8">
      <w:pPr>
        <w:spacing w:before="0" w:after="160" w:line="259" w:lineRule="auto"/>
        <w:rPr>
          <w:rFonts w:ascii="PP Mori SemiBold" w:eastAsiaTheme="majorEastAsia" w:hAnsi="PP Mori SemiBold" w:cstheme="majorBidi"/>
          <w:color w:val="013C4C" w:themeColor="text1"/>
          <w:sz w:val="32"/>
          <w:szCs w:val="40"/>
        </w:rPr>
      </w:pPr>
      <w:bookmarkStart w:id="217" w:name="_Toc191547173"/>
      <w:r>
        <w:br w:type="page"/>
      </w:r>
    </w:p>
    <w:p w14:paraId="3440B52F" w14:textId="4854E654" w:rsidR="00BE34D8" w:rsidRPr="000338AB" w:rsidRDefault="00BE34D8" w:rsidP="00BE34D8">
      <w:pPr>
        <w:pStyle w:val="Heading1"/>
        <w:spacing w:line="288" w:lineRule="auto"/>
      </w:pPr>
      <w:bookmarkStart w:id="218" w:name="_Toc205532879"/>
      <w:bookmarkStart w:id="219" w:name="S_9"/>
      <w:r w:rsidRPr="000338AB">
        <w:lastRenderedPageBreak/>
        <w:t>Recommended Priority Actions</w:t>
      </w:r>
      <w:bookmarkEnd w:id="217"/>
      <w:bookmarkEnd w:id="218"/>
      <w:r w:rsidRPr="000338AB">
        <w:t xml:space="preserve"> </w:t>
      </w:r>
    </w:p>
    <w:bookmarkEnd w:id="219"/>
    <w:p w14:paraId="19AFC996" w14:textId="77777777" w:rsidR="00C54271" w:rsidRPr="00C54271" w:rsidRDefault="00C54271" w:rsidP="00C54271">
      <w:r w:rsidRPr="00C54271">
        <w:t xml:space="preserve">Australia’s large scale power systems are transforming from a unidirectional past involving hundreds of large generation plant to a more dynamic and bidirectional future involving tens of millions of diverse energy resources participating across all vertical tiers/layers of the grid. </w:t>
      </w:r>
    </w:p>
    <w:p w14:paraId="07D53957" w14:textId="77777777" w:rsidR="00C54271" w:rsidRPr="00C54271" w:rsidRDefault="00C54271" w:rsidP="00C54271">
      <w:r w:rsidRPr="00C54271">
        <w:t xml:space="preserve">Many of the challenges faced in preparing existing legacy power systems for a deeply decarbonised and increasingly distributed future are not unique to the NEM.  However, the world-leading pace and scale of Australia’s grid transformation will require new ways of conceptualising the nature of the challenges we face and how to best address them. </w:t>
      </w:r>
    </w:p>
    <w:p w14:paraId="1A057AC7" w14:textId="3FAA0B55" w:rsidR="00C54271" w:rsidRPr="00C54271" w:rsidRDefault="00C54271" w:rsidP="00C54271">
      <w:r w:rsidRPr="00C54271">
        <w:t xml:space="preserve">For example, informed by the field of transition design, it is noteworthy that a primary model of change in the power sector has traditionally focused on addressing elements, often in an issue-in-isolation manner. As </w:t>
      </w:r>
      <w:hyperlink w:anchor="Figure_30" w:history="1">
        <w:r w:rsidR="005B684E" w:rsidRPr="005B684E">
          <w:rPr>
            <w:rStyle w:val="Hyperlink"/>
          </w:rPr>
          <w:t>Figure 30</w:t>
        </w:r>
      </w:hyperlink>
      <w:r w:rsidRPr="00C54271">
        <w:t xml:space="preserve"> below highlights, while focusing on structural elements in relative isolation may be entirely appropriate in a steady-state system, this is less effective where a system is experiencing profound change. In such a case, it becomes essential to reconceptualise dominant paradigms and address critical issues with the system structure which are no longer fit-for-purpose.    </w:t>
      </w:r>
    </w:p>
    <w:p w14:paraId="0D31569C" w14:textId="77777777" w:rsidR="00C54271" w:rsidRDefault="00C54271" w:rsidP="00C54271">
      <w:pPr>
        <w:keepNext/>
        <w:spacing w:before="0" w:after="160" w:line="259" w:lineRule="auto"/>
        <w:jc w:val="center"/>
      </w:pPr>
      <w:bookmarkStart w:id="220" w:name="Figure_30"/>
      <w:r>
        <w:rPr>
          <w:noProof/>
        </w:rPr>
        <w:drawing>
          <wp:inline distT="0" distB="0" distL="0" distR="0" wp14:anchorId="3EC73D1A" wp14:editId="7C7FDA6B">
            <wp:extent cx="4952559" cy="3714274"/>
            <wp:effectExtent l="0" t="0" r="635" b="635"/>
            <wp:docPr id="10371386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38611" name="Picture 10371386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60028" cy="3719875"/>
                    </a:xfrm>
                    <a:prstGeom prst="rect">
                      <a:avLst/>
                    </a:prstGeom>
                  </pic:spPr>
                </pic:pic>
              </a:graphicData>
            </a:graphic>
          </wp:inline>
        </w:drawing>
      </w:r>
      <w:bookmarkEnd w:id="220"/>
    </w:p>
    <w:p w14:paraId="5F43D24C" w14:textId="25EBC845" w:rsidR="00C54271" w:rsidRDefault="00C54271" w:rsidP="00C54271">
      <w:pPr>
        <w:pStyle w:val="Caption"/>
      </w:pPr>
      <w:bookmarkStart w:id="221" w:name="_Ref205268630"/>
      <w:bookmarkStart w:id="222" w:name="_Toc205377466"/>
      <w:r>
        <w:t xml:space="preserve">Figure </w:t>
      </w:r>
      <w:fldSimple w:instr=" SEQ Figure \* ARABIC ">
        <w:r w:rsidR="00CE6CF1">
          <w:rPr>
            <w:noProof/>
          </w:rPr>
          <w:t>30</w:t>
        </w:r>
      </w:fldSimple>
      <w:bookmarkEnd w:id="221"/>
      <w:r>
        <w:t xml:space="preserve"> : </w:t>
      </w:r>
      <w:r w:rsidRPr="00BD03AB">
        <w:t>The field of transition design highlights the need to reconceptualise key paradigms and address system structures that are no longer fit-for-purpose</w:t>
      </w:r>
      <w:bookmarkEnd w:id="222"/>
    </w:p>
    <w:p w14:paraId="6F1D7281" w14:textId="77777777" w:rsidR="00C54271" w:rsidRDefault="00C54271">
      <w:pPr>
        <w:spacing w:before="0" w:after="160" w:line="259" w:lineRule="auto"/>
        <w:rPr>
          <w:i/>
          <w:iCs/>
          <w:color w:val="013C4C" w:themeColor="text1"/>
          <w:szCs w:val="22"/>
        </w:rPr>
      </w:pPr>
      <w:r>
        <w:br w:type="page"/>
      </w:r>
    </w:p>
    <w:p w14:paraId="695C4E36" w14:textId="7DA5357B" w:rsidR="00C54271" w:rsidRPr="00AE0953" w:rsidRDefault="00C54271" w:rsidP="00D63C88">
      <w:pPr>
        <w:pStyle w:val="Heading2"/>
        <w:ind w:left="576"/>
        <w:rPr>
          <w:sz w:val="22"/>
          <w:szCs w:val="28"/>
        </w:rPr>
      </w:pPr>
      <w:bookmarkStart w:id="223" w:name="_Toc205243898"/>
      <w:bookmarkStart w:id="224" w:name="_Toc205532880"/>
      <w:r w:rsidRPr="00AE0953">
        <w:rPr>
          <w:sz w:val="22"/>
          <w:szCs w:val="28"/>
        </w:rPr>
        <w:lastRenderedPageBreak/>
        <w:t>PRIORITY 1: Recognise that 21st century distribution systems are becoming renewable energy zones that will self-supply &gt;50 – 150% of local demand.</w:t>
      </w:r>
      <w:bookmarkEnd w:id="223"/>
      <w:bookmarkEnd w:id="224"/>
    </w:p>
    <w:p w14:paraId="15315F36" w14:textId="05BFA5F8" w:rsidR="00C54271" w:rsidRDefault="00C54271" w:rsidP="00C54271">
      <w:r>
        <w:t xml:space="preserve">Given Australia’s world-leading levels of DPV, the NEM already has whole regions that experience close to 100% of instantaneous demand being served by distribution-connected CER/DER on sunny, low load days. Later the same evening, these same regions are almost 100% supplied by the centralised system. This is now resulting in a 24-hour operational profile that is essentially ‘tidal’ – and the transformation still has a very long way yet to go!  For example, by 2035 </w:t>
      </w:r>
      <w:r w:rsidRPr="000C4BDB">
        <w:t xml:space="preserve">AEMO’s Step Change </w:t>
      </w:r>
      <w:r w:rsidRPr="00750CD6">
        <w:t>scenario</w:t>
      </w:r>
      <w:hyperlink w:anchor="Ref_9" w:history="1">
        <w:r w:rsidR="006B2BA5" w:rsidRPr="00750CD6">
          <w:rPr>
            <w:rStyle w:val="Hyperlink"/>
          </w:rPr>
          <w:t>[9]</w:t>
        </w:r>
      </w:hyperlink>
      <w:r w:rsidRPr="00750CD6">
        <w:t xml:space="preserve"> </w:t>
      </w:r>
      <w:r>
        <w:t xml:space="preserve">anticipates DPV capacity </w:t>
      </w:r>
      <w:r w:rsidRPr="000C4BDB">
        <w:t xml:space="preserve">reaching </w:t>
      </w:r>
      <w:r>
        <w:t xml:space="preserve">approximately ~55GW/70TWh, meaning that the </w:t>
      </w:r>
      <w:r w:rsidRPr="000C4BDB">
        <w:t xml:space="preserve">NEM </w:t>
      </w:r>
      <w:r>
        <w:t xml:space="preserve">will </w:t>
      </w:r>
      <w:r w:rsidRPr="000C4BDB">
        <w:t xml:space="preserve">regularly experience </w:t>
      </w:r>
      <w:r>
        <w:t>time windows</w:t>
      </w:r>
      <w:r w:rsidRPr="000C4BDB">
        <w:t xml:space="preserve"> where most </w:t>
      </w:r>
      <w:r>
        <w:t>supply</w:t>
      </w:r>
      <w:r w:rsidRPr="000C4BDB">
        <w:t xml:space="preserve"> is flowing </w:t>
      </w:r>
      <w:r>
        <w:t>‘</w:t>
      </w:r>
      <w:r w:rsidRPr="000C4BDB">
        <w:t>upstream</w:t>
      </w:r>
      <w:r>
        <w:t>’</w:t>
      </w:r>
      <w:r w:rsidRPr="000C4BDB">
        <w:t xml:space="preserve"> from </w:t>
      </w:r>
      <w:r>
        <w:t xml:space="preserve">the distribution system. </w:t>
      </w:r>
    </w:p>
    <w:p w14:paraId="221E5C2E" w14:textId="1ACB531A" w:rsidR="00C54271" w:rsidRDefault="00C54271" w:rsidP="00C54271">
      <w:r>
        <w:t xml:space="preserve">In a legacy context where the dominant models </w:t>
      </w:r>
      <w:r w:rsidRPr="00C54271">
        <w:t xml:space="preserve">of change primarily focus on enhancements to individual elements, honestly confronting the emerging scale of change and its </w:t>
      </w:r>
      <w:r>
        <w:t xml:space="preserve">practical implications is key to ensuring a fit-for-purpose approach.  For example, attempting to develop DSO models </w:t>
      </w:r>
      <w:r w:rsidR="00807182">
        <w:t xml:space="preserve">and supporting TDC </w:t>
      </w:r>
      <w:r>
        <w:t xml:space="preserve">in a manner that is, perhaps implicitly, largely based on extrapolations from the legacy models of the past significantly elevates the risk of sub-optimal outcomes, operational disruption and expensive rework.  By contrast, where a more realistic and future-facing approach is applied, the DSO models </w:t>
      </w:r>
      <w:r w:rsidR="0022606D">
        <w:t xml:space="preserve">and </w:t>
      </w:r>
      <w:r w:rsidR="00477A69">
        <w:t xml:space="preserve">supporting </w:t>
      </w:r>
      <w:r w:rsidR="0022606D">
        <w:t xml:space="preserve">TDC </w:t>
      </w:r>
      <w:r w:rsidR="00477A69">
        <w:t xml:space="preserve">that is </w:t>
      </w:r>
      <w:r>
        <w:t xml:space="preserve">developed can still be implemented in a stepwise manner as CER/DER volumes increase but will be significantly more adaptive, scalable and future-ready by design. </w:t>
      </w:r>
    </w:p>
    <w:p w14:paraId="01C32815" w14:textId="60EECC1E" w:rsidR="00C54271" w:rsidRPr="00AE0953" w:rsidRDefault="00C54271" w:rsidP="00AE0953">
      <w:pPr>
        <w:pStyle w:val="Heading2"/>
        <w:ind w:left="576"/>
        <w:rPr>
          <w:sz w:val="22"/>
          <w:szCs w:val="28"/>
        </w:rPr>
      </w:pPr>
      <w:bookmarkStart w:id="225" w:name="_Toc205243899"/>
      <w:bookmarkStart w:id="226" w:name="_Toc205532881"/>
      <w:r w:rsidRPr="00AE0953">
        <w:rPr>
          <w:sz w:val="22"/>
          <w:szCs w:val="28"/>
        </w:rPr>
        <w:t>PRIORITY 2: Reconceptualise the 21st century transmission-distribution relationship as intrinsically bidirectional, collaborative and mutual-beneficial.</w:t>
      </w:r>
      <w:bookmarkEnd w:id="225"/>
      <w:bookmarkEnd w:id="226"/>
      <w:r w:rsidRPr="00AE0953">
        <w:rPr>
          <w:sz w:val="22"/>
          <w:szCs w:val="28"/>
        </w:rPr>
        <w:t xml:space="preserve">    </w:t>
      </w:r>
    </w:p>
    <w:p w14:paraId="36E5592A" w14:textId="7D017819" w:rsidR="00C54271" w:rsidRPr="00EC0D66" w:rsidRDefault="00C54271" w:rsidP="00C54271">
      <w:r>
        <w:t>T</w:t>
      </w:r>
      <w:r w:rsidRPr="008031C5">
        <w:t xml:space="preserve">his scale of transformation </w:t>
      </w:r>
      <w:r>
        <w:t>described above</w:t>
      </w:r>
      <w:r w:rsidRPr="008031C5">
        <w:t xml:space="preserve"> </w:t>
      </w:r>
      <w:r>
        <w:t xml:space="preserve">is anticipated to only increase as time passes.  For example, </w:t>
      </w:r>
      <w:r w:rsidRPr="000C4BDB">
        <w:t>AEMO’s Step Change scenario</w:t>
      </w:r>
      <w:hyperlink w:anchor="Ref_9" w:history="1">
        <w:r w:rsidR="00E71620" w:rsidRPr="00750CD6">
          <w:rPr>
            <w:rStyle w:val="Hyperlink"/>
          </w:rPr>
          <w:t>[9]</w:t>
        </w:r>
      </w:hyperlink>
      <w:r w:rsidRPr="00750CD6">
        <w:t xml:space="preserve"> a</w:t>
      </w:r>
      <w:r>
        <w:t>nticipates that by</w:t>
      </w:r>
      <w:r w:rsidRPr="00EC0D66">
        <w:t xml:space="preserve"> 2050</w:t>
      </w:r>
      <w:r>
        <w:t xml:space="preserve"> </w:t>
      </w:r>
      <w:r w:rsidRPr="00EC0D66">
        <w:t xml:space="preserve">NEM </w:t>
      </w:r>
      <w:r>
        <w:t>operations will be</w:t>
      </w:r>
      <w:r w:rsidRPr="00EC0D66">
        <w:t xml:space="preserve"> </w:t>
      </w:r>
      <w:r>
        <w:t>p</w:t>
      </w:r>
      <w:r w:rsidRPr="00EC0D66">
        <w:t>redominantly</w:t>
      </w:r>
      <w:r>
        <w:t xml:space="preserve"> </w:t>
      </w:r>
      <w:r w:rsidRPr="00EC0D66">
        <w:t>bidirectional</w:t>
      </w:r>
      <w:r>
        <w:t xml:space="preserve"> with ~115GW/100TWh capacity provided by DPV, representing a further </w:t>
      </w:r>
      <w:r w:rsidRPr="000C4BDB">
        <w:t xml:space="preserve">fourfold increase </w:t>
      </w:r>
      <w:r>
        <w:t xml:space="preserve">on Australia’s already world-leading levels in 2025. In this case, enabling </w:t>
      </w:r>
      <w:r w:rsidRPr="00C80EEC">
        <w:t>transmission-distribution relationship</w:t>
      </w:r>
      <w:r>
        <w:t>s</w:t>
      </w:r>
      <w:r w:rsidRPr="00C80EEC">
        <w:t xml:space="preserve"> </w:t>
      </w:r>
      <w:r>
        <w:t xml:space="preserve">to function in an </w:t>
      </w:r>
      <w:r w:rsidRPr="00C80EEC">
        <w:t>intrinsically bidirectional, collaborative and mutual-beneficial</w:t>
      </w:r>
      <w:r>
        <w:t xml:space="preserve"> manner will be key to future-proofing the NEM. </w:t>
      </w:r>
      <w:r w:rsidRPr="007845F8">
        <w:t xml:space="preserve">    </w:t>
      </w:r>
    </w:p>
    <w:p w14:paraId="179A6832" w14:textId="77777777" w:rsidR="00C54271" w:rsidRPr="00414827" w:rsidRDefault="00C54271" w:rsidP="00C54271">
      <w:r>
        <w:t xml:space="preserve">Once again, allowing the practical implications of the scenarios we regularly discuss to inform our DSO and TDC design considerations will enable significant efficiencies, mitigate the need for subsequent rework and potentially unlock significant economic value much earlier.  Addressing these matters holistically will enable a more </w:t>
      </w:r>
      <w:r w:rsidRPr="002A60DE">
        <w:t>flexible</w:t>
      </w:r>
      <w:r>
        <w:t xml:space="preserve"> and interdependent </w:t>
      </w:r>
      <w:r w:rsidRPr="002B6C94">
        <w:t>power system</w:t>
      </w:r>
      <w:r>
        <w:t xml:space="preserve"> end-to-end that can </w:t>
      </w:r>
      <w:r w:rsidRPr="002B6C94">
        <w:t>anticipate, adapt to and manage variability and volatility of supply and demand across all relevant time scales</w:t>
      </w:r>
      <w:r>
        <w:t xml:space="preserve">. As GW-scale power systems like the NEM become increasingly volatile and bidirectional, this will be essential to operational visibility, coordination and the instantaneous balancing of supply and demand.  </w:t>
      </w:r>
    </w:p>
    <w:p w14:paraId="0F9F7BEF" w14:textId="66393721" w:rsidR="00C54271" w:rsidRPr="00D63C88" w:rsidRDefault="00C54271" w:rsidP="00D63C88">
      <w:pPr>
        <w:pStyle w:val="Heading2"/>
        <w:ind w:left="576"/>
        <w:rPr>
          <w:sz w:val="22"/>
          <w:szCs w:val="28"/>
        </w:rPr>
      </w:pPr>
      <w:bookmarkStart w:id="227" w:name="_Toc205243900"/>
      <w:bookmarkStart w:id="228" w:name="_Toc205532882"/>
      <w:r w:rsidRPr="00D63C88">
        <w:rPr>
          <w:sz w:val="22"/>
          <w:szCs w:val="28"/>
        </w:rPr>
        <w:lastRenderedPageBreak/>
        <w:t>PRIORITY 3: Recognise that DSO &amp; TDC models are transformational enablers, not simply enhancements to the legacy grid structures.</w:t>
      </w:r>
      <w:bookmarkEnd w:id="227"/>
      <w:bookmarkEnd w:id="228"/>
      <w:r w:rsidRPr="00D63C88">
        <w:rPr>
          <w:sz w:val="22"/>
          <w:szCs w:val="28"/>
        </w:rPr>
        <w:t xml:space="preserve">   </w:t>
      </w:r>
      <w:bookmarkStart w:id="229" w:name="S_13_1_AdvancedBothDSOandTDC"/>
    </w:p>
    <w:p w14:paraId="7462420F" w14:textId="65358D4B" w:rsidR="00C54271" w:rsidRDefault="00C54271" w:rsidP="00C54271">
      <w:r>
        <w:t xml:space="preserve">Providing end-to-end visibility, predictability and operational coordination of millions of energy resources located across the system is extremely difficult because of the structural constraints embedded in the legacy systems architecture of the NEM.  Therefore, comprehending the intrinsic relationship between the design of </w:t>
      </w:r>
      <w:r w:rsidRPr="00AF1BB2">
        <w:t>DSO and TDC models</w:t>
      </w:r>
      <w:r>
        <w:t>,</w:t>
      </w:r>
      <w:r w:rsidRPr="00AF1BB2">
        <w:t xml:space="preserve"> </w:t>
      </w:r>
      <w:r>
        <w:t xml:space="preserve">and the criticality of their wider structural relationships, illustrates why considering them, even implicitly, as an </w:t>
      </w:r>
      <w:r w:rsidRPr="00AF1BB2">
        <w:t>enhancement to</w:t>
      </w:r>
      <w:r>
        <w:t xml:space="preserve"> or ‘patch’ on the </w:t>
      </w:r>
      <w:r w:rsidRPr="00AF1BB2">
        <w:t>20th century power system</w:t>
      </w:r>
      <w:r>
        <w:t xml:space="preserve"> is vastly inadequate.  By contrast, both DSO and TDC models are properly understood as key enablers required to ‘cross the chasm’ illustrated by </w:t>
      </w:r>
      <w:hyperlink w:anchor="Figure_31" w:history="1">
        <w:r w:rsidR="00ED2E34" w:rsidRPr="00ED2E34">
          <w:rPr>
            <w:rStyle w:val="Hyperlink"/>
          </w:rPr>
          <w:t>Figure 31</w:t>
        </w:r>
      </w:hyperlink>
      <w:r>
        <w:t xml:space="preserve"> below. </w:t>
      </w:r>
    </w:p>
    <w:p w14:paraId="788D292A" w14:textId="77777777" w:rsidR="00C54271" w:rsidRDefault="00C54271" w:rsidP="00C54271">
      <w:r>
        <w:t xml:space="preserve">Similar to the above, addressing these matters holistically will enable a more </w:t>
      </w:r>
      <w:r w:rsidRPr="002A60DE">
        <w:t>flexible</w:t>
      </w:r>
      <w:r>
        <w:t xml:space="preserve"> and interdependent </w:t>
      </w:r>
      <w:r w:rsidRPr="002B6C94">
        <w:t>power system</w:t>
      </w:r>
      <w:r>
        <w:t xml:space="preserve"> that can </w:t>
      </w:r>
      <w:r w:rsidRPr="002B6C94">
        <w:t>anticipate, adapt to and manage variability and volatility of supply and demand across all relevant time scales</w:t>
      </w:r>
      <w:r>
        <w:t xml:space="preserve">. </w:t>
      </w:r>
      <w:r w:rsidRPr="000F597E">
        <w:t xml:space="preserve">Unlocking the </w:t>
      </w:r>
      <w:r>
        <w:t xml:space="preserve">whole-system </w:t>
      </w:r>
      <w:r w:rsidRPr="000F597E">
        <w:t xml:space="preserve">value of millions of resources </w:t>
      </w:r>
      <w:r>
        <w:t xml:space="preserve">will </w:t>
      </w:r>
      <w:r w:rsidRPr="000F597E">
        <w:t>maximise societal benefits, customer savings and equitable outcomes</w:t>
      </w:r>
      <w:r>
        <w:t xml:space="preserve">.  Regardless of the DSO or TDC model designs adopted, this cannot ultimately be achieved without the necessary </w:t>
      </w:r>
      <w:r w:rsidRPr="000F597E">
        <w:t>targeted structural interventions</w:t>
      </w:r>
      <w:r>
        <w:t xml:space="preserve"> critical to their operation. </w:t>
      </w:r>
    </w:p>
    <w:p w14:paraId="45223FF5" w14:textId="77777777" w:rsidR="00C61314" w:rsidRDefault="00C54271" w:rsidP="00C61314">
      <w:pPr>
        <w:keepNext/>
        <w:spacing w:after="0" w:line="259" w:lineRule="auto"/>
        <w:ind w:left="720"/>
        <w:jc w:val="center"/>
      </w:pPr>
      <w:bookmarkStart w:id="230" w:name="Figure_31"/>
      <w:r>
        <w:rPr>
          <w:noProof/>
        </w:rPr>
        <w:drawing>
          <wp:inline distT="0" distB="0" distL="0" distR="0" wp14:anchorId="4FEB421E" wp14:editId="0F544D7F">
            <wp:extent cx="4829751" cy="2907052"/>
            <wp:effectExtent l="0" t="0" r="9525" b="7620"/>
            <wp:docPr id="758698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98494" name="Picture 75869849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56172" cy="2922955"/>
                    </a:xfrm>
                    <a:prstGeom prst="rect">
                      <a:avLst/>
                    </a:prstGeom>
                  </pic:spPr>
                </pic:pic>
              </a:graphicData>
            </a:graphic>
          </wp:inline>
        </w:drawing>
      </w:r>
      <w:bookmarkEnd w:id="230"/>
    </w:p>
    <w:p w14:paraId="5A7129DD" w14:textId="2CA34B41" w:rsidR="00C54271" w:rsidRDefault="00C61314" w:rsidP="00D63C88">
      <w:pPr>
        <w:pStyle w:val="Caption"/>
        <w:spacing w:before="240"/>
      </w:pPr>
      <w:bookmarkStart w:id="231" w:name="_Ref205268961"/>
      <w:bookmarkStart w:id="232" w:name="_Toc205377467"/>
      <w:r>
        <w:t xml:space="preserve">Figure </w:t>
      </w:r>
      <w:fldSimple w:instr=" SEQ Figure \* ARABIC ">
        <w:r w:rsidR="00CE6CF1">
          <w:rPr>
            <w:noProof/>
          </w:rPr>
          <w:t>31</w:t>
        </w:r>
      </w:fldSimple>
      <w:bookmarkEnd w:id="231"/>
      <w:r>
        <w:t xml:space="preserve">: </w:t>
      </w:r>
      <w:r w:rsidRPr="009B6FA4">
        <w:t xml:space="preserve">DSO and TDC models </w:t>
      </w:r>
      <w:r w:rsidR="00992246">
        <w:t>are</w:t>
      </w:r>
      <w:r w:rsidRPr="009B6FA4">
        <w:t xml:space="preserve"> key enablers </w:t>
      </w:r>
      <w:r w:rsidR="0035213C">
        <w:t xml:space="preserve">for </w:t>
      </w:r>
      <w:r w:rsidRPr="009B6FA4">
        <w:t>‘cross</w:t>
      </w:r>
      <w:r w:rsidR="0035213C">
        <w:t>ing</w:t>
      </w:r>
      <w:r w:rsidRPr="009B6FA4">
        <w:t xml:space="preserve"> the chasm’</w:t>
      </w:r>
      <w:r>
        <w:t xml:space="preserve"> </w:t>
      </w:r>
      <w:r w:rsidR="0035213C">
        <w:t>between</w:t>
      </w:r>
      <w:r w:rsidR="002C3BF9">
        <w:t xml:space="preserve"> </w:t>
      </w:r>
      <w:r w:rsidR="001D2B78">
        <w:t>two</w:t>
      </w:r>
      <w:r w:rsidR="002C3BF9">
        <w:t xml:space="preserve"> distinct parallel paths of capabilit</w:t>
      </w:r>
      <w:r w:rsidR="001D2B78">
        <w:t>y</w:t>
      </w:r>
      <w:bookmarkEnd w:id="232"/>
    </w:p>
    <w:p w14:paraId="4D8C35F4" w14:textId="77777777" w:rsidR="00C54271" w:rsidRDefault="00C54271" w:rsidP="00C54271">
      <w:pPr>
        <w:spacing w:before="0" w:after="160" w:line="259" w:lineRule="auto"/>
        <w:rPr>
          <w:rFonts w:ascii="PP Mori SemiBold" w:eastAsiaTheme="majorEastAsia" w:hAnsi="PP Mori SemiBold" w:cstheme="majorBidi"/>
          <w:color w:val="002C38" w:themeColor="accent1" w:themeShade="BF"/>
          <w:sz w:val="20"/>
          <w:szCs w:val="24"/>
        </w:rPr>
      </w:pPr>
      <w:r>
        <w:rPr>
          <w:rFonts w:ascii="PP Mori SemiBold" w:eastAsiaTheme="majorEastAsia" w:hAnsi="PP Mori SemiBold" w:cstheme="majorBidi"/>
          <w:color w:val="002C38" w:themeColor="accent1" w:themeShade="BF"/>
          <w:sz w:val="20"/>
          <w:szCs w:val="24"/>
        </w:rPr>
        <w:br w:type="page"/>
      </w:r>
    </w:p>
    <w:p w14:paraId="16FEA0D8" w14:textId="6B7B4DB6" w:rsidR="00C54271" w:rsidRPr="00D63C88" w:rsidRDefault="00C54271" w:rsidP="00D63C88">
      <w:pPr>
        <w:pStyle w:val="Heading2"/>
        <w:ind w:left="576"/>
        <w:rPr>
          <w:sz w:val="22"/>
          <w:szCs w:val="28"/>
        </w:rPr>
      </w:pPr>
      <w:bookmarkStart w:id="233" w:name="_Toc205243901"/>
      <w:bookmarkStart w:id="234" w:name="_Toc205532883"/>
      <w:r w:rsidRPr="00D63C88">
        <w:rPr>
          <w:sz w:val="22"/>
          <w:szCs w:val="28"/>
        </w:rPr>
        <w:lastRenderedPageBreak/>
        <w:t>PRIORITY 4: Recognise that activities focused on ‘keeping the lights on’ and ‘creating the future power system’ are equally necessary and require parallel paths of focus and effort.</w:t>
      </w:r>
      <w:bookmarkEnd w:id="233"/>
      <w:bookmarkEnd w:id="234"/>
      <w:r w:rsidRPr="00D63C88">
        <w:rPr>
          <w:sz w:val="22"/>
          <w:szCs w:val="28"/>
        </w:rPr>
        <w:t xml:space="preserve"> </w:t>
      </w:r>
    </w:p>
    <w:p w14:paraId="416D31B8" w14:textId="77777777" w:rsidR="00C54271" w:rsidRDefault="00C54271" w:rsidP="001D2B78">
      <w:r>
        <w:t xml:space="preserve">While the previous considerations may sound reasonable in theory, they are often quickly dismissed as impractical.  Most commonly, this is due to there being only one path of transformational activity.  Given that the immediate issues of ‘keeping the lights on’ will always take precedence, a practical outcome is that most change initiatives remain disproportionately focused on the nearer term.  Most also largely assume a model of extrapolating from the established legacy arrangements into the future.  While this may be entirely appropriate in a comparatively steady-state environment, it is largely incapable of effectively responding to large structural transformations. </w:t>
      </w:r>
    </w:p>
    <w:p w14:paraId="151942FA" w14:textId="527A62AB" w:rsidR="00C54271" w:rsidRDefault="00C54271" w:rsidP="001D2B78">
      <w:r>
        <w:t xml:space="preserve">Consistent with transition design theory and practice, navigating large structural transformations requires at least two simultaneous paths of focus and effort. Path 1 is the most familiar; it is where the necessary enhancements to the existing system continue to be made to enable it to keep operating in the near to medium term.  While not always well understood, a further purpose of Path 1 is to ‘buy time’ to address the more complex structural issues that impede longer-term solutions.  Given the scale of system change to which DSO and TDC models respond, Path 2 provides the context, processes and time in which all of the relevant matters may be collaboratively interrogated and scalable solutions developed.  Further high-value benefits of establishing parallel paths of activity include enabling several time horizons to be kept in focus and relevant learnings can be actively shared between the respective participants to the advantage of both paths.   </w:t>
      </w:r>
    </w:p>
    <w:p w14:paraId="052B3037" w14:textId="4F16A50E" w:rsidR="00C54271" w:rsidRPr="00D63C88" w:rsidRDefault="00C54271" w:rsidP="00D63C88">
      <w:pPr>
        <w:pStyle w:val="Heading2"/>
        <w:ind w:left="576"/>
        <w:rPr>
          <w:sz w:val="22"/>
          <w:szCs w:val="28"/>
        </w:rPr>
      </w:pPr>
      <w:bookmarkStart w:id="235" w:name="_Toc205243902"/>
      <w:bookmarkStart w:id="236" w:name="_Toc205532884"/>
      <w:r w:rsidRPr="00D63C88">
        <w:rPr>
          <w:sz w:val="22"/>
          <w:szCs w:val="28"/>
        </w:rPr>
        <w:t>PRIORITY 5: Accept that in times of profound transformation, there is no textbook, no perfect knowledge and no single entity with all the answers.</w:t>
      </w:r>
      <w:bookmarkEnd w:id="235"/>
      <w:bookmarkEnd w:id="236"/>
      <w:r w:rsidRPr="00D63C88">
        <w:rPr>
          <w:sz w:val="22"/>
          <w:szCs w:val="28"/>
        </w:rPr>
        <w:t xml:space="preserve">  </w:t>
      </w:r>
    </w:p>
    <w:p w14:paraId="64E554B7" w14:textId="77777777" w:rsidR="00C54271" w:rsidRDefault="00C54271" w:rsidP="001D2B78">
      <w:r>
        <w:t xml:space="preserve">A further challenge a times of profound transformation is that few if any established sources of knowledge exist to seamlessly guide the way to enduring solutions.  This is particularly unsettling in a century old sector providing an essential service, where many recurring activities are performed with algorithmic certainty and near perfect knowledge.  </w:t>
      </w:r>
    </w:p>
    <w:p w14:paraId="218D486B" w14:textId="74AF64FF" w:rsidR="00C54271" w:rsidRDefault="00C54271" w:rsidP="002B1300">
      <w:r>
        <w:t>An additional benefit of the parallel path approach outlined above is that is provides the environment for intensive shared learning, trial and error, and accelerated convergence on the most credible DSO and TDC design options.  In addition, System Architecture</w:t>
      </w:r>
      <w:r w:rsidRPr="000F597E">
        <w:t xml:space="preserve"> tools provide </w:t>
      </w:r>
      <w:r>
        <w:t>a valuable means</w:t>
      </w:r>
      <w:r w:rsidRPr="000F597E">
        <w:t xml:space="preserve"> for ‘taming’ the structural complexity of transforming </w:t>
      </w:r>
      <w:r>
        <w:t>p</w:t>
      </w:r>
      <w:r w:rsidRPr="000F597E">
        <w:t xml:space="preserve">ower </w:t>
      </w:r>
      <w:r>
        <w:t>s</w:t>
      </w:r>
      <w:r w:rsidRPr="000F597E">
        <w:t>ystems by providing multiple point</w:t>
      </w:r>
      <w:r>
        <w:t>s</w:t>
      </w:r>
      <w:r w:rsidRPr="000F597E">
        <w:t xml:space="preserve"> of view </w:t>
      </w:r>
      <w:r>
        <w:t xml:space="preserve">on key </w:t>
      </w:r>
      <w:r w:rsidRPr="000F597E">
        <w:t>system</w:t>
      </w:r>
      <w:r>
        <w:t>ic issues.</w:t>
      </w:r>
      <w:r w:rsidRPr="000F597E">
        <w:t xml:space="preserve">  This enables enhanced multi-stakeholder collaboration to identify critical issues and shortlist the most credible solutions, underpinned by a shared, trusted and evidence-based analytic framework.  </w:t>
      </w:r>
    </w:p>
    <w:p w14:paraId="441FED7D" w14:textId="707DB5A5" w:rsidR="00C54271" w:rsidRPr="00D63C88" w:rsidRDefault="00C54271" w:rsidP="00D63C88">
      <w:pPr>
        <w:pStyle w:val="Heading2"/>
        <w:ind w:left="576"/>
        <w:rPr>
          <w:sz w:val="22"/>
          <w:szCs w:val="28"/>
        </w:rPr>
      </w:pPr>
      <w:bookmarkStart w:id="237" w:name="_Toc205243903"/>
      <w:bookmarkStart w:id="238" w:name="_Toc205532885"/>
      <w:r w:rsidRPr="00D63C88">
        <w:rPr>
          <w:sz w:val="22"/>
          <w:szCs w:val="28"/>
        </w:rPr>
        <w:lastRenderedPageBreak/>
        <w:t>PRIORITY 6: Build sector-wide capacity for identifying and addressing structural constraints in addition to upgrading components and targeted enhancements.</w:t>
      </w:r>
      <w:bookmarkEnd w:id="237"/>
      <w:bookmarkEnd w:id="238"/>
      <w:r w:rsidRPr="00D63C88">
        <w:rPr>
          <w:sz w:val="22"/>
          <w:szCs w:val="28"/>
        </w:rPr>
        <w:t xml:space="preserve"> </w:t>
      </w:r>
    </w:p>
    <w:p w14:paraId="17E6AC3B" w14:textId="77777777" w:rsidR="00C54271" w:rsidRDefault="00C54271" w:rsidP="001D2B78">
      <w:r>
        <w:t xml:space="preserve">Although GW-scale power systems are some of humanity’s most complex systems, Systems Engineering and related disciplines developed over recent decades have not been widely applied in what was a comparatively steady state environment.  </w:t>
      </w:r>
    </w:p>
    <w:p w14:paraId="076A026B" w14:textId="77777777" w:rsidR="00C54271" w:rsidRPr="002F3CA7" w:rsidRDefault="00C54271" w:rsidP="001D2B78">
      <w:r>
        <w:t>As these capabilities are now increasingly required</w:t>
      </w:r>
      <w:r w:rsidRPr="000F597E">
        <w:t>, multi-stakeholder process</w:t>
      </w:r>
      <w:r>
        <w:t>es</w:t>
      </w:r>
      <w:r w:rsidRPr="000F597E">
        <w:t xml:space="preserve"> </w:t>
      </w:r>
      <w:r>
        <w:t>for</w:t>
      </w:r>
      <w:r w:rsidRPr="000F597E">
        <w:t xml:space="preserve"> mapping and documenting the ‘as built’ and plausible future </w:t>
      </w:r>
      <w:r>
        <w:t>structural arrangements</w:t>
      </w:r>
      <w:r w:rsidRPr="000F597E">
        <w:t xml:space="preserve"> of the NEM </w:t>
      </w:r>
      <w:r>
        <w:t xml:space="preserve">delivers tangible benefits and also enable the </w:t>
      </w:r>
      <w:r w:rsidRPr="000F597E">
        <w:t xml:space="preserve">upskilling </w:t>
      </w:r>
      <w:r>
        <w:t xml:space="preserve">of </w:t>
      </w:r>
      <w:r w:rsidRPr="000F597E">
        <w:t xml:space="preserve">industry </w:t>
      </w:r>
      <w:r>
        <w:t>participants.  A further benefit is that it enables the diverse</w:t>
      </w:r>
      <w:r w:rsidRPr="000F597E">
        <w:t xml:space="preserve"> entities working in </w:t>
      </w:r>
      <w:r>
        <w:t>different</w:t>
      </w:r>
      <w:r w:rsidRPr="000F597E">
        <w:t xml:space="preserve"> segments of the NEM </w:t>
      </w:r>
      <w:r>
        <w:t>to acquire</w:t>
      </w:r>
      <w:r w:rsidRPr="000F597E">
        <w:t xml:space="preserve"> a better comprehension of how their segment interfaces with the rest of the </w:t>
      </w:r>
      <w:r>
        <w:t xml:space="preserve">system.  </w:t>
      </w:r>
    </w:p>
    <w:p w14:paraId="08EB7214" w14:textId="1F76AAA1" w:rsidR="00C54271" w:rsidRPr="00D63C88" w:rsidRDefault="00C54271" w:rsidP="00D63C88">
      <w:pPr>
        <w:pStyle w:val="Heading2"/>
        <w:ind w:left="576"/>
        <w:rPr>
          <w:sz w:val="22"/>
          <w:szCs w:val="28"/>
        </w:rPr>
      </w:pPr>
      <w:bookmarkStart w:id="239" w:name="S_13_3_EstablishBroad"/>
      <w:bookmarkStart w:id="240" w:name="_Toc205243904"/>
      <w:bookmarkStart w:id="241" w:name="_Toc205532886"/>
      <w:r w:rsidRPr="00D63C88">
        <w:rPr>
          <w:sz w:val="22"/>
          <w:szCs w:val="28"/>
        </w:rPr>
        <w:t xml:space="preserve">PRIORITY 7: Establish a strategic and collaborative program of Systems Architecture </w:t>
      </w:r>
      <w:bookmarkEnd w:id="239"/>
      <w:r w:rsidRPr="00D63C88">
        <w:rPr>
          <w:sz w:val="22"/>
          <w:szCs w:val="28"/>
        </w:rPr>
        <w:t>development to underpin DSO, TDC and related NCERR initiatives</w:t>
      </w:r>
      <w:bookmarkEnd w:id="240"/>
      <w:bookmarkEnd w:id="241"/>
    </w:p>
    <w:p w14:paraId="4B842D60" w14:textId="078F643F" w:rsidR="00C54271" w:rsidRDefault="00C54271" w:rsidP="001D2B78">
      <w:r>
        <w:t>Given the structural context that underpins the development of DSO and TDC models, a</w:t>
      </w:r>
      <w:r w:rsidRPr="00767136">
        <w:t xml:space="preserve"> prerequisite to forward progress is a shared architectural vision. Fragmentation and conflicting assumptions about the future end</w:t>
      </w:r>
      <w:r>
        <w:t>-</w:t>
      </w:r>
      <w:r w:rsidRPr="00767136">
        <w:t>state</w:t>
      </w:r>
      <w:r>
        <w:t>, and esp</w:t>
      </w:r>
      <w:r w:rsidRPr="00767136">
        <w:t>ecially between</w:t>
      </w:r>
      <w:r>
        <w:t xml:space="preserve"> the alternate structural archetypes, r</w:t>
      </w:r>
      <w:r w:rsidRPr="00767136">
        <w:t>isks stalling operationalisation of scalable solutions. Stakeholders must collectively agree on the long-term architectural trajectory, recognising this as a dynamic but directional path.</w:t>
      </w:r>
      <w:r>
        <w:t xml:space="preserve">  </w:t>
      </w:r>
    </w:p>
    <w:p w14:paraId="28CD99FD" w14:textId="77777777" w:rsidR="00C54271" w:rsidRPr="00767136" w:rsidRDefault="00C54271" w:rsidP="001D2B78">
      <w:r>
        <w:t xml:space="preserve">The application of </w:t>
      </w:r>
      <w:r w:rsidRPr="00767136">
        <w:t xml:space="preserve">Model-Based Systems Engineering (MBSE) tools </w:t>
      </w:r>
      <w:r>
        <w:t xml:space="preserve">also provides a powerful complement that enables: </w:t>
      </w:r>
    </w:p>
    <w:p w14:paraId="729937C7" w14:textId="77777777" w:rsidR="00C54271" w:rsidRPr="00767136" w:rsidRDefault="00C54271" w:rsidP="00470C91">
      <w:pPr>
        <w:numPr>
          <w:ilvl w:val="0"/>
          <w:numId w:val="12"/>
        </w:numPr>
        <w:spacing w:before="120" w:after="0" w:line="259" w:lineRule="auto"/>
      </w:pPr>
      <w:r w:rsidRPr="00767136">
        <w:t>Visual and functional map</w:t>
      </w:r>
      <w:r>
        <w:t>ping of</w:t>
      </w:r>
      <w:r w:rsidRPr="00767136">
        <w:t xml:space="preserve"> system configurations</w:t>
      </w:r>
    </w:p>
    <w:p w14:paraId="7AFDC852" w14:textId="77777777" w:rsidR="00C54271" w:rsidRPr="00767136" w:rsidRDefault="00C54271" w:rsidP="00470C91">
      <w:pPr>
        <w:numPr>
          <w:ilvl w:val="0"/>
          <w:numId w:val="12"/>
        </w:numPr>
        <w:spacing w:before="120" w:after="0" w:line="259" w:lineRule="auto"/>
      </w:pPr>
      <w:r w:rsidRPr="00767136">
        <w:t>Simula</w:t>
      </w:r>
      <w:r>
        <w:t>tion of different roles, functions and system i</w:t>
      </w:r>
      <w:r w:rsidRPr="00767136">
        <w:t>nterface</w:t>
      </w:r>
      <w:r>
        <w:t xml:space="preserve"> relationships</w:t>
      </w:r>
    </w:p>
    <w:p w14:paraId="74FAFBE1" w14:textId="77777777" w:rsidR="00C54271" w:rsidRPr="00767136" w:rsidRDefault="00C54271" w:rsidP="00470C91">
      <w:pPr>
        <w:numPr>
          <w:ilvl w:val="0"/>
          <w:numId w:val="12"/>
        </w:numPr>
        <w:spacing w:before="120" w:after="0" w:line="259" w:lineRule="auto"/>
      </w:pPr>
      <w:r w:rsidRPr="00767136">
        <w:t>Clearly define</w:t>
      </w:r>
      <w:r>
        <w:t>d</w:t>
      </w:r>
      <w:r w:rsidRPr="00767136">
        <w:t xml:space="preserve"> structural configurations </w:t>
      </w:r>
      <w:r>
        <w:t xml:space="preserve">that may evolve over different </w:t>
      </w:r>
      <w:r w:rsidRPr="00767136">
        <w:t>time-horizons</w:t>
      </w:r>
    </w:p>
    <w:p w14:paraId="5B9DDDF3" w14:textId="77777777" w:rsidR="00C54271" w:rsidRPr="00767136" w:rsidRDefault="00C54271" w:rsidP="00470C91">
      <w:pPr>
        <w:numPr>
          <w:ilvl w:val="0"/>
          <w:numId w:val="12"/>
        </w:numPr>
        <w:spacing w:before="120" w:after="0" w:line="259" w:lineRule="auto"/>
      </w:pPr>
      <w:r w:rsidRPr="00767136">
        <w:t>Evaluate performance and scalability dimensions of alternate structural configurations.</w:t>
      </w:r>
    </w:p>
    <w:p w14:paraId="52588CD1" w14:textId="77777777" w:rsidR="00C54271" w:rsidRPr="00767136" w:rsidRDefault="00C54271" w:rsidP="001D2B78">
      <w:r w:rsidRPr="00767136">
        <w:t xml:space="preserve">Such approaches can bring rigour, traceability and collaborative </w:t>
      </w:r>
      <w:r>
        <w:t>insight</w:t>
      </w:r>
      <w:r w:rsidRPr="00767136">
        <w:t xml:space="preserve"> to what would otherwise be fragmented and ad hoc reform.</w:t>
      </w:r>
    </w:p>
    <w:p w14:paraId="2A1F0A17" w14:textId="41BFB32B" w:rsidR="00C54271" w:rsidRPr="00D63C88" w:rsidRDefault="00C54271" w:rsidP="00D63C88">
      <w:pPr>
        <w:pStyle w:val="Heading2"/>
        <w:ind w:left="578" w:hanging="578"/>
        <w:rPr>
          <w:sz w:val="22"/>
          <w:szCs w:val="28"/>
        </w:rPr>
      </w:pPr>
      <w:bookmarkStart w:id="242" w:name="_Toc204867678"/>
      <w:bookmarkStart w:id="243" w:name="_Toc205243905"/>
      <w:bookmarkStart w:id="244" w:name="_Toc205532887"/>
      <w:r w:rsidRPr="00D63C88">
        <w:rPr>
          <w:sz w:val="22"/>
          <w:szCs w:val="28"/>
        </w:rPr>
        <w:t>PRIORITY 8: Advance DSO &amp; TDC designs as interdependent structural enablers</w:t>
      </w:r>
      <w:bookmarkEnd w:id="229"/>
      <w:bookmarkEnd w:id="242"/>
      <w:bookmarkEnd w:id="243"/>
      <w:bookmarkEnd w:id="244"/>
    </w:p>
    <w:p w14:paraId="03D2D7DF" w14:textId="77777777" w:rsidR="00C54271" w:rsidRDefault="00C54271" w:rsidP="001D2B78">
      <w:r w:rsidRPr="00767136">
        <w:t xml:space="preserve">DSO and TDC model development and implementation should be treated as co-evolving constructs, not parallel or independent streams. TDC is the operational and structural </w:t>
      </w:r>
      <w:r>
        <w:t>‘</w:t>
      </w:r>
      <w:r w:rsidRPr="00767136">
        <w:t>connective tissue</w:t>
      </w:r>
      <w:r>
        <w:t>’</w:t>
      </w:r>
      <w:r w:rsidRPr="00767136">
        <w:t xml:space="preserve"> that enable</w:t>
      </w:r>
      <w:r>
        <w:t xml:space="preserve"> multiple</w:t>
      </w:r>
      <w:r w:rsidRPr="00767136">
        <w:t xml:space="preserve"> DSOs to effectively interface with </w:t>
      </w:r>
      <w:r>
        <w:t>the SO</w:t>
      </w:r>
      <w:r w:rsidRPr="00767136">
        <w:t xml:space="preserve"> and </w:t>
      </w:r>
      <w:r>
        <w:t xml:space="preserve">related </w:t>
      </w:r>
      <w:r w:rsidRPr="00767136">
        <w:t xml:space="preserve">markets. Conversely, emerging DSO capabilities form the observability </w:t>
      </w:r>
      <w:r>
        <w:t xml:space="preserve">and execution </w:t>
      </w:r>
      <w:r w:rsidRPr="00767136">
        <w:t xml:space="preserve">layer </w:t>
      </w:r>
      <w:r>
        <w:t>utilising</w:t>
      </w:r>
      <w:r w:rsidRPr="00767136">
        <w:t xml:space="preserve"> the </w:t>
      </w:r>
      <w:r w:rsidRPr="00767136">
        <w:lastRenderedPageBreak/>
        <w:t>TDC for joint system operation. Recognising this interdependence is essential for coherent policy design, regulatory reform, and technical architecture development.</w:t>
      </w:r>
    </w:p>
    <w:p w14:paraId="4AB02C60" w14:textId="5A163ADD" w:rsidR="00C54271" w:rsidRPr="00D63C88" w:rsidRDefault="00C54271" w:rsidP="00D63C88">
      <w:pPr>
        <w:pStyle w:val="Heading2"/>
        <w:ind w:left="576"/>
        <w:rPr>
          <w:sz w:val="22"/>
          <w:szCs w:val="28"/>
        </w:rPr>
      </w:pPr>
      <w:bookmarkStart w:id="245" w:name="_Toc205243906"/>
      <w:bookmarkStart w:id="246" w:name="_Toc205532888"/>
      <w:bookmarkStart w:id="247" w:name="_Toc204867679"/>
      <w:bookmarkStart w:id="248" w:name="S_13_2_FormaliseCoreTDC"/>
      <w:r w:rsidRPr="00D63C88">
        <w:rPr>
          <w:sz w:val="22"/>
          <w:szCs w:val="28"/>
        </w:rPr>
        <w:t>PRIORITY 9: Formalise DSO &amp; TDC roles using a structurally informed approach</w:t>
      </w:r>
      <w:bookmarkEnd w:id="245"/>
      <w:bookmarkEnd w:id="246"/>
      <w:r w:rsidRPr="00D63C88">
        <w:rPr>
          <w:sz w:val="22"/>
          <w:szCs w:val="28"/>
        </w:rPr>
        <w:t xml:space="preserve"> </w:t>
      </w:r>
      <w:bookmarkEnd w:id="247"/>
    </w:p>
    <w:bookmarkEnd w:id="248"/>
    <w:p w14:paraId="63A338B6" w14:textId="18301481" w:rsidR="00C54271" w:rsidRPr="00767136" w:rsidRDefault="00C54271" w:rsidP="001D2B78">
      <w:r w:rsidRPr="00767136">
        <w:t xml:space="preserve">To operationalise the </w:t>
      </w:r>
      <w:r>
        <w:t>core f</w:t>
      </w:r>
      <w:r w:rsidRPr="00767136">
        <w:t xml:space="preserve">unctions </w:t>
      </w:r>
      <w:r>
        <w:t>of both DSO and TDC models</w:t>
      </w:r>
      <w:r w:rsidRPr="00767136">
        <w:t xml:space="preserve">, a </w:t>
      </w:r>
      <w:r>
        <w:t>structurally informed</w:t>
      </w:r>
      <w:r w:rsidRPr="00767136">
        <w:t xml:space="preserve"> process is needed to assign specific roles and responsibilities </w:t>
      </w:r>
      <w:r>
        <w:t>in a manner that is</w:t>
      </w:r>
      <w:r w:rsidRPr="00767136">
        <w:t xml:space="preserve"> cognisant of </w:t>
      </w:r>
      <w:r>
        <w:t>operational interdependencies</w:t>
      </w:r>
      <w:r w:rsidRPr="00767136">
        <w:t xml:space="preserve"> over </w:t>
      </w:r>
      <w:r>
        <w:t>various</w:t>
      </w:r>
      <w:r w:rsidRPr="00767136">
        <w:t xml:space="preserve"> time-horizons. A rigorous, evidence-based methodology for functional role assignment should be employed together the appropriate tools for shared understanding and co</w:t>
      </w:r>
      <w:r>
        <w:t>design.</w:t>
      </w:r>
    </w:p>
    <w:p w14:paraId="07C39628" w14:textId="091BDD3F" w:rsidR="00C54271" w:rsidRPr="00D63C88" w:rsidRDefault="00C54271" w:rsidP="00D63C88">
      <w:pPr>
        <w:pStyle w:val="Heading2"/>
        <w:ind w:left="576"/>
        <w:rPr>
          <w:sz w:val="22"/>
          <w:szCs w:val="28"/>
        </w:rPr>
      </w:pPr>
      <w:bookmarkStart w:id="249" w:name="_Toc204867681"/>
      <w:bookmarkStart w:id="250" w:name="S_13_4_Distinguish"/>
      <w:bookmarkStart w:id="251" w:name="_Toc205243907"/>
      <w:bookmarkStart w:id="252" w:name="_Toc205532889"/>
      <w:r w:rsidRPr="00D63C88">
        <w:rPr>
          <w:sz w:val="22"/>
          <w:szCs w:val="28"/>
        </w:rPr>
        <w:t>PRIORITY 10: Distinguish between transitional and enduring DSO &amp; TDC structures and functions</w:t>
      </w:r>
      <w:bookmarkEnd w:id="249"/>
      <w:bookmarkEnd w:id="250"/>
      <w:bookmarkEnd w:id="251"/>
      <w:bookmarkEnd w:id="252"/>
    </w:p>
    <w:p w14:paraId="75642F8E" w14:textId="77777777" w:rsidR="00C54271" w:rsidRDefault="00C54271" w:rsidP="001D2B78">
      <w:r w:rsidRPr="00767136">
        <w:t>A critical design challenge lies in distinguishing</w:t>
      </w:r>
      <w:r>
        <w:t xml:space="preserve"> which DSO and TDC structures and </w:t>
      </w:r>
      <w:r w:rsidRPr="00767136">
        <w:t xml:space="preserve">functions are </w:t>
      </w:r>
      <w:r>
        <w:t xml:space="preserve">transitional – required to temporarily bridge current constraints - and which are enduring.  A ‘lease regrets’ </w:t>
      </w:r>
      <w:r w:rsidRPr="00767136">
        <w:t>approach should be applied</w:t>
      </w:r>
      <w:r>
        <w:t xml:space="preserve"> that f</w:t>
      </w:r>
      <w:r w:rsidRPr="00767136">
        <w:t>ocus</w:t>
      </w:r>
      <w:r>
        <w:t>es</w:t>
      </w:r>
      <w:r w:rsidRPr="00767136">
        <w:t xml:space="preserve"> on scalable, modular investments that enable future evolution</w:t>
      </w:r>
      <w:r>
        <w:t xml:space="preserve"> and adaptation.  </w:t>
      </w:r>
    </w:p>
    <w:p w14:paraId="2AFBC68C" w14:textId="1F814F2D" w:rsidR="00026B62" w:rsidRDefault="00C54271" w:rsidP="001D2B78">
      <w:r>
        <w:t xml:space="preserve">An advantage of this approach is that it avoids </w:t>
      </w:r>
      <w:r w:rsidRPr="00767136">
        <w:t>forcing premature convergence on role</w:t>
      </w:r>
      <w:r>
        <w:t xml:space="preserve"> assignments and/or </w:t>
      </w:r>
      <w:r w:rsidRPr="00767136">
        <w:t>embedding of systems</w:t>
      </w:r>
      <w:r>
        <w:t xml:space="preserve"> or </w:t>
      </w:r>
      <w:r w:rsidRPr="00767136">
        <w:t>particular technologies</w:t>
      </w:r>
      <w:r>
        <w:t xml:space="preserve"> in a manner that is difficult or impossible to reverse.  Identifying and a</w:t>
      </w:r>
      <w:r w:rsidRPr="00767136">
        <w:t xml:space="preserve">voiding over-investment in </w:t>
      </w:r>
      <w:r>
        <w:t xml:space="preserve">technology and/or structural options that will not efficiently scale is key </w:t>
      </w:r>
      <w:r w:rsidRPr="00767136">
        <w:t xml:space="preserve">preserving future optionality and </w:t>
      </w:r>
      <w:r>
        <w:t>avoiding stranded investments.</w:t>
      </w:r>
    </w:p>
    <w:p w14:paraId="36C68DEA" w14:textId="77777777" w:rsidR="001D2B78" w:rsidRDefault="001D2B78">
      <w:pPr>
        <w:spacing w:before="0" w:after="160" w:line="259" w:lineRule="auto"/>
        <w:rPr>
          <w:rFonts w:ascii="PP Mori SemiBold" w:eastAsiaTheme="majorEastAsia" w:hAnsi="PP Mori SemiBold" w:cstheme="majorBidi"/>
          <w:color w:val="013C4C" w:themeColor="text1"/>
          <w:sz w:val="32"/>
          <w:szCs w:val="40"/>
        </w:rPr>
      </w:pPr>
      <w:bookmarkStart w:id="253" w:name="_Toc191547174"/>
      <w:r>
        <w:br w:type="page"/>
      </w:r>
    </w:p>
    <w:p w14:paraId="317397E7" w14:textId="222D168B" w:rsidR="00BE34D8" w:rsidRPr="000338AB" w:rsidRDefault="00BE34D8" w:rsidP="00BE34D8">
      <w:pPr>
        <w:pStyle w:val="Heading1"/>
        <w:spacing w:line="288" w:lineRule="auto"/>
        <w:rPr>
          <w:lang w:val="en-GB"/>
        </w:rPr>
      </w:pPr>
      <w:bookmarkStart w:id="254" w:name="_Toc205532890"/>
      <w:bookmarkStart w:id="255" w:name="S_10"/>
      <w:r w:rsidRPr="000338AB">
        <w:lastRenderedPageBreak/>
        <w:t>Conclusion</w:t>
      </w:r>
      <w:bookmarkEnd w:id="253"/>
      <w:bookmarkEnd w:id="254"/>
    </w:p>
    <w:bookmarkEnd w:id="255"/>
    <w:p w14:paraId="20795078" w14:textId="74EC3276" w:rsidR="00CD5127" w:rsidRPr="00CD5127" w:rsidRDefault="00CD5127" w:rsidP="00CD5127">
      <w:pPr>
        <w:rPr>
          <w:lang w:val="en-GB"/>
        </w:rPr>
      </w:pPr>
      <w:r w:rsidRPr="00CD5127">
        <w:rPr>
          <w:lang w:val="en-GB"/>
        </w:rPr>
        <w:t>This report has examined the foundational role of</w:t>
      </w:r>
      <w:r w:rsidR="00F256E6">
        <w:rPr>
          <w:lang w:val="en-GB"/>
        </w:rPr>
        <w:t xml:space="preserve"> TDC</w:t>
      </w:r>
      <w:r w:rsidRPr="00CD5127">
        <w:rPr>
          <w:lang w:val="en-GB"/>
        </w:rPr>
        <w:t xml:space="preserve"> in supporting Australia’s evolving power system, particularly as increasing volumes of</w:t>
      </w:r>
      <w:r w:rsidR="00F256E6">
        <w:rPr>
          <w:lang w:val="en-GB"/>
        </w:rPr>
        <w:t xml:space="preserve"> CER/DER</w:t>
      </w:r>
      <w:r w:rsidRPr="00CD5127">
        <w:rPr>
          <w:lang w:val="en-GB"/>
        </w:rPr>
        <w:t xml:space="preserve">, VRE, and inverter-based technologies drive new demands for whole-system coordination. In doing so, it has identified both the technical underpinnings and strategic imperatives required to operationalise effective TDC </w:t>
      </w:r>
      <w:r w:rsidR="00172493">
        <w:rPr>
          <w:lang w:val="en-GB"/>
        </w:rPr>
        <w:t xml:space="preserve">coupled with maturing </w:t>
      </w:r>
      <w:r w:rsidRPr="00CD5127">
        <w:rPr>
          <w:lang w:val="en-GB"/>
        </w:rPr>
        <w:t>DSO functions.</w:t>
      </w:r>
    </w:p>
    <w:p w14:paraId="425C68C3" w14:textId="0FEFB40A" w:rsidR="00CD5127" w:rsidRPr="00CD5127" w:rsidRDefault="00CD5127" w:rsidP="00CD5127">
      <w:pPr>
        <w:rPr>
          <w:lang w:val="en-GB"/>
        </w:rPr>
      </w:pPr>
      <w:r w:rsidRPr="00CD5127">
        <w:rPr>
          <w:lang w:val="en-GB"/>
        </w:rPr>
        <w:t>Sections 5 and 6 established the technical scaffolding necessary for TDC design and implementation. Section 5 examined key architectural design considerations for enabling scalable, secure, and interoperable coordination across system layers, highlighting the critical role of standardised structures, information models, and multi-layered operational coordination frameworks. Section 6 then addressed the data and communications foundations, identifying the data requirements, data models, protocols, and cyber-physical communication infrastructure essential for reliable and scalable information exchange between transmission and distribution actors. Together, these sections present the critical cyber-physical enablers upon which practical TDC models must be built.</w:t>
      </w:r>
    </w:p>
    <w:p w14:paraId="25094485" w14:textId="71BF3302" w:rsidR="00CD5127" w:rsidRPr="00CD5127" w:rsidRDefault="00CD5127" w:rsidP="00CD5127">
      <w:pPr>
        <w:rPr>
          <w:lang w:val="en-GB"/>
        </w:rPr>
      </w:pPr>
      <w:r w:rsidRPr="00CD5127">
        <w:rPr>
          <w:lang w:val="en-GB"/>
        </w:rPr>
        <w:t xml:space="preserve">Building from these foundations, Section 7 articulated a </w:t>
      </w:r>
      <w:r w:rsidR="00DC5D72">
        <w:rPr>
          <w:lang w:val="en-GB"/>
        </w:rPr>
        <w:t>representative</w:t>
      </w:r>
      <w:r w:rsidRPr="00CD5127">
        <w:rPr>
          <w:lang w:val="en-GB"/>
        </w:rPr>
        <w:t xml:space="preserve"> </w:t>
      </w:r>
      <w:r w:rsidR="00DC5D72">
        <w:rPr>
          <w:lang w:val="en-GB"/>
        </w:rPr>
        <w:t>set</w:t>
      </w:r>
      <w:r w:rsidRPr="00CD5127">
        <w:rPr>
          <w:lang w:val="en-GB"/>
        </w:rPr>
        <w:t xml:space="preserve"> of Core Functions necessary to enable effective TDC across three primary domains: structural coordination, schedule coordination, and real-time operational coordination. Importantly, the report recognises that the implementation of these functions will evolve as DSO capabilities mature and as the system architecture progressively transitions from </w:t>
      </w:r>
      <w:r w:rsidR="00011FB8">
        <w:rPr>
          <w:lang w:val="en-GB"/>
        </w:rPr>
        <w:t>nearer-term</w:t>
      </w:r>
      <w:r w:rsidRPr="00CD5127">
        <w:rPr>
          <w:lang w:val="en-GB"/>
        </w:rPr>
        <w:t xml:space="preserve"> </w:t>
      </w:r>
      <w:r w:rsidR="0065334D">
        <w:rPr>
          <w:lang w:val="en-GB"/>
        </w:rPr>
        <w:t>Multi-entity</w:t>
      </w:r>
      <w:r w:rsidRPr="00CD5127">
        <w:rPr>
          <w:lang w:val="en-GB"/>
        </w:rPr>
        <w:t xml:space="preserve"> models toward </w:t>
      </w:r>
      <w:r w:rsidR="0065334D">
        <w:rPr>
          <w:lang w:val="en-GB"/>
        </w:rPr>
        <w:t>Layered Coordination</w:t>
      </w:r>
      <w:r w:rsidRPr="00CD5127">
        <w:rPr>
          <w:lang w:val="en-GB"/>
        </w:rPr>
        <w:t xml:space="preserve"> DSO frameworks. This functional framework provides a pathway to stage the implementation of TDC in ways that remain flexible to future system needs while addressing present operational imperatives.</w:t>
      </w:r>
    </w:p>
    <w:p w14:paraId="799EEDCA" w14:textId="392151CE" w:rsidR="00CD5127" w:rsidRPr="00CD5127" w:rsidRDefault="00CD5127" w:rsidP="00CD5127">
      <w:pPr>
        <w:rPr>
          <w:lang w:val="en-GB"/>
        </w:rPr>
      </w:pPr>
      <w:r w:rsidRPr="00CD5127">
        <w:rPr>
          <w:lang w:val="en-GB"/>
        </w:rPr>
        <w:t>Sections 8 and 9 then placed these functions into the broader context of system-level benefits, transformation risks, and actionable reform priorities. Section 8 demonstrated how well-implemented TDC delivers whole-of-system benefits that extend across societal objectives—supporting affordability, sustainability, dependability, equity, and adaptability—while simultaneously mitigating core systemic risks including structural operability challenges, strategic transformation risks, digitalisation and scalability risks, and sectoral coordination gaps. In doing so, it makes clear that TDC is not an isolated technical intervention, but rather a foundational enabler for system stability, investment efficiency, and long-term social license.</w:t>
      </w:r>
    </w:p>
    <w:p w14:paraId="09900CA0" w14:textId="3B5FB233" w:rsidR="00CD5127" w:rsidRPr="00CD5127" w:rsidRDefault="00CD5127" w:rsidP="00CD5127">
      <w:pPr>
        <w:rPr>
          <w:lang w:val="en-GB"/>
        </w:rPr>
      </w:pPr>
      <w:r w:rsidRPr="00CD5127">
        <w:rPr>
          <w:lang w:val="en-GB"/>
        </w:rPr>
        <w:t xml:space="preserve">Finally, Section 9 outlined a set of recommended priority actions to guide the operationalisation of </w:t>
      </w:r>
      <w:r w:rsidR="003B6953">
        <w:rPr>
          <w:lang w:val="en-GB"/>
        </w:rPr>
        <w:t xml:space="preserve">more advanced </w:t>
      </w:r>
      <w:r w:rsidRPr="00CD5127">
        <w:rPr>
          <w:lang w:val="en-GB"/>
        </w:rPr>
        <w:t xml:space="preserve">TDC. These recommendations call for the joint development of DSO and TDC functions as mutually dependent structural enablers, supported by formalised processes to assign roles and responsibilities using evidence-based methodologies. The report underscores the importance of achieving broad architectural consensus on system direction, and of adopting a least-regrets approach that differentiates between transitional coordination functions and those that must endure as the system matures. A critical paradigm shift is also recommended: to reconceive distribution networks as active operational generation zones from the perspective of the transmission system. To enable deliberate, transparent navigation of these transitions, the </w:t>
      </w:r>
      <w:r w:rsidRPr="00CD5127">
        <w:rPr>
          <w:lang w:val="en-GB"/>
        </w:rPr>
        <w:lastRenderedPageBreak/>
        <w:t>report advocates for the application of formal Systems Engineering practices and Model-Based Systems Engineering (MBSE) toolset</w:t>
      </w:r>
      <w:r w:rsidR="00EA50A2">
        <w:rPr>
          <w:lang w:val="en-GB"/>
        </w:rPr>
        <w:t>s</w:t>
      </w:r>
      <w:r w:rsidRPr="00CD5127">
        <w:rPr>
          <w:lang w:val="en-GB"/>
        </w:rPr>
        <w:t>, providing a means to map structural configurations, simulate evolutionary pathways, and evaluate key decision points collaboratively across stakeholders.</w:t>
      </w:r>
    </w:p>
    <w:p w14:paraId="3895C50F" w14:textId="77777777" w:rsidR="00CD5127" w:rsidRPr="00CD5127" w:rsidRDefault="00CD5127" w:rsidP="00CD5127">
      <w:pPr>
        <w:rPr>
          <w:lang w:val="en-GB"/>
        </w:rPr>
      </w:pPr>
      <w:r w:rsidRPr="00CD5127">
        <w:rPr>
          <w:lang w:val="en-GB"/>
        </w:rPr>
        <w:t>In sum, this report positions Transmission-Distribution Coordination not as a discrete policy choice, but as a structural imperative that sits at the centre of Australia's power system transformation. Its careful implementation will be essential to realising a decarbonised, resilient, and customer-centric electricity system capable of supporting the country’s net zero ambitions.</w:t>
      </w:r>
    </w:p>
    <w:p w14:paraId="53C7769E" w14:textId="4637E529" w:rsidR="00C75D5A" w:rsidRDefault="00C75D5A">
      <w:pPr>
        <w:spacing w:before="0" w:after="160" w:line="259" w:lineRule="auto"/>
        <w:rPr>
          <w:lang w:val="en-GB"/>
        </w:rPr>
      </w:pPr>
      <w:r>
        <w:rPr>
          <w:lang w:val="en-GB"/>
        </w:rPr>
        <w:br w:type="page"/>
      </w:r>
    </w:p>
    <w:bookmarkStart w:id="256" w:name="_Toc205532891" w:displacedByCustomXml="next"/>
    <w:sdt>
      <w:sdtPr>
        <w:rPr>
          <w:rFonts w:ascii="PP Mori" w:eastAsiaTheme="minorEastAsia" w:hAnsi="PP Mori" w:cstheme="minorBidi"/>
          <w:color w:val="auto"/>
          <w:sz w:val="18"/>
          <w:szCs w:val="18"/>
        </w:rPr>
        <w:id w:val="-2096231499"/>
        <w:docPartObj>
          <w:docPartGallery w:val="Bibliographies"/>
          <w:docPartUnique/>
        </w:docPartObj>
      </w:sdtPr>
      <w:sdtContent>
        <w:p w14:paraId="4C45BAE2" w14:textId="5E6FEC32" w:rsidR="0015573E" w:rsidRDefault="004F1539" w:rsidP="003F5C2F">
          <w:pPr>
            <w:pStyle w:val="Heading1"/>
            <w:numPr>
              <w:ilvl w:val="0"/>
              <w:numId w:val="0"/>
            </w:numPr>
          </w:pPr>
          <w:r w:rsidRPr="004F1539">
            <w:t>11</w:t>
          </w:r>
          <w:r w:rsidRPr="004F1539">
            <w:tab/>
          </w:r>
          <w:r w:rsidR="0015573E">
            <w:t>References</w:t>
          </w:r>
          <w:bookmarkEnd w:id="256"/>
        </w:p>
        <w:sdt>
          <w:sdtPr>
            <w:id w:val="-573587230"/>
            <w:bibliography/>
          </w:sdtPr>
          <w:sdtContent>
            <w:p w14:paraId="0357528D" w14:textId="77777777" w:rsidR="00E91535" w:rsidRDefault="0015573E" w:rsidP="003F5C2F">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7653"/>
              </w:tblGrid>
              <w:tr w:rsidR="00E91535" w14:paraId="44B7CD7F" w14:textId="77777777" w:rsidTr="00976ECC">
                <w:trPr>
                  <w:divId w:val="1121338252"/>
                  <w:tblCellSpacing w:w="15" w:type="dxa"/>
                </w:trPr>
                <w:tc>
                  <w:tcPr>
                    <w:tcW w:w="318" w:type="pct"/>
                    <w:hideMark/>
                  </w:tcPr>
                  <w:p w14:paraId="6E771DCD" w14:textId="7FBCA6C8" w:rsidR="00E91535" w:rsidRDefault="00E91535">
                    <w:pPr>
                      <w:pStyle w:val="Bibliography"/>
                      <w:rPr>
                        <w:noProof/>
                        <w:kern w:val="0"/>
                        <w:sz w:val="24"/>
                        <w:szCs w:val="24"/>
                        <w14:ligatures w14:val="none"/>
                      </w:rPr>
                    </w:pPr>
                    <w:r>
                      <w:rPr>
                        <w:noProof/>
                      </w:rPr>
                      <w:t xml:space="preserve">[1] </w:t>
                    </w:r>
                  </w:p>
                </w:tc>
                <w:tc>
                  <w:tcPr>
                    <w:tcW w:w="4628" w:type="pct"/>
                    <w:hideMark/>
                  </w:tcPr>
                  <w:p w14:paraId="6ABF3742" w14:textId="77777777" w:rsidR="00E91535" w:rsidRDefault="00E91535">
                    <w:pPr>
                      <w:pStyle w:val="Bibliography"/>
                      <w:rPr>
                        <w:noProof/>
                      </w:rPr>
                    </w:pPr>
                    <w:r>
                      <w:rPr>
                        <w:noProof/>
                      </w:rPr>
                      <w:t>IRENA, “Innovation Landscape Brief: Co-operation Between Transmission and Distribution System Operators,” 2020. [Online]. Available: https://www.irena.org/-/media/Files/IRENA/Agency/Publication/2020/Jul/IRENA_TSO-DSO_co-operation_2020.pdf?la=en&amp;hash=5D78444F4339DC130204A0F9A99A30753368AABC.</w:t>
                    </w:r>
                  </w:p>
                </w:tc>
              </w:tr>
              <w:tr w:rsidR="00E91535" w14:paraId="64B097A5" w14:textId="77777777" w:rsidTr="00976ECC">
                <w:trPr>
                  <w:divId w:val="1121338252"/>
                  <w:tblCellSpacing w:w="15" w:type="dxa"/>
                </w:trPr>
                <w:tc>
                  <w:tcPr>
                    <w:tcW w:w="318" w:type="pct"/>
                    <w:hideMark/>
                  </w:tcPr>
                  <w:p w14:paraId="5A5357E7" w14:textId="77777777" w:rsidR="00E91535" w:rsidRDefault="00E91535">
                    <w:pPr>
                      <w:pStyle w:val="Bibliography"/>
                      <w:rPr>
                        <w:noProof/>
                      </w:rPr>
                    </w:pPr>
                    <w:r>
                      <w:rPr>
                        <w:noProof/>
                      </w:rPr>
                      <w:t xml:space="preserve">[2] </w:t>
                    </w:r>
                  </w:p>
                </w:tc>
                <w:tc>
                  <w:tcPr>
                    <w:tcW w:w="4628" w:type="pct"/>
                    <w:hideMark/>
                  </w:tcPr>
                  <w:p w14:paraId="4A601FCB" w14:textId="77777777" w:rsidR="00E91535" w:rsidRDefault="00E91535">
                    <w:pPr>
                      <w:pStyle w:val="Bibliography"/>
                      <w:rPr>
                        <w:noProof/>
                      </w:rPr>
                    </w:pPr>
                    <w:r>
                      <w:rPr>
                        <w:noProof/>
                      </w:rPr>
                      <w:t>T. Krause, R. Ernst, B. Klaer, I. Hacker and M. Henze, “Cybersecurity in Power Grids: Challenges and Opportunities,” 16 September 2021. [Online]. Available: https://doi.org/10.3390/s21186225.</w:t>
                    </w:r>
                  </w:p>
                </w:tc>
              </w:tr>
              <w:tr w:rsidR="00E91535" w14:paraId="6AE20F49" w14:textId="77777777" w:rsidTr="00976ECC">
                <w:trPr>
                  <w:divId w:val="1121338252"/>
                  <w:tblCellSpacing w:w="15" w:type="dxa"/>
                </w:trPr>
                <w:tc>
                  <w:tcPr>
                    <w:tcW w:w="318" w:type="pct"/>
                    <w:hideMark/>
                  </w:tcPr>
                  <w:p w14:paraId="65B67A2B" w14:textId="77777777" w:rsidR="00E91535" w:rsidRDefault="00E91535">
                    <w:pPr>
                      <w:pStyle w:val="Bibliography"/>
                      <w:rPr>
                        <w:noProof/>
                      </w:rPr>
                    </w:pPr>
                    <w:r>
                      <w:rPr>
                        <w:noProof/>
                      </w:rPr>
                      <w:t xml:space="preserve">[3] </w:t>
                    </w:r>
                  </w:p>
                </w:tc>
                <w:tc>
                  <w:tcPr>
                    <w:tcW w:w="4628" w:type="pct"/>
                    <w:hideMark/>
                  </w:tcPr>
                  <w:p w14:paraId="2479ACAC" w14:textId="77777777" w:rsidR="00E91535" w:rsidRDefault="00E91535">
                    <w:pPr>
                      <w:pStyle w:val="Bibliography"/>
                      <w:rPr>
                        <w:noProof/>
                      </w:rPr>
                    </w:pPr>
                    <w:r>
                      <w:rPr>
                        <w:noProof/>
                      </w:rPr>
                      <w:t>US Department of Energy, “Cyber-Informed Engineering,” [Online]. Available: https://www.energy.gov/ceser/cyber-informed-engineering.</w:t>
                    </w:r>
                  </w:p>
                </w:tc>
              </w:tr>
              <w:tr w:rsidR="00E91535" w14:paraId="11431E05" w14:textId="77777777" w:rsidTr="00976ECC">
                <w:trPr>
                  <w:divId w:val="1121338252"/>
                  <w:tblCellSpacing w:w="15" w:type="dxa"/>
                </w:trPr>
                <w:tc>
                  <w:tcPr>
                    <w:tcW w:w="318" w:type="pct"/>
                    <w:hideMark/>
                  </w:tcPr>
                  <w:p w14:paraId="7D714453" w14:textId="77777777" w:rsidR="00E91535" w:rsidRDefault="00E91535">
                    <w:pPr>
                      <w:pStyle w:val="Bibliography"/>
                      <w:rPr>
                        <w:noProof/>
                      </w:rPr>
                    </w:pPr>
                    <w:r>
                      <w:rPr>
                        <w:noProof/>
                      </w:rPr>
                      <w:t xml:space="preserve">[4] </w:t>
                    </w:r>
                  </w:p>
                </w:tc>
                <w:tc>
                  <w:tcPr>
                    <w:tcW w:w="4628" w:type="pct"/>
                    <w:hideMark/>
                  </w:tcPr>
                  <w:p w14:paraId="7D571810" w14:textId="77777777" w:rsidR="00E91535" w:rsidRDefault="00E91535">
                    <w:pPr>
                      <w:pStyle w:val="Bibliography"/>
                      <w:rPr>
                        <w:noProof/>
                      </w:rPr>
                    </w:pPr>
                    <w:r>
                      <w:rPr>
                        <w:noProof/>
                      </w:rPr>
                      <w:t xml:space="preserve">CIGRE Working Group C2.40, “TSO-DSO Co-Operation Control Centre Tools Requirements,” </w:t>
                    </w:r>
                    <w:r>
                      <w:rPr>
                        <w:i/>
                        <w:iCs/>
                        <w:noProof/>
                      </w:rPr>
                      <w:t xml:space="preserve">CIGRE Technical Brochure, </w:t>
                    </w:r>
                    <w:r>
                      <w:rPr>
                        <w:noProof/>
                      </w:rPr>
                      <w:t xml:space="preserve">vol. Technical Brochure, no. 845, 2021. </w:t>
                    </w:r>
                  </w:p>
                </w:tc>
              </w:tr>
              <w:tr w:rsidR="00E91535" w14:paraId="77825B91" w14:textId="77777777" w:rsidTr="00976ECC">
                <w:trPr>
                  <w:divId w:val="1121338252"/>
                  <w:tblCellSpacing w:w="15" w:type="dxa"/>
                </w:trPr>
                <w:tc>
                  <w:tcPr>
                    <w:tcW w:w="318" w:type="pct"/>
                    <w:hideMark/>
                  </w:tcPr>
                  <w:p w14:paraId="56E35133" w14:textId="77777777" w:rsidR="00E91535" w:rsidRDefault="00E91535">
                    <w:pPr>
                      <w:pStyle w:val="Bibliography"/>
                      <w:rPr>
                        <w:noProof/>
                      </w:rPr>
                    </w:pPr>
                    <w:r>
                      <w:rPr>
                        <w:noProof/>
                      </w:rPr>
                      <w:t xml:space="preserve">[5] </w:t>
                    </w:r>
                  </w:p>
                </w:tc>
                <w:tc>
                  <w:tcPr>
                    <w:tcW w:w="4628" w:type="pct"/>
                    <w:hideMark/>
                  </w:tcPr>
                  <w:p w14:paraId="69AEF1E2" w14:textId="77777777" w:rsidR="00E91535" w:rsidRDefault="00E91535">
                    <w:pPr>
                      <w:pStyle w:val="Bibliography"/>
                      <w:rPr>
                        <w:noProof/>
                      </w:rPr>
                    </w:pPr>
                    <w:r>
                      <w:rPr>
                        <w:noProof/>
                      </w:rPr>
                      <w:t>Electric Power Research Institute, “Technical Update: TSO-DSO Coordination Functions for DER,” EPRI, 2022.</w:t>
                    </w:r>
                  </w:p>
                </w:tc>
              </w:tr>
              <w:tr w:rsidR="00E91535" w14:paraId="743E798A" w14:textId="77777777" w:rsidTr="00976ECC">
                <w:trPr>
                  <w:divId w:val="1121338252"/>
                  <w:tblCellSpacing w:w="15" w:type="dxa"/>
                </w:trPr>
                <w:tc>
                  <w:tcPr>
                    <w:tcW w:w="318" w:type="pct"/>
                    <w:hideMark/>
                  </w:tcPr>
                  <w:p w14:paraId="5EFFBC2A" w14:textId="77777777" w:rsidR="00E91535" w:rsidRDefault="00E91535">
                    <w:pPr>
                      <w:pStyle w:val="Bibliography"/>
                      <w:rPr>
                        <w:noProof/>
                      </w:rPr>
                    </w:pPr>
                    <w:r>
                      <w:rPr>
                        <w:noProof/>
                      </w:rPr>
                      <w:t xml:space="preserve">[6] </w:t>
                    </w:r>
                  </w:p>
                </w:tc>
                <w:tc>
                  <w:tcPr>
                    <w:tcW w:w="4628" w:type="pct"/>
                    <w:hideMark/>
                  </w:tcPr>
                  <w:p w14:paraId="13E28614" w14:textId="77777777" w:rsidR="00E91535" w:rsidRDefault="00E91535">
                    <w:pPr>
                      <w:pStyle w:val="Bibliography"/>
                      <w:rPr>
                        <w:noProof/>
                      </w:rPr>
                    </w:pPr>
                    <w:r>
                      <w:rPr>
                        <w:noProof/>
                      </w:rPr>
                      <w:t xml:space="preserve">Energy Networks Association, Primacy Rules for ESO/DNO Coordination – Increment 2, Open Networks Programme, Version 1.0, Oct. 2024. </w:t>
                    </w:r>
                  </w:p>
                </w:tc>
              </w:tr>
              <w:tr w:rsidR="00E91535" w14:paraId="3F42224C" w14:textId="77777777" w:rsidTr="00976ECC">
                <w:trPr>
                  <w:divId w:val="1121338252"/>
                  <w:tblCellSpacing w:w="15" w:type="dxa"/>
                </w:trPr>
                <w:tc>
                  <w:tcPr>
                    <w:tcW w:w="318" w:type="pct"/>
                    <w:hideMark/>
                  </w:tcPr>
                  <w:p w14:paraId="1BC99FE4" w14:textId="77777777" w:rsidR="00E91535" w:rsidRDefault="00E91535">
                    <w:pPr>
                      <w:pStyle w:val="Bibliography"/>
                      <w:rPr>
                        <w:noProof/>
                      </w:rPr>
                    </w:pPr>
                    <w:r>
                      <w:rPr>
                        <w:noProof/>
                      </w:rPr>
                      <w:t xml:space="preserve">[7] </w:t>
                    </w:r>
                  </w:p>
                </w:tc>
                <w:tc>
                  <w:tcPr>
                    <w:tcW w:w="4628" w:type="pct"/>
                    <w:hideMark/>
                  </w:tcPr>
                  <w:p w14:paraId="2107B1F1" w14:textId="77777777" w:rsidR="00E91535" w:rsidRDefault="00E91535">
                    <w:pPr>
                      <w:pStyle w:val="Bibliography"/>
                      <w:rPr>
                        <w:noProof/>
                      </w:rPr>
                    </w:pPr>
                    <w:r>
                      <w:rPr>
                        <w:noProof/>
                      </w:rPr>
                      <w:t xml:space="preserve">L. Thompson, Transmission-Distribution Coordination Working Group: IESO-Administered Markets Communication Interfaces, Independent Electricity System Operator, Ontario, Canda, April 2024. </w:t>
                    </w:r>
                  </w:p>
                </w:tc>
              </w:tr>
              <w:tr w:rsidR="00E91535" w14:paraId="09B0254C" w14:textId="77777777" w:rsidTr="00976ECC">
                <w:trPr>
                  <w:divId w:val="1121338252"/>
                  <w:tblCellSpacing w:w="15" w:type="dxa"/>
                </w:trPr>
                <w:tc>
                  <w:tcPr>
                    <w:tcW w:w="318" w:type="pct"/>
                    <w:hideMark/>
                  </w:tcPr>
                  <w:p w14:paraId="672A9CD7" w14:textId="77777777" w:rsidR="00E91535" w:rsidRDefault="00E91535">
                    <w:pPr>
                      <w:pStyle w:val="Bibliography"/>
                      <w:rPr>
                        <w:noProof/>
                      </w:rPr>
                    </w:pPr>
                    <w:r>
                      <w:rPr>
                        <w:noProof/>
                      </w:rPr>
                      <w:t xml:space="preserve">[8] </w:t>
                    </w:r>
                  </w:p>
                </w:tc>
                <w:tc>
                  <w:tcPr>
                    <w:tcW w:w="4628" w:type="pct"/>
                    <w:hideMark/>
                  </w:tcPr>
                  <w:p w14:paraId="68CFDF23" w14:textId="77777777" w:rsidR="00E91535" w:rsidRDefault="00E91535">
                    <w:pPr>
                      <w:pStyle w:val="Bibliography"/>
                      <w:rPr>
                        <w:noProof/>
                      </w:rPr>
                    </w:pPr>
                    <w:r>
                      <w:rPr>
                        <w:noProof/>
                      </w:rPr>
                      <w:t xml:space="preserve">P. De Martini, S. Patel and D. Kathan, TSO-DSO-Aggregator Market and Operational Coordination Requirements, U.S. Department of Energy, Office of Electricity, April 2024. </w:t>
                    </w:r>
                  </w:p>
                </w:tc>
              </w:tr>
              <w:tr w:rsidR="00E91535" w14:paraId="26EF6FBC" w14:textId="77777777" w:rsidTr="00976ECC">
                <w:trPr>
                  <w:divId w:val="1121338252"/>
                  <w:tblCellSpacing w:w="15" w:type="dxa"/>
                </w:trPr>
                <w:tc>
                  <w:tcPr>
                    <w:tcW w:w="318" w:type="pct"/>
                    <w:hideMark/>
                  </w:tcPr>
                  <w:p w14:paraId="45939772" w14:textId="77777777" w:rsidR="00E91535" w:rsidRDefault="00E91535">
                    <w:pPr>
                      <w:pStyle w:val="Bibliography"/>
                      <w:rPr>
                        <w:noProof/>
                      </w:rPr>
                    </w:pPr>
                    <w:r>
                      <w:rPr>
                        <w:noProof/>
                      </w:rPr>
                      <w:t xml:space="preserve">[9] </w:t>
                    </w:r>
                  </w:p>
                </w:tc>
                <w:tc>
                  <w:tcPr>
                    <w:tcW w:w="4628" w:type="pct"/>
                    <w:hideMark/>
                  </w:tcPr>
                  <w:p w14:paraId="4A25CB27" w14:textId="77777777" w:rsidR="00E91535" w:rsidRDefault="00E91535">
                    <w:pPr>
                      <w:pStyle w:val="Bibliography"/>
                      <w:rPr>
                        <w:noProof/>
                      </w:rPr>
                    </w:pPr>
                    <w:r>
                      <w:rPr>
                        <w:noProof/>
                      </w:rPr>
                      <w:t xml:space="preserve">A. Morch, G. Migliavacca, I. Kockar, H. Xu, J. M. Fernnandez Tecnalia and H. Gerard, Architectures for Optimised Interaction Between TSOs and DSOs: Compliance With The </w:t>
                    </w:r>
                    <w:r>
                      <w:rPr>
                        <w:noProof/>
                      </w:rPr>
                      <w:lastRenderedPageBreak/>
                      <w:t xml:space="preserve">Present Practice, Regulation And Roadmaps, 25th International Conference on Electricity Distribution, June, 2019. </w:t>
                    </w:r>
                  </w:p>
                </w:tc>
              </w:tr>
              <w:tr w:rsidR="00E91535" w14:paraId="2DB8AD32" w14:textId="77777777" w:rsidTr="00976ECC">
                <w:trPr>
                  <w:divId w:val="1121338252"/>
                  <w:tblCellSpacing w:w="15" w:type="dxa"/>
                </w:trPr>
                <w:tc>
                  <w:tcPr>
                    <w:tcW w:w="318" w:type="pct"/>
                    <w:hideMark/>
                  </w:tcPr>
                  <w:p w14:paraId="4A9E4D99" w14:textId="77777777" w:rsidR="00E91535" w:rsidRDefault="00E91535">
                    <w:pPr>
                      <w:pStyle w:val="Bibliography"/>
                      <w:rPr>
                        <w:noProof/>
                      </w:rPr>
                    </w:pPr>
                    <w:r>
                      <w:rPr>
                        <w:noProof/>
                      </w:rPr>
                      <w:lastRenderedPageBreak/>
                      <w:t xml:space="preserve">[10] </w:t>
                    </w:r>
                  </w:p>
                </w:tc>
                <w:tc>
                  <w:tcPr>
                    <w:tcW w:w="4628" w:type="pct"/>
                    <w:hideMark/>
                  </w:tcPr>
                  <w:p w14:paraId="3613B94E" w14:textId="77777777" w:rsidR="00E91535" w:rsidRDefault="00E91535">
                    <w:pPr>
                      <w:pStyle w:val="Bibliography"/>
                      <w:rPr>
                        <w:noProof/>
                      </w:rPr>
                    </w:pPr>
                    <w:r>
                      <w:rPr>
                        <w:noProof/>
                      </w:rPr>
                      <w:t xml:space="preserve">G. A. Council, A Practical Introduction to Common Grid Architecture Techniques, GridWise Architecture Council, April 2024. </w:t>
                    </w:r>
                  </w:p>
                </w:tc>
              </w:tr>
              <w:tr w:rsidR="00E91535" w14:paraId="26AFEED1" w14:textId="77777777" w:rsidTr="00976ECC">
                <w:trPr>
                  <w:divId w:val="1121338252"/>
                  <w:tblCellSpacing w:w="15" w:type="dxa"/>
                </w:trPr>
                <w:tc>
                  <w:tcPr>
                    <w:tcW w:w="318" w:type="pct"/>
                    <w:hideMark/>
                  </w:tcPr>
                  <w:p w14:paraId="20D9120F" w14:textId="77777777" w:rsidR="00E91535" w:rsidRDefault="00E91535">
                    <w:pPr>
                      <w:pStyle w:val="Bibliography"/>
                      <w:rPr>
                        <w:noProof/>
                      </w:rPr>
                    </w:pPr>
                    <w:r>
                      <w:rPr>
                        <w:noProof/>
                      </w:rPr>
                      <w:t xml:space="preserve">[11] </w:t>
                    </w:r>
                  </w:p>
                </w:tc>
                <w:tc>
                  <w:tcPr>
                    <w:tcW w:w="4628" w:type="pct"/>
                    <w:hideMark/>
                  </w:tcPr>
                  <w:p w14:paraId="42969A72" w14:textId="77777777" w:rsidR="00E91535" w:rsidRDefault="00E91535">
                    <w:pPr>
                      <w:pStyle w:val="Bibliography"/>
                      <w:rPr>
                        <w:noProof/>
                      </w:rPr>
                    </w:pPr>
                    <w:r>
                      <w:rPr>
                        <w:noProof/>
                      </w:rPr>
                      <w:t>Nederlandse Organisatie voor Toegepast Natuurwetenschappelijk Onderzoek (TNO), “Common Information Model Ontology Class Library,” [Online]. Available: https://ontology.tno.nl/IEC_CIM/.</w:t>
                    </w:r>
                  </w:p>
                </w:tc>
              </w:tr>
              <w:tr w:rsidR="00E91535" w14:paraId="091F1E93" w14:textId="77777777" w:rsidTr="00976ECC">
                <w:trPr>
                  <w:divId w:val="1121338252"/>
                  <w:tblCellSpacing w:w="15" w:type="dxa"/>
                </w:trPr>
                <w:tc>
                  <w:tcPr>
                    <w:tcW w:w="318" w:type="pct"/>
                    <w:hideMark/>
                  </w:tcPr>
                  <w:p w14:paraId="466994E1" w14:textId="77777777" w:rsidR="00E91535" w:rsidRDefault="00E91535">
                    <w:pPr>
                      <w:pStyle w:val="Bibliography"/>
                      <w:rPr>
                        <w:noProof/>
                      </w:rPr>
                    </w:pPr>
                    <w:r>
                      <w:rPr>
                        <w:noProof/>
                      </w:rPr>
                      <w:t xml:space="preserve">[12] </w:t>
                    </w:r>
                  </w:p>
                </w:tc>
                <w:tc>
                  <w:tcPr>
                    <w:tcW w:w="4628" w:type="pct"/>
                    <w:hideMark/>
                  </w:tcPr>
                  <w:p w14:paraId="5B81441E" w14:textId="77777777" w:rsidR="00E91535" w:rsidRDefault="00E91535">
                    <w:pPr>
                      <w:pStyle w:val="Bibliography"/>
                      <w:rPr>
                        <w:noProof/>
                      </w:rPr>
                    </w:pPr>
                    <w:r>
                      <w:rPr>
                        <w:noProof/>
                      </w:rPr>
                      <w:t xml:space="preserve">F. Marten, I. Hammermeister, J. Ringelstein, B. Requardt, and M. Braun, CIM CGMES-extensions for the TSO-DSO data exchange in the EU-project ‘TDX-ASSIST’, Kassel, Germany: Horizon 2020, 2019. </w:t>
                    </w:r>
                  </w:p>
                </w:tc>
              </w:tr>
              <w:tr w:rsidR="00E91535" w14:paraId="3275B38D" w14:textId="77777777" w:rsidTr="00976ECC">
                <w:trPr>
                  <w:divId w:val="1121338252"/>
                  <w:tblCellSpacing w:w="15" w:type="dxa"/>
                </w:trPr>
                <w:tc>
                  <w:tcPr>
                    <w:tcW w:w="318" w:type="pct"/>
                    <w:hideMark/>
                  </w:tcPr>
                  <w:p w14:paraId="09E4A18E" w14:textId="77777777" w:rsidR="00E91535" w:rsidRDefault="00E91535">
                    <w:pPr>
                      <w:pStyle w:val="Bibliography"/>
                      <w:rPr>
                        <w:noProof/>
                      </w:rPr>
                    </w:pPr>
                    <w:r>
                      <w:rPr>
                        <w:noProof/>
                      </w:rPr>
                      <w:t xml:space="preserve">[13] </w:t>
                    </w:r>
                  </w:p>
                </w:tc>
                <w:tc>
                  <w:tcPr>
                    <w:tcW w:w="4628" w:type="pct"/>
                    <w:hideMark/>
                  </w:tcPr>
                  <w:p w14:paraId="23168840" w14:textId="77777777" w:rsidR="00E91535" w:rsidRDefault="00E91535">
                    <w:pPr>
                      <w:pStyle w:val="Bibliography"/>
                      <w:rPr>
                        <w:noProof/>
                      </w:rPr>
                    </w:pPr>
                    <w:r>
                      <w:rPr>
                        <w:noProof/>
                      </w:rPr>
                      <w:t xml:space="preserve">A. Stokes, R. Das, T. Joseph, A. Aithal, C. Addison, D. Healey, C. Balrey and E. Horn, Flexibility Markets: Development and Implementation - TSO-DSO Coordination: The UK Case, ISGAN Annex 9, Energy Systems Catapult, Mar. 2022. </w:t>
                    </w:r>
                  </w:p>
                </w:tc>
              </w:tr>
              <w:tr w:rsidR="00E91535" w14:paraId="71B07B76" w14:textId="77777777" w:rsidTr="00976ECC">
                <w:trPr>
                  <w:divId w:val="1121338252"/>
                  <w:tblCellSpacing w:w="15" w:type="dxa"/>
                </w:trPr>
                <w:tc>
                  <w:tcPr>
                    <w:tcW w:w="318" w:type="pct"/>
                    <w:hideMark/>
                  </w:tcPr>
                  <w:p w14:paraId="6875F9D1" w14:textId="77777777" w:rsidR="00E91535" w:rsidRDefault="00E91535">
                    <w:pPr>
                      <w:pStyle w:val="Bibliography"/>
                      <w:rPr>
                        <w:noProof/>
                      </w:rPr>
                    </w:pPr>
                    <w:r>
                      <w:rPr>
                        <w:noProof/>
                      </w:rPr>
                      <w:t xml:space="preserve">[14] </w:t>
                    </w:r>
                  </w:p>
                </w:tc>
                <w:tc>
                  <w:tcPr>
                    <w:tcW w:w="4628" w:type="pct"/>
                    <w:hideMark/>
                  </w:tcPr>
                  <w:p w14:paraId="10FDBFB7" w14:textId="77777777" w:rsidR="00E91535" w:rsidRDefault="00E91535">
                    <w:pPr>
                      <w:pStyle w:val="Bibliography"/>
                      <w:rPr>
                        <w:noProof/>
                      </w:rPr>
                    </w:pPr>
                    <w:r>
                      <w:rPr>
                        <w:noProof/>
                      </w:rPr>
                      <w:t xml:space="preserve">J. Kamsamrong and S. Lehnhoff, Aggregators in Digitalised Power Systems: How can Aggregators Improve the TSO-DSO-Customer Coordination in Digitalised Power Systems?, ISGAN Working Group 6, July 2024. </w:t>
                    </w:r>
                  </w:p>
                </w:tc>
              </w:tr>
              <w:tr w:rsidR="00E91535" w14:paraId="17149DDA" w14:textId="77777777" w:rsidTr="00976ECC">
                <w:trPr>
                  <w:divId w:val="1121338252"/>
                  <w:tblCellSpacing w:w="15" w:type="dxa"/>
                </w:trPr>
                <w:tc>
                  <w:tcPr>
                    <w:tcW w:w="318" w:type="pct"/>
                    <w:hideMark/>
                  </w:tcPr>
                  <w:p w14:paraId="1A7D4F9C" w14:textId="77777777" w:rsidR="00E91535" w:rsidRDefault="00E91535">
                    <w:pPr>
                      <w:pStyle w:val="Bibliography"/>
                      <w:rPr>
                        <w:noProof/>
                      </w:rPr>
                    </w:pPr>
                    <w:r>
                      <w:rPr>
                        <w:noProof/>
                      </w:rPr>
                      <w:t xml:space="preserve">[15] </w:t>
                    </w:r>
                  </w:p>
                </w:tc>
                <w:tc>
                  <w:tcPr>
                    <w:tcW w:w="4628" w:type="pct"/>
                    <w:hideMark/>
                  </w:tcPr>
                  <w:p w14:paraId="5463E352" w14:textId="77777777" w:rsidR="00E91535" w:rsidRDefault="00E91535">
                    <w:pPr>
                      <w:pStyle w:val="Bibliography"/>
                      <w:rPr>
                        <w:noProof/>
                      </w:rPr>
                    </w:pPr>
                    <w:r>
                      <w:rPr>
                        <w:noProof/>
                      </w:rPr>
                      <w:t xml:space="preserve">B. Herndler, C. Evrenosoglu, G. Migliavacca, H. Gerard, I. Vilgan, J. C. Ávila, K. Kessels, M. Rossi, P. Lo and S. Wong, Power Transmission &amp; Distribution Systems: Flexibility Harvesting and Its Impact on Stakeholder Interaction, ISGAN Working Group 6, Dec. 2022. </w:t>
                    </w:r>
                  </w:p>
                </w:tc>
              </w:tr>
              <w:tr w:rsidR="00E91535" w14:paraId="6EE68176" w14:textId="77777777" w:rsidTr="00976ECC">
                <w:trPr>
                  <w:divId w:val="1121338252"/>
                  <w:tblCellSpacing w:w="15" w:type="dxa"/>
                </w:trPr>
                <w:tc>
                  <w:tcPr>
                    <w:tcW w:w="318" w:type="pct"/>
                    <w:hideMark/>
                  </w:tcPr>
                  <w:p w14:paraId="0CF87E9A" w14:textId="77777777" w:rsidR="00E91535" w:rsidRDefault="00E91535">
                    <w:pPr>
                      <w:pStyle w:val="Bibliography"/>
                      <w:rPr>
                        <w:noProof/>
                      </w:rPr>
                    </w:pPr>
                    <w:r>
                      <w:rPr>
                        <w:noProof/>
                      </w:rPr>
                      <w:t xml:space="preserve">[16] </w:t>
                    </w:r>
                  </w:p>
                </w:tc>
                <w:tc>
                  <w:tcPr>
                    <w:tcW w:w="4628" w:type="pct"/>
                    <w:hideMark/>
                  </w:tcPr>
                  <w:p w14:paraId="341D9B95" w14:textId="77777777" w:rsidR="00E91535" w:rsidRDefault="00E91535">
                    <w:pPr>
                      <w:pStyle w:val="Bibliography"/>
                      <w:rPr>
                        <w:noProof/>
                      </w:rPr>
                    </w:pPr>
                    <w:r>
                      <w:rPr>
                        <w:noProof/>
                      </w:rPr>
                      <w:t xml:space="preserve">IRENA, Innovation landscape brief: Future role of distribution system operators, Abu Dhabi: International Renewable Energy Agency, 2019. </w:t>
                    </w:r>
                  </w:p>
                </w:tc>
              </w:tr>
              <w:tr w:rsidR="00E91535" w14:paraId="789FF859" w14:textId="77777777" w:rsidTr="00976ECC">
                <w:trPr>
                  <w:divId w:val="1121338252"/>
                  <w:tblCellSpacing w:w="15" w:type="dxa"/>
                </w:trPr>
                <w:tc>
                  <w:tcPr>
                    <w:tcW w:w="318" w:type="pct"/>
                    <w:hideMark/>
                  </w:tcPr>
                  <w:p w14:paraId="1C018002" w14:textId="77777777" w:rsidR="00E91535" w:rsidRDefault="00E91535">
                    <w:pPr>
                      <w:pStyle w:val="Bibliography"/>
                      <w:rPr>
                        <w:noProof/>
                      </w:rPr>
                    </w:pPr>
                    <w:r>
                      <w:rPr>
                        <w:noProof/>
                      </w:rPr>
                      <w:t xml:space="preserve">[17] </w:t>
                    </w:r>
                  </w:p>
                </w:tc>
                <w:tc>
                  <w:tcPr>
                    <w:tcW w:w="4628" w:type="pct"/>
                    <w:hideMark/>
                  </w:tcPr>
                  <w:p w14:paraId="00989530" w14:textId="77777777" w:rsidR="00E91535" w:rsidRDefault="00E91535">
                    <w:pPr>
                      <w:pStyle w:val="Bibliography"/>
                      <w:rPr>
                        <w:noProof/>
                      </w:rPr>
                    </w:pPr>
                    <w:r>
                      <w:rPr>
                        <w:noProof/>
                      </w:rPr>
                      <w:t xml:space="preserve">P. D. Martini, S. Succar and P. Cook, Sourcing Distributed Energy Resources for Distribution Grid Services, U.S. Department of Energy, Office of Electricity, Dec. 2024. </w:t>
                    </w:r>
                  </w:p>
                </w:tc>
              </w:tr>
              <w:tr w:rsidR="00E91535" w14:paraId="3A93006D" w14:textId="77777777" w:rsidTr="00976ECC">
                <w:trPr>
                  <w:divId w:val="1121338252"/>
                  <w:tblCellSpacing w:w="15" w:type="dxa"/>
                </w:trPr>
                <w:tc>
                  <w:tcPr>
                    <w:tcW w:w="318" w:type="pct"/>
                    <w:hideMark/>
                  </w:tcPr>
                  <w:p w14:paraId="2C076B17" w14:textId="77777777" w:rsidR="00E91535" w:rsidRDefault="00E91535">
                    <w:pPr>
                      <w:pStyle w:val="Bibliography"/>
                      <w:rPr>
                        <w:noProof/>
                      </w:rPr>
                    </w:pPr>
                    <w:r>
                      <w:rPr>
                        <w:noProof/>
                      </w:rPr>
                      <w:t xml:space="preserve">[18] </w:t>
                    </w:r>
                  </w:p>
                </w:tc>
                <w:tc>
                  <w:tcPr>
                    <w:tcW w:w="4628" w:type="pct"/>
                    <w:hideMark/>
                  </w:tcPr>
                  <w:p w14:paraId="33A42101" w14:textId="77777777" w:rsidR="00E91535" w:rsidRDefault="00E91535">
                    <w:pPr>
                      <w:pStyle w:val="Bibliography"/>
                      <w:rPr>
                        <w:noProof/>
                      </w:rPr>
                    </w:pPr>
                    <w:r>
                      <w:rPr>
                        <w:noProof/>
                      </w:rPr>
                      <w:t xml:space="preserve">A. Golriz and N. Omran, T-D Coordination to Support Reliable Performance of BPS with DER Integration, Ontario, Canada: Independent Electricity System Operator, Dec. 2023. </w:t>
                    </w:r>
                  </w:p>
                </w:tc>
              </w:tr>
              <w:tr w:rsidR="00E91535" w14:paraId="008A4657" w14:textId="77777777" w:rsidTr="00976ECC">
                <w:trPr>
                  <w:divId w:val="1121338252"/>
                  <w:tblCellSpacing w:w="15" w:type="dxa"/>
                </w:trPr>
                <w:tc>
                  <w:tcPr>
                    <w:tcW w:w="318" w:type="pct"/>
                    <w:hideMark/>
                  </w:tcPr>
                  <w:p w14:paraId="34842001" w14:textId="77777777" w:rsidR="00E91535" w:rsidRDefault="00E91535">
                    <w:pPr>
                      <w:pStyle w:val="Bibliography"/>
                      <w:rPr>
                        <w:noProof/>
                      </w:rPr>
                    </w:pPr>
                    <w:r>
                      <w:rPr>
                        <w:noProof/>
                      </w:rPr>
                      <w:lastRenderedPageBreak/>
                      <w:t xml:space="preserve">[19] </w:t>
                    </w:r>
                  </w:p>
                </w:tc>
                <w:tc>
                  <w:tcPr>
                    <w:tcW w:w="4628" w:type="pct"/>
                    <w:hideMark/>
                  </w:tcPr>
                  <w:p w14:paraId="4BCC8800" w14:textId="77777777" w:rsidR="00E91535" w:rsidRDefault="00E91535">
                    <w:pPr>
                      <w:pStyle w:val="Bibliography"/>
                      <w:rPr>
                        <w:noProof/>
                      </w:rPr>
                    </w:pPr>
                    <w:r>
                      <w:rPr>
                        <w:noProof/>
                      </w:rPr>
                      <w:t xml:space="preserve">CEER, Paper on DSO Data Exchange Relating to Flexibility and NRAs’ Role, Brussels, Belgium, 2024. </w:t>
                    </w:r>
                  </w:p>
                </w:tc>
              </w:tr>
              <w:tr w:rsidR="00E91535" w14:paraId="7A68546D" w14:textId="77777777" w:rsidTr="00976ECC">
                <w:trPr>
                  <w:divId w:val="1121338252"/>
                  <w:tblCellSpacing w:w="15" w:type="dxa"/>
                </w:trPr>
                <w:tc>
                  <w:tcPr>
                    <w:tcW w:w="318" w:type="pct"/>
                    <w:hideMark/>
                  </w:tcPr>
                  <w:p w14:paraId="53B91F04" w14:textId="77777777" w:rsidR="00E91535" w:rsidRDefault="00E91535">
                    <w:pPr>
                      <w:pStyle w:val="Bibliography"/>
                      <w:rPr>
                        <w:noProof/>
                      </w:rPr>
                    </w:pPr>
                    <w:r>
                      <w:rPr>
                        <w:noProof/>
                      </w:rPr>
                      <w:t xml:space="preserve">[20] </w:t>
                    </w:r>
                  </w:p>
                </w:tc>
                <w:tc>
                  <w:tcPr>
                    <w:tcW w:w="4628" w:type="pct"/>
                    <w:hideMark/>
                  </w:tcPr>
                  <w:p w14:paraId="7FE7CB1F" w14:textId="77777777" w:rsidR="00E91535" w:rsidRDefault="00E91535">
                    <w:pPr>
                      <w:pStyle w:val="Bibliography"/>
                      <w:rPr>
                        <w:noProof/>
                      </w:rPr>
                    </w:pPr>
                    <w:r>
                      <w:rPr>
                        <w:noProof/>
                      </w:rPr>
                      <w:t xml:space="preserve">IRENA, Innovation Landscape Brief: Co-Operation Between Transmission and Distribution System Operators, Abu Dhabi: International Renewable Energy Agency, 2020. </w:t>
                    </w:r>
                  </w:p>
                </w:tc>
              </w:tr>
              <w:tr w:rsidR="00E91535" w14:paraId="5747684B" w14:textId="77777777" w:rsidTr="00976ECC">
                <w:trPr>
                  <w:divId w:val="1121338252"/>
                  <w:tblCellSpacing w:w="15" w:type="dxa"/>
                </w:trPr>
                <w:tc>
                  <w:tcPr>
                    <w:tcW w:w="318" w:type="pct"/>
                    <w:hideMark/>
                  </w:tcPr>
                  <w:p w14:paraId="0F7BD6A8" w14:textId="77777777" w:rsidR="00E91535" w:rsidRDefault="00E91535">
                    <w:pPr>
                      <w:pStyle w:val="Bibliography"/>
                      <w:rPr>
                        <w:noProof/>
                      </w:rPr>
                    </w:pPr>
                    <w:r>
                      <w:rPr>
                        <w:noProof/>
                      </w:rPr>
                      <w:t xml:space="preserve">[21] </w:t>
                    </w:r>
                  </w:p>
                </w:tc>
                <w:tc>
                  <w:tcPr>
                    <w:tcW w:w="4628" w:type="pct"/>
                    <w:hideMark/>
                  </w:tcPr>
                  <w:p w14:paraId="1CE6A4A7" w14:textId="77777777" w:rsidR="00E91535" w:rsidRDefault="00E91535">
                    <w:pPr>
                      <w:pStyle w:val="Bibliography"/>
                      <w:rPr>
                        <w:noProof/>
                      </w:rPr>
                    </w:pPr>
                    <w:r>
                      <w:rPr>
                        <w:noProof/>
                      </w:rPr>
                      <w:t>MISO, “Distribution System Operators (DSOs) &amp; MISO Market Interactions,” 18 November 2024. [Online]. Available: https://cdn.misoenergy.org/20241118%20DERTF%20Item%2004%20Distribution%20System%20Operators_Camus661034.pdf#:~:text=DSO%20Role%201,for%20DERs%20between%20utility%20and.</w:t>
                    </w:r>
                  </w:p>
                </w:tc>
              </w:tr>
              <w:tr w:rsidR="00E91535" w14:paraId="63270116" w14:textId="77777777" w:rsidTr="00976ECC">
                <w:trPr>
                  <w:divId w:val="1121338252"/>
                  <w:tblCellSpacing w:w="15" w:type="dxa"/>
                </w:trPr>
                <w:tc>
                  <w:tcPr>
                    <w:tcW w:w="318" w:type="pct"/>
                    <w:hideMark/>
                  </w:tcPr>
                  <w:p w14:paraId="6978E5FA" w14:textId="77777777" w:rsidR="00E91535" w:rsidRDefault="00E91535">
                    <w:pPr>
                      <w:pStyle w:val="Bibliography"/>
                      <w:rPr>
                        <w:noProof/>
                      </w:rPr>
                    </w:pPr>
                    <w:r>
                      <w:rPr>
                        <w:noProof/>
                      </w:rPr>
                      <w:t xml:space="preserve">[22] </w:t>
                    </w:r>
                  </w:p>
                </w:tc>
                <w:tc>
                  <w:tcPr>
                    <w:tcW w:w="4628" w:type="pct"/>
                    <w:hideMark/>
                  </w:tcPr>
                  <w:p w14:paraId="5E1B94C4" w14:textId="77777777" w:rsidR="00E91535" w:rsidRDefault="00E91535">
                    <w:pPr>
                      <w:pStyle w:val="Bibliography"/>
                      <w:rPr>
                        <w:noProof/>
                      </w:rPr>
                    </w:pPr>
                    <w:r>
                      <w:rPr>
                        <w:noProof/>
                      </w:rPr>
                      <w:t>smartEn, “Data Exchanges for the System Integration of COnsumers: Assessment of Available Standars and Protocols,” May 2023. [Online]. Available: https://smarten.eu/wp-content/uploads/2023/06/smartEn-Standards-mapping-position-paper_final.pdf.</w:t>
                    </w:r>
                  </w:p>
                </w:tc>
              </w:tr>
              <w:tr w:rsidR="00E91535" w14:paraId="01CAAFC5" w14:textId="77777777" w:rsidTr="00976ECC">
                <w:trPr>
                  <w:divId w:val="1121338252"/>
                  <w:tblCellSpacing w:w="15" w:type="dxa"/>
                </w:trPr>
                <w:tc>
                  <w:tcPr>
                    <w:tcW w:w="318" w:type="pct"/>
                    <w:hideMark/>
                  </w:tcPr>
                  <w:p w14:paraId="6A6199AF" w14:textId="77777777" w:rsidR="00E91535" w:rsidRDefault="00E91535">
                    <w:pPr>
                      <w:pStyle w:val="Bibliography"/>
                      <w:rPr>
                        <w:noProof/>
                      </w:rPr>
                    </w:pPr>
                    <w:r>
                      <w:rPr>
                        <w:noProof/>
                      </w:rPr>
                      <w:t xml:space="preserve">[23] </w:t>
                    </w:r>
                  </w:p>
                </w:tc>
                <w:tc>
                  <w:tcPr>
                    <w:tcW w:w="4628" w:type="pct"/>
                    <w:hideMark/>
                  </w:tcPr>
                  <w:p w14:paraId="3D51AF9B" w14:textId="77777777" w:rsidR="00E91535" w:rsidRDefault="00E91535">
                    <w:pPr>
                      <w:pStyle w:val="Bibliography"/>
                      <w:rPr>
                        <w:noProof/>
                      </w:rPr>
                    </w:pPr>
                    <w:r>
                      <w:rPr>
                        <w:noProof/>
                      </w:rPr>
                      <w:t>ESB Networks, “Signals &amp; Data Exchange Guidance for DER,” 23 September 2021. [Online]. Available: https://www.esbnetworks.ie/docs/default-source/publications/esb-networks-national-network-local-connections-programme-signal-data-exchange-roadmap.pdf?sfvrsn=8774badc_12.</w:t>
                    </w:r>
                  </w:p>
                </w:tc>
              </w:tr>
              <w:tr w:rsidR="00E91535" w14:paraId="39524DAA" w14:textId="77777777" w:rsidTr="00976ECC">
                <w:trPr>
                  <w:divId w:val="1121338252"/>
                  <w:tblCellSpacing w:w="15" w:type="dxa"/>
                </w:trPr>
                <w:tc>
                  <w:tcPr>
                    <w:tcW w:w="318" w:type="pct"/>
                    <w:hideMark/>
                  </w:tcPr>
                  <w:p w14:paraId="57C5BF9A" w14:textId="77777777" w:rsidR="00E91535" w:rsidRDefault="00E91535">
                    <w:pPr>
                      <w:pStyle w:val="Bibliography"/>
                      <w:rPr>
                        <w:noProof/>
                      </w:rPr>
                    </w:pPr>
                    <w:r>
                      <w:rPr>
                        <w:noProof/>
                      </w:rPr>
                      <w:t xml:space="preserve">[24] </w:t>
                    </w:r>
                  </w:p>
                </w:tc>
                <w:tc>
                  <w:tcPr>
                    <w:tcW w:w="4628" w:type="pct"/>
                    <w:hideMark/>
                  </w:tcPr>
                  <w:p w14:paraId="58546923" w14:textId="77777777" w:rsidR="00E91535" w:rsidRDefault="00E91535">
                    <w:pPr>
                      <w:pStyle w:val="Bibliography"/>
                      <w:rPr>
                        <w:noProof/>
                      </w:rPr>
                    </w:pPr>
                    <w:r>
                      <w:rPr>
                        <w:noProof/>
                      </w:rPr>
                      <w:t>QualityLogic, “Is IEEE 2030.5 THE DER Protocol? - GridEdge Intelligence Mini Forum,” 25 May 2021. [Online]. Available: https://www.qualitylogic.com/wp-content/uploads/2021/05/GEI-Mini-Forum-2030.5.pdf.</w:t>
                    </w:r>
                  </w:p>
                </w:tc>
              </w:tr>
              <w:tr w:rsidR="00E91535" w14:paraId="5E00BAF8" w14:textId="77777777" w:rsidTr="00976ECC">
                <w:trPr>
                  <w:divId w:val="1121338252"/>
                  <w:tblCellSpacing w:w="15" w:type="dxa"/>
                </w:trPr>
                <w:tc>
                  <w:tcPr>
                    <w:tcW w:w="318" w:type="pct"/>
                    <w:hideMark/>
                  </w:tcPr>
                  <w:p w14:paraId="257A4674" w14:textId="77777777" w:rsidR="00E91535" w:rsidRDefault="00E91535">
                    <w:pPr>
                      <w:pStyle w:val="Bibliography"/>
                      <w:rPr>
                        <w:noProof/>
                      </w:rPr>
                    </w:pPr>
                    <w:r>
                      <w:rPr>
                        <w:noProof/>
                      </w:rPr>
                      <w:t xml:space="preserve">[25] </w:t>
                    </w:r>
                  </w:p>
                </w:tc>
                <w:tc>
                  <w:tcPr>
                    <w:tcW w:w="4628" w:type="pct"/>
                    <w:hideMark/>
                  </w:tcPr>
                  <w:p w14:paraId="5EEDA5DB" w14:textId="77777777" w:rsidR="00E91535" w:rsidRDefault="00E91535">
                    <w:pPr>
                      <w:pStyle w:val="Bibliography"/>
                      <w:rPr>
                        <w:noProof/>
                      </w:rPr>
                    </w:pPr>
                    <w:r>
                      <w:rPr>
                        <w:noProof/>
                      </w:rPr>
                      <w:t>AEMO, “Project EDGE - Public Interim Report,” June 2022. [Online]. Available: https://aemo.com.au/-/media/files/initiatives/der/2022/public-interim-report.pdf?la=en&amp;hash=45036CAC8BE6B43C186426B0B5B8005C.</w:t>
                    </w:r>
                  </w:p>
                </w:tc>
              </w:tr>
              <w:tr w:rsidR="00E91535" w14:paraId="1811CC53" w14:textId="77777777" w:rsidTr="00976ECC">
                <w:trPr>
                  <w:divId w:val="1121338252"/>
                  <w:tblCellSpacing w:w="15" w:type="dxa"/>
                </w:trPr>
                <w:tc>
                  <w:tcPr>
                    <w:tcW w:w="318" w:type="pct"/>
                    <w:hideMark/>
                  </w:tcPr>
                  <w:p w14:paraId="5D1191F6" w14:textId="77777777" w:rsidR="00E91535" w:rsidRDefault="00E91535">
                    <w:pPr>
                      <w:pStyle w:val="Bibliography"/>
                      <w:rPr>
                        <w:noProof/>
                      </w:rPr>
                    </w:pPr>
                    <w:r>
                      <w:rPr>
                        <w:noProof/>
                      </w:rPr>
                      <w:t xml:space="preserve">[26] </w:t>
                    </w:r>
                  </w:p>
                </w:tc>
                <w:tc>
                  <w:tcPr>
                    <w:tcW w:w="4628" w:type="pct"/>
                    <w:hideMark/>
                  </w:tcPr>
                  <w:p w14:paraId="06196A5B" w14:textId="77777777" w:rsidR="00E91535" w:rsidRDefault="00E91535">
                    <w:pPr>
                      <w:pStyle w:val="Bibliography"/>
                      <w:rPr>
                        <w:noProof/>
                      </w:rPr>
                    </w:pPr>
                    <w:r>
                      <w:rPr>
                        <w:noProof/>
                      </w:rPr>
                      <w:t>C. P. G. Donodossola, “Cybersecurity of DER-DSO data exchanges. From Europead Regulations to Italian Norms,” 13 July 2023. [Online]. Available: https://cetpartnership.eu/sites/default/files/documentation/CETP%2060%20minutes%20on%20Cybersecurity%20by%20design_Dondossola_Cybersecurity%20of%20DER-DSO%20exchanges%2013072023_0.pdf#:~:text=%E2%96%A0%20Cybersecurity%20of%20firmware%2Fsoftware%20upgrades.</w:t>
                    </w:r>
                  </w:p>
                </w:tc>
              </w:tr>
              <w:tr w:rsidR="00E91535" w14:paraId="0B056D61" w14:textId="77777777" w:rsidTr="00976ECC">
                <w:trPr>
                  <w:divId w:val="1121338252"/>
                  <w:tblCellSpacing w:w="15" w:type="dxa"/>
                </w:trPr>
                <w:tc>
                  <w:tcPr>
                    <w:tcW w:w="318" w:type="pct"/>
                    <w:hideMark/>
                  </w:tcPr>
                  <w:p w14:paraId="7DD84685" w14:textId="77777777" w:rsidR="00E91535" w:rsidRDefault="00E91535">
                    <w:pPr>
                      <w:pStyle w:val="Bibliography"/>
                      <w:rPr>
                        <w:noProof/>
                      </w:rPr>
                    </w:pPr>
                    <w:r>
                      <w:rPr>
                        <w:noProof/>
                      </w:rPr>
                      <w:lastRenderedPageBreak/>
                      <w:t xml:space="preserve">[27] </w:t>
                    </w:r>
                  </w:p>
                </w:tc>
                <w:tc>
                  <w:tcPr>
                    <w:tcW w:w="4628" w:type="pct"/>
                    <w:hideMark/>
                  </w:tcPr>
                  <w:p w14:paraId="6D164942" w14:textId="77777777" w:rsidR="00E91535" w:rsidRDefault="00E91535">
                    <w:pPr>
                      <w:pStyle w:val="Bibliography"/>
                      <w:rPr>
                        <w:noProof/>
                      </w:rPr>
                    </w:pPr>
                    <w:r>
                      <w:rPr>
                        <w:noProof/>
                      </w:rPr>
                      <w:t xml:space="preserve">J. W. L. Schmitt, Future Control Room Architectures for Grid and Market Integrated Operation, Axual and Digital4Grids, Jan. 2025. </w:t>
                    </w:r>
                  </w:p>
                </w:tc>
              </w:tr>
              <w:tr w:rsidR="00E91535" w14:paraId="47562EBE" w14:textId="77777777" w:rsidTr="00976ECC">
                <w:trPr>
                  <w:divId w:val="1121338252"/>
                  <w:tblCellSpacing w:w="15" w:type="dxa"/>
                </w:trPr>
                <w:tc>
                  <w:tcPr>
                    <w:tcW w:w="318" w:type="pct"/>
                    <w:hideMark/>
                  </w:tcPr>
                  <w:p w14:paraId="6A41D437" w14:textId="77777777" w:rsidR="00E91535" w:rsidRDefault="00E91535">
                    <w:pPr>
                      <w:pStyle w:val="Bibliography"/>
                      <w:rPr>
                        <w:noProof/>
                      </w:rPr>
                    </w:pPr>
                    <w:r>
                      <w:rPr>
                        <w:noProof/>
                      </w:rPr>
                      <w:t xml:space="preserve">[28] </w:t>
                    </w:r>
                  </w:p>
                </w:tc>
                <w:tc>
                  <w:tcPr>
                    <w:tcW w:w="4628" w:type="pct"/>
                    <w:hideMark/>
                  </w:tcPr>
                  <w:p w14:paraId="7A7721BC" w14:textId="77777777" w:rsidR="00E91535" w:rsidRDefault="00E91535">
                    <w:pPr>
                      <w:pStyle w:val="Bibliography"/>
                      <w:rPr>
                        <w:noProof/>
                      </w:rPr>
                    </w:pPr>
                    <w:r>
                      <w:rPr>
                        <w:noProof/>
                      </w:rPr>
                      <w:t>J. C.W. Draffin, “Cybersecurity White Paper,” MIT Energy Initiative, 2017.</w:t>
                    </w:r>
                  </w:p>
                </w:tc>
              </w:tr>
              <w:tr w:rsidR="00E91535" w14:paraId="14EC6330" w14:textId="77777777" w:rsidTr="00976ECC">
                <w:trPr>
                  <w:divId w:val="1121338252"/>
                  <w:tblCellSpacing w:w="15" w:type="dxa"/>
                </w:trPr>
                <w:tc>
                  <w:tcPr>
                    <w:tcW w:w="318" w:type="pct"/>
                    <w:hideMark/>
                  </w:tcPr>
                  <w:p w14:paraId="504C1C31" w14:textId="77777777" w:rsidR="00E91535" w:rsidRDefault="00E91535">
                    <w:pPr>
                      <w:pStyle w:val="Bibliography"/>
                      <w:rPr>
                        <w:noProof/>
                      </w:rPr>
                    </w:pPr>
                    <w:r>
                      <w:rPr>
                        <w:noProof/>
                      </w:rPr>
                      <w:t xml:space="preserve">[29] </w:t>
                    </w:r>
                  </w:p>
                </w:tc>
                <w:tc>
                  <w:tcPr>
                    <w:tcW w:w="4628" w:type="pct"/>
                    <w:hideMark/>
                  </w:tcPr>
                  <w:p w14:paraId="12E27698" w14:textId="77777777" w:rsidR="00E91535" w:rsidRDefault="00E91535">
                    <w:pPr>
                      <w:pStyle w:val="Bibliography"/>
                      <w:rPr>
                        <w:noProof/>
                      </w:rPr>
                    </w:pPr>
                    <w:r>
                      <w:rPr>
                        <w:noProof/>
                      </w:rPr>
                      <w:t>ENTSO-E, CEDEC, GEODE, EURELECTRIC, EDSO for Smart Grids, “TSO-DSO Data Management Report,” 27 July 2016. [Online]. Available: https://eepublicdownloads.entsoe.eu/clean-documents/Publications/Position%20papers%20and%20reports/entsoe_TSO-DSO_DMR_web.pdf#:~:text=The%20architecture%20of%20IT%20and,.</w:t>
                    </w:r>
                  </w:p>
                </w:tc>
              </w:tr>
              <w:tr w:rsidR="00E91535" w14:paraId="2487E377" w14:textId="77777777" w:rsidTr="00976ECC">
                <w:trPr>
                  <w:divId w:val="1121338252"/>
                  <w:tblCellSpacing w:w="15" w:type="dxa"/>
                </w:trPr>
                <w:tc>
                  <w:tcPr>
                    <w:tcW w:w="318" w:type="pct"/>
                    <w:hideMark/>
                  </w:tcPr>
                  <w:p w14:paraId="4BA5E43B" w14:textId="77777777" w:rsidR="00E91535" w:rsidRDefault="00E91535">
                    <w:pPr>
                      <w:pStyle w:val="Bibliography"/>
                      <w:rPr>
                        <w:noProof/>
                      </w:rPr>
                    </w:pPr>
                    <w:r>
                      <w:rPr>
                        <w:noProof/>
                      </w:rPr>
                      <w:t xml:space="preserve">[30] </w:t>
                    </w:r>
                  </w:p>
                </w:tc>
                <w:tc>
                  <w:tcPr>
                    <w:tcW w:w="4628" w:type="pct"/>
                    <w:hideMark/>
                  </w:tcPr>
                  <w:p w14:paraId="36318353" w14:textId="77777777" w:rsidR="00E91535" w:rsidRDefault="00E91535">
                    <w:pPr>
                      <w:pStyle w:val="Bibliography"/>
                      <w:rPr>
                        <w:noProof/>
                      </w:rPr>
                    </w:pPr>
                    <w:r>
                      <w:rPr>
                        <w:noProof/>
                      </w:rPr>
                      <w:t xml:space="preserve">WSP, Imperial College London Consultants, National Grid, Dissemination of project findings: Final Dissemination Webinar, Energy System Operator (ESO), July 2024. </w:t>
                    </w:r>
                  </w:p>
                </w:tc>
              </w:tr>
              <w:tr w:rsidR="00E91535" w14:paraId="7ACB6740" w14:textId="77777777" w:rsidTr="00976ECC">
                <w:trPr>
                  <w:divId w:val="1121338252"/>
                  <w:tblCellSpacing w:w="15" w:type="dxa"/>
                </w:trPr>
                <w:tc>
                  <w:tcPr>
                    <w:tcW w:w="318" w:type="pct"/>
                    <w:hideMark/>
                  </w:tcPr>
                  <w:p w14:paraId="0C2E1DAE" w14:textId="77777777" w:rsidR="00E91535" w:rsidRDefault="00E91535">
                    <w:pPr>
                      <w:pStyle w:val="Bibliography"/>
                      <w:rPr>
                        <w:noProof/>
                      </w:rPr>
                    </w:pPr>
                    <w:r>
                      <w:rPr>
                        <w:noProof/>
                      </w:rPr>
                      <w:t xml:space="preserve">[31] </w:t>
                    </w:r>
                  </w:p>
                </w:tc>
                <w:tc>
                  <w:tcPr>
                    <w:tcW w:w="4628" w:type="pct"/>
                    <w:hideMark/>
                  </w:tcPr>
                  <w:p w14:paraId="603560B2" w14:textId="77777777" w:rsidR="00E91535" w:rsidRDefault="00E91535">
                    <w:pPr>
                      <w:pStyle w:val="Bibliography"/>
                      <w:rPr>
                        <w:noProof/>
                      </w:rPr>
                    </w:pPr>
                    <w:r>
                      <w:rPr>
                        <w:noProof/>
                      </w:rPr>
                      <w:t>AEMO, “Integrated System Plan For the National Electricity Market,” 2024.</w:t>
                    </w:r>
                  </w:p>
                </w:tc>
              </w:tr>
              <w:tr w:rsidR="00E91535" w14:paraId="4D892626" w14:textId="77777777" w:rsidTr="00976ECC">
                <w:trPr>
                  <w:divId w:val="1121338252"/>
                  <w:tblCellSpacing w:w="15" w:type="dxa"/>
                </w:trPr>
                <w:tc>
                  <w:tcPr>
                    <w:tcW w:w="318" w:type="pct"/>
                    <w:hideMark/>
                  </w:tcPr>
                  <w:p w14:paraId="6844F33D" w14:textId="77777777" w:rsidR="00E91535" w:rsidRDefault="00E91535">
                    <w:pPr>
                      <w:pStyle w:val="Bibliography"/>
                      <w:rPr>
                        <w:noProof/>
                      </w:rPr>
                    </w:pPr>
                    <w:r>
                      <w:rPr>
                        <w:noProof/>
                      </w:rPr>
                      <w:t xml:space="preserve">[32] </w:t>
                    </w:r>
                  </w:p>
                </w:tc>
                <w:tc>
                  <w:tcPr>
                    <w:tcW w:w="4628" w:type="pct"/>
                    <w:hideMark/>
                  </w:tcPr>
                  <w:p w14:paraId="38346811" w14:textId="77777777" w:rsidR="00E91535" w:rsidRDefault="00E91535">
                    <w:pPr>
                      <w:pStyle w:val="Bibliography"/>
                      <w:rPr>
                        <w:noProof/>
                      </w:rPr>
                    </w:pPr>
                    <w:r>
                      <w:rPr>
                        <w:noProof/>
                      </w:rPr>
                      <w:t>AEMO, “Engineering Roadmap - FY2025 Priority Actions Report,” 2024.</w:t>
                    </w:r>
                  </w:p>
                </w:tc>
              </w:tr>
              <w:tr w:rsidR="00E91535" w14:paraId="48CD5C63" w14:textId="77777777" w:rsidTr="00976ECC">
                <w:trPr>
                  <w:divId w:val="1121338252"/>
                  <w:tblCellSpacing w:w="15" w:type="dxa"/>
                </w:trPr>
                <w:tc>
                  <w:tcPr>
                    <w:tcW w:w="318" w:type="pct"/>
                    <w:hideMark/>
                  </w:tcPr>
                  <w:p w14:paraId="21894EB5" w14:textId="77777777" w:rsidR="00E91535" w:rsidRDefault="00E91535">
                    <w:pPr>
                      <w:pStyle w:val="Bibliography"/>
                      <w:rPr>
                        <w:noProof/>
                      </w:rPr>
                    </w:pPr>
                    <w:r>
                      <w:rPr>
                        <w:noProof/>
                      </w:rPr>
                      <w:t xml:space="preserve">[33] </w:t>
                    </w:r>
                  </w:p>
                </w:tc>
                <w:tc>
                  <w:tcPr>
                    <w:tcW w:w="4628" w:type="pct"/>
                    <w:hideMark/>
                  </w:tcPr>
                  <w:p w14:paraId="2B9D337F" w14:textId="77777777" w:rsidR="00E91535" w:rsidRDefault="00E91535">
                    <w:pPr>
                      <w:pStyle w:val="Bibliography"/>
                      <w:rPr>
                        <w:noProof/>
                      </w:rPr>
                    </w:pPr>
                    <w:r>
                      <w:rPr>
                        <w:noProof/>
                      </w:rPr>
                      <w:t>Ofgem, “Future Systems and Network Regulation: Framework,” 26 October 2023. [Online]. Available: www.ofgem.gov.uk.</w:t>
                    </w:r>
                  </w:p>
                </w:tc>
              </w:tr>
              <w:tr w:rsidR="00E91535" w14:paraId="502CF66B" w14:textId="77777777" w:rsidTr="00976ECC">
                <w:trPr>
                  <w:divId w:val="1121338252"/>
                  <w:tblCellSpacing w:w="15" w:type="dxa"/>
                </w:trPr>
                <w:tc>
                  <w:tcPr>
                    <w:tcW w:w="318" w:type="pct"/>
                    <w:hideMark/>
                  </w:tcPr>
                  <w:p w14:paraId="095E2639" w14:textId="77777777" w:rsidR="00E91535" w:rsidRDefault="00E91535">
                    <w:pPr>
                      <w:pStyle w:val="Bibliography"/>
                      <w:rPr>
                        <w:noProof/>
                      </w:rPr>
                    </w:pPr>
                    <w:r>
                      <w:rPr>
                        <w:noProof/>
                      </w:rPr>
                      <w:t xml:space="preserve">[34] </w:t>
                    </w:r>
                  </w:p>
                </w:tc>
                <w:tc>
                  <w:tcPr>
                    <w:tcW w:w="4628" w:type="pct"/>
                    <w:hideMark/>
                  </w:tcPr>
                  <w:p w14:paraId="7BED0D87" w14:textId="77777777" w:rsidR="00E91535" w:rsidRDefault="00E91535">
                    <w:pPr>
                      <w:pStyle w:val="Bibliography"/>
                      <w:rPr>
                        <w:noProof/>
                      </w:rPr>
                    </w:pPr>
                    <w:r>
                      <w:rPr>
                        <w:noProof/>
                      </w:rPr>
                      <w:t>PJM Inside Lines, “Order 2222 Filing Furthers DER Market Participation,” 2 February 2022. [Online]. Available: https://insidelines.pjm.com/order-2222-filing-furthers-der-market-participation/.</w:t>
                    </w:r>
                  </w:p>
                </w:tc>
              </w:tr>
              <w:tr w:rsidR="00E91535" w14:paraId="29714EB6" w14:textId="77777777" w:rsidTr="00976ECC">
                <w:trPr>
                  <w:divId w:val="1121338252"/>
                  <w:tblCellSpacing w:w="15" w:type="dxa"/>
                </w:trPr>
                <w:tc>
                  <w:tcPr>
                    <w:tcW w:w="318" w:type="pct"/>
                    <w:hideMark/>
                  </w:tcPr>
                  <w:p w14:paraId="67F642CE" w14:textId="77777777" w:rsidR="00E91535" w:rsidRDefault="00E91535">
                    <w:pPr>
                      <w:pStyle w:val="Bibliography"/>
                      <w:rPr>
                        <w:noProof/>
                      </w:rPr>
                    </w:pPr>
                    <w:r>
                      <w:rPr>
                        <w:noProof/>
                      </w:rPr>
                      <w:t xml:space="preserve">[35] </w:t>
                    </w:r>
                  </w:p>
                </w:tc>
                <w:tc>
                  <w:tcPr>
                    <w:tcW w:w="4628" w:type="pct"/>
                    <w:hideMark/>
                  </w:tcPr>
                  <w:p w14:paraId="6D6DD42A" w14:textId="77777777" w:rsidR="00E91535" w:rsidRDefault="00E91535">
                    <w:pPr>
                      <w:pStyle w:val="Bibliography"/>
                      <w:rPr>
                        <w:noProof/>
                      </w:rPr>
                    </w:pPr>
                    <w:r>
                      <w:rPr>
                        <w:noProof/>
                      </w:rPr>
                      <w:t>Electric Power Research Institute (EPRI), “TSO-DSO Coordination Frameworks for DER Services,” Palo Alto, CA, 2023.</w:t>
                    </w:r>
                  </w:p>
                </w:tc>
              </w:tr>
              <w:tr w:rsidR="00E91535" w14:paraId="7F0540C4" w14:textId="77777777" w:rsidTr="00976ECC">
                <w:trPr>
                  <w:divId w:val="1121338252"/>
                  <w:tblCellSpacing w:w="15" w:type="dxa"/>
                </w:trPr>
                <w:tc>
                  <w:tcPr>
                    <w:tcW w:w="318" w:type="pct"/>
                    <w:hideMark/>
                  </w:tcPr>
                  <w:p w14:paraId="7AE574E7" w14:textId="77777777" w:rsidR="00E91535" w:rsidRDefault="00E91535">
                    <w:pPr>
                      <w:pStyle w:val="Bibliography"/>
                      <w:rPr>
                        <w:noProof/>
                      </w:rPr>
                    </w:pPr>
                    <w:r>
                      <w:rPr>
                        <w:noProof/>
                      </w:rPr>
                      <w:t xml:space="preserve">[36] </w:t>
                    </w:r>
                  </w:p>
                </w:tc>
                <w:tc>
                  <w:tcPr>
                    <w:tcW w:w="4628" w:type="pct"/>
                    <w:hideMark/>
                  </w:tcPr>
                  <w:p w14:paraId="4FC2CB7C" w14:textId="77777777" w:rsidR="00E91535" w:rsidRDefault="00E91535">
                    <w:pPr>
                      <w:pStyle w:val="Bibliography"/>
                      <w:rPr>
                        <w:noProof/>
                      </w:rPr>
                    </w:pPr>
                    <w:r>
                      <w:rPr>
                        <w:noProof/>
                      </w:rPr>
                      <w:t>CEDEC; EDSO; ENTSOE; EURELECTRIC; GEODE, “TSO-DSO Data Management Report,” 2016. [Online]. Available: https://eepublicdownloads.entsoe.eu/clean-documents/Publications/Position%20papers%20and%20reports/entsoe_TSO-DSO_DMR_web.pdf. [Accessed 20 March 2025].</w:t>
                    </w:r>
                  </w:p>
                </w:tc>
              </w:tr>
              <w:tr w:rsidR="00E91535" w14:paraId="125E2BE0" w14:textId="77777777" w:rsidTr="00976ECC">
                <w:trPr>
                  <w:divId w:val="1121338252"/>
                  <w:tblCellSpacing w:w="15" w:type="dxa"/>
                </w:trPr>
                <w:tc>
                  <w:tcPr>
                    <w:tcW w:w="318" w:type="pct"/>
                    <w:hideMark/>
                  </w:tcPr>
                  <w:p w14:paraId="07928E8D" w14:textId="77777777" w:rsidR="00E91535" w:rsidRDefault="00E91535">
                    <w:pPr>
                      <w:pStyle w:val="Bibliography"/>
                      <w:rPr>
                        <w:noProof/>
                      </w:rPr>
                    </w:pPr>
                    <w:r>
                      <w:rPr>
                        <w:noProof/>
                      </w:rPr>
                      <w:lastRenderedPageBreak/>
                      <w:t xml:space="preserve">[37] </w:t>
                    </w:r>
                  </w:p>
                </w:tc>
                <w:tc>
                  <w:tcPr>
                    <w:tcW w:w="4628" w:type="pct"/>
                    <w:hideMark/>
                  </w:tcPr>
                  <w:p w14:paraId="1C7367B4" w14:textId="77777777" w:rsidR="00E91535" w:rsidRDefault="00E91535">
                    <w:pPr>
                      <w:pStyle w:val="Bibliography"/>
                      <w:rPr>
                        <w:noProof/>
                      </w:rPr>
                    </w:pPr>
                    <w:r>
                      <w:rPr>
                        <w:noProof/>
                      </w:rPr>
                      <w:t>IESO, “Distributed Energy Resources (DER) - Market Vision and Design Project,” 25 January 2023. [Online]. Available: https://www.ieso.ca/en/Sector-Participants/Engagement-Initiatives/Engagements/Distributed-Energy-Resources-Market-Vision-and-Design-Project. [Accessed 20 March 20].</w:t>
                    </w:r>
                  </w:p>
                </w:tc>
              </w:tr>
              <w:tr w:rsidR="00E91535" w14:paraId="393AC913" w14:textId="77777777" w:rsidTr="00976ECC">
                <w:trPr>
                  <w:divId w:val="1121338252"/>
                  <w:tblCellSpacing w:w="15" w:type="dxa"/>
                </w:trPr>
                <w:tc>
                  <w:tcPr>
                    <w:tcW w:w="318" w:type="pct"/>
                    <w:hideMark/>
                  </w:tcPr>
                  <w:p w14:paraId="41C5EECA" w14:textId="77777777" w:rsidR="00E91535" w:rsidRDefault="00E91535">
                    <w:pPr>
                      <w:pStyle w:val="Bibliography"/>
                      <w:rPr>
                        <w:noProof/>
                      </w:rPr>
                    </w:pPr>
                    <w:r>
                      <w:rPr>
                        <w:noProof/>
                      </w:rPr>
                      <w:t xml:space="preserve">[38] </w:t>
                    </w:r>
                  </w:p>
                </w:tc>
                <w:tc>
                  <w:tcPr>
                    <w:tcW w:w="4628" w:type="pct"/>
                    <w:hideMark/>
                  </w:tcPr>
                  <w:p w14:paraId="6166A0FC" w14:textId="77777777" w:rsidR="00E91535" w:rsidRDefault="00E91535">
                    <w:pPr>
                      <w:pStyle w:val="Bibliography"/>
                      <w:rPr>
                        <w:noProof/>
                      </w:rPr>
                    </w:pPr>
                    <w:r>
                      <w:rPr>
                        <w:noProof/>
                      </w:rPr>
                      <w:t>ICF, “Development of a Transmission - Distribution Interoperability Framework,” May 2020. [Online]. Available: https://www.ieso.ca/-/media/Files/IESO/Document-Library/White-papers/IESO-T-D-Coordination-Framework.pdf.</w:t>
                    </w:r>
                  </w:p>
                </w:tc>
              </w:tr>
              <w:tr w:rsidR="00E91535" w14:paraId="1762262B" w14:textId="77777777" w:rsidTr="00976ECC">
                <w:trPr>
                  <w:divId w:val="1121338252"/>
                  <w:tblCellSpacing w:w="15" w:type="dxa"/>
                </w:trPr>
                <w:tc>
                  <w:tcPr>
                    <w:tcW w:w="318" w:type="pct"/>
                    <w:hideMark/>
                  </w:tcPr>
                  <w:p w14:paraId="1F40BC77" w14:textId="77777777" w:rsidR="00E91535" w:rsidRDefault="00E91535">
                    <w:pPr>
                      <w:pStyle w:val="Bibliography"/>
                      <w:rPr>
                        <w:noProof/>
                      </w:rPr>
                    </w:pPr>
                    <w:r>
                      <w:rPr>
                        <w:noProof/>
                      </w:rPr>
                      <w:t xml:space="preserve">[39] </w:t>
                    </w:r>
                  </w:p>
                </w:tc>
                <w:tc>
                  <w:tcPr>
                    <w:tcW w:w="4628" w:type="pct"/>
                    <w:hideMark/>
                  </w:tcPr>
                  <w:p w14:paraId="118ADD8D" w14:textId="77777777" w:rsidR="00E91535" w:rsidRDefault="00E91535">
                    <w:pPr>
                      <w:pStyle w:val="Bibliography"/>
                      <w:rPr>
                        <w:noProof/>
                      </w:rPr>
                    </w:pPr>
                    <w:r>
                      <w:rPr>
                        <w:noProof/>
                      </w:rPr>
                      <w:t>A. Kavgic, “Solving the DER communication problem with HIL Compatible and MBSE,” Typhoon HIL Blog, 1 February 2023. [Online]. Available: https://www.typhoon-hil.com/blog/der-communication-challenge/#:~:text=Some%20modern%20communication%20protocols%2C%20such,or%20full%20support%20for%20multiple%20now%20this,%20please.</w:t>
                    </w:r>
                  </w:p>
                </w:tc>
              </w:tr>
              <w:tr w:rsidR="00E91535" w14:paraId="45840F02" w14:textId="77777777" w:rsidTr="00976ECC">
                <w:trPr>
                  <w:divId w:val="1121338252"/>
                  <w:tblCellSpacing w:w="15" w:type="dxa"/>
                </w:trPr>
                <w:tc>
                  <w:tcPr>
                    <w:tcW w:w="318" w:type="pct"/>
                    <w:hideMark/>
                  </w:tcPr>
                  <w:p w14:paraId="2B5EFF16" w14:textId="77777777" w:rsidR="00E91535" w:rsidRDefault="00E91535">
                    <w:pPr>
                      <w:pStyle w:val="Bibliography"/>
                      <w:rPr>
                        <w:noProof/>
                      </w:rPr>
                    </w:pPr>
                    <w:r>
                      <w:rPr>
                        <w:noProof/>
                      </w:rPr>
                      <w:t xml:space="preserve">[40] </w:t>
                    </w:r>
                  </w:p>
                </w:tc>
                <w:tc>
                  <w:tcPr>
                    <w:tcW w:w="4628" w:type="pct"/>
                    <w:hideMark/>
                  </w:tcPr>
                  <w:p w14:paraId="766CC30F" w14:textId="77777777" w:rsidR="00E91535" w:rsidRDefault="00E91535">
                    <w:pPr>
                      <w:pStyle w:val="Bibliography"/>
                      <w:rPr>
                        <w:noProof/>
                      </w:rPr>
                    </w:pPr>
                    <w:r>
                      <w:rPr>
                        <w:noProof/>
                      </w:rPr>
                      <w:t>N. Suljanović, A. Souvent, G. Taylor, M. Radi, E. Lambert and H. Morais, “Design of Interoperable Communication Architecture for TSO-DSO Data Exchange,” 2019. [Online]. Available: https://bura.brunel.ac.uk/bitstream/2438/18594/1/FullText.pdf..</w:t>
                    </w:r>
                  </w:p>
                </w:tc>
              </w:tr>
              <w:tr w:rsidR="00E91535" w14:paraId="00F79A13" w14:textId="77777777" w:rsidTr="00976ECC">
                <w:trPr>
                  <w:divId w:val="1121338252"/>
                  <w:tblCellSpacing w:w="15" w:type="dxa"/>
                </w:trPr>
                <w:tc>
                  <w:tcPr>
                    <w:tcW w:w="318" w:type="pct"/>
                    <w:hideMark/>
                  </w:tcPr>
                  <w:p w14:paraId="7640A39A" w14:textId="77777777" w:rsidR="00E91535" w:rsidRDefault="00E91535">
                    <w:pPr>
                      <w:pStyle w:val="Bibliography"/>
                      <w:rPr>
                        <w:noProof/>
                      </w:rPr>
                    </w:pPr>
                    <w:r>
                      <w:rPr>
                        <w:noProof/>
                      </w:rPr>
                      <w:t xml:space="preserve">[41] </w:t>
                    </w:r>
                  </w:p>
                </w:tc>
                <w:tc>
                  <w:tcPr>
                    <w:tcW w:w="4628" w:type="pct"/>
                    <w:hideMark/>
                  </w:tcPr>
                  <w:p w14:paraId="28D15005" w14:textId="77777777" w:rsidR="00E91535" w:rsidRDefault="00E91535">
                    <w:pPr>
                      <w:pStyle w:val="Bibliography"/>
                      <w:rPr>
                        <w:noProof/>
                      </w:rPr>
                    </w:pPr>
                    <w:r>
                      <w:rPr>
                        <w:noProof/>
                      </w:rPr>
                      <w:t xml:space="preserve">C. D'Adamo, F. Cazzato, M. Di Clerico and S. Ferrero, “Coordination and Data Exchange Between DSO and TSO as Key Factors for Optmizing DER Management in the Future Energy System,” in </w:t>
                    </w:r>
                    <w:r>
                      <w:rPr>
                        <w:i/>
                        <w:iCs/>
                        <w:noProof/>
                      </w:rPr>
                      <w:t>CIRED 2019</w:t>
                    </w:r>
                    <w:r>
                      <w:rPr>
                        <w:noProof/>
                      </w:rPr>
                      <w:t xml:space="preserve">, Madrid, Spain, 2019. </w:t>
                    </w:r>
                  </w:p>
                </w:tc>
              </w:tr>
              <w:tr w:rsidR="00E91535" w14:paraId="5F05AD2B" w14:textId="77777777" w:rsidTr="00976ECC">
                <w:trPr>
                  <w:divId w:val="1121338252"/>
                  <w:tblCellSpacing w:w="15" w:type="dxa"/>
                </w:trPr>
                <w:tc>
                  <w:tcPr>
                    <w:tcW w:w="318" w:type="pct"/>
                    <w:hideMark/>
                  </w:tcPr>
                  <w:p w14:paraId="35DE7E9B" w14:textId="77777777" w:rsidR="00E91535" w:rsidRDefault="00E91535">
                    <w:pPr>
                      <w:pStyle w:val="Bibliography"/>
                      <w:rPr>
                        <w:noProof/>
                      </w:rPr>
                    </w:pPr>
                    <w:r>
                      <w:rPr>
                        <w:noProof/>
                      </w:rPr>
                      <w:t xml:space="preserve">[42] </w:t>
                    </w:r>
                  </w:p>
                </w:tc>
                <w:tc>
                  <w:tcPr>
                    <w:tcW w:w="4628" w:type="pct"/>
                    <w:hideMark/>
                  </w:tcPr>
                  <w:p w14:paraId="33ABC086" w14:textId="77777777" w:rsidR="00E91535" w:rsidRDefault="00E91535">
                    <w:pPr>
                      <w:pStyle w:val="Bibliography"/>
                      <w:rPr>
                        <w:noProof/>
                      </w:rPr>
                    </w:pPr>
                    <w:r>
                      <w:rPr>
                        <w:noProof/>
                      </w:rPr>
                      <w:t xml:space="preserve">A. G. Givisiez, K. Petrou and L. F. Ochoa, “A Review on TSO-DSO Coordination Models and Solution Techniques,” </w:t>
                    </w:r>
                    <w:r>
                      <w:rPr>
                        <w:i/>
                        <w:iCs/>
                        <w:noProof/>
                      </w:rPr>
                      <w:t xml:space="preserve">Electric Power System Research, </w:t>
                    </w:r>
                    <w:r>
                      <w:rPr>
                        <w:noProof/>
                      </w:rPr>
                      <w:t xml:space="preserve">vol. 189, 2020. </w:t>
                    </w:r>
                  </w:p>
                </w:tc>
              </w:tr>
              <w:tr w:rsidR="00E91535" w14:paraId="79E2E89F" w14:textId="77777777" w:rsidTr="00976ECC">
                <w:trPr>
                  <w:divId w:val="1121338252"/>
                  <w:tblCellSpacing w:w="15" w:type="dxa"/>
                </w:trPr>
                <w:tc>
                  <w:tcPr>
                    <w:tcW w:w="318" w:type="pct"/>
                    <w:hideMark/>
                  </w:tcPr>
                  <w:p w14:paraId="77D13850" w14:textId="77777777" w:rsidR="00E91535" w:rsidRDefault="00E91535">
                    <w:pPr>
                      <w:pStyle w:val="Bibliography"/>
                      <w:rPr>
                        <w:noProof/>
                      </w:rPr>
                    </w:pPr>
                    <w:r>
                      <w:rPr>
                        <w:noProof/>
                      </w:rPr>
                      <w:t xml:space="preserve">[43] </w:t>
                    </w:r>
                  </w:p>
                </w:tc>
                <w:tc>
                  <w:tcPr>
                    <w:tcW w:w="4628" w:type="pct"/>
                    <w:hideMark/>
                  </w:tcPr>
                  <w:p w14:paraId="306A5245" w14:textId="77777777" w:rsidR="00E91535" w:rsidRDefault="00E91535">
                    <w:pPr>
                      <w:pStyle w:val="Bibliography"/>
                      <w:rPr>
                        <w:noProof/>
                      </w:rPr>
                    </w:pPr>
                    <w:r>
                      <w:rPr>
                        <w:noProof/>
                      </w:rPr>
                      <w:t>S. Chen, F. Ebe, J. Morris, H. Lorenz, C. Kondzialka and G. Heilscher, “Implementation and Test of an IEC 61850-Based Automation Framework for the Automated Data Model Integration of DES (ADMID) into DSO SCADA,” 19 February 2022. [Online]. Available: https://doi.org/10.3390/en15041552.</w:t>
                    </w:r>
                  </w:p>
                </w:tc>
              </w:tr>
              <w:tr w:rsidR="00E91535" w14:paraId="1422B067" w14:textId="77777777" w:rsidTr="00976ECC">
                <w:trPr>
                  <w:divId w:val="1121338252"/>
                  <w:tblCellSpacing w:w="15" w:type="dxa"/>
                </w:trPr>
                <w:tc>
                  <w:tcPr>
                    <w:tcW w:w="318" w:type="pct"/>
                    <w:hideMark/>
                  </w:tcPr>
                  <w:p w14:paraId="11030783" w14:textId="77777777" w:rsidR="00E91535" w:rsidRDefault="00E91535">
                    <w:pPr>
                      <w:pStyle w:val="Bibliography"/>
                      <w:rPr>
                        <w:noProof/>
                      </w:rPr>
                    </w:pPr>
                    <w:r>
                      <w:rPr>
                        <w:noProof/>
                      </w:rPr>
                      <w:t xml:space="preserve">[44] </w:t>
                    </w:r>
                  </w:p>
                </w:tc>
                <w:tc>
                  <w:tcPr>
                    <w:tcW w:w="4628" w:type="pct"/>
                    <w:hideMark/>
                  </w:tcPr>
                  <w:p w14:paraId="3C43E7DC" w14:textId="77777777" w:rsidR="00E91535" w:rsidRDefault="00E91535">
                    <w:pPr>
                      <w:pStyle w:val="Bibliography"/>
                      <w:rPr>
                        <w:noProof/>
                      </w:rPr>
                    </w:pPr>
                    <w:r>
                      <w:rPr>
                        <w:noProof/>
                      </w:rPr>
                      <w:t xml:space="preserve">A. Bytyqi, S. Gandhi, E. Lambert and N. Petrovi, “A Review on TSO-DSO Data Exchange, CIM Extensions and Interoperability Aspects,” </w:t>
                    </w:r>
                    <w:r>
                      <w:rPr>
                        <w:i/>
                        <w:iCs/>
                        <w:noProof/>
                      </w:rPr>
                      <w:t xml:space="preserve">Journal of Modern Power Systems and Clean Energy, </w:t>
                    </w:r>
                    <w:r>
                      <w:rPr>
                        <w:noProof/>
                      </w:rPr>
                      <w:t xml:space="preserve">vol. 10, no. March 2022, pp. 309-315, 2022. </w:t>
                    </w:r>
                  </w:p>
                </w:tc>
              </w:tr>
              <w:tr w:rsidR="00E91535" w14:paraId="76DC91F3" w14:textId="77777777" w:rsidTr="00976ECC">
                <w:trPr>
                  <w:divId w:val="1121338252"/>
                  <w:tblCellSpacing w:w="15" w:type="dxa"/>
                </w:trPr>
                <w:tc>
                  <w:tcPr>
                    <w:tcW w:w="318" w:type="pct"/>
                    <w:hideMark/>
                  </w:tcPr>
                  <w:p w14:paraId="11D60BDB" w14:textId="77777777" w:rsidR="00E91535" w:rsidRDefault="00E91535">
                    <w:pPr>
                      <w:pStyle w:val="Bibliography"/>
                      <w:rPr>
                        <w:noProof/>
                      </w:rPr>
                    </w:pPr>
                    <w:r>
                      <w:rPr>
                        <w:noProof/>
                      </w:rPr>
                      <w:lastRenderedPageBreak/>
                      <w:t xml:space="preserve">[45] </w:t>
                    </w:r>
                  </w:p>
                </w:tc>
                <w:tc>
                  <w:tcPr>
                    <w:tcW w:w="4628" w:type="pct"/>
                    <w:hideMark/>
                  </w:tcPr>
                  <w:p w14:paraId="5B917905" w14:textId="77777777" w:rsidR="00E91535" w:rsidRDefault="00E91535">
                    <w:pPr>
                      <w:pStyle w:val="Bibliography"/>
                      <w:rPr>
                        <w:noProof/>
                      </w:rPr>
                    </w:pPr>
                    <w:r>
                      <w:rPr>
                        <w:noProof/>
                      </w:rPr>
                      <w:t xml:space="preserve">N. Suljanovic, M. Radi, G. Taylor, J. Cantenot and E. Lambert, “Developing Enhanced TSO-DSO Information and Data Exchange Based on a Novel Use Case Methodology,” </w:t>
                    </w:r>
                    <w:r>
                      <w:rPr>
                        <w:i/>
                        <w:iCs/>
                        <w:noProof/>
                      </w:rPr>
                      <w:t xml:space="preserve">Frontiers in Energy Research, </w:t>
                    </w:r>
                    <w:r>
                      <w:rPr>
                        <w:noProof/>
                      </w:rPr>
                      <w:t xml:space="preserve">vol. 9, 2021. </w:t>
                    </w:r>
                  </w:p>
                </w:tc>
              </w:tr>
              <w:tr w:rsidR="00E91535" w14:paraId="7D8ACD8B" w14:textId="77777777" w:rsidTr="00976ECC">
                <w:trPr>
                  <w:divId w:val="1121338252"/>
                  <w:tblCellSpacing w:w="15" w:type="dxa"/>
                </w:trPr>
                <w:tc>
                  <w:tcPr>
                    <w:tcW w:w="318" w:type="pct"/>
                    <w:hideMark/>
                  </w:tcPr>
                  <w:p w14:paraId="06D80F04" w14:textId="77777777" w:rsidR="00E91535" w:rsidRDefault="00E91535">
                    <w:pPr>
                      <w:pStyle w:val="Bibliography"/>
                      <w:rPr>
                        <w:noProof/>
                      </w:rPr>
                    </w:pPr>
                    <w:r>
                      <w:rPr>
                        <w:noProof/>
                      </w:rPr>
                      <w:t xml:space="preserve">[46] </w:t>
                    </w:r>
                  </w:p>
                </w:tc>
                <w:tc>
                  <w:tcPr>
                    <w:tcW w:w="4628" w:type="pct"/>
                    <w:hideMark/>
                  </w:tcPr>
                  <w:p w14:paraId="29C4CA1F" w14:textId="77777777" w:rsidR="00E91535" w:rsidRDefault="00E91535">
                    <w:pPr>
                      <w:pStyle w:val="Bibliography"/>
                      <w:rPr>
                        <w:noProof/>
                      </w:rPr>
                    </w:pPr>
                    <w:r>
                      <w:rPr>
                        <w:noProof/>
                      </w:rPr>
                      <w:t>K. Kukk, F. Bosco, M. Lacerda, V. Sakas, A. Kapetanios and K. Kotsalos, “Cross Stakeholder Data Governance for Energy Data Exchange D6.2,” 31 03 2023. [Online]. Available: https://www.onenet-project.eu/wp-content/uploads/2023/04/D6.2-OneNet-v1.0.pdf.</w:t>
                    </w:r>
                  </w:p>
                </w:tc>
              </w:tr>
              <w:tr w:rsidR="00E91535" w14:paraId="2D630C0F" w14:textId="77777777" w:rsidTr="00976ECC">
                <w:trPr>
                  <w:divId w:val="1121338252"/>
                  <w:tblCellSpacing w:w="15" w:type="dxa"/>
                </w:trPr>
                <w:tc>
                  <w:tcPr>
                    <w:tcW w:w="318" w:type="pct"/>
                    <w:hideMark/>
                  </w:tcPr>
                  <w:p w14:paraId="50FC35DF" w14:textId="77777777" w:rsidR="00E91535" w:rsidRDefault="00E91535">
                    <w:pPr>
                      <w:pStyle w:val="Bibliography"/>
                      <w:rPr>
                        <w:noProof/>
                      </w:rPr>
                    </w:pPr>
                    <w:r>
                      <w:rPr>
                        <w:noProof/>
                      </w:rPr>
                      <w:t xml:space="preserve">[47] </w:t>
                    </w:r>
                  </w:p>
                </w:tc>
                <w:tc>
                  <w:tcPr>
                    <w:tcW w:w="4628" w:type="pct"/>
                    <w:hideMark/>
                  </w:tcPr>
                  <w:p w14:paraId="76AB86E6" w14:textId="77777777" w:rsidR="00E91535" w:rsidRDefault="00E91535">
                    <w:pPr>
                      <w:pStyle w:val="Bibliography"/>
                      <w:rPr>
                        <w:noProof/>
                      </w:rPr>
                    </w:pPr>
                    <w:r>
                      <w:rPr>
                        <w:noProof/>
                      </w:rPr>
                      <w:t xml:space="preserve">Electric Power Research Institute, Technical Update Report: Distribution System Operator Interactions with Transmission System Operator, EPRI, 2019. </w:t>
                    </w:r>
                  </w:p>
                </w:tc>
              </w:tr>
              <w:tr w:rsidR="00E91535" w14:paraId="7A4312D6" w14:textId="77777777" w:rsidTr="00976ECC">
                <w:trPr>
                  <w:divId w:val="1121338252"/>
                  <w:tblCellSpacing w:w="15" w:type="dxa"/>
                </w:trPr>
                <w:tc>
                  <w:tcPr>
                    <w:tcW w:w="318" w:type="pct"/>
                    <w:hideMark/>
                  </w:tcPr>
                  <w:p w14:paraId="4BD26182" w14:textId="77777777" w:rsidR="00E91535" w:rsidRDefault="00E91535">
                    <w:pPr>
                      <w:pStyle w:val="Bibliography"/>
                      <w:rPr>
                        <w:noProof/>
                      </w:rPr>
                    </w:pPr>
                    <w:r>
                      <w:rPr>
                        <w:noProof/>
                      </w:rPr>
                      <w:t xml:space="preserve">[48] </w:t>
                    </w:r>
                  </w:p>
                </w:tc>
                <w:tc>
                  <w:tcPr>
                    <w:tcW w:w="4628" w:type="pct"/>
                    <w:hideMark/>
                  </w:tcPr>
                  <w:p w14:paraId="60F38BB2" w14:textId="77777777" w:rsidR="00E91535" w:rsidRDefault="00E91535">
                    <w:pPr>
                      <w:pStyle w:val="Bibliography"/>
                      <w:rPr>
                        <w:noProof/>
                      </w:rPr>
                    </w:pPr>
                    <w:r>
                      <w:rPr>
                        <w:noProof/>
                      </w:rPr>
                      <w:t xml:space="preserve">United States, Department of Energy - Grid Modernization Initiative, Grid Modernization Strategy 2024, US DOE, 2024. </w:t>
                    </w:r>
                  </w:p>
                </w:tc>
              </w:tr>
              <w:tr w:rsidR="00E91535" w14:paraId="762BE349" w14:textId="77777777" w:rsidTr="00976ECC">
                <w:trPr>
                  <w:divId w:val="1121338252"/>
                  <w:tblCellSpacing w:w="15" w:type="dxa"/>
                </w:trPr>
                <w:tc>
                  <w:tcPr>
                    <w:tcW w:w="318" w:type="pct"/>
                    <w:hideMark/>
                  </w:tcPr>
                  <w:p w14:paraId="7A36A083" w14:textId="77777777" w:rsidR="00E91535" w:rsidRDefault="00E91535">
                    <w:pPr>
                      <w:pStyle w:val="Bibliography"/>
                      <w:rPr>
                        <w:noProof/>
                      </w:rPr>
                    </w:pPr>
                    <w:r>
                      <w:rPr>
                        <w:noProof/>
                      </w:rPr>
                      <w:t xml:space="preserve">[49] </w:t>
                    </w:r>
                  </w:p>
                </w:tc>
                <w:tc>
                  <w:tcPr>
                    <w:tcW w:w="4628" w:type="pct"/>
                    <w:hideMark/>
                  </w:tcPr>
                  <w:p w14:paraId="1CB8BCB3" w14:textId="77777777" w:rsidR="00E91535" w:rsidRDefault="00E91535">
                    <w:pPr>
                      <w:pStyle w:val="Bibliography"/>
                      <w:rPr>
                        <w:noProof/>
                      </w:rPr>
                    </w:pPr>
                    <w:r>
                      <w:rPr>
                        <w:noProof/>
                      </w:rPr>
                      <w:t>Ontario Energy Association, “Distribution System Operator (DSO) Study,” Ontario Energy Association, 2023.</w:t>
                    </w:r>
                  </w:p>
                </w:tc>
              </w:tr>
              <w:tr w:rsidR="00E91535" w14:paraId="509C0D48" w14:textId="77777777" w:rsidTr="00976ECC">
                <w:trPr>
                  <w:divId w:val="1121338252"/>
                  <w:tblCellSpacing w:w="15" w:type="dxa"/>
                </w:trPr>
                <w:tc>
                  <w:tcPr>
                    <w:tcW w:w="318" w:type="pct"/>
                    <w:hideMark/>
                  </w:tcPr>
                  <w:p w14:paraId="0CBB5392" w14:textId="77777777" w:rsidR="00E91535" w:rsidRDefault="00E91535">
                    <w:pPr>
                      <w:pStyle w:val="Bibliography"/>
                      <w:rPr>
                        <w:noProof/>
                      </w:rPr>
                    </w:pPr>
                    <w:r>
                      <w:rPr>
                        <w:noProof/>
                      </w:rPr>
                      <w:t xml:space="preserve">[50] </w:t>
                    </w:r>
                  </w:p>
                </w:tc>
                <w:tc>
                  <w:tcPr>
                    <w:tcW w:w="4628" w:type="pct"/>
                    <w:hideMark/>
                  </w:tcPr>
                  <w:p w14:paraId="0981B8D2" w14:textId="77777777" w:rsidR="00E91535" w:rsidRDefault="00E91535">
                    <w:pPr>
                      <w:pStyle w:val="Bibliography"/>
                      <w:rPr>
                        <w:noProof/>
                      </w:rPr>
                    </w:pPr>
                    <w:r>
                      <w:rPr>
                        <w:noProof/>
                      </w:rPr>
                      <w:t>Electric Power Research Institute, “Technical Brief: Procuring Services from Distribute Energy Resources,” EPRI, 2023.</w:t>
                    </w:r>
                  </w:p>
                </w:tc>
              </w:tr>
              <w:tr w:rsidR="00E91535" w14:paraId="3992382E" w14:textId="77777777" w:rsidTr="00976ECC">
                <w:trPr>
                  <w:divId w:val="1121338252"/>
                  <w:tblCellSpacing w:w="15" w:type="dxa"/>
                </w:trPr>
                <w:tc>
                  <w:tcPr>
                    <w:tcW w:w="318" w:type="pct"/>
                    <w:hideMark/>
                  </w:tcPr>
                  <w:p w14:paraId="0DB65774" w14:textId="77777777" w:rsidR="00E91535" w:rsidRDefault="00E91535">
                    <w:pPr>
                      <w:pStyle w:val="Bibliography"/>
                      <w:rPr>
                        <w:noProof/>
                      </w:rPr>
                    </w:pPr>
                    <w:r>
                      <w:rPr>
                        <w:noProof/>
                      </w:rPr>
                      <w:t xml:space="preserve">[51] </w:t>
                    </w:r>
                  </w:p>
                </w:tc>
                <w:tc>
                  <w:tcPr>
                    <w:tcW w:w="4628" w:type="pct"/>
                    <w:hideMark/>
                  </w:tcPr>
                  <w:p w14:paraId="2745BDE1" w14:textId="77777777" w:rsidR="00E91535" w:rsidRDefault="00E91535">
                    <w:pPr>
                      <w:pStyle w:val="Bibliography"/>
                      <w:rPr>
                        <w:noProof/>
                      </w:rPr>
                    </w:pPr>
                    <w:r>
                      <w:rPr>
                        <w:noProof/>
                      </w:rPr>
                      <w:t xml:space="preserve">CEDEC, E.DSO, ENTSOE, Euelectric, GRODE, TSO – DSO REPORT – AN INTEGRATED APPROACH TO ACTIVE SYSTEM MANAGEMENT, ENTSO-E, 2019. </w:t>
                    </w:r>
                  </w:p>
                </w:tc>
              </w:tr>
              <w:tr w:rsidR="00E91535" w14:paraId="023DFA02" w14:textId="77777777" w:rsidTr="00976ECC">
                <w:trPr>
                  <w:divId w:val="1121338252"/>
                  <w:tblCellSpacing w:w="15" w:type="dxa"/>
                </w:trPr>
                <w:tc>
                  <w:tcPr>
                    <w:tcW w:w="318" w:type="pct"/>
                    <w:hideMark/>
                  </w:tcPr>
                  <w:p w14:paraId="39821594" w14:textId="77777777" w:rsidR="00E91535" w:rsidRDefault="00E91535">
                    <w:pPr>
                      <w:pStyle w:val="Bibliography"/>
                      <w:rPr>
                        <w:noProof/>
                      </w:rPr>
                    </w:pPr>
                    <w:r>
                      <w:rPr>
                        <w:noProof/>
                      </w:rPr>
                      <w:t xml:space="preserve">[52] </w:t>
                    </w:r>
                  </w:p>
                </w:tc>
                <w:tc>
                  <w:tcPr>
                    <w:tcW w:w="4628" w:type="pct"/>
                    <w:hideMark/>
                  </w:tcPr>
                  <w:p w14:paraId="4E829293" w14:textId="77777777" w:rsidR="00E91535" w:rsidRDefault="00E91535">
                    <w:pPr>
                      <w:pStyle w:val="Bibliography"/>
                      <w:rPr>
                        <w:noProof/>
                      </w:rPr>
                    </w:pPr>
                    <w:r>
                      <w:rPr>
                        <w:noProof/>
                      </w:rPr>
                      <w:t>U.S. Department of Energy, Office of Electricity, “Latency Implications for Grid Communications, SPaRC Series White Paper,” 31 January 2024. [Online]. Available: https://www.energy.gov/sites/default/files/2024-02/SPARC%20Series%20-%20Latency%20Whitepaper_01312024_optimized.pdf#:~:text=diverse%20renewable%20energy%20assets%20becomes,resilient%20and%20reliable%20energy%20infrastructure.</w:t>
                    </w:r>
                  </w:p>
                </w:tc>
              </w:tr>
              <w:tr w:rsidR="00E91535" w14:paraId="16FF12C3" w14:textId="77777777" w:rsidTr="00976ECC">
                <w:trPr>
                  <w:divId w:val="1121338252"/>
                  <w:tblCellSpacing w:w="15" w:type="dxa"/>
                </w:trPr>
                <w:tc>
                  <w:tcPr>
                    <w:tcW w:w="318" w:type="pct"/>
                    <w:hideMark/>
                  </w:tcPr>
                  <w:p w14:paraId="1EACC1B8" w14:textId="77777777" w:rsidR="00E91535" w:rsidRDefault="00E91535">
                    <w:pPr>
                      <w:pStyle w:val="Bibliography"/>
                      <w:rPr>
                        <w:noProof/>
                      </w:rPr>
                    </w:pPr>
                    <w:r>
                      <w:rPr>
                        <w:noProof/>
                      </w:rPr>
                      <w:t xml:space="preserve">[53] </w:t>
                    </w:r>
                  </w:p>
                </w:tc>
                <w:tc>
                  <w:tcPr>
                    <w:tcW w:w="4628" w:type="pct"/>
                    <w:hideMark/>
                  </w:tcPr>
                  <w:p w14:paraId="64908304" w14:textId="77777777" w:rsidR="00E91535" w:rsidRDefault="00E91535">
                    <w:pPr>
                      <w:pStyle w:val="Bibliography"/>
                      <w:rPr>
                        <w:noProof/>
                      </w:rPr>
                    </w:pPr>
                    <w:r>
                      <w:rPr>
                        <w:noProof/>
                      </w:rPr>
                      <w:t xml:space="preserve">BRIDGE Regulation and Data Management WG, BRIDGE TSO-DSO Coordination Report, 2019. </w:t>
                    </w:r>
                  </w:p>
                </w:tc>
              </w:tr>
              <w:tr w:rsidR="00E91535" w14:paraId="7DB36DF9" w14:textId="77777777" w:rsidTr="00976ECC">
                <w:trPr>
                  <w:divId w:val="1121338252"/>
                  <w:tblCellSpacing w:w="15" w:type="dxa"/>
                </w:trPr>
                <w:tc>
                  <w:tcPr>
                    <w:tcW w:w="318" w:type="pct"/>
                    <w:hideMark/>
                  </w:tcPr>
                  <w:p w14:paraId="527F824E" w14:textId="77777777" w:rsidR="00E91535" w:rsidRDefault="00E91535">
                    <w:pPr>
                      <w:pStyle w:val="Bibliography"/>
                      <w:rPr>
                        <w:noProof/>
                      </w:rPr>
                    </w:pPr>
                    <w:r>
                      <w:rPr>
                        <w:noProof/>
                      </w:rPr>
                      <w:lastRenderedPageBreak/>
                      <w:t xml:space="preserve">[54] </w:t>
                    </w:r>
                  </w:p>
                </w:tc>
                <w:tc>
                  <w:tcPr>
                    <w:tcW w:w="4628" w:type="pct"/>
                    <w:hideMark/>
                  </w:tcPr>
                  <w:p w14:paraId="00B6BE69" w14:textId="77777777" w:rsidR="00E91535" w:rsidRDefault="00E91535">
                    <w:pPr>
                      <w:pStyle w:val="Bibliography"/>
                      <w:rPr>
                        <w:noProof/>
                      </w:rPr>
                    </w:pPr>
                    <w:r>
                      <w:rPr>
                        <w:noProof/>
                      </w:rPr>
                      <w:t>EU-SysFlex, “Conceptual market organisations for the provision of innovative system services: role models,associated market designs and regulatory frameworks,” Horizon 2020, 2020.</w:t>
                    </w:r>
                  </w:p>
                </w:tc>
              </w:tr>
              <w:tr w:rsidR="00E91535" w14:paraId="15F2771C" w14:textId="77777777" w:rsidTr="00976ECC">
                <w:trPr>
                  <w:divId w:val="1121338252"/>
                  <w:tblCellSpacing w:w="15" w:type="dxa"/>
                </w:trPr>
                <w:tc>
                  <w:tcPr>
                    <w:tcW w:w="318" w:type="pct"/>
                    <w:hideMark/>
                  </w:tcPr>
                  <w:p w14:paraId="678EF3A0" w14:textId="77777777" w:rsidR="00E91535" w:rsidRDefault="00E91535">
                    <w:pPr>
                      <w:pStyle w:val="Bibliography"/>
                      <w:rPr>
                        <w:noProof/>
                      </w:rPr>
                    </w:pPr>
                    <w:r>
                      <w:rPr>
                        <w:noProof/>
                      </w:rPr>
                      <w:t xml:space="preserve">[55] </w:t>
                    </w:r>
                  </w:p>
                </w:tc>
                <w:tc>
                  <w:tcPr>
                    <w:tcW w:w="4628" w:type="pct"/>
                    <w:hideMark/>
                  </w:tcPr>
                  <w:p w14:paraId="72252467" w14:textId="77777777" w:rsidR="00E91535" w:rsidRDefault="00E91535">
                    <w:pPr>
                      <w:pStyle w:val="Bibliography"/>
                      <w:rPr>
                        <w:noProof/>
                      </w:rPr>
                    </w:pPr>
                    <w:r>
                      <w:rPr>
                        <w:noProof/>
                      </w:rPr>
                      <w:t>U.S. Department of Energy, “Operational Coordination across Bulk Power, Distribution and Customr System,” February 2019. [Online]. Available: https://www.pnnl.gov/sites/default/files/media/file/Operational-Coordination-Across-Bulk-Power-Distribution-Customer-Systems-Feb2019.pdf.</w:t>
                    </w:r>
                  </w:p>
                </w:tc>
              </w:tr>
              <w:tr w:rsidR="00E91535" w14:paraId="0402B3D9" w14:textId="77777777" w:rsidTr="00976ECC">
                <w:trPr>
                  <w:divId w:val="1121338252"/>
                  <w:tblCellSpacing w:w="15" w:type="dxa"/>
                </w:trPr>
                <w:tc>
                  <w:tcPr>
                    <w:tcW w:w="318" w:type="pct"/>
                    <w:hideMark/>
                  </w:tcPr>
                  <w:p w14:paraId="11D03209" w14:textId="77777777" w:rsidR="00E91535" w:rsidRDefault="00E91535">
                    <w:pPr>
                      <w:pStyle w:val="Bibliography"/>
                      <w:rPr>
                        <w:noProof/>
                      </w:rPr>
                    </w:pPr>
                    <w:r>
                      <w:rPr>
                        <w:noProof/>
                      </w:rPr>
                      <w:t xml:space="preserve">[56] </w:t>
                    </w:r>
                  </w:p>
                </w:tc>
                <w:tc>
                  <w:tcPr>
                    <w:tcW w:w="4628" w:type="pct"/>
                    <w:hideMark/>
                  </w:tcPr>
                  <w:p w14:paraId="7B1C33F8" w14:textId="77777777" w:rsidR="00E91535" w:rsidRDefault="00E91535">
                    <w:pPr>
                      <w:pStyle w:val="Bibliography"/>
                      <w:rPr>
                        <w:noProof/>
                      </w:rPr>
                    </w:pPr>
                    <w:r>
                      <w:rPr>
                        <w:noProof/>
                      </w:rPr>
                      <w:t>ENA, “Primacy Rules, Rules for ESO/DNO Coordination. Increment 2. V.1.0,” 2024.</w:t>
                    </w:r>
                  </w:p>
                </w:tc>
              </w:tr>
              <w:tr w:rsidR="00E91535" w14:paraId="14CB22DF" w14:textId="77777777" w:rsidTr="00976ECC">
                <w:trPr>
                  <w:divId w:val="1121338252"/>
                  <w:tblCellSpacing w:w="15" w:type="dxa"/>
                </w:trPr>
                <w:tc>
                  <w:tcPr>
                    <w:tcW w:w="318" w:type="pct"/>
                    <w:hideMark/>
                  </w:tcPr>
                  <w:p w14:paraId="76BA3DF5" w14:textId="77777777" w:rsidR="00E91535" w:rsidRDefault="00E91535">
                    <w:pPr>
                      <w:pStyle w:val="Bibliography"/>
                      <w:rPr>
                        <w:noProof/>
                      </w:rPr>
                    </w:pPr>
                    <w:r>
                      <w:rPr>
                        <w:noProof/>
                      </w:rPr>
                      <w:t xml:space="preserve">[57] </w:t>
                    </w:r>
                  </w:p>
                </w:tc>
                <w:tc>
                  <w:tcPr>
                    <w:tcW w:w="4628" w:type="pct"/>
                    <w:hideMark/>
                  </w:tcPr>
                  <w:p w14:paraId="61E7CDB2" w14:textId="77777777" w:rsidR="00E91535" w:rsidRDefault="00E91535">
                    <w:pPr>
                      <w:pStyle w:val="Bibliography"/>
                      <w:rPr>
                        <w:noProof/>
                      </w:rPr>
                    </w:pPr>
                    <w:r>
                      <w:rPr>
                        <w:noProof/>
                      </w:rPr>
                      <w:t xml:space="preserve">Electric Power Research Institute (EPRI), “TSO-DSO Coordination Functions for DER,” </w:t>
                    </w:r>
                    <w:r>
                      <w:rPr>
                        <w:i/>
                        <w:iCs/>
                        <w:noProof/>
                      </w:rPr>
                      <w:t xml:space="preserve">Technical Update Report, </w:t>
                    </w:r>
                    <w:r>
                      <w:rPr>
                        <w:noProof/>
                      </w:rPr>
                      <w:t xml:space="preserve">no. 3002021985, 2022. </w:t>
                    </w:r>
                  </w:p>
                </w:tc>
              </w:tr>
              <w:tr w:rsidR="00E91535" w14:paraId="0DC7E0D4" w14:textId="77777777" w:rsidTr="00976ECC">
                <w:trPr>
                  <w:divId w:val="1121338252"/>
                  <w:tblCellSpacing w:w="15" w:type="dxa"/>
                </w:trPr>
                <w:tc>
                  <w:tcPr>
                    <w:tcW w:w="318" w:type="pct"/>
                    <w:hideMark/>
                  </w:tcPr>
                  <w:p w14:paraId="50058C7E" w14:textId="77777777" w:rsidR="00E91535" w:rsidRDefault="00E91535">
                    <w:pPr>
                      <w:pStyle w:val="Bibliography"/>
                      <w:rPr>
                        <w:noProof/>
                      </w:rPr>
                    </w:pPr>
                    <w:r>
                      <w:rPr>
                        <w:noProof/>
                      </w:rPr>
                      <w:t xml:space="preserve">[58] </w:t>
                    </w:r>
                  </w:p>
                </w:tc>
                <w:tc>
                  <w:tcPr>
                    <w:tcW w:w="4628" w:type="pct"/>
                    <w:hideMark/>
                  </w:tcPr>
                  <w:p w14:paraId="7FEBA28C" w14:textId="77777777" w:rsidR="00E91535" w:rsidRDefault="00E91535">
                    <w:pPr>
                      <w:pStyle w:val="Bibliography"/>
                      <w:rPr>
                        <w:noProof/>
                      </w:rPr>
                    </w:pPr>
                    <w:r>
                      <w:rPr>
                        <w:noProof/>
                      </w:rPr>
                      <w:t>J. Taft, “Assigning Roles and Responsibilities Rigorously,” Substack, 24 January 2025. [Online]. Available: https://jeffreytaft.substack.com/p/assigning-roles-and-responsibilities. [Accessed June 2025].</w:t>
                    </w:r>
                  </w:p>
                </w:tc>
              </w:tr>
              <w:tr w:rsidR="00E91535" w14:paraId="1B8614C0" w14:textId="77777777" w:rsidTr="00976ECC">
                <w:trPr>
                  <w:divId w:val="1121338252"/>
                  <w:tblCellSpacing w:w="15" w:type="dxa"/>
                </w:trPr>
                <w:tc>
                  <w:tcPr>
                    <w:tcW w:w="318" w:type="pct"/>
                    <w:hideMark/>
                  </w:tcPr>
                  <w:p w14:paraId="4808E42E" w14:textId="77777777" w:rsidR="00E91535" w:rsidRDefault="00E91535">
                    <w:pPr>
                      <w:pStyle w:val="Bibliography"/>
                      <w:rPr>
                        <w:noProof/>
                      </w:rPr>
                    </w:pPr>
                    <w:r>
                      <w:rPr>
                        <w:noProof/>
                      </w:rPr>
                      <w:t xml:space="preserve">[59] </w:t>
                    </w:r>
                  </w:p>
                </w:tc>
                <w:tc>
                  <w:tcPr>
                    <w:tcW w:w="4628" w:type="pct"/>
                    <w:hideMark/>
                  </w:tcPr>
                  <w:p w14:paraId="18269746" w14:textId="77777777" w:rsidR="00E91535" w:rsidRDefault="00E91535">
                    <w:pPr>
                      <w:pStyle w:val="Bibliography"/>
                      <w:rPr>
                        <w:noProof/>
                      </w:rPr>
                    </w:pPr>
                    <w:r>
                      <w:rPr>
                        <w:noProof/>
                      </w:rPr>
                      <w:t>U.S. Department of Energy, Office of Electricity, “Latency Implications for Grid Communications,” 31 January 2024. [Online]. Available: https://www.energy.gov/sites/default/files/2024-02/SPARC%20Series%20-%20Latency%20Whitepaper_01312024_optimized.pdf.</w:t>
                    </w:r>
                  </w:p>
                </w:tc>
              </w:tr>
              <w:tr w:rsidR="00E91535" w14:paraId="4E7DAF0F" w14:textId="77777777" w:rsidTr="00976ECC">
                <w:trPr>
                  <w:divId w:val="1121338252"/>
                  <w:tblCellSpacing w:w="15" w:type="dxa"/>
                </w:trPr>
                <w:tc>
                  <w:tcPr>
                    <w:tcW w:w="318" w:type="pct"/>
                    <w:hideMark/>
                  </w:tcPr>
                  <w:p w14:paraId="01D6C5B2" w14:textId="77777777" w:rsidR="00E91535" w:rsidRDefault="00E91535">
                    <w:pPr>
                      <w:pStyle w:val="Bibliography"/>
                      <w:rPr>
                        <w:noProof/>
                      </w:rPr>
                    </w:pPr>
                    <w:r>
                      <w:rPr>
                        <w:noProof/>
                      </w:rPr>
                      <w:t xml:space="preserve">[60] </w:t>
                    </w:r>
                  </w:p>
                </w:tc>
                <w:tc>
                  <w:tcPr>
                    <w:tcW w:w="4628" w:type="pct"/>
                    <w:hideMark/>
                  </w:tcPr>
                  <w:p w14:paraId="276AFD21" w14:textId="77777777" w:rsidR="00E91535" w:rsidRDefault="00E91535">
                    <w:pPr>
                      <w:pStyle w:val="Bibliography"/>
                      <w:rPr>
                        <w:noProof/>
                      </w:rPr>
                    </w:pPr>
                    <w:r>
                      <w:rPr>
                        <w:noProof/>
                      </w:rPr>
                      <w:t>S. Brisley and Camus Energy, “Distribution System Operators (DSOs) &amp; MISO Market Interactions - Presented at the MISO Distributed Energy Resources Task Force (DERTF),” 18 November 2024. [Online]. Available: https://cdn.misoenergy.org/20241118%20DERTF%20Item%2004%20Distribution%20System%20Operators_Camus661034.pdf.</w:t>
                    </w:r>
                  </w:p>
                </w:tc>
              </w:tr>
              <w:tr w:rsidR="00E91535" w14:paraId="4F204090" w14:textId="77777777" w:rsidTr="00976ECC">
                <w:trPr>
                  <w:divId w:val="1121338252"/>
                  <w:tblCellSpacing w:w="15" w:type="dxa"/>
                </w:trPr>
                <w:tc>
                  <w:tcPr>
                    <w:tcW w:w="318" w:type="pct"/>
                    <w:hideMark/>
                  </w:tcPr>
                  <w:p w14:paraId="46B1BBA6" w14:textId="77777777" w:rsidR="00E91535" w:rsidRDefault="00E91535">
                    <w:pPr>
                      <w:pStyle w:val="Bibliography"/>
                      <w:rPr>
                        <w:noProof/>
                      </w:rPr>
                    </w:pPr>
                    <w:r>
                      <w:rPr>
                        <w:noProof/>
                      </w:rPr>
                      <w:t xml:space="preserve">[61] </w:t>
                    </w:r>
                  </w:p>
                </w:tc>
                <w:tc>
                  <w:tcPr>
                    <w:tcW w:w="4628" w:type="pct"/>
                    <w:hideMark/>
                  </w:tcPr>
                  <w:p w14:paraId="2B78AA0B" w14:textId="77777777" w:rsidR="00E91535" w:rsidRDefault="00E91535">
                    <w:pPr>
                      <w:pStyle w:val="Bibliography"/>
                      <w:rPr>
                        <w:noProof/>
                      </w:rPr>
                    </w:pPr>
                    <w:r>
                      <w:rPr>
                        <w:noProof/>
                      </w:rPr>
                      <w:t>A. Mills and R. Wiser, “Implications of geographic diversity for short-term variability and predictability of solar,” 24 July 2011. [Online]. Available: https://scispace.com/pdf/implications-of-geographic-diversity-for-short-term-412td9fb01.pdf.</w:t>
                    </w:r>
                  </w:p>
                </w:tc>
              </w:tr>
              <w:tr w:rsidR="00E91535" w14:paraId="288E6156" w14:textId="77777777" w:rsidTr="00976ECC">
                <w:trPr>
                  <w:divId w:val="1121338252"/>
                  <w:tblCellSpacing w:w="15" w:type="dxa"/>
                </w:trPr>
                <w:tc>
                  <w:tcPr>
                    <w:tcW w:w="318" w:type="pct"/>
                    <w:hideMark/>
                  </w:tcPr>
                  <w:p w14:paraId="2359A29D" w14:textId="77777777" w:rsidR="00E91535" w:rsidRDefault="00E91535">
                    <w:pPr>
                      <w:pStyle w:val="Bibliography"/>
                      <w:rPr>
                        <w:noProof/>
                      </w:rPr>
                    </w:pPr>
                    <w:r>
                      <w:rPr>
                        <w:noProof/>
                      </w:rPr>
                      <w:t xml:space="preserve">[62] </w:t>
                    </w:r>
                  </w:p>
                </w:tc>
                <w:tc>
                  <w:tcPr>
                    <w:tcW w:w="4628" w:type="pct"/>
                    <w:hideMark/>
                  </w:tcPr>
                  <w:p w14:paraId="40C033C2" w14:textId="77777777" w:rsidR="00E91535" w:rsidRDefault="00E91535">
                    <w:pPr>
                      <w:pStyle w:val="Bibliography"/>
                      <w:rPr>
                        <w:noProof/>
                      </w:rPr>
                    </w:pPr>
                    <w:r>
                      <w:rPr>
                        <w:noProof/>
                      </w:rPr>
                      <w:t>Taft, Jeff, “Grid Architecture,” Pacific Northwest National Labs, Oak Ridge, 2015.</w:t>
                    </w:r>
                  </w:p>
                </w:tc>
              </w:tr>
              <w:tr w:rsidR="00E91535" w14:paraId="2B449398" w14:textId="77777777" w:rsidTr="00976ECC">
                <w:trPr>
                  <w:divId w:val="1121338252"/>
                  <w:tblCellSpacing w:w="15" w:type="dxa"/>
                </w:trPr>
                <w:tc>
                  <w:tcPr>
                    <w:tcW w:w="318" w:type="pct"/>
                    <w:hideMark/>
                  </w:tcPr>
                  <w:p w14:paraId="7938DB22" w14:textId="77777777" w:rsidR="00E91535" w:rsidRDefault="00E91535">
                    <w:pPr>
                      <w:pStyle w:val="Bibliography"/>
                      <w:rPr>
                        <w:noProof/>
                      </w:rPr>
                    </w:pPr>
                    <w:r>
                      <w:rPr>
                        <w:noProof/>
                      </w:rPr>
                      <w:lastRenderedPageBreak/>
                      <w:t xml:space="preserve">[63] </w:t>
                    </w:r>
                  </w:p>
                </w:tc>
                <w:tc>
                  <w:tcPr>
                    <w:tcW w:w="4628" w:type="pct"/>
                    <w:hideMark/>
                  </w:tcPr>
                  <w:p w14:paraId="153B9EB7" w14:textId="77777777" w:rsidR="00E91535" w:rsidRDefault="00E91535">
                    <w:pPr>
                      <w:pStyle w:val="Bibliography"/>
                      <w:rPr>
                        <w:noProof/>
                      </w:rPr>
                    </w:pPr>
                    <w:r>
                      <w:rPr>
                        <w:noProof/>
                      </w:rPr>
                      <w:t>Institute of Electrical and Electronics Engineers, “Guide for Distributed Energy Resources Management Systems (DERMS) Functional Specification,” New York, 2021.</w:t>
                    </w:r>
                  </w:p>
                </w:tc>
              </w:tr>
              <w:tr w:rsidR="00E91535" w14:paraId="745B4649" w14:textId="77777777" w:rsidTr="00976ECC">
                <w:trPr>
                  <w:divId w:val="1121338252"/>
                  <w:tblCellSpacing w:w="15" w:type="dxa"/>
                </w:trPr>
                <w:tc>
                  <w:tcPr>
                    <w:tcW w:w="318" w:type="pct"/>
                    <w:hideMark/>
                  </w:tcPr>
                  <w:p w14:paraId="00DF0225" w14:textId="77777777" w:rsidR="00E91535" w:rsidRDefault="00E91535">
                    <w:pPr>
                      <w:pStyle w:val="Bibliography"/>
                      <w:rPr>
                        <w:noProof/>
                      </w:rPr>
                    </w:pPr>
                    <w:r>
                      <w:rPr>
                        <w:noProof/>
                      </w:rPr>
                      <w:t xml:space="preserve">[64] </w:t>
                    </w:r>
                  </w:p>
                </w:tc>
                <w:tc>
                  <w:tcPr>
                    <w:tcW w:w="4628" w:type="pct"/>
                    <w:hideMark/>
                  </w:tcPr>
                  <w:p w14:paraId="0661E357" w14:textId="77777777" w:rsidR="00E91535" w:rsidRDefault="00E91535">
                    <w:pPr>
                      <w:pStyle w:val="Bibliography"/>
                      <w:rPr>
                        <w:noProof/>
                      </w:rPr>
                    </w:pPr>
                    <w:r>
                      <w:rPr>
                        <w:noProof/>
                      </w:rPr>
                      <w:t>International Electrotechnical Commission, “Application Integration at Electric Utilities – System Interfaces for Distribution Management – Part 5: Distributed Energy Optimization,” Geneva, Switzerland, 2020.</w:t>
                    </w:r>
                  </w:p>
                </w:tc>
              </w:tr>
              <w:tr w:rsidR="00976ECC" w14:paraId="5B7AA5A3" w14:textId="77777777" w:rsidTr="00976ECC">
                <w:tblPrEx>
                  <w:tblCellSpacing w:w="0" w:type="nil"/>
                  <w:tblCellMar>
                    <w:top w:w="0" w:type="dxa"/>
                    <w:left w:w="108" w:type="dxa"/>
                    <w:bottom w:w="0" w:type="dxa"/>
                    <w:right w:w="108" w:type="dxa"/>
                  </w:tblCellMar>
                </w:tblPrEx>
                <w:trPr>
                  <w:divId w:val="1121338252"/>
                </w:trPr>
                <w:tc>
                  <w:tcPr>
                    <w:tcW w:w="318" w:type="pct"/>
                  </w:tcPr>
                  <w:p w14:paraId="2D4DC0C0" w14:textId="372B5E89" w:rsidR="00976ECC" w:rsidRDefault="00976ECC">
                    <w:pPr>
                      <w:pStyle w:val="Bibliography"/>
                      <w:rPr>
                        <w:noProof/>
                      </w:rPr>
                    </w:pPr>
                    <w:r>
                      <w:t>[</w:t>
                    </w:r>
                    <w:r w:rsidRPr="00FC37AC">
                      <w:t>65]</w:t>
                    </w:r>
                  </w:p>
                </w:tc>
                <w:tc>
                  <w:tcPr>
                    <w:tcW w:w="4628" w:type="pct"/>
                  </w:tcPr>
                  <w:p w14:paraId="1AE843B8" w14:textId="15D691E0" w:rsidR="00976ECC" w:rsidRDefault="00976ECC">
                    <w:pPr>
                      <w:pStyle w:val="Bibliography"/>
                      <w:rPr>
                        <w:noProof/>
                      </w:rPr>
                    </w:pPr>
                    <w:bookmarkStart w:id="257" w:name="Ref_65"/>
                    <w:r w:rsidRPr="00FC37AC">
                      <w:t>Pacific Northwest National Laboratory (PNNL), ‘The Network of Structures Grid Model Paradigm’. 2014. [Online]. Available: https://gridarchitecture.pnnl.gov/media/advanced/The%20Network%20of%20Structures.pdf</w:t>
                    </w:r>
                    <w:bookmarkEnd w:id="257"/>
                  </w:p>
                </w:tc>
              </w:tr>
              <w:tr w:rsidR="00976ECC" w14:paraId="3D7DB468" w14:textId="77777777" w:rsidTr="00976ECC">
                <w:tblPrEx>
                  <w:tblCellSpacing w:w="0" w:type="nil"/>
                  <w:tblCellMar>
                    <w:top w:w="0" w:type="dxa"/>
                    <w:left w:w="108" w:type="dxa"/>
                    <w:bottom w:w="0" w:type="dxa"/>
                    <w:right w:w="108" w:type="dxa"/>
                  </w:tblCellMar>
                </w:tblPrEx>
                <w:trPr>
                  <w:divId w:val="1121338252"/>
                </w:trPr>
                <w:tc>
                  <w:tcPr>
                    <w:tcW w:w="318" w:type="pct"/>
                  </w:tcPr>
                  <w:p w14:paraId="5B2724B5" w14:textId="1A75DD62" w:rsidR="00976ECC" w:rsidRDefault="00976ECC" w:rsidP="00976ECC">
                    <w:pPr>
                      <w:pStyle w:val="Bibliography"/>
                      <w:ind w:right="-104"/>
                      <w:rPr>
                        <w:noProof/>
                      </w:rPr>
                    </w:pPr>
                    <w:r w:rsidRPr="00FC37AC">
                      <w:t>[6</w:t>
                    </w:r>
                    <w:r>
                      <w:t>6</w:t>
                    </w:r>
                    <w:r w:rsidRPr="00FC37AC">
                      <w:t>]</w:t>
                    </w:r>
                  </w:p>
                </w:tc>
                <w:tc>
                  <w:tcPr>
                    <w:tcW w:w="4628" w:type="pct"/>
                  </w:tcPr>
                  <w:p w14:paraId="07B81EAE" w14:textId="329C0A9C" w:rsidR="00976ECC" w:rsidRDefault="00976ECC">
                    <w:pPr>
                      <w:pStyle w:val="Bibliography"/>
                      <w:rPr>
                        <w:noProof/>
                      </w:rPr>
                    </w:pPr>
                    <w:bookmarkStart w:id="258" w:name="Ref_66"/>
                    <w:r w:rsidRPr="00FC37AC">
                      <w:t>UK Power Networks, ‘DSO Performance Panel Report 2023/24’, U.K., 2024 2023. [Online]. Available: https://d1lf1oz5vvdb9r.cloudfront.net/app/uploads/2024/04/UK-Power-Networks-DSO-Performance-Panel-Report-2023-24-FINAL.pdf</w:t>
                    </w:r>
                    <w:bookmarkEnd w:id="258"/>
                  </w:p>
                </w:tc>
              </w:tr>
              <w:tr w:rsidR="00976ECC" w14:paraId="464AFF4E" w14:textId="77777777" w:rsidTr="00976ECC">
                <w:tblPrEx>
                  <w:tblCellSpacing w:w="0" w:type="nil"/>
                  <w:tblCellMar>
                    <w:top w:w="0" w:type="dxa"/>
                    <w:left w:w="108" w:type="dxa"/>
                    <w:bottom w:w="0" w:type="dxa"/>
                    <w:right w:w="108" w:type="dxa"/>
                  </w:tblCellMar>
                </w:tblPrEx>
                <w:trPr>
                  <w:divId w:val="1121338252"/>
                </w:trPr>
                <w:tc>
                  <w:tcPr>
                    <w:tcW w:w="318" w:type="pct"/>
                  </w:tcPr>
                  <w:p w14:paraId="214F5FED" w14:textId="3E1BDBA4" w:rsidR="00976ECC" w:rsidRDefault="00976ECC" w:rsidP="00FC629A">
                    <w:pPr>
                      <w:pStyle w:val="Bibliography"/>
                      <w:ind w:right="-104"/>
                      <w:rPr>
                        <w:noProof/>
                      </w:rPr>
                    </w:pPr>
                    <w:r w:rsidRPr="00FC37AC">
                      <w:t>[67]</w:t>
                    </w:r>
                  </w:p>
                </w:tc>
                <w:tc>
                  <w:tcPr>
                    <w:tcW w:w="4628" w:type="pct"/>
                  </w:tcPr>
                  <w:p w14:paraId="7D1FC163" w14:textId="3F54A7D6" w:rsidR="00976ECC" w:rsidRDefault="00976ECC">
                    <w:pPr>
                      <w:pStyle w:val="Bibliography"/>
                      <w:rPr>
                        <w:noProof/>
                      </w:rPr>
                    </w:pPr>
                    <w:bookmarkStart w:id="259" w:name="Ref_67"/>
                    <w:r w:rsidRPr="00FC37AC">
                      <w:t>Baringa Partners LLP, ‘An Exploration of Potential DSO Models for New Zealand’, Apr. 2025. [Online]. Available: https://www.ena.org.nz/assets/DMSDocuments/Potential-DSO-models-for-New-Zealand.pdf</w:t>
                    </w:r>
                    <w:bookmarkEnd w:id="259"/>
                  </w:p>
                </w:tc>
              </w:tr>
              <w:tr w:rsidR="00976ECC" w14:paraId="04E3D608" w14:textId="77777777" w:rsidTr="00976ECC">
                <w:tblPrEx>
                  <w:tblCellSpacing w:w="0" w:type="nil"/>
                  <w:tblCellMar>
                    <w:top w:w="0" w:type="dxa"/>
                    <w:left w:w="108" w:type="dxa"/>
                    <w:bottom w:w="0" w:type="dxa"/>
                    <w:right w:w="108" w:type="dxa"/>
                  </w:tblCellMar>
                </w:tblPrEx>
                <w:trPr>
                  <w:divId w:val="1121338252"/>
                </w:trPr>
                <w:tc>
                  <w:tcPr>
                    <w:tcW w:w="318" w:type="pct"/>
                  </w:tcPr>
                  <w:p w14:paraId="389FBE2E" w14:textId="77749FA9" w:rsidR="00976ECC" w:rsidRDefault="00976ECC" w:rsidP="00976ECC">
                    <w:pPr>
                      <w:pStyle w:val="Bibliography"/>
                      <w:ind w:right="-104"/>
                      <w:rPr>
                        <w:noProof/>
                      </w:rPr>
                    </w:pPr>
                    <w:r w:rsidRPr="00FC37AC">
                      <w:t>[68]</w:t>
                    </w:r>
                  </w:p>
                </w:tc>
                <w:tc>
                  <w:tcPr>
                    <w:tcW w:w="4628" w:type="pct"/>
                  </w:tcPr>
                  <w:p w14:paraId="634FBBC8" w14:textId="2AC09B13" w:rsidR="00976ECC" w:rsidRDefault="00976ECC">
                    <w:pPr>
                      <w:pStyle w:val="Bibliography"/>
                      <w:rPr>
                        <w:noProof/>
                      </w:rPr>
                    </w:pPr>
                    <w:bookmarkStart w:id="260" w:name="Ref_68"/>
                    <w:r w:rsidRPr="00FC37AC">
                      <w:t>Energy Systems Integration Group, ‘The Transition to a High-DER Electricity System: Creating a National Initiative on DER Integration for the United States’, Aug. 2022. [Online]. Available: https://www.esig.energy/wp-content/uploads/2022/08/ESIG-DER-integration-US-initiative-report-2022.pdf</w:t>
                    </w:r>
                    <w:bookmarkEnd w:id="260"/>
                  </w:p>
                </w:tc>
              </w:tr>
              <w:tr w:rsidR="00976ECC" w14:paraId="6714F7F1" w14:textId="77777777" w:rsidTr="00976ECC">
                <w:tblPrEx>
                  <w:tblCellSpacing w:w="0" w:type="nil"/>
                  <w:tblCellMar>
                    <w:top w:w="0" w:type="dxa"/>
                    <w:left w:w="108" w:type="dxa"/>
                    <w:bottom w:w="0" w:type="dxa"/>
                    <w:right w:w="108" w:type="dxa"/>
                  </w:tblCellMar>
                </w:tblPrEx>
                <w:trPr>
                  <w:divId w:val="1121338252"/>
                </w:trPr>
                <w:tc>
                  <w:tcPr>
                    <w:tcW w:w="318" w:type="pct"/>
                  </w:tcPr>
                  <w:p w14:paraId="552612A3" w14:textId="2C3C8FD8" w:rsidR="00976ECC" w:rsidRDefault="00976ECC" w:rsidP="00FC629A">
                    <w:pPr>
                      <w:pStyle w:val="Bibliography"/>
                      <w:ind w:right="-104"/>
                      <w:rPr>
                        <w:noProof/>
                      </w:rPr>
                    </w:pPr>
                    <w:r w:rsidRPr="00FC37AC">
                      <w:t>[69]</w:t>
                    </w:r>
                  </w:p>
                </w:tc>
                <w:tc>
                  <w:tcPr>
                    <w:tcW w:w="4628" w:type="pct"/>
                  </w:tcPr>
                  <w:p w14:paraId="30A5E37D" w14:textId="518DF789" w:rsidR="00976ECC" w:rsidRPr="00FC629A" w:rsidRDefault="00976ECC" w:rsidP="00FC629A">
                    <w:bookmarkStart w:id="261" w:name="Ref_69"/>
                    <w:r w:rsidRPr="00FC37AC">
                      <w:t>New York State Department, ‘Reforming the Energy Vision (REV)’, White Paper, 2016. [Online]. Available: https://www.ny.gov/sites/default/files/atoms/files/WhitePaperREVMarch2016.pdf</w:t>
                    </w:r>
                    <w:bookmarkEnd w:id="261"/>
                  </w:p>
                </w:tc>
              </w:tr>
              <w:tr w:rsidR="00976ECC" w14:paraId="3019587B" w14:textId="77777777" w:rsidTr="00976ECC">
                <w:tblPrEx>
                  <w:tblCellSpacing w:w="0" w:type="nil"/>
                  <w:tblCellMar>
                    <w:top w:w="0" w:type="dxa"/>
                    <w:left w:w="108" w:type="dxa"/>
                    <w:bottom w:w="0" w:type="dxa"/>
                    <w:right w:w="108" w:type="dxa"/>
                  </w:tblCellMar>
                </w:tblPrEx>
                <w:trPr>
                  <w:divId w:val="1121338252"/>
                </w:trPr>
                <w:tc>
                  <w:tcPr>
                    <w:tcW w:w="318" w:type="pct"/>
                  </w:tcPr>
                  <w:p w14:paraId="661F91E6" w14:textId="0DE0A2CD" w:rsidR="00976ECC" w:rsidRDefault="00976ECC">
                    <w:pPr>
                      <w:pStyle w:val="Bibliography"/>
                      <w:rPr>
                        <w:noProof/>
                      </w:rPr>
                    </w:pPr>
                    <w:r w:rsidRPr="00FC37AC">
                      <w:t>[70]</w:t>
                    </w:r>
                  </w:p>
                </w:tc>
                <w:tc>
                  <w:tcPr>
                    <w:tcW w:w="4628" w:type="pct"/>
                  </w:tcPr>
                  <w:p w14:paraId="642D1206" w14:textId="077065D7" w:rsidR="00976ECC" w:rsidRDefault="00976ECC">
                    <w:pPr>
                      <w:pStyle w:val="Bibliography"/>
                      <w:rPr>
                        <w:noProof/>
                      </w:rPr>
                    </w:pPr>
                    <w:bookmarkStart w:id="262" w:name="Ref_70"/>
                    <w:r w:rsidRPr="00FC37AC">
                      <w:t>Electricity North West, ‘DSO–DNO Governance Framework’, Final Report, Mar. 2025. [Online]. Available: https://www.enwl.co.uk/globalassets/future-energy/dso/reports/dsodno-governance-framework/dso-dno-governance.pdf</w:t>
                    </w:r>
                    <w:bookmarkEnd w:id="262"/>
                  </w:p>
                </w:tc>
              </w:tr>
              <w:tr w:rsidR="00976ECC" w14:paraId="209F9894" w14:textId="77777777" w:rsidTr="00976ECC">
                <w:tblPrEx>
                  <w:tblCellSpacing w:w="0" w:type="nil"/>
                  <w:tblCellMar>
                    <w:top w:w="0" w:type="dxa"/>
                    <w:left w:w="108" w:type="dxa"/>
                    <w:bottom w:w="0" w:type="dxa"/>
                    <w:right w:w="108" w:type="dxa"/>
                  </w:tblCellMar>
                </w:tblPrEx>
                <w:trPr>
                  <w:divId w:val="1121338252"/>
                </w:trPr>
                <w:tc>
                  <w:tcPr>
                    <w:tcW w:w="318" w:type="pct"/>
                  </w:tcPr>
                  <w:p w14:paraId="43270CD5" w14:textId="529F8C5E" w:rsidR="00976ECC" w:rsidRDefault="00976ECC">
                    <w:pPr>
                      <w:pStyle w:val="Bibliography"/>
                      <w:rPr>
                        <w:noProof/>
                      </w:rPr>
                    </w:pPr>
                    <w:r w:rsidRPr="00FC37AC">
                      <w:t>[71]</w:t>
                    </w:r>
                  </w:p>
                </w:tc>
                <w:tc>
                  <w:tcPr>
                    <w:tcW w:w="4628" w:type="pct"/>
                  </w:tcPr>
                  <w:p w14:paraId="4C241DFF" w14:textId="13D3DB08" w:rsidR="00976ECC" w:rsidRDefault="00976ECC">
                    <w:pPr>
                      <w:pStyle w:val="Bibliography"/>
                      <w:rPr>
                        <w:noProof/>
                      </w:rPr>
                    </w:pPr>
                    <w:bookmarkStart w:id="263" w:name="Ref_71"/>
                    <w:r w:rsidRPr="00FC37AC">
                      <w:t>Energy Networks Australia and Australian Energy Market Operator, ‘Open Energy Networks: Consultation Paper’, Jun. 2018. [Online]. Available: https://www.energynetworks.com.au/assets/uploads/open_energy_networks_consultation_paper.pdf</w:t>
                    </w:r>
                    <w:bookmarkEnd w:id="263"/>
                  </w:p>
                </w:tc>
              </w:tr>
              <w:tr w:rsidR="00976ECC" w14:paraId="2BF38E76" w14:textId="77777777" w:rsidTr="00976ECC">
                <w:tblPrEx>
                  <w:tblCellSpacing w:w="0" w:type="nil"/>
                  <w:tblCellMar>
                    <w:top w:w="0" w:type="dxa"/>
                    <w:left w:w="108" w:type="dxa"/>
                    <w:bottom w:w="0" w:type="dxa"/>
                    <w:right w:w="108" w:type="dxa"/>
                  </w:tblCellMar>
                </w:tblPrEx>
                <w:trPr>
                  <w:divId w:val="1121338252"/>
                </w:trPr>
                <w:tc>
                  <w:tcPr>
                    <w:tcW w:w="318" w:type="pct"/>
                  </w:tcPr>
                  <w:p w14:paraId="392CC88D" w14:textId="5D0A5104" w:rsidR="00976ECC" w:rsidRDefault="00976ECC">
                    <w:pPr>
                      <w:pStyle w:val="Bibliography"/>
                      <w:rPr>
                        <w:noProof/>
                      </w:rPr>
                    </w:pPr>
                    <w:r w:rsidRPr="00FC37AC">
                      <w:lastRenderedPageBreak/>
                      <w:t>[72]</w:t>
                    </w:r>
                  </w:p>
                </w:tc>
                <w:tc>
                  <w:tcPr>
                    <w:tcW w:w="4628" w:type="pct"/>
                  </w:tcPr>
                  <w:p w14:paraId="061698E0" w14:textId="094C5F67" w:rsidR="00976ECC" w:rsidRDefault="00976ECC">
                    <w:pPr>
                      <w:pStyle w:val="Bibliography"/>
                      <w:rPr>
                        <w:noProof/>
                      </w:rPr>
                    </w:pPr>
                    <w:bookmarkStart w:id="264" w:name="Ref_72"/>
                    <w:r w:rsidRPr="00FC37AC">
                      <w:t>Baringa Partners LLP, ‘Assessment of Open Energy Networks Frameworks’, Oct. 2020. [Online]. Available: https://www.energynetworks.com.au/resources/reports/assessment-of-open-energy-networks-frameworks/</w:t>
                    </w:r>
                    <w:bookmarkEnd w:id="264"/>
                  </w:p>
                </w:tc>
              </w:tr>
              <w:tr w:rsidR="00976ECC" w14:paraId="09820DD8" w14:textId="77777777" w:rsidTr="00976ECC">
                <w:tblPrEx>
                  <w:tblCellSpacing w:w="0" w:type="nil"/>
                  <w:tblCellMar>
                    <w:top w:w="0" w:type="dxa"/>
                    <w:left w:w="108" w:type="dxa"/>
                    <w:bottom w:w="0" w:type="dxa"/>
                    <w:right w:w="108" w:type="dxa"/>
                  </w:tblCellMar>
                </w:tblPrEx>
                <w:trPr>
                  <w:divId w:val="1121338252"/>
                </w:trPr>
                <w:tc>
                  <w:tcPr>
                    <w:tcW w:w="318" w:type="pct"/>
                  </w:tcPr>
                  <w:p w14:paraId="12349B83" w14:textId="77EAA2FD" w:rsidR="00976ECC" w:rsidRDefault="00976ECC">
                    <w:pPr>
                      <w:pStyle w:val="Bibliography"/>
                      <w:rPr>
                        <w:noProof/>
                      </w:rPr>
                    </w:pPr>
                  </w:p>
                </w:tc>
                <w:tc>
                  <w:tcPr>
                    <w:tcW w:w="4628" w:type="pct"/>
                  </w:tcPr>
                  <w:p w14:paraId="073EA664" w14:textId="0EF569DB" w:rsidR="00976ECC" w:rsidRDefault="00976ECC">
                    <w:pPr>
                      <w:pStyle w:val="Bibliography"/>
                      <w:rPr>
                        <w:noProof/>
                      </w:rPr>
                    </w:pPr>
                  </w:p>
                </w:tc>
              </w:tr>
            </w:tbl>
            <w:p w14:paraId="6CA4675E" w14:textId="77777777" w:rsidR="00E91535" w:rsidRDefault="00E91535">
              <w:pPr>
                <w:divId w:val="1121338252"/>
                <w:rPr>
                  <w:rFonts w:eastAsia="Times New Roman"/>
                  <w:noProof/>
                </w:rPr>
              </w:pPr>
            </w:p>
            <w:p w14:paraId="2A1F5DA6" w14:textId="7B66F1FE" w:rsidR="0015573E" w:rsidRDefault="0015573E" w:rsidP="003F5C2F">
              <w:pPr>
                <w:rPr>
                  <w:szCs w:val="18"/>
                </w:rPr>
              </w:pPr>
              <w:r>
                <w:rPr>
                  <w:b/>
                  <w:bCs/>
                  <w:noProof/>
                </w:rPr>
                <w:fldChar w:fldCharType="end"/>
              </w:r>
            </w:p>
          </w:sdtContent>
        </w:sdt>
      </w:sdtContent>
    </w:sdt>
    <w:p w14:paraId="118DC92B" w14:textId="24AB8080" w:rsidR="0065334D" w:rsidRDefault="0065334D">
      <w:pPr>
        <w:spacing w:before="0" w:after="160" w:line="259" w:lineRule="auto"/>
        <w:rPr>
          <w:szCs w:val="18"/>
        </w:rPr>
      </w:pPr>
      <w:r>
        <w:rPr>
          <w:szCs w:val="18"/>
        </w:rPr>
        <w:br w:type="page"/>
      </w:r>
    </w:p>
    <w:p w14:paraId="1B9C6B38" w14:textId="77777777" w:rsidR="00742D0D" w:rsidRPr="00742D0D" w:rsidRDefault="00742D0D" w:rsidP="008B714C">
      <w:pPr>
        <w:pStyle w:val="Heading1"/>
        <w:numPr>
          <w:ilvl w:val="0"/>
          <w:numId w:val="0"/>
        </w:numPr>
      </w:pPr>
      <w:bookmarkStart w:id="265" w:name="_Toc205372234"/>
      <w:bookmarkStart w:id="266" w:name="_Toc205529039"/>
      <w:bookmarkStart w:id="267" w:name="_Toc205532892"/>
      <w:bookmarkStart w:id="268" w:name="Appendix_A"/>
      <w:r w:rsidRPr="00742D0D">
        <w:lastRenderedPageBreak/>
        <w:t>Appendix A: Principles</w:t>
      </w:r>
      <w:bookmarkEnd w:id="265"/>
      <w:r w:rsidRPr="00742D0D">
        <w:t>, Methodologies &amp; Acknowledgements</w:t>
      </w:r>
      <w:bookmarkEnd w:id="266"/>
      <w:bookmarkEnd w:id="267"/>
      <w:r w:rsidRPr="00742D0D">
        <w:t xml:space="preserve"> </w:t>
      </w:r>
    </w:p>
    <w:p w14:paraId="5ACA13D1" w14:textId="77777777" w:rsidR="00742D0D" w:rsidRPr="00742D0D" w:rsidRDefault="00742D0D" w:rsidP="00742D0D">
      <w:pPr>
        <w:spacing w:before="120" w:after="120"/>
        <w:rPr>
          <w:lang w:eastAsia="en-US" w:bidi="ar-SA"/>
        </w:rPr>
      </w:pPr>
      <w:bookmarkStart w:id="269" w:name="_Toc204765454"/>
      <w:r w:rsidRPr="00742D0D">
        <w:rPr>
          <w:lang w:eastAsia="en-US" w:bidi="ar-SA"/>
        </w:rPr>
        <w:t xml:space="preserve">This section provides an overview of the guiding principles and integrated disciplines and tools employed in the development of this reference set. </w:t>
      </w:r>
    </w:p>
    <w:p w14:paraId="1567216B" w14:textId="77777777" w:rsidR="00742D0D" w:rsidRPr="00742D0D" w:rsidRDefault="00742D0D" w:rsidP="00742D0D">
      <w:pPr>
        <w:keepNext/>
        <w:keepLines/>
        <w:numPr>
          <w:ilvl w:val="1"/>
          <w:numId w:val="0"/>
        </w:numPr>
        <w:spacing w:before="360" w:after="120"/>
        <w:ind w:left="578" w:hanging="578"/>
        <w:outlineLvl w:val="1"/>
        <w:rPr>
          <w:rFonts w:ascii="PP Mori SemiBold" w:eastAsiaTheme="majorEastAsia" w:hAnsi="PP Mori SemiBold" w:cstheme="majorBidi"/>
          <w:color w:val="002C38" w:themeColor="accent1" w:themeShade="BF"/>
          <w:sz w:val="26"/>
          <w:szCs w:val="33"/>
          <w:lang w:eastAsia="en-US" w:bidi="ar-SA"/>
        </w:rPr>
      </w:pPr>
      <w:bookmarkStart w:id="270" w:name="_Toc205372235"/>
      <w:bookmarkStart w:id="271" w:name="_Toc205529040"/>
      <w:r w:rsidRPr="00742D0D">
        <w:rPr>
          <w:rFonts w:ascii="PP Mori SemiBold" w:eastAsiaTheme="majorEastAsia" w:hAnsi="PP Mori SemiBold" w:cstheme="majorBidi"/>
          <w:color w:val="002C38" w:themeColor="accent1" w:themeShade="BF"/>
          <w:sz w:val="26"/>
          <w:szCs w:val="33"/>
          <w:lang w:eastAsia="en-US" w:bidi="ar-SA"/>
        </w:rPr>
        <w:t>A1</w:t>
      </w:r>
      <w:r w:rsidRPr="00742D0D">
        <w:rPr>
          <w:rFonts w:ascii="PP Mori SemiBold" w:eastAsiaTheme="majorEastAsia" w:hAnsi="PP Mori SemiBold" w:cstheme="majorBidi"/>
          <w:color w:val="002C38" w:themeColor="accent1" w:themeShade="BF"/>
          <w:sz w:val="26"/>
          <w:szCs w:val="33"/>
          <w:lang w:eastAsia="en-US" w:bidi="ar-SA"/>
        </w:rPr>
        <w:tab/>
        <w:t>Guiding Principles</w:t>
      </w:r>
      <w:bookmarkEnd w:id="269"/>
      <w:bookmarkEnd w:id="270"/>
      <w:bookmarkEnd w:id="271"/>
    </w:p>
    <w:p w14:paraId="3079B1A1" w14:textId="77777777" w:rsidR="00742D0D" w:rsidRPr="00742D0D" w:rsidRDefault="00742D0D" w:rsidP="00742D0D">
      <w:pPr>
        <w:spacing w:before="120" w:after="120"/>
        <w:rPr>
          <w:lang w:eastAsia="en-US" w:bidi="ar-SA"/>
        </w:rPr>
      </w:pPr>
      <w:r w:rsidRPr="00742D0D">
        <w:rPr>
          <w:lang w:eastAsia="en-US" w:bidi="ar-SA"/>
        </w:rPr>
        <w:t xml:space="preserve">Following are a set of principles and characteristics embedded in the Power System Architecture discipline that have guided the development of this reference set. </w:t>
      </w:r>
    </w:p>
    <w:p w14:paraId="47A04A53"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Stakeholder / User-centric:</w:t>
      </w:r>
      <w:r w:rsidRPr="00742D0D">
        <w:rPr>
          <w:color w:val="013C4C" w:themeColor="text1"/>
          <w:lang w:eastAsia="en-US" w:bidi="ar-SA"/>
        </w:rPr>
        <w:t xml:space="preserve"> </w:t>
      </w:r>
      <w:r w:rsidRPr="00742D0D">
        <w:rPr>
          <w:lang w:eastAsia="en-US" w:bidi="ar-SA"/>
        </w:rPr>
        <w:t xml:space="preserve">Systems architecture methodologies are grounded in a detailed exploration of the </w:t>
      </w:r>
      <w:r w:rsidRPr="00742D0D">
        <w:rPr>
          <w:i/>
          <w:iCs/>
          <w:lang w:eastAsia="en-US" w:bidi="ar-SA"/>
        </w:rPr>
        <w:t>Future Customer &amp; Societal Objectives (Report 1)</w:t>
      </w:r>
      <w:r w:rsidRPr="00742D0D">
        <w:rPr>
          <w:lang w:eastAsia="en-US" w:bidi="ar-SA"/>
        </w:rPr>
        <w:t xml:space="preserve"> for the power system to ensure the grid can deliver a balanced scorecard of societal outcomes. </w:t>
      </w:r>
    </w:p>
    <w:p w14:paraId="6B502E03"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 xml:space="preserve">Contextually Informed: </w:t>
      </w:r>
      <w:r w:rsidRPr="00742D0D">
        <w:rPr>
          <w:lang w:eastAsia="en-US" w:bidi="ar-SA"/>
        </w:rPr>
        <w:t xml:space="preserve">Systems architecture methodologies give priority to examining the full range of </w:t>
      </w:r>
      <w:r w:rsidRPr="00742D0D">
        <w:rPr>
          <w:i/>
          <w:iCs/>
          <w:lang w:eastAsia="en-US" w:bidi="ar-SA"/>
        </w:rPr>
        <w:t>Emerging Trends Driving Transformation (Report 2)</w:t>
      </w:r>
      <w:r w:rsidRPr="00742D0D">
        <w:rPr>
          <w:lang w:eastAsia="en-US" w:bidi="ar-SA"/>
        </w:rPr>
        <w:t xml:space="preserve"> that are driving significant change together with the resulting Systemic Issues that must be addressed if stakeholder expectations of the future system are to be made achievable. </w:t>
      </w:r>
    </w:p>
    <w:p w14:paraId="7E021D73"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Structural Focus:</w:t>
      </w:r>
      <w:r w:rsidRPr="00742D0D">
        <w:rPr>
          <w:color w:val="013C4C" w:themeColor="text1"/>
          <w:lang w:eastAsia="en-US" w:bidi="ar-SA"/>
        </w:rPr>
        <w:t xml:space="preserve"> </w:t>
      </w:r>
      <w:r w:rsidRPr="00742D0D">
        <w:rPr>
          <w:lang w:eastAsia="en-US" w:bidi="ar-SA"/>
        </w:rPr>
        <w:t xml:space="preserve">Systems architecture methodologies give particular attention to examining the underpinning legacy structure or ‘architecture’ of a complex system due to the disproportionate influence it has on what the system can safely, reliably and cost-efficiently do (i.e. the ‘performance envelope’ of the system). </w:t>
      </w:r>
    </w:p>
    <w:p w14:paraId="3230C86D"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Principles-based:</w:t>
      </w:r>
      <w:r w:rsidRPr="00742D0D">
        <w:rPr>
          <w:color w:val="013C4C" w:themeColor="text1"/>
          <w:lang w:eastAsia="en-US" w:bidi="ar-SA"/>
        </w:rPr>
        <w:t xml:space="preserve"> </w:t>
      </w:r>
      <w:r w:rsidRPr="00742D0D">
        <w:rPr>
          <w:lang w:eastAsia="en-US" w:bidi="ar-SA"/>
        </w:rPr>
        <w:t xml:space="preserve">Systems architecture methodologies are grounded in established principles and formal bases, ensuring conceptual integrity through consistent, traceable and verifiable processes, that enhance multi-stakeholder trust, and minimise the potential for unintended consequences. </w:t>
      </w:r>
    </w:p>
    <w:p w14:paraId="1485DCFC"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Whole-system Perspective:</w:t>
      </w:r>
      <w:r w:rsidRPr="00742D0D">
        <w:rPr>
          <w:color w:val="013C4C" w:themeColor="text1"/>
          <w:lang w:eastAsia="en-US" w:bidi="ar-SA"/>
        </w:rPr>
        <w:t xml:space="preserve"> </w:t>
      </w:r>
      <w:r w:rsidRPr="00742D0D">
        <w:rPr>
          <w:lang w:eastAsia="en-US" w:bidi="ar-SA"/>
        </w:rPr>
        <w:t>Systems architecture methodologies provide a holistic view of the entire system as the primary basis for considering the interdependencies between its many tiers/layers, subsystems and components.</w:t>
      </w:r>
    </w:p>
    <w:p w14:paraId="6E7B6BC9"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Decadal Time Horizon</w:t>
      </w:r>
      <w:r w:rsidRPr="00742D0D">
        <w:rPr>
          <w:color w:val="013C4C" w:themeColor="text1"/>
          <w:lang w:eastAsia="en-US" w:bidi="ar-SA"/>
        </w:rPr>
        <w:t xml:space="preserve">: </w:t>
      </w:r>
      <w:r w:rsidRPr="00742D0D">
        <w:rPr>
          <w:lang w:eastAsia="en-US" w:bidi="ar-SA"/>
        </w:rPr>
        <w:t xml:space="preserve">By identifying structural options that enhance (rather than constrain) multi-year optionality, systems architecture methodologies ensure the system is robust, adaptable, scalable and extensible across a range of alternate future scenarios and maximise the ‘future-proofing’ of investments. </w:t>
      </w:r>
    </w:p>
    <w:p w14:paraId="0FE2FFB9"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 xml:space="preserve">Technology &amp; Business Model Agnostic: </w:t>
      </w:r>
      <w:r w:rsidRPr="00742D0D">
        <w:rPr>
          <w:lang w:eastAsia="en-US" w:bidi="ar-SA"/>
        </w:rPr>
        <w:t xml:space="preserve">By focusing on the required outcomes of the current and future system, systems architecture actively identifies alternative implementation pathways, supports technology innovation and avoids dependence on any one proprietary solution or commercial model. </w:t>
      </w:r>
    </w:p>
    <w:p w14:paraId="12791FDF"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 xml:space="preserve">Complexity Management: </w:t>
      </w:r>
      <w:r w:rsidRPr="00742D0D">
        <w:rPr>
          <w:lang w:eastAsia="en-US" w:bidi="ar-SA"/>
        </w:rPr>
        <w:t xml:space="preserve">By making the underpinning structures of a legacy system explicitly articulated, systems architecture enables the decomposition of inherent complexity, identification of legacy structural constraints, and proposed changes to be accurately targeted and avoid complexity escalation. </w:t>
      </w:r>
    </w:p>
    <w:p w14:paraId="4BC86250"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lastRenderedPageBreak/>
        <w:t>Subsystem Analysis:</w:t>
      </w:r>
      <w:r w:rsidRPr="00742D0D">
        <w:rPr>
          <w:color w:val="013C4C" w:themeColor="text1"/>
          <w:lang w:eastAsia="en-US" w:bidi="ar-SA"/>
        </w:rPr>
        <w:t xml:space="preserve"> </w:t>
      </w:r>
      <w:r w:rsidRPr="00742D0D">
        <w:rPr>
          <w:lang w:eastAsia="en-US" w:bidi="ar-SA"/>
        </w:rPr>
        <w:t xml:space="preserve">By providing formal analytical tools, systems architecture enables the detailed interrogation of all current Subsystems and Components, their individual form and function, boundaries, interfaces and functional interdependencies to holistically consider potential future enhancements in the context of the whole system. </w:t>
      </w:r>
    </w:p>
    <w:p w14:paraId="617068A8" w14:textId="77777777" w:rsidR="00742D0D" w:rsidRPr="00742D0D" w:rsidRDefault="00742D0D" w:rsidP="00742D0D">
      <w:pPr>
        <w:numPr>
          <w:ilvl w:val="0"/>
          <w:numId w:val="24"/>
        </w:numPr>
        <w:spacing w:before="120" w:after="120" w:line="252" w:lineRule="auto"/>
        <w:rPr>
          <w:lang w:eastAsia="en-US" w:bidi="ar-SA"/>
        </w:rPr>
      </w:pPr>
      <w:r w:rsidRPr="00742D0D">
        <w:rPr>
          <w:rFonts w:ascii="PP Mori SemiBold" w:hAnsi="PP Mori SemiBold"/>
          <w:color w:val="013C4C" w:themeColor="text1"/>
          <w:lang w:eastAsia="en-US" w:bidi="ar-SA"/>
        </w:rPr>
        <w:t>Stakeholder Empowerment:</w:t>
      </w:r>
      <w:r w:rsidRPr="00742D0D">
        <w:rPr>
          <w:color w:val="013C4C" w:themeColor="text1"/>
          <w:lang w:eastAsia="en-US" w:bidi="ar-SA"/>
        </w:rPr>
        <w:t xml:space="preserve"> </w:t>
      </w:r>
      <w:r w:rsidRPr="00742D0D">
        <w:rPr>
          <w:lang w:eastAsia="en-US" w:bidi="ar-SA"/>
        </w:rPr>
        <w:t>By providing an objective and evidence-based set of tools that can be learned, systems architecture empowers diverse stakeholders – both technical and non-technical – to collectively reason about current and future options and better contribute to key trade-off decisions.</w:t>
      </w:r>
    </w:p>
    <w:p w14:paraId="306BEDD1" w14:textId="77777777" w:rsidR="00742D0D" w:rsidRPr="00742D0D" w:rsidRDefault="00742D0D" w:rsidP="00742D0D">
      <w:pPr>
        <w:keepNext/>
        <w:keepLines/>
        <w:spacing w:before="360"/>
        <w:outlineLvl w:val="1"/>
        <w:rPr>
          <w:rFonts w:ascii="PP Mori SemiBold" w:eastAsiaTheme="majorEastAsia" w:hAnsi="PP Mori SemiBold" w:cstheme="majorBidi"/>
          <w:color w:val="002C38" w:themeColor="accent1" w:themeShade="BF"/>
          <w:sz w:val="26"/>
          <w:szCs w:val="33"/>
          <w:lang w:eastAsia="en-US" w:bidi="ar-SA"/>
        </w:rPr>
      </w:pPr>
      <w:bookmarkStart w:id="272" w:name="_Toc205372236"/>
      <w:bookmarkStart w:id="273" w:name="_Toc205529041"/>
      <w:r w:rsidRPr="00742D0D">
        <w:rPr>
          <w:rFonts w:ascii="PP Mori SemiBold" w:eastAsiaTheme="majorEastAsia" w:hAnsi="PP Mori SemiBold" w:cstheme="majorBidi"/>
          <w:color w:val="002C38" w:themeColor="accent1" w:themeShade="BF"/>
          <w:sz w:val="26"/>
          <w:szCs w:val="33"/>
          <w:lang w:eastAsia="en-US" w:bidi="ar-SA"/>
        </w:rPr>
        <w:t>A2</w:t>
      </w:r>
      <w:r w:rsidRPr="00742D0D">
        <w:rPr>
          <w:rFonts w:ascii="PP Mori SemiBold" w:eastAsiaTheme="majorEastAsia" w:hAnsi="PP Mori SemiBold" w:cstheme="majorBidi"/>
          <w:color w:val="002C38" w:themeColor="accent1" w:themeShade="BF"/>
          <w:sz w:val="26"/>
          <w:szCs w:val="33"/>
          <w:lang w:eastAsia="en-US" w:bidi="ar-SA"/>
        </w:rPr>
        <w:tab/>
        <w:t>Integrated Disciplines &amp; Tools</w:t>
      </w:r>
      <w:bookmarkEnd w:id="272"/>
      <w:bookmarkEnd w:id="273"/>
    </w:p>
    <w:p w14:paraId="378F3D46" w14:textId="77777777" w:rsidR="00742D0D" w:rsidRPr="00742D0D" w:rsidRDefault="00742D0D" w:rsidP="00742D0D">
      <w:pPr>
        <w:rPr>
          <w:lang w:eastAsia="en-US" w:bidi="ar-SA"/>
        </w:rPr>
      </w:pPr>
      <w:r w:rsidRPr="00742D0D">
        <w:rPr>
          <w:lang w:eastAsia="en-US" w:bidi="ar-SA"/>
        </w:rPr>
        <w:t xml:space="preserve">Following are a set of disciplines and tools that have informed and enabled the development of this reference set. </w:t>
      </w:r>
    </w:p>
    <w:tbl>
      <w:tblPr>
        <w:tblStyle w:val="TableGrid1"/>
        <w:tblW w:w="8505" w:type="dxa"/>
        <w:tblInd w:w="-5" w:type="dxa"/>
        <w:tblLook w:val="04A0" w:firstRow="1" w:lastRow="0" w:firstColumn="1" w:lastColumn="0" w:noHBand="0" w:noVBand="1"/>
      </w:tblPr>
      <w:tblGrid>
        <w:gridCol w:w="2127"/>
        <w:gridCol w:w="6378"/>
      </w:tblGrid>
      <w:tr w:rsidR="00742D0D" w:rsidRPr="00742D0D" w14:paraId="6D6F5F26" w14:textId="77777777" w:rsidTr="009B2757">
        <w:tc>
          <w:tcPr>
            <w:tcW w:w="2127" w:type="dxa"/>
            <w:shd w:val="clear" w:color="auto" w:fill="067296" w:themeFill="text2"/>
          </w:tcPr>
          <w:p w14:paraId="0D2E71D0" w14:textId="77777777" w:rsidR="00742D0D" w:rsidRPr="00742D0D" w:rsidRDefault="00742D0D" w:rsidP="00742D0D">
            <w:pPr>
              <w:spacing w:before="120" w:after="120" w:line="288" w:lineRule="auto"/>
              <w:jc w:val="center"/>
              <w:rPr>
                <w:rFonts w:ascii="PP Mori SemiBold" w:eastAsia="Segoe UI" w:hAnsi="PP Mori SemiBold"/>
                <w:color w:val="FAFAFA" w:themeColor="background1"/>
                <w:szCs w:val="18"/>
              </w:rPr>
            </w:pPr>
            <w:r w:rsidRPr="00742D0D">
              <w:rPr>
                <w:rFonts w:ascii="PP Mori SemiBold" w:eastAsia="Segoe UI" w:hAnsi="PP Mori SemiBold"/>
                <w:color w:val="FAFAFA" w:themeColor="background1"/>
                <w:szCs w:val="18"/>
              </w:rPr>
              <w:t>Design Thinking</w:t>
            </w:r>
          </w:p>
        </w:tc>
        <w:tc>
          <w:tcPr>
            <w:tcW w:w="6378" w:type="dxa"/>
          </w:tcPr>
          <w:p w14:paraId="49D0E1B3" w14:textId="77777777" w:rsidR="00742D0D" w:rsidRPr="00742D0D" w:rsidRDefault="00742D0D" w:rsidP="00742D0D">
            <w:pPr>
              <w:spacing w:before="120" w:after="120" w:line="288" w:lineRule="auto"/>
              <w:ind w:left="176" w:right="176"/>
              <w:rPr>
                <w:szCs w:val="18"/>
                <w:lang w:eastAsia="en-US" w:bidi="ar-SA"/>
              </w:rPr>
            </w:pPr>
            <w:r w:rsidRPr="00742D0D">
              <w:rPr>
                <w:szCs w:val="18"/>
                <w:lang w:eastAsia="en-US" w:bidi="ar-SA"/>
              </w:rPr>
              <w:t>A human-centered, iterative methodology for solving complex problems through empathetic understanding, creative ideation, and rapid experimentation.  The purpose of Design Thinking is to foster innovation by prioritising human needs, reframing challenges as opportunities, and developing actionable solutions that balance desirability (user appeal), feasibility (technical viability), and viability (economic sustainability). It functions as a non-linear process that bridges creative exploration with practical implementation, enabling teams across disciplines to navigate ambiguity and deliver user-centric outcomes.</w:t>
            </w:r>
          </w:p>
        </w:tc>
      </w:tr>
      <w:tr w:rsidR="00742D0D" w:rsidRPr="00742D0D" w14:paraId="6450F01C" w14:textId="77777777" w:rsidTr="009B2757">
        <w:tc>
          <w:tcPr>
            <w:tcW w:w="2127" w:type="dxa"/>
            <w:shd w:val="clear" w:color="auto" w:fill="067296" w:themeFill="text2"/>
          </w:tcPr>
          <w:p w14:paraId="64A22DD0"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eastAsia="Segoe UI" w:hAnsi="PP Mori SemiBold"/>
                <w:color w:val="FAFAFA" w:themeColor="background1"/>
                <w:szCs w:val="18"/>
              </w:rPr>
              <w:t>Model-Based Systems Engineering (MBSE)</w:t>
            </w:r>
          </w:p>
          <w:p w14:paraId="3CC46BE4" w14:textId="77777777" w:rsidR="00742D0D" w:rsidRPr="00742D0D" w:rsidRDefault="00742D0D" w:rsidP="00742D0D">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566BCFCF" w14:textId="77777777" w:rsidR="00742D0D" w:rsidRPr="00742D0D" w:rsidRDefault="00742D0D" w:rsidP="00742D0D">
            <w:pPr>
              <w:spacing w:before="120" w:after="120" w:line="288" w:lineRule="auto"/>
              <w:ind w:left="176" w:right="176"/>
              <w:rPr>
                <w:lang w:bidi="ar-SA"/>
              </w:rPr>
            </w:pPr>
            <w:r w:rsidRPr="00742D0D">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01102B12" w14:textId="77777777" w:rsidR="00742D0D" w:rsidRPr="00742D0D" w:rsidRDefault="00742D0D" w:rsidP="00742D0D">
            <w:pPr>
              <w:spacing w:before="120" w:after="120" w:line="288" w:lineRule="auto"/>
              <w:ind w:left="176" w:right="176"/>
              <w:rPr>
                <w:lang w:eastAsia="en-US" w:bidi="ar-SA"/>
              </w:rPr>
            </w:pPr>
            <w:r w:rsidRPr="00742D0D">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742D0D">
              <w:rPr>
                <w:rFonts w:ascii="Calibri" w:hAnsi="Calibri" w:cs="Calibri"/>
                <w:szCs w:val="18"/>
                <w:lang w:eastAsia="en-US" w:bidi="ar-SA"/>
              </w:rPr>
              <w:t> </w:t>
            </w:r>
            <w:r w:rsidRPr="00742D0D">
              <w:rPr>
                <w:szCs w:val="18"/>
                <w:lang w:eastAsia="en-US" w:bidi="ar-SA"/>
              </w:rPr>
              <w:t>Architecture and Functions of a System.</w:t>
            </w:r>
            <w:r w:rsidRPr="00742D0D">
              <w:rPr>
                <w:rFonts w:ascii="Calibri" w:hAnsi="Calibri" w:cs="Calibri"/>
                <w:szCs w:val="18"/>
                <w:lang w:eastAsia="en-US" w:bidi="ar-SA"/>
              </w:rPr>
              <w:t> </w:t>
            </w:r>
          </w:p>
        </w:tc>
      </w:tr>
      <w:bookmarkEnd w:id="268"/>
    </w:tbl>
    <w:p w14:paraId="10184036" w14:textId="77777777" w:rsidR="00742D0D" w:rsidRPr="00742D0D" w:rsidRDefault="00742D0D" w:rsidP="00742D0D">
      <w:pPr>
        <w:spacing w:line="252" w:lineRule="auto"/>
        <w:rPr>
          <w:sz w:val="22"/>
          <w:szCs w:val="22"/>
        </w:rPr>
      </w:pPr>
      <w:r w:rsidRPr="00742D0D">
        <w:rPr>
          <w:sz w:val="22"/>
          <w:szCs w:val="22"/>
        </w:rPr>
        <w:br w:type="page"/>
      </w:r>
    </w:p>
    <w:tbl>
      <w:tblPr>
        <w:tblStyle w:val="TableGrid1"/>
        <w:tblW w:w="8505" w:type="dxa"/>
        <w:tblInd w:w="-5" w:type="dxa"/>
        <w:tblLook w:val="04A0" w:firstRow="1" w:lastRow="0" w:firstColumn="1" w:lastColumn="0" w:noHBand="0" w:noVBand="1"/>
      </w:tblPr>
      <w:tblGrid>
        <w:gridCol w:w="2127"/>
        <w:gridCol w:w="6378"/>
      </w:tblGrid>
      <w:tr w:rsidR="00742D0D" w:rsidRPr="00742D0D" w14:paraId="16907BD6" w14:textId="77777777" w:rsidTr="009B2757">
        <w:trPr>
          <w:trHeight w:val="747"/>
        </w:trPr>
        <w:tc>
          <w:tcPr>
            <w:tcW w:w="2127" w:type="dxa"/>
            <w:shd w:val="clear" w:color="auto" w:fill="067296" w:themeFill="text2"/>
          </w:tcPr>
          <w:p w14:paraId="0D6414FD" w14:textId="77777777" w:rsidR="00742D0D" w:rsidRPr="00742D0D" w:rsidRDefault="00742D0D" w:rsidP="00742D0D">
            <w:pPr>
              <w:spacing w:before="120" w:after="120" w:line="288" w:lineRule="auto"/>
              <w:ind w:left="176" w:right="170"/>
              <w:jc w:val="center"/>
              <w:rPr>
                <w:rFonts w:ascii="PP Mori SemiBold" w:hAnsi="PP Mori SemiBold"/>
                <w:bCs/>
                <w:szCs w:val="18"/>
              </w:rPr>
            </w:pPr>
            <w:r w:rsidRPr="00742D0D">
              <w:rPr>
                <w:rFonts w:ascii="PP Mori SemiBold" w:hAnsi="PP Mori SemiBold"/>
                <w:bCs/>
                <w:color w:val="FAFAFA" w:themeColor="background1"/>
                <w:szCs w:val="18"/>
              </w:rPr>
              <w:lastRenderedPageBreak/>
              <w:t>Power Systems Architecture (PSA)</w:t>
            </w:r>
          </w:p>
        </w:tc>
        <w:tc>
          <w:tcPr>
            <w:tcW w:w="6378" w:type="dxa"/>
          </w:tcPr>
          <w:p w14:paraId="5385D852" w14:textId="77777777" w:rsidR="00742D0D" w:rsidRPr="00742D0D" w:rsidRDefault="00742D0D" w:rsidP="00742D0D">
            <w:pPr>
              <w:spacing w:before="120" w:after="120" w:line="288" w:lineRule="auto"/>
              <w:ind w:left="176" w:right="176"/>
              <w:rPr>
                <w:szCs w:val="18"/>
                <w:lang w:bidi="ar-SA"/>
              </w:rPr>
            </w:pPr>
            <w:r w:rsidRPr="00742D0D">
              <w:rPr>
                <w:szCs w:val="18"/>
                <w:lang w:bidi="ar-SA"/>
              </w:rPr>
              <w:t xml:space="preserve">An integrated set of disciplines that support the structural transformation of legacy power systems, enabling them to more effectively serve evolving customer and societal objectives.  </w:t>
            </w:r>
          </w:p>
          <w:p w14:paraId="50C89449" w14:textId="77777777" w:rsidR="00742D0D" w:rsidRPr="00742D0D" w:rsidRDefault="00742D0D" w:rsidP="00742D0D">
            <w:pPr>
              <w:spacing w:before="120" w:after="120" w:line="288" w:lineRule="auto"/>
              <w:ind w:left="176" w:right="176"/>
              <w:rPr>
                <w:szCs w:val="18"/>
                <w:lang w:bidi="ar-SA"/>
              </w:rPr>
            </w:pPr>
            <w:r w:rsidRPr="00742D0D">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742D0D">
              <w:rPr>
                <w:rFonts w:ascii="Calibri" w:hAnsi="Calibri" w:cs="Calibri"/>
                <w:szCs w:val="18"/>
                <w:lang w:bidi="ar-SA"/>
              </w:rPr>
              <w:t> </w:t>
            </w:r>
          </w:p>
          <w:p w14:paraId="39ED8DD6" w14:textId="77777777" w:rsidR="00742D0D" w:rsidRPr="00742D0D" w:rsidRDefault="00742D0D" w:rsidP="00742D0D">
            <w:pPr>
              <w:numPr>
                <w:ilvl w:val="0"/>
                <w:numId w:val="22"/>
              </w:numPr>
              <w:tabs>
                <w:tab w:val="num" w:pos="720"/>
              </w:tabs>
              <w:spacing w:before="60" w:after="60" w:line="288" w:lineRule="auto"/>
              <w:ind w:left="714" w:hanging="357"/>
              <w:rPr>
                <w:rFonts w:eastAsia="Segoe UI"/>
                <w:bCs/>
                <w:color w:val="252423"/>
                <w:szCs w:val="18"/>
              </w:rPr>
            </w:pPr>
            <w:r w:rsidRPr="00742D0D">
              <w:rPr>
                <w:rFonts w:eastAsia="Segoe UI"/>
                <w:color w:val="252423"/>
                <w:szCs w:val="18"/>
              </w:rPr>
              <w:t xml:space="preserve">Whole-system insight over 5, 10 and 20-year time horizons, enabling the interrogation and mapping of current, emerging and future </w:t>
            </w:r>
            <w:r w:rsidRPr="00742D0D">
              <w:rPr>
                <w:rFonts w:eastAsia="Segoe UI"/>
                <w:bCs/>
                <w:color w:val="252423"/>
                <w:szCs w:val="18"/>
              </w:rPr>
              <w:t>system</w:t>
            </w:r>
            <w:r w:rsidRPr="00742D0D">
              <w:rPr>
                <w:rFonts w:eastAsia="Segoe UI"/>
                <w:color w:val="252423"/>
                <w:szCs w:val="18"/>
              </w:rPr>
              <w:t xml:space="preserve"> priorities and objectives including the </w:t>
            </w:r>
            <w:r w:rsidRPr="00742D0D">
              <w:rPr>
                <w:rFonts w:eastAsia="Segoe UI"/>
                <w:bCs/>
                <w:color w:val="252423"/>
                <w:szCs w:val="18"/>
              </w:rPr>
              <w:t>role</w:t>
            </w:r>
            <w:r w:rsidRPr="00742D0D">
              <w:rPr>
                <w:rFonts w:eastAsia="Segoe UI"/>
                <w:color w:val="252423"/>
                <w:szCs w:val="18"/>
              </w:rPr>
              <w:t xml:space="preserve"> and </w:t>
            </w:r>
            <w:r w:rsidRPr="00742D0D">
              <w:rPr>
                <w:rFonts w:eastAsia="Segoe UI"/>
                <w:bCs/>
                <w:color w:val="252423"/>
                <w:szCs w:val="18"/>
              </w:rPr>
              <w:t>responsibilities, operational coordination and co</w:t>
            </w:r>
            <w:r w:rsidRPr="00742D0D">
              <w:rPr>
                <w:rFonts w:eastAsia="Segoe UI"/>
                <w:color w:val="252423"/>
                <w:szCs w:val="18"/>
              </w:rPr>
              <w:t xml:space="preserve">-optimisation across all vertical </w:t>
            </w:r>
            <w:r w:rsidRPr="00742D0D">
              <w:rPr>
                <w:rFonts w:eastAsia="Segoe UI"/>
                <w:bCs/>
                <w:color w:val="252423"/>
                <w:szCs w:val="18"/>
              </w:rPr>
              <w:t xml:space="preserve">tiers/layers. </w:t>
            </w:r>
          </w:p>
          <w:p w14:paraId="696711FF" w14:textId="77777777" w:rsidR="00742D0D" w:rsidRPr="00742D0D" w:rsidRDefault="00742D0D" w:rsidP="00742D0D">
            <w:pPr>
              <w:numPr>
                <w:ilvl w:val="0"/>
                <w:numId w:val="22"/>
              </w:numPr>
              <w:tabs>
                <w:tab w:val="num" w:pos="720"/>
              </w:tabs>
              <w:spacing w:before="60" w:after="60" w:line="288" w:lineRule="auto"/>
              <w:ind w:left="714" w:hanging="357"/>
              <w:rPr>
                <w:rFonts w:eastAsia="Segoe UI"/>
                <w:bCs/>
                <w:color w:val="252423"/>
                <w:szCs w:val="18"/>
              </w:rPr>
            </w:pPr>
            <w:r w:rsidRPr="00742D0D">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322A59E0" w14:textId="77777777" w:rsidR="00742D0D" w:rsidRPr="00742D0D" w:rsidRDefault="00742D0D" w:rsidP="00742D0D">
            <w:pPr>
              <w:numPr>
                <w:ilvl w:val="0"/>
                <w:numId w:val="22"/>
              </w:numPr>
              <w:tabs>
                <w:tab w:val="num" w:pos="720"/>
              </w:tabs>
              <w:spacing w:before="60" w:after="60" w:line="288" w:lineRule="auto"/>
              <w:ind w:left="714" w:hanging="357"/>
              <w:rPr>
                <w:rFonts w:eastAsia="Segoe UI"/>
                <w:color w:val="252423"/>
                <w:szCs w:val="18"/>
              </w:rPr>
            </w:pPr>
            <w:r w:rsidRPr="00742D0D">
              <w:rPr>
                <w:rFonts w:eastAsia="Segoe UI"/>
                <w:color w:val="252423"/>
                <w:szCs w:val="18"/>
              </w:rPr>
              <w:t xml:space="preserve">Future-resilient decision making by surfacing hidden structural constraints early which may otherwise propagate a range of </w:t>
            </w:r>
            <w:r w:rsidRPr="00742D0D">
              <w:rPr>
                <w:rFonts w:eastAsia="Segoe UI"/>
                <w:bCs/>
                <w:color w:val="252423"/>
                <w:szCs w:val="18"/>
              </w:rPr>
              <w:t>architectural</w:t>
            </w:r>
            <w:r w:rsidRPr="00742D0D">
              <w:rPr>
                <w:rFonts w:eastAsia="Segoe UI"/>
                <w:color w:val="252423"/>
                <w:szCs w:val="18"/>
              </w:rPr>
              <w:t xml:space="preserve"> Issues including computational constraints, latency cascading and cyber-security vulnerabilities, providing greater assurance that new investments will be </w:t>
            </w:r>
            <w:r w:rsidRPr="00742D0D">
              <w:rPr>
                <w:rFonts w:eastAsia="Segoe UI"/>
                <w:bCs/>
                <w:color w:val="252423"/>
                <w:szCs w:val="18"/>
              </w:rPr>
              <w:t>scalable and extensible</w:t>
            </w:r>
            <w:r w:rsidRPr="00742D0D">
              <w:rPr>
                <w:rFonts w:eastAsia="Segoe UI"/>
                <w:color w:val="252423"/>
                <w:szCs w:val="18"/>
              </w:rPr>
              <w:t xml:space="preserve"> under all plausible futures.</w:t>
            </w:r>
          </w:p>
          <w:p w14:paraId="1DC6B1FB" w14:textId="77777777" w:rsidR="00742D0D" w:rsidRPr="00742D0D" w:rsidRDefault="00742D0D" w:rsidP="00742D0D">
            <w:pPr>
              <w:spacing w:before="120" w:after="120" w:line="288" w:lineRule="auto"/>
              <w:ind w:left="176" w:right="176"/>
              <w:rPr>
                <w:szCs w:val="18"/>
                <w:lang w:bidi="ar-SA"/>
              </w:rPr>
            </w:pPr>
            <w:r w:rsidRPr="00742D0D">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6AA6A839" w14:textId="77777777" w:rsidR="00742D0D" w:rsidRPr="00742D0D" w:rsidRDefault="00742D0D" w:rsidP="00742D0D">
            <w:pPr>
              <w:spacing w:before="120" w:after="120" w:line="288" w:lineRule="auto"/>
              <w:ind w:left="176" w:right="176"/>
              <w:rPr>
                <w:bCs/>
                <w:szCs w:val="18"/>
                <w:lang w:eastAsia="en-US" w:bidi="ar-SA"/>
              </w:rPr>
            </w:pPr>
            <w:r w:rsidRPr="00742D0D">
              <w:rPr>
                <w:szCs w:val="18"/>
                <w:lang w:bidi="ar-SA"/>
              </w:rPr>
              <w:t>It is designed to enhance decision quality, timeliness and traceability to support full benefits-realisation and avoid the propagation of unintended consequences.</w:t>
            </w:r>
          </w:p>
        </w:tc>
      </w:tr>
    </w:tbl>
    <w:p w14:paraId="3FEB6E26" w14:textId="77777777" w:rsidR="00742D0D" w:rsidRPr="00742D0D" w:rsidRDefault="00742D0D" w:rsidP="00742D0D">
      <w:pPr>
        <w:spacing w:line="252" w:lineRule="auto"/>
        <w:rPr>
          <w:sz w:val="22"/>
          <w:szCs w:val="22"/>
        </w:rPr>
      </w:pPr>
      <w:r w:rsidRPr="00742D0D">
        <w:rPr>
          <w:sz w:val="22"/>
          <w:szCs w:val="22"/>
        </w:rPr>
        <w:br w:type="page"/>
      </w:r>
    </w:p>
    <w:tbl>
      <w:tblPr>
        <w:tblStyle w:val="TableGrid1"/>
        <w:tblW w:w="8505" w:type="dxa"/>
        <w:tblInd w:w="-5" w:type="dxa"/>
        <w:tblLook w:val="04A0" w:firstRow="1" w:lastRow="0" w:firstColumn="1" w:lastColumn="0" w:noHBand="0" w:noVBand="1"/>
      </w:tblPr>
      <w:tblGrid>
        <w:gridCol w:w="2127"/>
        <w:gridCol w:w="6378"/>
      </w:tblGrid>
      <w:tr w:rsidR="00742D0D" w:rsidRPr="00742D0D" w14:paraId="4164816D" w14:textId="77777777" w:rsidTr="009B2757">
        <w:tc>
          <w:tcPr>
            <w:tcW w:w="2127" w:type="dxa"/>
            <w:shd w:val="clear" w:color="auto" w:fill="067296" w:themeFill="text2"/>
          </w:tcPr>
          <w:p w14:paraId="45ED847E"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hAnsi="PP Mori SemiBold"/>
                <w:color w:val="FAFAFA" w:themeColor="background1"/>
                <w:szCs w:val="18"/>
              </w:rPr>
              <w:lastRenderedPageBreak/>
              <w:t>Strategic Foresighting</w:t>
            </w:r>
          </w:p>
        </w:tc>
        <w:tc>
          <w:tcPr>
            <w:tcW w:w="6378" w:type="dxa"/>
          </w:tcPr>
          <w:p w14:paraId="4400A3B3" w14:textId="77777777" w:rsidR="00742D0D" w:rsidRPr="00742D0D" w:rsidRDefault="00742D0D" w:rsidP="00742D0D">
            <w:pPr>
              <w:spacing w:before="120" w:after="120"/>
              <w:ind w:left="176" w:right="176"/>
              <w:rPr>
                <w:szCs w:val="18"/>
                <w:lang w:bidi="ar-SA"/>
              </w:rPr>
            </w:pPr>
            <w:r w:rsidRPr="00742D0D">
              <w:rPr>
                <w:szCs w:val="18"/>
                <w:lang w:bidi="ar-SA"/>
              </w:rPr>
              <w:t xml:space="preserve">A systematic, collaborative process for exploring plausible futures, identifying emerging trends, disruptions, and opportunities to inform resilient long-term strategies. </w:t>
            </w:r>
          </w:p>
          <w:p w14:paraId="6794E045" w14:textId="77777777" w:rsidR="00742D0D" w:rsidRPr="00742D0D" w:rsidRDefault="00742D0D" w:rsidP="00742D0D">
            <w:pPr>
              <w:spacing w:before="120" w:after="120"/>
              <w:ind w:left="176" w:right="176"/>
              <w:rPr>
                <w:szCs w:val="18"/>
                <w:lang w:bidi="ar-SA"/>
              </w:rPr>
            </w:pPr>
            <w:r w:rsidRPr="00742D0D">
              <w:rPr>
                <w:szCs w:val="18"/>
                <w:lang w:bidi="ar-SA"/>
              </w:rPr>
              <w:t>The purpose of Strategic Foresighting is to enable organisations to proactively shape or adapt to future environments by reducing uncertainty, challenging assumptions, and aligning decisions with potential scenarios. It ensures that systems, architectures, and investments remain viable amid evolving technological, societal, economic, and regulatory landscapes.</w:t>
            </w:r>
          </w:p>
          <w:p w14:paraId="556C9387" w14:textId="77777777" w:rsidR="00742D0D" w:rsidRPr="00742D0D" w:rsidRDefault="00742D0D" w:rsidP="00742D0D">
            <w:pPr>
              <w:spacing w:before="120" w:after="120"/>
              <w:ind w:left="176" w:right="176"/>
              <w:rPr>
                <w:szCs w:val="18"/>
                <w:lang w:bidi="ar-SA"/>
              </w:rPr>
            </w:pPr>
            <w:r w:rsidRPr="00742D0D">
              <w:rPr>
                <w:szCs w:val="18"/>
                <w:lang w:bidi="ar-SA"/>
              </w:rPr>
              <w:t>Strategic Foresighting functions as an</w:t>
            </w:r>
            <w:r w:rsidRPr="00742D0D">
              <w:rPr>
                <w:rFonts w:ascii="Calibri" w:hAnsi="Calibri" w:cs="Calibri"/>
                <w:szCs w:val="18"/>
                <w:lang w:bidi="ar-SA"/>
              </w:rPr>
              <w:t> </w:t>
            </w:r>
            <w:r w:rsidRPr="00742D0D">
              <w:rPr>
                <w:szCs w:val="18"/>
                <w:lang w:bidi="ar-SA"/>
              </w:rPr>
              <w:t>upstream enabler</w:t>
            </w:r>
            <w:r w:rsidRPr="00742D0D">
              <w:rPr>
                <w:rFonts w:ascii="Calibri" w:hAnsi="Calibri" w:cs="Calibri"/>
                <w:szCs w:val="18"/>
                <w:lang w:bidi="ar-SA"/>
              </w:rPr>
              <w:t> </w:t>
            </w:r>
            <w:r w:rsidRPr="00742D0D">
              <w:rPr>
                <w:szCs w:val="18"/>
                <w:lang w:bidi="ar-SA"/>
              </w:rPr>
              <w:t>of the Systems Architecture process. It facilitates cross-disciplinary dialogue to anticipate future needs, risks, and innovations</w:t>
            </w:r>
            <w:r w:rsidRPr="00742D0D">
              <w:rPr>
                <w:rFonts w:ascii="Calibri" w:hAnsi="Calibri" w:cs="Calibri"/>
                <w:szCs w:val="18"/>
                <w:lang w:bidi="ar-SA"/>
              </w:rPr>
              <w:t> </w:t>
            </w:r>
            <w:r w:rsidRPr="00742D0D">
              <w:rPr>
                <w:szCs w:val="18"/>
                <w:lang w:bidi="ar-SA"/>
              </w:rPr>
              <w:t>before</w:t>
            </w:r>
            <w:r w:rsidRPr="00742D0D">
              <w:rPr>
                <w:rFonts w:ascii="Calibri" w:hAnsi="Calibri" w:cs="Calibri"/>
                <w:szCs w:val="18"/>
                <w:lang w:bidi="ar-SA"/>
              </w:rPr>
              <w:t> </w:t>
            </w:r>
            <w:r w:rsidRPr="00742D0D">
              <w:rPr>
                <w:szCs w:val="18"/>
                <w:lang w:bidi="ar-SA"/>
              </w:rPr>
              <w:t>architectural decisions are formalised. By analysing weak signals, drivers of change, and systemic interdependencies, it provides context for defining robust requirements in the Reference Architecture phase and ensures Detailed Architecture designs embed adaptability.</w:t>
            </w:r>
          </w:p>
        </w:tc>
      </w:tr>
      <w:tr w:rsidR="00742D0D" w:rsidRPr="00742D0D" w14:paraId="01795AFE" w14:textId="77777777" w:rsidTr="009B2757">
        <w:tc>
          <w:tcPr>
            <w:tcW w:w="2127" w:type="dxa"/>
            <w:shd w:val="clear" w:color="auto" w:fill="067296" w:themeFill="text2"/>
          </w:tcPr>
          <w:p w14:paraId="47C61534"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hAnsi="PP Mori SemiBold"/>
                <w:color w:val="FAFAFA" w:themeColor="background1"/>
                <w:szCs w:val="18"/>
              </w:rPr>
              <w:t xml:space="preserve">Structural Analysis </w:t>
            </w:r>
          </w:p>
          <w:p w14:paraId="1528473B"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p>
        </w:tc>
        <w:tc>
          <w:tcPr>
            <w:tcW w:w="6378" w:type="dxa"/>
          </w:tcPr>
          <w:p w14:paraId="45416605" w14:textId="77777777" w:rsidR="00742D0D" w:rsidRPr="00742D0D" w:rsidRDefault="00742D0D" w:rsidP="00742D0D">
            <w:pPr>
              <w:spacing w:before="120" w:after="120"/>
              <w:ind w:left="176" w:right="169"/>
              <w:rPr>
                <w:szCs w:val="18"/>
                <w:lang w:eastAsia="en-US" w:bidi="ar-SA"/>
              </w:rPr>
            </w:pPr>
            <w:r w:rsidRPr="00742D0D">
              <w:rPr>
                <w:szCs w:val="18"/>
                <w:lang w:eastAsia="en-US" w:bidi="ar-SA"/>
              </w:rPr>
              <w:t>In the context of electricity system transformation, structural analysis refers to the systematic evaluation of the physical, operational, and organisational structures of the power system to determine the changes necessary to transition from a conventional, fossil-fuel-based, unidirectional grid to a decarbonised, distributed, and bidirectional grid.</w:t>
            </w:r>
          </w:p>
          <w:p w14:paraId="78F3A182" w14:textId="77777777" w:rsidR="00742D0D" w:rsidRPr="00742D0D" w:rsidRDefault="00742D0D" w:rsidP="00742D0D">
            <w:pPr>
              <w:spacing w:before="120" w:after="120"/>
              <w:ind w:left="176" w:right="169"/>
              <w:rPr>
                <w:szCs w:val="18"/>
                <w:lang w:eastAsia="en-US" w:bidi="ar-SA"/>
              </w:rPr>
            </w:pPr>
            <w:r w:rsidRPr="00742D0D">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3587F44F" w14:textId="77777777" w:rsidR="00742D0D" w:rsidRPr="00742D0D" w:rsidRDefault="00742D0D" w:rsidP="00742D0D">
            <w:pPr>
              <w:spacing w:before="120" w:after="120"/>
              <w:ind w:left="176" w:right="169"/>
              <w:rPr>
                <w:szCs w:val="18"/>
                <w:lang w:eastAsia="en-US" w:bidi="ar-SA"/>
              </w:rPr>
            </w:pPr>
            <w:r w:rsidRPr="00742D0D">
              <w:rPr>
                <w:szCs w:val="18"/>
                <w:lang w:eastAsia="en-US" w:bidi="ar-SA"/>
              </w:rPr>
              <w:t xml:space="preserve">Key components of structural analysis include: </w:t>
            </w:r>
          </w:p>
          <w:p w14:paraId="3BB44CBF" w14:textId="77777777" w:rsidR="00742D0D" w:rsidRPr="00742D0D" w:rsidRDefault="00742D0D" w:rsidP="00742D0D">
            <w:pPr>
              <w:numPr>
                <w:ilvl w:val="0"/>
                <w:numId w:val="23"/>
              </w:numPr>
              <w:spacing w:before="60" w:after="60" w:line="252" w:lineRule="auto"/>
              <w:ind w:left="714" w:hanging="357"/>
              <w:rPr>
                <w:rFonts w:eastAsia="Segoe UI"/>
                <w:color w:val="252423"/>
                <w:szCs w:val="18"/>
              </w:rPr>
            </w:pPr>
            <w:r w:rsidRPr="00742D0D">
              <w:rPr>
                <w:rFonts w:eastAsia="Segoe UI"/>
                <w:color w:val="252423"/>
                <w:szCs w:val="18"/>
              </w:rPr>
              <w:t>Physical Structure: Reconfiguration of transmission and distribution networks for bidirectional flows.</w:t>
            </w:r>
          </w:p>
          <w:p w14:paraId="0EF11142" w14:textId="77777777" w:rsidR="00742D0D" w:rsidRPr="00742D0D" w:rsidRDefault="00742D0D" w:rsidP="00742D0D">
            <w:pPr>
              <w:numPr>
                <w:ilvl w:val="0"/>
                <w:numId w:val="23"/>
              </w:numPr>
              <w:spacing w:before="60" w:after="60" w:line="252" w:lineRule="auto"/>
              <w:ind w:left="714" w:hanging="357"/>
              <w:rPr>
                <w:rFonts w:eastAsia="Segoe UI"/>
                <w:color w:val="252423"/>
                <w:szCs w:val="18"/>
              </w:rPr>
            </w:pPr>
            <w:r w:rsidRPr="00742D0D">
              <w:rPr>
                <w:rFonts w:eastAsia="Segoe UI"/>
                <w:color w:val="252423"/>
                <w:szCs w:val="18"/>
              </w:rPr>
              <w:t>Operational Structure: Adaptation of protection systems, frequency control, and flexibility measures.</w:t>
            </w:r>
          </w:p>
          <w:p w14:paraId="512FCA98" w14:textId="77777777" w:rsidR="00742D0D" w:rsidRPr="00742D0D" w:rsidRDefault="00742D0D" w:rsidP="00742D0D">
            <w:pPr>
              <w:numPr>
                <w:ilvl w:val="0"/>
                <w:numId w:val="23"/>
              </w:numPr>
              <w:spacing w:before="60" w:after="60" w:line="252" w:lineRule="auto"/>
              <w:ind w:left="714" w:hanging="357"/>
              <w:rPr>
                <w:rFonts w:eastAsia="Segoe UI"/>
                <w:color w:val="252423"/>
                <w:szCs w:val="18"/>
              </w:rPr>
            </w:pPr>
            <w:r w:rsidRPr="00742D0D">
              <w:rPr>
                <w:rFonts w:eastAsia="Segoe UI"/>
                <w:color w:val="252423"/>
                <w:szCs w:val="18"/>
              </w:rPr>
              <w:t>Institutional/Market Structure: Integration of distributed generation, demand-side participation, and new pricing models.</w:t>
            </w:r>
          </w:p>
          <w:p w14:paraId="317C1D35" w14:textId="77777777" w:rsidR="00742D0D" w:rsidRPr="00742D0D" w:rsidRDefault="00742D0D" w:rsidP="00742D0D">
            <w:pPr>
              <w:numPr>
                <w:ilvl w:val="0"/>
                <w:numId w:val="23"/>
              </w:numPr>
              <w:spacing w:before="60" w:after="60" w:line="252" w:lineRule="auto"/>
              <w:ind w:left="714" w:hanging="357"/>
              <w:rPr>
                <w:szCs w:val="18"/>
              </w:rPr>
            </w:pPr>
            <w:r w:rsidRPr="00742D0D">
              <w:rPr>
                <w:rFonts w:eastAsia="Segoe UI"/>
                <w:color w:val="252423"/>
                <w:szCs w:val="18"/>
              </w:rPr>
              <w:t>Resilience and Stability: Ensuring robust system performance under uncertainty and high penetration of renewables.</w:t>
            </w:r>
          </w:p>
        </w:tc>
      </w:tr>
      <w:tr w:rsidR="00742D0D" w:rsidRPr="00742D0D" w14:paraId="740BAEFA" w14:textId="77777777" w:rsidTr="009B2757">
        <w:tc>
          <w:tcPr>
            <w:tcW w:w="2127" w:type="dxa"/>
            <w:shd w:val="clear" w:color="auto" w:fill="067296" w:themeFill="text2"/>
          </w:tcPr>
          <w:p w14:paraId="27A4627F"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hAnsi="PP Mori SemiBold"/>
                <w:color w:val="FAFAFA" w:themeColor="background1"/>
                <w:szCs w:val="18"/>
              </w:rPr>
              <w:lastRenderedPageBreak/>
              <w:t>Systems Architecture</w:t>
            </w:r>
          </w:p>
        </w:tc>
        <w:tc>
          <w:tcPr>
            <w:tcW w:w="6378" w:type="dxa"/>
          </w:tcPr>
          <w:p w14:paraId="686359A8" w14:textId="77777777" w:rsidR="00742D0D" w:rsidRPr="00742D0D" w:rsidRDefault="00742D0D" w:rsidP="00742D0D">
            <w:pPr>
              <w:spacing w:before="120" w:after="120" w:line="288" w:lineRule="auto"/>
              <w:ind w:left="176" w:right="169"/>
              <w:rPr>
                <w:szCs w:val="18"/>
                <w:lang w:eastAsia="en-US" w:bidi="ar-SA"/>
              </w:rPr>
            </w:pPr>
            <w:r w:rsidRPr="00742D0D">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46737E3A" w14:textId="77777777" w:rsidR="00742D0D" w:rsidRPr="00742D0D" w:rsidRDefault="00742D0D" w:rsidP="00742D0D">
            <w:pPr>
              <w:spacing w:before="120" w:after="120" w:line="288" w:lineRule="auto"/>
              <w:ind w:left="176" w:right="169"/>
              <w:rPr>
                <w:szCs w:val="18"/>
                <w:lang w:eastAsia="en-US" w:bidi="ar-SA"/>
              </w:rPr>
            </w:pPr>
            <w:r w:rsidRPr="00742D0D">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57BE4059" w14:textId="77777777" w:rsidR="00742D0D" w:rsidRPr="00742D0D" w:rsidRDefault="00742D0D" w:rsidP="00742D0D">
            <w:pPr>
              <w:spacing w:before="120" w:after="120" w:line="288" w:lineRule="auto"/>
              <w:ind w:left="176" w:right="169"/>
              <w:rPr>
                <w:szCs w:val="18"/>
                <w:lang w:eastAsia="en-US" w:bidi="ar-SA"/>
              </w:rPr>
            </w:pPr>
            <w:r w:rsidRPr="00742D0D">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38B788E6" w14:textId="77777777" w:rsidR="00742D0D" w:rsidRPr="00742D0D" w:rsidRDefault="00742D0D" w:rsidP="00742D0D">
            <w:pPr>
              <w:spacing w:before="120" w:after="120" w:line="288" w:lineRule="auto"/>
              <w:ind w:left="176" w:right="169"/>
              <w:rPr>
                <w:szCs w:val="18"/>
                <w:lang w:bidi="ar-SA"/>
              </w:rPr>
            </w:pPr>
            <w:r w:rsidRPr="00742D0D">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742D0D" w:rsidRPr="00742D0D" w14:paraId="4192A6A0" w14:textId="77777777" w:rsidTr="009B2757">
        <w:tc>
          <w:tcPr>
            <w:tcW w:w="2127" w:type="dxa"/>
            <w:shd w:val="clear" w:color="auto" w:fill="067296" w:themeFill="text2"/>
          </w:tcPr>
          <w:p w14:paraId="7F449B56"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hAnsi="PP Mori SemiBold"/>
                <w:color w:val="FAFAFA" w:themeColor="background1"/>
                <w:szCs w:val="18"/>
              </w:rPr>
              <w:t>Systems Engineering</w:t>
            </w:r>
          </w:p>
        </w:tc>
        <w:tc>
          <w:tcPr>
            <w:tcW w:w="6378" w:type="dxa"/>
          </w:tcPr>
          <w:p w14:paraId="06082F74" w14:textId="77777777" w:rsidR="00742D0D" w:rsidRPr="00742D0D" w:rsidRDefault="00742D0D" w:rsidP="00742D0D">
            <w:pPr>
              <w:spacing w:before="120" w:after="120" w:line="288" w:lineRule="auto"/>
              <w:ind w:left="176" w:right="169"/>
              <w:rPr>
                <w:lang w:bidi="ar-SA"/>
              </w:rPr>
            </w:pPr>
            <w:r w:rsidRPr="00742D0D">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03111657" w14:textId="77777777" w:rsidR="00742D0D" w:rsidRPr="00742D0D" w:rsidRDefault="00742D0D" w:rsidP="00742D0D">
            <w:pPr>
              <w:spacing w:before="120" w:after="120" w:line="288" w:lineRule="auto"/>
              <w:ind w:left="176" w:right="169"/>
              <w:rPr>
                <w:lang w:bidi="ar-SA"/>
              </w:rPr>
            </w:pPr>
            <w:r w:rsidRPr="00742D0D">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742D0D" w:rsidRPr="00742D0D" w14:paraId="446FCE8A" w14:textId="77777777" w:rsidTr="009B2757">
        <w:tc>
          <w:tcPr>
            <w:tcW w:w="2127" w:type="dxa"/>
            <w:shd w:val="clear" w:color="auto" w:fill="067296" w:themeFill="text2"/>
          </w:tcPr>
          <w:p w14:paraId="320F299C"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r w:rsidRPr="00742D0D">
              <w:rPr>
                <w:rFonts w:ascii="PP Mori SemiBold" w:hAnsi="PP Mori SemiBold"/>
                <w:color w:val="FAFAFA" w:themeColor="background1"/>
                <w:szCs w:val="18"/>
              </w:rPr>
              <w:t>Systems Science</w:t>
            </w:r>
          </w:p>
          <w:p w14:paraId="0ABC1C38" w14:textId="77777777" w:rsidR="00742D0D" w:rsidRPr="00742D0D" w:rsidRDefault="00742D0D" w:rsidP="00742D0D">
            <w:pPr>
              <w:spacing w:before="120" w:after="120" w:line="288" w:lineRule="auto"/>
              <w:jc w:val="center"/>
              <w:rPr>
                <w:rFonts w:ascii="PP Mori SemiBold" w:hAnsi="PP Mori SemiBold"/>
                <w:color w:val="FAFAFA" w:themeColor="background1"/>
                <w:szCs w:val="18"/>
              </w:rPr>
            </w:pPr>
          </w:p>
        </w:tc>
        <w:tc>
          <w:tcPr>
            <w:tcW w:w="6378" w:type="dxa"/>
          </w:tcPr>
          <w:p w14:paraId="6D933BF3" w14:textId="77777777" w:rsidR="00742D0D" w:rsidRPr="00742D0D" w:rsidRDefault="00742D0D" w:rsidP="00742D0D">
            <w:pPr>
              <w:spacing w:before="120" w:after="120" w:line="288" w:lineRule="auto"/>
              <w:ind w:left="176" w:right="169"/>
              <w:rPr>
                <w:szCs w:val="18"/>
                <w:lang w:bidi="ar-SA"/>
              </w:rPr>
            </w:pPr>
            <w:r w:rsidRPr="00742D0D">
              <w:rPr>
                <w:szCs w:val="18"/>
                <w:lang w:bidi="ar-SA"/>
              </w:rPr>
              <w:t>A multi-domain, integrative discipline that brings together research into all aspects of complex</w:t>
            </w:r>
            <w:r w:rsidRPr="00742D0D">
              <w:rPr>
                <w:rFonts w:ascii="Calibri" w:hAnsi="Calibri" w:cs="Calibri"/>
                <w:szCs w:val="18"/>
                <w:lang w:bidi="ar-SA"/>
              </w:rPr>
              <w:t> </w:t>
            </w:r>
            <w:hyperlink r:id="rId61" w:history="1">
              <w:r w:rsidRPr="00742D0D">
                <w:rPr>
                  <w:szCs w:val="18"/>
                  <w:lang w:bidi="ar-SA"/>
                </w:rPr>
                <w:t>systems</w:t>
              </w:r>
            </w:hyperlink>
            <w:r w:rsidRPr="00742D0D">
              <w:rPr>
                <w:rFonts w:ascii="Calibri" w:hAnsi="Calibri" w:cs="Calibri"/>
                <w:szCs w:val="18"/>
                <w:lang w:bidi="ar-SA"/>
              </w:rPr>
              <w:t> </w:t>
            </w:r>
            <w:r w:rsidRPr="00742D0D">
              <w:rPr>
                <w:szCs w:val="18"/>
                <w:lang w:bidi="ar-SA"/>
              </w:rPr>
              <w:t>with a focus on identifying, exploring and understanding the universal patterns and behaviours of</w:t>
            </w:r>
            <w:r w:rsidRPr="00742D0D">
              <w:rPr>
                <w:rFonts w:ascii="Calibri" w:hAnsi="Calibri" w:cs="Calibri"/>
                <w:szCs w:val="18"/>
                <w:lang w:bidi="ar-SA"/>
              </w:rPr>
              <w:t> </w:t>
            </w:r>
            <w:hyperlink r:id="rId62" w:history="1">
              <w:r w:rsidRPr="00742D0D">
                <w:rPr>
                  <w:szCs w:val="18"/>
                  <w:lang w:bidi="ar-SA"/>
                </w:rPr>
                <w:t>complexity</w:t>
              </w:r>
            </w:hyperlink>
            <w:r w:rsidRPr="00742D0D">
              <w:rPr>
                <w:rFonts w:ascii="Calibri" w:hAnsi="Calibri" w:cs="Calibri"/>
                <w:szCs w:val="18"/>
                <w:lang w:bidi="ar-SA"/>
              </w:rPr>
              <w:t> </w:t>
            </w:r>
            <w:r w:rsidRPr="00742D0D">
              <w:rPr>
                <w:szCs w:val="18"/>
                <w:lang w:bidi="ar-SA"/>
              </w:rPr>
              <w:t>and</w:t>
            </w:r>
            <w:r w:rsidRPr="00742D0D">
              <w:rPr>
                <w:rFonts w:ascii="Calibri" w:hAnsi="Calibri" w:cs="Calibri"/>
                <w:szCs w:val="18"/>
                <w:lang w:bidi="ar-SA"/>
              </w:rPr>
              <w:t> </w:t>
            </w:r>
            <w:hyperlink r:id="rId63" w:history="1">
              <w:r w:rsidRPr="00742D0D">
                <w:rPr>
                  <w:szCs w:val="18"/>
                  <w:lang w:bidi="ar-SA"/>
                </w:rPr>
                <w:t>emergence</w:t>
              </w:r>
            </w:hyperlink>
            <w:r w:rsidRPr="00742D0D">
              <w:rPr>
                <w:szCs w:val="18"/>
                <w:lang w:bidi="ar-SA"/>
              </w:rPr>
              <w:t>.</w:t>
            </w:r>
          </w:p>
        </w:tc>
      </w:tr>
    </w:tbl>
    <w:p w14:paraId="10536851" w14:textId="77777777" w:rsidR="00742D0D" w:rsidRPr="00742D0D" w:rsidRDefault="00742D0D" w:rsidP="00742D0D">
      <w:pPr>
        <w:spacing w:before="0" w:after="160" w:line="259" w:lineRule="auto"/>
        <w:rPr>
          <w:rFonts w:ascii="PP Mori SemiBold" w:eastAsiaTheme="majorEastAsia" w:hAnsi="PP Mori SemiBold" w:cstheme="majorBidi"/>
          <w:color w:val="002C38" w:themeColor="accent1" w:themeShade="BF"/>
          <w:sz w:val="26"/>
          <w:szCs w:val="33"/>
        </w:rPr>
      </w:pPr>
    </w:p>
    <w:p w14:paraId="6AD59948" w14:textId="77777777" w:rsidR="00742D0D" w:rsidRPr="00742D0D" w:rsidRDefault="00742D0D" w:rsidP="00742D0D">
      <w:pPr>
        <w:keepNext/>
        <w:keepLines/>
        <w:spacing w:before="360" w:after="120" w:line="252" w:lineRule="auto"/>
        <w:outlineLvl w:val="1"/>
        <w:rPr>
          <w:rFonts w:ascii="PP Mori SemiBold" w:eastAsiaTheme="majorEastAsia" w:hAnsi="PP Mori SemiBold" w:cstheme="majorBidi"/>
          <w:color w:val="002C38" w:themeColor="accent1" w:themeShade="BF"/>
          <w:sz w:val="26"/>
          <w:szCs w:val="33"/>
        </w:rPr>
      </w:pPr>
      <w:bookmarkStart w:id="274" w:name="_Toc205372237"/>
      <w:bookmarkStart w:id="275" w:name="_Toc205529042"/>
      <w:r w:rsidRPr="00742D0D">
        <w:rPr>
          <w:rFonts w:ascii="PP Mori SemiBold" w:eastAsiaTheme="majorEastAsia" w:hAnsi="PP Mori SemiBold" w:cstheme="majorBidi"/>
          <w:color w:val="002C38" w:themeColor="accent1" w:themeShade="BF"/>
          <w:sz w:val="26"/>
          <w:szCs w:val="33"/>
        </w:rPr>
        <w:lastRenderedPageBreak/>
        <w:t>A3</w:t>
      </w:r>
      <w:r w:rsidRPr="00742D0D">
        <w:rPr>
          <w:rFonts w:ascii="PP Mori SemiBold" w:eastAsiaTheme="majorEastAsia" w:hAnsi="PP Mori SemiBold" w:cstheme="majorBidi"/>
          <w:color w:val="002C38" w:themeColor="accent1" w:themeShade="BF"/>
          <w:sz w:val="26"/>
          <w:szCs w:val="33"/>
        </w:rPr>
        <w:tab/>
      </w:r>
      <w:bookmarkStart w:id="276" w:name="Appendix_A_3_Foundation_Sources"/>
      <w:r w:rsidRPr="00742D0D">
        <w:rPr>
          <w:rFonts w:ascii="PP Mori SemiBold" w:eastAsiaTheme="majorEastAsia" w:hAnsi="PP Mori SemiBold" w:cstheme="majorBidi"/>
          <w:color w:val="002C38" w:themeColor="accent1" w:themeShade="BF"/>
          <w:sz w:val="26"/>
          <w:szCs w:val="33"/>
        </w:rPr>
        <w:t>Acknowledgements &amp; Foundational Sources</w:t>
      </w:r>
      <w:bookmarkEnd w:id="274"/>
      <w:bookmarkEnd w:id="275"/>
      <w:bookmarkEnd w:id="276"/>
    </w:p>
    <w:p w14:paraId="1F663F4B" w14:textId="77777777" w:rsidR="00742D0D" w:rsidRPr="00742D0D" w:rsidRDefault="00742D0D" w:rsidP="00742D0D">
      <w:pPr>
        <w:rPr>
          <w:lang w:eastAsia="en-US" w:bidi="ar-SA"/>
        </w:rPr>
      </w:pPr>
      <w:r w:rsidRPr="00742D0D">
        <w:rPr>
          <w:lang w:eastAsia="en-US" w:bidi="ar-SA"/>
        </w:rPr>
        <w:t xml:space="preserve">The Energy Catalyst team has benefited from the expertise of and privilege of collaborating with many global organisations and experts. While it would be impossible to exhaustively recognise all relevant entities, individuals and sources, the following are particularly relevant to the development of this reference set, noting that any errors are those of Energy Catalyst alone. </w:t>
      </w:r>
    </w:p>
    <w:p w14:paraId="3096D585" w14:textId="77777777" w:rsidR="00742D0D" w:rsidRPr="00742D0D" w:rsidRDefault="00742D0D" w:rsidP="00742D0D">
      <w:pPr>
        <w:spacing w:before="120" w:after="120"/>
        <w:rPr>
          <w:i/>
          <w:iCs/>
          <w:color w:val="013C4C" w:themeColor="text1"/>
          <w:lang w:eastAsia="en-US" w:bidi="ar-SA"/>
        </w:rPr>
      </w:pPr>
      <w:r w:rsidRPr="00742D0D">
        <w:rPr>
          <w:i/>
          <w:iCs/>
          <w:color w:val="013C4C" w:themeColor="text1"/>
          <w:lang w:eastAsia="en-US" w:bidi="ar-SA"/>
        </w:rPr>
        <w:t xml:space="preserve">Entities </w:t>
      </w:r>
    </w:p>
    <w:p w14:paraId="258A2EC7" w14:textId="77777777" w:rsidR="00742D0D" w:rsidRPr="00742D0D" w:rsidRDefault="00742D0D" w:rsidP="00742D0D">
      <w:pPr>
        <w:numPr>
          <w:ilvl w:val="0"/>
          <w:numId w:val="25"/>
        </w:numPr>
        <w:spacing w:before="120" w:after="120" w:line="252" w:lineRule="auto"/>
      </w:pPr>
      <w:r w:rsidRPr="00742D0D">
        <w:t>Australian Energy Market Operator (AEMO)</w:t>
      </w:r>
    </w:p>
    <w:p w14:paraId="41314B81" w14:textId="77777777" w:rsidR="00742D0D" w:rsidRPr="00742D0D" w:rsidRDefault="00742D0D" w:rsidP="00742D0D">
      <w:pPr>
        <w:numPr>
          <w:ilvl w:val="0"/>
          <w:numId w:val="25"/>
        </w:numPr>
        <w:spacing w:before="120" w:after="120" w:line="252" w:lineRule="auto"/>
      </w:pPr>
      <w:r w:rsidRPr="00742D0D">
        <w:t>Commonwealth Scientific Industrial Research Organisation (CSIRO)</w:t>
      </w:r>
    </w:p>
    <w:p w14:paraId="1B2A6B15" w14:textId="77777777" w:rsidR="00742D0D" w:rsidRPr="00742D0D" w:rsidRDefault="00742D0D" w:rsidP="00742D0D">
      <w:pPr>
        <w:numPr>
          <w:ilvl w:val="0"/>
          <w:numId w:val="25"/>
        </w:numPr>
        <w:spacing w:before="120" w:after="120" w:line="252" w:lineRule="auto"/>
      </w:pPr>
      <w:r w:rsidRPr="00742D0D">
        <w:t>Energy Systems Catapult (ESC)</w:t>
      </w:r>
    </w:p>
    <w:p w14:paraId="455AC897" w14:textId="77777777" w:rsidR="00742D0D" w:rsidRPr="00742D0D" w:rsidRDefault="00742D0D" w:rsidP="00742D0D">
      <w:pPr>
        <w:numPr>
          <w:ilvl w:val="0"/>
          <w:numId w:val="25"/>
        </w:numPr>
        <w:spacing w:before="120" w:after="120" w:line="252" w:lineRule="auto"/>
      </w:pPr>
      <w:r w:rsidRPr="00742D0D">
        <w:t>Massachusetts Institute of Technology (MIT)</w:t>
      </w:r>
    </w:p>
    <w:p w14:paraId="46CE1907" w14:textId="77777777" w:rsidR="00742D0D" w:rsidRPr="00742D0D" w:rsidRDefault="00742D0D" w:rsidP="00742D0D">
      <w:pPr>
        <w:numPr>
          <w:ilvl w:val="0"/>
          <w:numId w:val="25"/>
        </w:numPr>
        <w:spacing w:before="120" w:after="120" w:line="252" w:lineRule="auto"/>
      </w:pPr>
      <w:r w:rsidRPr="00742D0D">
        <w:t>Pacific Northwest National Laboratory (PNNL)</w:t>
      </w:r>
    </w:p>
    <w:p w14:paraId="6BA30904" w14:textId="77777777" w:rsidR="00742D0D" w:rsidRPr="00742D0D" w:rsidRDefault="00742D0D" w:rsidP="00742D0D">
      <w:pPr>
        <w:numPr>
          <w:ilvl w:val="0"/>
          <w:numId w:val="25"/>
        </w:numPr>
        <w:spacing w:before="120" w:after="120" w:line="252" w:lineRule="auto"/>
      </w:pPr>
      <w:r w:rsidRPr="00742D0D">
        <w:t>Rocky Mountains Institute (RMI)</w:t>
      </w:r>
    </w:p>
    <w:p w14:paraId="689DD8BC" w14:textId="77777777" w:rsidR="00742D0D" w:rsidRPr="00742D0D" w:rsidRDefault="00742D0D" w:rsidP="00742D0D">
      <w:pPr>
        <w:numPr>
          <w:ilvl w:val="0"/>
          <w:numId w:val="25"/>
        </w:numPr>
        <w:spacing w:before="120" w:after="120" w:line="252" w:lineRule="auto"/>
      </w:pPr>
      <w:r w:rsidRPr="00742D0D">
        <w:t>United States Department of Energy, Office of Electricity (DOE)</w:t>
      </w:r>
    </w:p>
    <w:p w14:paraId="0A908EEC" w14:textId="77777777" w:rsidR="00742D0D" w:rsidRPr="00742D0D" w:rsidRDefault="00742D0D" w:rsidP="00742D0D">
      <w:pPr>
        <w:rPr>
          <w:i/>
          <w:iCs/>
          <w:color w:val="013C4C" w:themeColor="text1"/>
          <w:lang w:eastAsia="en-US" w:bidi="ar-SA"/>
        </w:rPr>
      </w:pPr>
      <w:r w:rsidRPr="00742D0D">
        <w:rPr>
          <w:i/>
          <w:iCs/>
          <w:color w:val="013C4C" w:themeColor="text1"/>
          <w:lang w:eastAsia="en-US" w:bidi="ar-SA"/>
        </w:rPr>
        <w:t xml:space="preserve">Individuals </w:t>
      </w:r>
    </w:p>
    <w:p w14:paraId="66C7B96A" w14:textId="77777777" w:rsidR="00742D0D" w:rsidRPr="00742D0D" w:rsidRDefault="00742D0D" w:rsidP="00742D0D">
      <w:pPr>
        <w:numPr>
          <w:ilvl w:val="0"/>
          <w:numId w:val="25"/>
        </w:numPr>
        <w:spacing w:before="120" w:after="120" w:line="252" w:lineRule="auto"/>
      </w:pPr>
      <w:r w:rsidRPr="00742D0D">
        <w:t>Dr Thomas Brinsmead</w:t>
      </w:r>
    </w:p>
    <w:p w14:paraId="172114DE" w14:textId="77777777" w:rsidR="00742D0D" w:rsidRPr="00742D0D" w:rsidRDefault="00742D0D" w:rsidP="00742D0D">
      <w:pPr>
        <w:numPr>
          <w:ilvl w:val="0"/>
          <w:numId w:val="25"/>
        </w:numPr>
        <w:spacing w:before="120" w:after="120" w:line="252" w:lineRule="auto"/>
      </w:pPr>
      <w:r w:rsidRPr="00742D0D">
        <w:t xml:space="preserve">Pablo Campillos </w:t>
      </w:r>
    </w:p>
    <w:p w14:paraId="6B2A37B3" w14:textId="77777777" w:rsidR="00742D0D" w:rsidRPr="00742D0D" w:rsidRDefault="00742D0D" w:rsidP="00742D0D">
      <w:pPr>
        <w:numPr>
          <w:ilvl w:val="0"/>
          <w:numId w:val="25"/>
        </w:numPr>
        <w:spacing w:before="120" w:after="120" w:line="252" w:lineRule="auto"/>
      </w:pPr>
      <w:r w:rsidRPr="00742D0D">
        <w:t>Paul De Martini</w:t>
      </w:r>
    </w:p>
    <w:p w14:paraId="4DA7D0ED" w14:textId="77777777" w:rsidR="00742D0D" w:rsidRPr="00742D0D" w:rsidRDefault="00742D0D" w:rsidP="00742D0D">
      <w:pPr>
        <w:numPr>
          <w:ilvl w:val="0"/>
          <w:numId w:val="25"/>
        </w:numPr>
        <w:spacing w:before="120" w:after="120" w:line="252" w:lineRule="auto"/>
      </w:pPr>
      <w:r w:rsidRPr="00742D0D">
        <w:t>Prof. Lynne Kiesling</w:t>
      </w:r>
    </w:p>
    <w:p w14:paraId="3A06FA86" w14:textId="77777777" w:rsidR="00742D0D" w:rsidRPr="00742D0D" w:rsidRDefault="00742D0D" w:rsidP="00742D0D">
      <w:pPr>
        <w:numPr>
          <w:ilvl w:val="0"/>
          <w:numId w:val="25"/>
        </w:numPr>
        <w:spacing w:before="120" w:after="120" w:line="252" w:lineRule="auto"/>
      </w:pPr>
      <w:r w:rsidRPr="00742D0D">
        <w:t>Dr Lorenzo Kristov</w:t>
      </w:r>
    </w:p>
    <w:p w14:paraId="38C5CC22" w14:textId="77777777" w:rsidR="00742D0D" w:rsidRPr="00742D0D" w:rsidRDefault="00742D0D" w:rsidP="00742D0D">
      <w:pPr>
        <w:numPr>
          <w:ilvl w:val="0"/>
          <w:numId w:val="25"/>
        </w:numPr>
        <w:spacing w:before="120" w:after="120" w:line="252" w:lineRule="auto"/>
      </w:pPr>
      <w:r w:rsidRPr="00742D0D">
        <w:t>Rama Ganguli</w:t>
      </w:r>
    </w:p>
    <w:p w14:paraId="17350BF2" w14:textId="77777777" w:rsidR="00742D0D" w:rsidRPr="00742D0D" w:rsidRDefault="00742D0D" w:rsidP="00742D0D">
      <w:pPr>
        <w:numPr>
          <w:ilvl w:val="0"/>
          <w:numId w:val="25"/>
        </w:numPr>
        <w:spacing w:before="120" w:after="120" w:line="252" w:lineRule="auto"/>
      </w:pPr>
      <w:r w:rsidRPr="00742D0D">
        <w:t xml:space="preserve">Eamonn McCormick </w:t>
      </w:r>
    </w:p>
    <w:p w14:paraId="6918035A" w14:textId="77777777" w:rsidR="00742D0D" w:rsidRPr="00742D0D" w:rsidRDefault="00742D0D" w:rsidP="00742D0D">
      <w:pPr>
        <w:numPr>
          <w:ilvl w:val="0"/>
          <w:numId w:val="25"/>
        </w:numPr>
        <w:spacing w:before="120" w:after="120" w:line="252" w:lineRule="auto"/>
      </w:pPr>
      <w:r w:rsidRPr="00742D0D">
        <w:t>Dr Ron Melton</w:t>
      </w:r>
    </w:p>
    <w:p w14:paraId="594575A0" w14:textId="77777777" w:rsidR="00742D0D" w:rsidRPr="00742D0D" w:rsidRDefault="00742D0D" w:rsidP="00742D0D">
      <w:pPr>
        <w:numPr>
          <w:ilvl w:val="0"/>
          <w:numId w:val="25"/>
        </w:numPr>
        <w:spacing w:before="120" w:after="120" w:line="252" w:lineRule="auto"/>
      </w:pPr>
      <w:r w:rsidRPr="00742D0D">
        <w:t>Peter Senge</w:t>
      </w:r>
    </w:p>
    <w:p w14:paraId="58BE6479" w14:textId="77777777" w:rsidR="00742D0D" w:rsidRPr="00742D0D" w:rsidRDefault="00742D0D" w:rsidP="00742D0D">
      <w:pPr>
        <w:numPr>
          <w:ilvl w:val="0"/>
          <w:numId w:val="25"/>
        </w:numPr>
        <w:spacing w:before="120" w:after="120" w:line="252" w:lineRule="auto"/>
      </w:pPr>
      <w:r w:rsidRPr="00742D0D">
        <w:t>Dr Jeffrey Taft</w:t>
      </w:r>
    </w:p>
    <w:p w14:paraId="1B215EA2" w14:textId="77777777" w:rsidR="00742D0D" w:rsidRPr="00742D0D" w:rsidRDefault="00742D0D" w:rsidP="00742D0D">
      <w:pPr>
        <w:numPr>
          <w:ilvl w:val="0"/>
          <w:numId w:val="25"/>
        </w:numPr>
        <w:spacing w:before="120" w:after="120" w:line="252" w:lineRule="auto"/>
      </w:pPr>
      <w:r w:rsidRPr="00742D0D">
        <w:t>Dr John Ward</w:t>
      </w:r>
    </w:p>
    <w:p w14:paraId="6A383D2C" w14:textId="77777777" w:rsidR="00742D0D" w:rsidRPr="00742D0D" w:rsidRDefault="00742D0D" w:rsidP="00742D0D">
      <w:pPr>
        <w:rPr>
          <w:i/>
          <w:iCs/>
          <w:color w:val="013C4C" w:themeColor="text1"/>
          <w:lang w:eastAsia="en-US" w:bidi="ar-SA"/>
        </w:rPr>
      </w:pPr>
      <w:r w:rsidRPr="00742D0D">
        <w:rPr>
          <w:i/>
          <w:iCs/>
          <w:color w:val="013C4C" w:themeColor="text1"/>
          <w:lang w:eastAsia="en-US" w:bidi="ar-SA"/>
        </w:rPr>
        <w:t>Foundational Sources</w:t>
      </w:r>
    </w:p>
    <w:p w14:paraId="0A8FB667" w14:textId="77777777" w:rsidR="00742D0D" w:rsidRPr="00742D0D" w:rsidRDefault="00742D0D" w:rsidP="00742D0D">
      <w:pPr>
        <w:rPr>
          <w:lang w:eastAsia="en-US" w:bidi="ar-SA"/>
        </w:rPr>
      </w:pPr>
      <w:r w:rsidRPr="00742D0D">
        <w:rPr>
          <w:lang w:eastAsia="en-US" w:bidi="ar-SA"/>
        </w:rPr>
        <w:t xml:space="preserve">The following sources provide key principles and bases for the application of the disciplines and tools employed in developing this reference set.  </w:t>
      </w:r>
    </w:p>
    <w:p w14:paraId="465532BB" w14:textId="77777777" w:rsidR="00742D0D" w:rsidRPr="00742D0D" w:rsidRDefault="00742D0D" w:rsidP="00742D0D">
      <w:pPr>
        <w:numPr>
          <w:ilvl w:val="0"/>
          <w:numId w:val="25"/>
        </w:numPr>
        <w:spacing w:before="120" w:after="120" w:line="252" w:lineRule="auto"/>
      </w:pPr>
      <w:r w:rsidRPr="00742D0D">
        <w:t>International Council on Systems Engineering (INCOSE), INCOSE Systems Engineering Handbook: A Guide for System Life Cycle Processes and Activities, 4th ed. San Diego, CA, USA: INCOSE, 2015.</w:t>
      </w:r>
    </w:p>
    <w:p w14:paraId="4D881B4E" w14:textId="77777777" w:rsidR="00742D0D" w:rsidRPr="00742D0D" w:rsidRDefault="00742D0D" w:rsidP="00742D0D">
      <w:pPr>
        <w:numPr>
          <w:ilvl w:val="0"/>
          <w:numId w:val="25"/>
        </w:numPr>
        <w:spacing w:before="120" w:after="120" w:line="252" w:lineRule="auto"/>
      </w:pPr>
      <w:r w:rsidRPr="00742D0D">
        <w:lastRenderedPageBreak/>
        <w:t>R.</w:t>
      </w:r>
      <w:r w:rsidRPr="00742D0D">
        <w:rPr>
          <w:rFonts w:ascii="Cambria Math" w:hAnsi="Cambria Math" w:cs="Cambria Math"/>
        </w:rPr>
        <w:t> </w:t>
      </w:r>
      <w:r w:rsidRPr="00742D0D">
        <w:t>D.</w:t>
      </w:r>
      <w:r w:rsidRPr="00742D0D">
        <w:rPr>
          <w:rFonts w:ascii="Cambria Math" w:hAnsi="Cambria Math" w:cs="Cambria Math"/>
        </w:rPr>
        <w:t> </w:t>
      </w:r>
      <w:r w:rsidRPr="00742D0D">
        <w:t>Adcock, S.</w:t>
      </w:r>
      <w:r w:rsidRPr="00742D0D">
        <w:rPr>
          <w:rFonts w:ascii="Cambria Math" w:hAnsi="Cambria Math" w:cs="Cambria Math"/>
        </w:rPr>
        <w:t> </w:t>
      </w:r>
      <w:r w:rsidRPr="00742D0D">
        <w:t>Friedenthal, D.</w:t>
      </w:r>
      <w:r w:rsidRPr="00742D0D">
        <w:rPr>
          <w:rFonts w:ascii="Cambria Math" w:hAnsi="Cambria Math" w:cs="Cambria Math"/>
        </w:rPr>
        <w:t> </w:t>
      </w:r>
      <w:r w:rsidRPr="00742D0D">
        <w:t>Dori, R.</w:t>
      </w:r>
      <w:r w:rsidRPr="00742D0D">
        <w:rPr>
          <w:rFonts w:ascii="Cambria Math" w:hAnsi="Cambria Math" w:cs="Cambria Math"/>
        </w:rPr>
        <w:t> </w:t>
      </w:r>
      <w:r w:rsidRPr="00742D0D">
        <w:t>Walden, and D.</w:t>
      </w:r>
      <w:r w:rsidRPr="00742D0D">
        <w:rPr>
          <w:rFonts w:ascii="Cambria Math" w:hAnsi="Cambria Math" w:cs="Cambria Math"/>
        </w:rPr>
        <w:t> </w:t>
      </w:r>
      <w:r w:rsidRPr="00742D0D">
        <w:t xml:space="preserve">Giammarco, </w:t>
      </w:r>
      <w:r w:rsidRPr="00742D0D">
        <w:rPr>
          <w:rFonts w:cs="PP Mori SemiBold"/>
        </w:rPr>
        <w:t>“</w:t>
      </w:r>
      <w:r w:rsidRPr="00742D0D">
        <w:t>Guide to the Systems Engineering Body of Knowledge (SEBoK),</w:t>
      </w:r>
      <w:r w:rsidRPr="00742D0D">
        <w:rPr>
          <w:rFonts w:cs="PP Mori SemiBold"/>
        </w:rPr>
        <w:t>”</w:t>
      </w:r>
      <w:r w:rsidRPr="00742D0D">
        <w:t xml:space="preserve"> ver. 2.9, The Systems Engineering Research Center, Hoboken, NJ, USA, May 2023. [Online]. Available: https://sebokwiki.org/wiki/Guide_to_the_Systems_Engineering_Body_of_Knowledge_(SEBoK)</w:t>
      </w:r>
    </w:p>
    <w:p w14:paraId="798C6456" w14:textId="77777777" w:rsidR="00742D0D" w:rsidRPr="00742D0D" w:rsidRDefault="00742D0D" w:rsidP="00742D0D">
      <w:pPr>
        <w:numPr>
          <w:ilvl w:val="0"/>
          <w:numId w:val="25"/>
        </w:numPr>
        <w:spacing w:before="120" w:after="120" w:line="252" w:lineRule="auto"/>
      </w:pPr>
      <w:r w:rsidRPr="00742D0D">
        <w:t>Bruce Cameron,</w:t>
      </w:r>
      <w:r w:rsidRPr="00742D0D">
        <w:rPr>
          <w:rFonts w:ascii="Cambria Math" w:hAnsi="Cambria Math" w:cs="Cambria Math"/>
        </w:rPr>
        <w:t> </w:t>
      </w:r>
      <w:r w:rsidRPr="00742D0D">
        <w:t>Edward</w:t>
      </w:r>
      <w:r w:rsidRPr="00742D0D">
        <w:rPr>
          <w:rFonts w:ascii="Cambria Math" w:hAnsi="Cambria Math" w:cs="Cambria Math"/>
        </w:rPr>
        <w:t> </w:t>
      </w:r>
      <w:r w:rsidRPr="00742D0D">
        <w:t>F. Crawley, and</w:t>
      </w:r>
      <w:r w:rsidRPr="00742D0D">
        <w:rPr>
          <w:rFonts w:ascii="Cambria Math" w:hAnsi="Cambria Math" w:cs="Cambria Math"/>
        </w:rPr>
        <w:t> </w:t>
      </w:r>
      <w:r w:rsidRPr="00742D0D">
        <w:t>Daniel</w:t>
      </w:r>
      <w:r w:rsidRPr="00742D0D">
        <w:rPr>
          <w:rFonts w:ascii="Cambria Math" w:hAnsi="Cambria Math" w:cs="Cambria Math"/>
        </w:rPr>
        <w:t> </w:t>
      </w:r>
      <w:r w:rsidRPr="00742D0D">
        <w:t>Selva, Systems Architecture, Global Edition, 1st</w:t>
      </w:r>
      <w:r w:rsidRPr="00742D0D">
        <w:rPr>
          <w:rFonts w:ascii="Cambria Math" w:hAnsi="Cambria Math" w:cs="Cambria Math"/>
        </w:rPr>
        <w:t> </w:t>
      </w:r>
      <w:r w:rsidRPr="00742D0D">
        <w:t>ed., Pearson Education, 2015.</w:t>
      </w:r>
    </w:p>
    <w:p w14:paraId="19F231C1" w14:textId="77777777" w:rsidR="00742D0D" w:rsidRPr="00742D0D" w:rsidRDefault="00742D0D" w:rsidP="00742D0D">
      <w:pPr>
        <w:numPr>
          <w:ilvl w:val="0"/>
          <w:numId w:val="25"/>
        </w:numPr>
        <w:spacing w:before="120" w:after="120" w:line="252" w:lineRule="auto"/>
      </w:pPr>
      <w:r w:rsidRPr="00742D0D">
        <w:t>J.</w:t>
      </w:r>
      <w:r w:rsidRPr="00742D0D">
        <w:rPr>
          <w:rFonts w:ascii="Cambria Math" w:hAnsi="Cambria Math" w:cs="Cambria Math"/>
        </w:rPr>
        <w:t> </w:t>
      </w:r>
      <w:r w:rsidRPr="00742D0D">
        <w:t>D. Taft, S.</w:t>
      </w:r>
      <w:r w:rsidRPr="00742D0D">
        <w:rPr>
          <w:rFonts w:ascii="Cambria Math" w:hAnsi="Cambria Math" w:cs="Cambria Math"/>
        </w:rPr>
        <w:t> </w:t>
      </w:r>
      <w:r w:rsidRPr="00742D0D">
        <w:t>Widergren, A.</w:t>
      </w:r>
      <w:r w:rsidRPr="00742D0D">
        <w:rPr>
          <w:rFonts w:ascii="Cambria Math" w:hAnsi="Cambria Math" w:cs="Cambria Math"/>
        </w:rPr>
        <w:t> </w:t>
      </w:r>
      <w:r w:rsidRPr="00742D0D">
        <w:t>Shankar, R.</w:t>
      </w:r>
      <w:r w:rsidRPr="00742D0D">
        <w:rPr>
          <w:rFonts w:ascii="Cambria Math" w:hAnsi="Cambria Math" w:cs="Cambria Math"/>
        </w:rPr>
        <w:t> </w:t>
      </w:r>
      <w:r w:rsidRPr="00742D0D">
        <w:t>Melton, and B.</w:t>
      </w:r>
      <w:r w:rsidRPr="00742D0D">
        <w:rPr>
          <w:rFonts w:ascii="Cambria Math" w:hAnsi="Cambria Math" w:cs="Cambria Math"/>
        </w:rPr>
        <w:t> </w:t>
      </w:r>
      <w:r w:rsidRPr="00742D0D">
        <w:t>Kelley, Grid Architecture Specification: High DER/DA/STO Reference Architecture (GMLC</w:t>
      </w:r>
      <w:r w:rsidRPr="00742D0D">
        <w:rPr>
          <w:rFonts w:ascii="Cambria Math" w:hAnsi="Cambria Math" w:cs="Cambria Math"/>
        </w:rPr>
        <w:t> </w:t>
      </w:r>
      <w:r w:rsidRPr="00742D0D">
        <w:t>1.2.1</w:t>
      </w:r>
      <w:r w:rsidRPr="00742D0D">
        <w:rPr>
          <w:rFonts w:ascii="Cambria Math" w:hAnsi="Cambria Math" w:cs="Cambria Math"/>
        </w:rPr>
        <w:t> </w:t>
      </w:r>
      <w:r w:rsidRPr="00742D0D">
        <w:t>v0.3), Pacific Northwest National Laboratory, Richland, WA, USA, Dec. 2019.</w:t>
      </w:r>
    </w:p>
    <w:p w14:paraId="7B6B6BFC" w14:textId="77777777" w:rsidR="00742D0D" w:rsidRPr="00742D0D" w:rsidRDefault="00742D0D" w:rsidP="00742D0D">
      <w:pPr>
        <w:numPr>
          <w:ilvl w:val="0"/>
          <w:numId w:val="25"/>
        </w:numPr>
        <w:spacing w:before="120" w:after="120" w:line="252" w:lineRule="auto"/>
      </w:pPr>
      <w:r w:rsidRPr="00742D0D">
        <w:t>J.</w:t>
      </w:r>
      <w:r w:rsidRPr="00742D0D">
        <w:rPr>
          <w:rFonts w:ascii="Cambria Math" w:hAnsi="Cambria Math" w:cs="Cambria Math"/>
        </w:rPr>
        <w:t> </w:t>
      </w:r>
      <w:r w:rsidRPr="00742D0D">
        <w:t>D. Taft and A. Becker-Dippmann, Grid Architecture, Pacific Northwest National Laboratory (PNNL), Richland, WA, USA, Jan.</w:t>
      </w:r>
      <w:r w:rsidRPr="00742D0D">
        <w:rPr>
          <w:rFonts w:ascii="Calibri" w:hAnsi="Calibri" w:cs="Calibri"/>
        </w:rPr>
        <w:t> </w:t>
      </w:r>
      <w:r w:rsidRPr="00742D0D">
        <w:t>2015, Report No.</w:t>
      </w:r>
      <w:r w:rsidRPr="00742D0D">
        <w:rPr>
          <w:rFonts w:ascii="Calibri" w:hAnsi="Calibri" w:cs="Calibri"/>
        </w:rPr>
        <w:t> </w:t>
      </w:r>
      <w:r w:rsidRPr="00742D0D">
        <w:t>PNNL</w:t>
      </w:r>
      <w:r w:rsidRPr="00742D0D">
        <w:rPr>
          <w:rFonts w:ascii="Cambria Math" w:hAnsi="Cambria Math" w:cs="Cambria Math"/>
        </w:rPr>
        <w:t>‑</w:t>
      </w:r>
      <w:r w:rsidRPr="00742D0D">
        <w:t>24044. [Online]. Available: https://gridarchitecture.pnnl.gov/media/white-papers/Grid%20Architecture%20%20-%20DOE%20QER.pdf</w:t>
      </w:r>
    </w:p>
    <w:p w14:paraId="631AAF8F" w14:textId="77777777" w:rsidR="00742D0D" w:rsidRPr="00742D0D" w:rsidRDefault="00742D0D" w:rsidP="00742D0D">
      <w:pPr>
        <w:numPr>
          <w:ilvl w:val="0"/>
          <w:numId w:val="25"/>
        </w:numPr>
        <w:spacing w:before="120" w:after="120" w:line="252" w:lineRule="auto"/>
      </w:pPr>
      <w:r w:rsidRPr="00742D0D">
        <w:t>J.</w:t>
      </w:r>
      <w:r w:rsidRPr="00742D0D">
        <w:rPr>
          <w:rFonts w:ascii="Cambria Math" w:hAnsi="Cambria Math" w:cs="Cambria Math"/>
        </w:rPr>
        <w:t> </w:t>
      </w:r>
      <w:r w:rsidRPr="00742D0D">
        <w:t>D. Taft, Grid Architecture 2, Pacific Northwest National Laboratory (PNNL), Richland, WA, USA, Jan.</w:t>
      </w:r>
      <w:r w:rsidRPr="00742D0D">
        <w:rPr>
          <w:rFonts w:ascii="Calibri" w:hAnsi="Calibri" w:cs="Calibri"/>
        </w:rPr>
        <w:t> </w:t>
      </w:r>
      <w:r w:rsidRPr="00742D0D">
        <w:t>2016, Report No.</w:t>
      </w:r>
      <w:r w:rsidRPr="00742D0D">
        <w:rPr>
          <w:rFonts w:ascii="Calibri" w:hAnsi="Calibri" w:cs="Calibri"/>
        </w:rPr>
        <w:t> </w:t>
      </w:r>
      <w:r w:rsidRPr="00742D0D">
        <w:t>PNNL</w:t>
      </w:r>
      <w:r w:rsidRPr="00742D0D">
        <w:rPr>
          <w:rFonts w:ascii="Cambria Math" w:hAnsi="Cambria Math" w:cs="Cambria Math"/>
        </w:rPr>
        <w:t>‑</w:t>
      </w:r>
      <w:r w:rsidRPr="00742D0D">
        <w:t>24044</w:t>
      </w:r>
      <w:r w:rsidRPr="00742D0D">
        <w:rPr>
          <w:rFonts w:ascii="Cambria Math" w:hAnsi="Cambria Math" w:cs="Cambria Math"/>
        </w:rPr>
        <w:t> </w:t>
      </w:r>
      <w:r w:rsidRPr="00742D0D">
        <w:t>2. [Online]. Available: https://gridarchitecture.pnnl.gov/media/white-papers/GridArchitecture2final.pdf</w:t>
      </w:r>
    </w:p>
    <w:p w14:paraId="11CDFB76" w14:textId="77777777" w:rsidR="00742D0D" w:rsidRPr="00742D0D" w:rsidRDefault="00742D0D" w:rsidP="00742D0D">
      <w:pPr>
        <w:numPr>
          <w:ilvl w:val="0"/>
          <w:numId w:val="25"/>
        </w:numPr>
        <w:spacing w:before="120" w:after="120" w:line="252" w:lineRule="auto"/>
      </w:pPr>
      <w:r w:rsidRPr="00742D0D">
        <w:t>J.</w:t>
      </w:r>
      <w:r w:rsidRPr="00742D0D">
        <w:rPr>
          <w:rFonts w:ascii="Cambria Math" w:hAnsi="Cambria Math" w:cs="Cambria Math"/>
        </w:rPr>
        <w:t> </w:t>
      </w:r>
      <w:r w:rsidRPr="00742D0D">
        <w:t>D. Taft, Comparative Architecture Analysis: Using Laminar Structure to Unify Multiple Grid Architectures, Pacific Northwest National Laboratory (PNNL), Richland, WA, USA, Nov.</w:t>
      </w:r>
      <w:r w:rsidRPr="00742D0D">
        <w:rPr>
          <w:rFonts w:ascii="Calibri" w:hAnsi="Calibri" w:cs="Calibri"/>
        </w:rPr>
        <w:t> </w:t>
      </w:r>
      <w:r w:rsidRPr="00742D0D">
        <w:t>2016, Report No.</w:t>
      </w:r>
      <w:r w:rsidRPr="00742D0D">
        <w:rPr>
          <w:rFonts w:ascii="Calibri" w:hAnsi="Calibri" w:cs="Calibri"/>
        </w:rPr>
        <w:t> </w:t>
      </w:r>
      <w:r w:rsidRPr="00742D0D">
        <w:t>PNNL</w:t>
      </w:r>
      <w:r w:rsidRPr="00742D0D">
        <w:rPr>
          <w:rFonts w:ascii="Cambria Math" w:hAnsi="Cambria Math" w:cs="Cambria Math"/>
        </w:rPr>
        <w:t>‑</w:t>
      </w:r>
      <w:r w:rsidRPr="00742D0D">
        <w:t xml:space="preserve">26089. [Online]. Available: </w:t>
      </w:r>
      <w:hyperlink r:id="rId64" w:history="1">
        <w:r w:rsidRPr="00742D0D">
          <w:t>https://gridarchitecture.pnnl.gov/media/advanced/Comparative%20Architecture%20Analysis-Final.pdf</w:t>
        </w:r>
      </w:hyperlink>
    </w:p>
    <w:p w14:paraId="3ADFB3B6" w14:textId="7ADD8C83" w:rsidR="000C776C" w:rsidRPr="000C776C" w:rsidRDefault="00BB2731" w:rsidP="000C4B3F">
      <w:pPr>
        <w:pStyle w:val="Heading1"/>
        <w:numPr>
          <w:ilvl w:val="0"/>
          <w:numId w:val="0"/>
        </w:numPr>
      </w:pPr>
      <w:r w:rsidRPr="00BB2731">
        <w:rPr>
          <w:highlight w:val="yellow"/>
        </w:rPr>
        <w:br w:type="page"/>
      </w:r>
      <w:bookmarkStart w:id="277" w:name="_Toc205358030"/>
      <w:bookmarkStart w:id="278" w:name="Appendix_B"/>
      <w:bookmarkStart w:id="279" w:name="_Toc205532893"/>
      <w:r w:rsidR="000C776C" w:rsidRPr="000C776C">
        <w:lastRenderedPageBreak/>
        <w:t xml:space="preserve">Appendix </w:t>
      </w:r>
      <w:r w:rsidR="00B35AED">
        <w:t>B</w:t>
      </w:r>
      <w:r w:rsidR="000C776C" w:rsidRPr="000C776C">
        <w:t>: Glossary of Terms</w:t>
      </w:r>
      <w:bookmarkEnd w:id="277"/>
      <w:bookmarkEnd w:id="278"/>
      <w:bookmarkEnd w:id="279"/>
    </w:p>
    <w:tbl>
      <w:tblPr>
        <w:tblStyle w:val="TableGrid"/>
        <w:tblW w:w="8505" w:type="dxa"/>
        <w:tblInd w:w="-5" w:type="dxa"/>
        <w:tblLook w:val="04A0" w:firstRow="1" w:lastRow="0" w:firstColumn="1" w:lastColumn="0" w:noHBand="0" w:noVBand="1"/>
      </w:tblPr>
      <w:tblGrid>
        <w:gridCol w:w="2127"/>
        <w:gridCol w:w="6378"/>
      </w:tblGrid>
      <w:tr w:rsidR="000C776C" w:rsidRPr="000C776C" w14:paraId="48ABE162" w14:textId="77777777" w:rsidTr="00E24B05">
        <w:trPr>
          <w:trHeight w:val="529"/>
        </w:trPr>
        <w:tc>
          <w:tcPr>
            <w:tcW w:w="2127" w:type="dxa"/>
            <w:shd w:val="clear" w:color="auto" w:fill="013C4C" w:themeFill="accent1"/>
            <w:vAlign w:val="center"/>
          </w:tcPr>
          <w:p w14:paraId="32FE15B9" w14:textId="77777777" w:rsidR="000C776C" w:rsidRPr="000C776C" w:rsidRDefault="000C776C" w:rsidP="000C776C">
            <w:pPr>
              <w:keepNext/>
              <w:keepLines/>
              <w:spacing w:before="40" w:after="0" w:line="276" w:lineRule="auto"/>
              <w:jc w:val="center"/>
              <w:outlineLvl w:val="4"/>
              <w:rPr>
                <w:rFonts w:ascii="PP Mori SemiBold" w:eastAsiaTheme="majorEastAsia" w:hAnsi="PP Mori SemiBold" w:cstheme="majorBidi"/>
                <w:color w:val="E7E6E6" w:themeColor="background2"/>
                <w:szCs w:val="18"/>
              </w:rPr>
            </w:pPr>
            <w:r w:rsidRPr="000C776C">
              <w:rPr>
                <w:rFonts w:ascii="PP Mori SemiBold" w:eastAsiaTheme="majorEastAsia" w:hAnsi="PP Mori SemiBold" w:cstheme="majorBidi"/>
                <w:color w:val="090909"/>
                <w:szCs w:val="18"/>
              </w:rPr>
              <w:t xml:space="preserve"> </w:t>
            </w:r>
            <w:r w:rsidRPr="000C776C">
              <w:rPr>
                <w:rFonts w:ascii="PP Mori SemiBold" w:eastAsiaTheme="majorEastAsia" w:hAnsi="PP Mori SemiBold" w:cstheme="majorBidi"/>
                <w:color w:val="E7E6E6" w:themeColor="background2"/>
                <w:szCs w:val="18"/>
              </w:rPr>
              <w:t>Term</w:t>
            </w:r>
          </w:p>
        </w:tc>
        <w:tc>
          <w:tcPr>
            <w:tcW w:w="6378" w:type="dxa"/>
            <w:shd w:val="clear" w:color="auto" w:fill="013C4C" w:themeFill="accent1"/>
            <w:vAlign w:val="center"/>
          </w:tcPr>
          <w:p w14:paraId="5894346B" w14:textId="77777777" w:rsidR="000C776C" w:rsidRPr="000C776C" w:rsidRDefault="000C776C" w:rsidP="000C776C">
            <w:pPr>
              <w:keepNext/>
              <w:keepLines/>
              <w:spacing w:before="40" w:after="0" w:line="276" w:lineRule="auto"/>
              <w:jc w:val="center"/>
              <w:outlineLvl w:val="4"/>
              <w:rPr>
                <w:rFonts w:ascii="PP Mori SemiBold" w:eastAsiaTheme="majorEastAsia" w:hAnsi="PP Mori SemiBold" w:cstheme="majorBidi"/>
                <w:color w:val="E7E6E6" w:themeColor="background2"/>
                <w:szCs w:val="18"/>
              </w:rPr>
            </w:pPr>
            <w:r w:rsidRPr="000C776C">
              <w:rPr>
                <w:rFonts w:ascii="PP Mori SemiBold" w:eastAsiaTheme="majorEastAsia" w:hAnsi="PP Mori SemiBold" w:cstheme="majorBidi"/>
                <w:iCs/>
                <w:color w:val="E7E6E6" w:themeColor="background2"/>
                <w:szCs w:val="18"/>
              </w:rPr>
              <w:t>Definition</w:t>
            </w:r>
          </w:p>
        </w:tc>
      </w:tr>
      <w:tr w:rsidR="000C776C" w:rsidRPr="000C776C" w:rsidDel="004725D6" w14:paraId="0AF042A6" w14:textId="77777777" w:rsidTr="00E24B05">
        <w:tc>
          <w:tcPr>
            <w:tcW w:w="2127" w:type="dxa"/>
            <w:shd w:val="clear" w:color="auto" w:fill="067296" w:themeFill="text2"/>
          </w:tcPr>
          <w:p w14:paraId="04F257C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Active CER/DER</w:t>
            </w:r>
          </w:p>
        </w:tc>
        <w:tc>
          <w:tcPr>
            <w:tcW w:w="6378" w:type="dxa"/>
          </w:tcPr>
          <w:p w14:paraId="601D30D9" w14:textId="77777777" w:rsidR="000C776C" w:rsidRPr="000C776C" w:rsidRDefault="000C776C" w:rsidP="000C776C">
            <w:pPr>
              <w:spacing w:before="120" w:after="120" w:line="288" w:lineRule="auto"/>
              <w:rPr>
                <w:szCs w:val="18"/>
              </w:rPr>
            </w:pPr>
            <w:r w:rsidRPr="000C776C">
              <w:rPr>
                <w:szCs w:val="18"/>
              </w:rPr>
              <w:t>Consumer Energy Resources (CER/DER) that are capable of automatically altering their operating behaviour in response the needs of the wider power system. This may be in response to changes in the price of energy, the operating conditions of the local distribution network and/or upon receipt of instructions, control inputs or data feeds from authorised external entities.</w:t>
            </w:r>
          </w:p>
          <w:p w14:paraId="5AE7D557" w14:textId="77777777" w:rsidR="000C776C" w:rsidRPr="000C776C" w:rsidDel="004725D6" w:rsidRDefault="000C776C" w:rsidP="000C776C">
            <w:pPr>
              <w:spacing w:before="120" w:after="120" w:line="288" w:lineRule="auto"/>
              <w:rPr>
                <w:szCs w:val="18"/>
              </w:rPr>
            </w:pPr>
            <w:r w:rsidRPr="000C776C">
              <w:rPr>
                <w:szCs w:val="18"/>
              </w:rPr>
              <w:t>Active CER/DER are significantly more valuable to the power system than Passive CER/DER as they can provide specific Electric Products in a manner that is highly correlated with the time, location and physics-based needs of the power system.</w:t>
            </w:r>
          </w:p>
        </w:tc>
      </w:tr>
      <w:tr w:rsidR="000C776C" w:rsidRPr="000C776C" w14:paraId="6113D99C" w14:textId="77777777" w:rsidTr="00E24B05">
        <w:tc>
          <w:tcPr>
            <w:tcW w:w="2127" w:type="dxa"/>
            <w:shd w:val="clear" w:color="auto" w:fill="067296" w:themeFill="text2"/>
          </w:tcPr>
          <w:p w14:paraId="3E399E31" w14:textId="77777777" w:rsidR="000C776C" w:rsidRPr="000C776C" w:rsidRDefault="000C776C" w:rsidP="000C776C">
            <w:pPr>
              <w:spacing w:before="120" w:after="120" w:line="288" w:lineRule="auto"/>
              <w:jc w:val="center"/>
              <w:rPr>
                <w:rFonts w:ascii="PP Mori SemiBold" w:eastAsia="Segoe UI" w:hAnsi="PP Mori SemiBold"/>
                <w:color w:val="FAFAFA" w:themeColor="background1"/>
                <w:szCs w:val="18"/>
              </w:rPr>
            </w:pPr>
            <w:r w:rsidRPr="000C776C">
              <w:rPr>
                <w:rFonts w:ascii="PP Mori SemiBold" w:eastAsia="Segoe UI" w:hAnsi="PP Mori SemiBold"/>
                <w:color w:val="FAFAFA" w:themeColor="background1"/>
                <w:szCs w:val="18"/>
              </w:rPr>
              <w:t>Active Network Management (ANM)</w:t>
            </w:r>
          </w:p>
          <w:p w14:paraId="4376870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35261CF6" w14:textId="77777777" w:rsidR="000C776C" w:rsidRPr="000C776C" w:rsidRDefault="000C776C" w:rsidP="000C776C">
            <w:pPr>
              <w:spacing w:before="120" w:after="120" w:line="288" w:lineRule="auto"/>
              <w:rPr>
                <w:rFonts w:eastAsia="Segoe UI"/>
                <w:color w:val="252423"/>
                <w:szCs w:val="18"/>
              </w:rPr>
            </w:pPr>
            <w:r w:rsidRPr="000C776C">
              <w:rPr>
                <w:rFonts w:eastAsia="Segoe UI"/>
                <w:color w:val="252423"/>
                <w:szCs w:val="18"/>
              </w:rPr>
              <w:t xml:space="preserve">The coordinated, real-time management of network assets, consumer demand, customer-owned CER and large community or third-party DER to optimise the performance of the distribution network. </w:t>
            </w:r>
          </w:p>
          <w:p w14:paraId="1231DCEA" w14:textId="77777777" w:rsidR="000C776C" w:rsidRPr="000C776C" w:rsidRDefault="000C776C" w:rsidP="000C776C">
            <w:pPr>
              <w:spacing w:before="120" w:after="120" w:line="288" w:lineRule="auto"/>
              <w:rPr>
                <w:rFonts w:eastAsia="Segoe UI"/>
                <w:color w:val="252423"/>
                <w:szCs w:val="18"/>
              </w:rPr>
            </w:pPr>
            <w:r w:rsidRPr="000C776C">
              <w:rPr>
                <w:rFonts w:eastAsia="Segoe UI"/>
                <w:color w:val="252423"/>
                <w:szCs w:val="18"/>
              </w:rPr>
              <w:t>ANM uses digital technologies, data analytics, and automated control systems to actively manage network issues such as voltage fluctuations, congestion and fault levels. Supported by advanced network models and situational awareness, ANM allows more efficient use of existing network assets and facilitates the integration of high levels of renewable energy, electric vehicles, and flexible loads.</w:t>
            </w:r>
          </w:p>
          <w:p w14:paraId="1DF4C4CB" w14:textId="77777777" w:rsidR="000C776C" w:rsidRPr="000C776C" w:rsidRDefault="000C776C" w:rsidP="000C776C">
            <w:pPr>
              <w:spacing w:before="120" w:after="120" w:line="288" w:lineRule="auto"/>
              <w:rPr>
                <w:rFonts w:eastAsia="Times New Roman" w:cs="Segoe UI"/>
                <w:kern w:val="0"/>
                <w:szCs w:val="18"/>
                <w14:ligatures w14:val="none"/>
              </w:rPr>
            </w:pPr>
            <w:r w:rsidRPr="000C776C">
              <w:rPr>
                <w:rFonts w:eastAsia="Times New Roman" w:cs="Segoe UI"/>
                <w:kern w:val="0"/>
                <w:szCs w:val="18"/>
                <w14:ligatures w14:val="none"/>
              </w:rPr>
              <w:t>Key capabilities of ANM typically include:</w:t>
            </w:r>
          </w:p>
          <w:p w14:paraId="522E53AC"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Dynamic control of generation/export/import; </w:t>
            </w:r>
          </w:p>
          <w:p w14:paraId="564CC29A"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Voltage regulation through reactive power support;</w:t>
            </w:r>
          </w:p>
          <w:p w14:paraId="59D274F8"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Real-time monitoring and forecasting of network conditions; and, </w:t>
            </w:r>
          </w:p>
          <w:p w14:paraId="79DE44ED"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Coordination with flexibility markets and CER/DER aggregators. </w:t>
            </w:r>
          </w:p>
          <w:p w14:paraId="5F073B72" w14:textId="77777777" w:rsidR="000C776C" w:rsidRPr="000C776C" w:rsidRDefault="000C776C" w:rsidP="000C776C">
            <w:pPr>
              <w:spacing w:before="120" w:after="120" w:line="288" w:lineRule="auto"/>
              <w:rPr>
                <w:rFonts w:eastAsia="Times New Roman" w:cs="Segoe UI"/>
                <w:kern w:val="0"/>
                <w:szCs w:val="18"/>
                <w14:ligatures w14:val="none"/>
              </w:rPr>
            </w:pPr>
            <w:r w:rsidRPr="000C776C">
              <w:rPr>
                <w:rFonts w:eastAsia="Times New Roman" w:cs="Segoe UI"/>
                <w:kern w:val="0"/>
                <w:szCs w:val="18"/>
                <w14:ligatures w14:val="none"/>
              </w:rPr>
              <w:t>Observability is foundational to ANM as it relies on accurate, real-time knowledge of the network state to make dynamic decisions about network operation (e.g., voltage control, curtailment, dispatch of flexibility resources).</w:t>
            </w:r>
          </w:p>
          <w:p w14:paraId="33806E4A" w14:textId="77777777" w:rsidR="000C776C" w:rsidRPr="000C776C" w:rsidRDefault="000C776C" w:rsidP="000C776C">
            <w:pPr>
              <w:spacing w:before="120" w:after="120" w:line="288" w:lineRule="auto"/>
              <w:rPr>
                <w:rFonts w:eastAsia="Times New Roman" w:cs="Segoe UI"/>
                <w:kern w:val="0"/>
                <w:szCs w:val="18"/>
                <w14:ligatures w14:val="none"/>
              </w:rPr>
            </w:pPr>
            <w:r w:rsidRPr="000C776C">
              <w:rPr>
                <w:rFonts w:eastAsia="Times New Roman" w:cs="Segoe UI"/>
                <w:kern w:val="0"/>
                <w:szCs w:val="18"/>
                <w14:ligatures w14:val="none"/>
              </w:rPr>
              <w:t>ANM is distinct from traditional, passive network management, which relies primarily on static planning and reinforcement to manage system limits.</w:t>
            </w:r>
          </w:p>
        </w:tc>
      </w:tr>
      <w:tr w:rsidR="000C776C" w:rsidRPr="000C776C" w14:paraId="79288547" w14:textId="77777777" w:rsidTr="00E24B05">
        <w:tc>
          <w:tcPr>
            <w:tcW w:w="2127" w:type="dxa"/>
            <w:shd w:val="clear" w:color="auto" w:fill="067296" w:themeFill="text2"/>
          </w:tcPr>
          <w:p w14:paraId="51900F83"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Architecture</w:t>
            </w:r>
          </w:p>
        </w:tc>
        <w:tc>
          <w:tcPr>
            <w:tcW w:w="6378" w:type="dxa"/>
          </w:tcPr>
          <w:p w14:paraId="1EAFE644"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A holistic conceptual framework that defines how diverse components within a system—spanning physical, informational, operational, and transactional domains—are interconnected through foundational structural relationships. This architecture enables the entire system to operate cohesively in pursuit of specific, often complex, objectives.</w:t>
            </w:r>
          </w:p>
          <w:p w14:paraId="5D2171BA"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At its core, a systems architecture articulates the structural linkages, interdependencies, and interactions among components, capturing the essential logic that binds them into an integrated whole. In simplified terms, while the boxes of a block diagram represent the system’s constituent elements, it is the connecting lines—the architecture—that illustrate how these elements cooperate to achieve functionality.</w:t>
            </w:r>
          </w:p>
          <w:p w14:paraId="6714E128"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A primary function of systems architecture is to expose and support collective reasoning about how all components interact to deliver intended capabilities. This includes identifying non-scalable legacy structures that may hinder future performance. While individual components are often more visible, it is the underlying architecture—those hidden yet critical relationships—that exerts disproportionate influence over system-wide capabilities, resilience, and limitations.</w:t>
            </w:r>
          </w:p>
          <w:p w14:paraId="270EADA6" w14:textId="77777777" w:rsidR="000C776C" w:rsidRPr="000C776C" w:rsidRDefault="000C776C" w:rsidP="000C776C">
            <w:pPr>
              <w:spacing w:before="120" w:after="120" w:line="288" w:lineRule="auto"/>
              <w:ind w:left="176" w:right="169"/>
              <w:rPr>
                <w:szCs w:val="18"/>
                <w:lang w:bidi="ar-SA"/>
              </w:rPr>
            </w:pPr>
            <w:r w:rsidRPr="000C776C">
              <w:rPr>
                <w:szCs w:val="18"/>
                <w:lang w:eastAsia="en-US" w:bidi="ar-SA"/>
              </w:rPr>
              <w:t>In times of rapid change or transformation, ensuring that legacy structural relationships can adapt and scale is vital. This adaptability is crucial to maintaining secure, reliable, and cost-efficient operation in the face of evolving requirements and technological disruption.</w:t>
            </w:r>
          </w:p>
        </w:tc>
      </w:tr>
      <w:tr w:rsidR="000C776C" w:rsidRPr="000C776C" w:rsidDel="004725D6" w14:paraId="2C42FCDE" w14:textId="77777777" w:rsidTr="00E24B05">
        <w:tc>
          <w:tcPr>
            <w:tcW w:w="2127" w:type="dxa"/>
            <w:shd w:val="clear" w:color="auto" w:fill="067296" w:themeFill="text2"/>
          </w:tcPr>
          <w:p w14:paraId="228DFC0A"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Architectural Issues</w:t>
            </w:r>
          </w:p>
        </w:tc>
        <w:tc>
          <w:tcPr>
            <w:tcW w:w="6378" w:type="dxa"/>
          </w:tcPr>
          <w:p w14:paraId="3C0AE03A"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 xml:space="preserve">Following are eight important structural issues that the Power Systems Architecture disciplines address that will otherwise negatively impact the operability and resilience of decarbonising power systems:   </w:t>
            </w:r>
          </w:p>
          <w:p w14:paraId="0848EDAF"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Tier/Layer Bypassing:  The creation of information flows or coordination signals that ‘leapfrog’ a vertical tier/layer of the power system’s operational hierarchy. </w:t>
            </w:r>
          </w:p>
          <w:p w14:paraId="70D31987"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Coordination Gapping: An element of the power system does not receive an explicit flow of coordination signals from any higher tier/layer of the system and therefore operates in isolation.</w:t>
            </w:r>
          </w:p>
          <w:p w14:paraId="6D8750C4"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Hidden Coupling: Two or more control entities with partial views of system state issue simultaneous but conflicting coordination signals to a CER/DER or component of the power system. </w:t>
            </w:r>
          </w:p>
          <w:p w14:paraId="7B3271CD"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lastRenderedPageBreak/>
              <w:t xml:space="preserve">Cluster Coupling:  Where CER/DER are addressed in groups that do not allow for separation of edge device commands by specific criterion: location, device type, device service provision, etc. </w:t>
            </w:r>
          </w:p>
          <w:p w14:paraId="5944B663"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Latency Cascading: Creation of compounding latencies in information flows due to the serial routing of data through various computational systems, processes and organisations. </w:t>
            </w:r>
          </w:p>
          <w:p w14:paraId="3C15E9FA"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Computational Time Walls: Where excessive data volumes, latencies and processing ‘bottlenecks’ occur, optimisation engines will hit a computational ‘time wall’ at some point where no amount of computing resource will be adequate to solve the optimisation problems in a reasonable time. </w:t>
            </w:r>
          </w:p>
          <w:p w14:paraId="2FBDF8E2"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Cybersecurity Structural Vulnerabilities: Ill-informed and often unnecessary structural choices result in communication and routings that create non-cyber vulnerabilities to system penetration. </w:t>
            </w:r>
          </w:p>
          <w:p w14:paraId="2601C082" w14:textId="77777777" w:rsidR="000C776C" w:rsidRPr="000C776C" w:rsidDel="004725D6"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Back-end Integration Constraints:  Multiple vertical silo structures found in many supply-chain organisations drive significant back-end integration costs, anti-resilience and are anti-extensible due to the coupling of applications in which where failure in one can ripple through to degrade others. </w:t>
            </w:r>
          </w:p>
        </w:tc>
      </w:tr>
      <w:tr w:rsidR="000C776C" w:rsidRPr="000C776C" w14:paraId="02B46B6C" w14:textId="77777777" w:rsidTr="00E24B05">
        <w:tc>
          <w:tcPr>
            <w:tcW w:w="2127" w:type="dxa"/>
            <w:shd w:val="clear" w:color="auto" w:fill="067296" w:themeFill="text2"/>
          </w:tcPr>
          <w:p w14:paraId="20EB889F" w14:textId="77777777" w:rsidR="000C776C" w:rsidRPr="000C776C" w:rsidRDefault="000C776C" w:rsidP="000C776C">
            <w:pPr>
              <w:spacing w:before="120" w:after="120" w:line="288" w:lineRule="auto"/>
              <w:ind w:left="176" w:right="176"/>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lastRenderedPageBreak/>
              <w:t>Bidirectional</w:t>
            </w:r>
          </w:p>
          <w:p w14:paraId="06E5098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BABBB71"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In the context of a decarbonising power system served by high levels of both Variable Renewable Energy (VRE) and Consumer Energy Resources (CER/DER), conventional one-way system operations progressively transform to become increasingly two-directional. </w:t>
            </w:r>
          </w:p>
          <w:p w14:paraId="26429C65"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As a significant departure from traditional system operations, this drives a profound structural shift toward two-way flows of power, information and market services as follows:   </w:t>
            </w:r>
          </w:p>
          <w:p w14:paraId="647686F6"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Bidirectional power flows: Where the output of CER/DER periodically exceeds local demand, with surplus capacity being fed upstream to the wider system. </w:t>
            </w:r>
          </w:p>
          <w:p w14:paraId="32247504"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 xml:space="preserve">Bidirectional information flows: Two-way data flows between upstream and downstream actors and resources become essential, spanning System Operator, TNSPs, DSOs, VPPs, CER/DER, etc. </w:t>
            </w:r>
          </w:p>
          <w:p w14:paraId="3BA9F8A3" w14:textId="77777777" w:rsidR="000C776C" w:rsidRPr="000C776C" w:rsidRDefault="000C776C" w:rsidP="00470C91">
            <w:pPr>
              <w:numPr>
                <w:ilvl w:val="0"/>
                <w:numId w:val="35"/>
              </w:numPr>
              <w:spacing w:before="60" w:after="60" w:line="288" w:lineRule="auto"/>
              <w:ind w:left="714" w:hanging="357"/>
              <w:rPr>
                <w:rFonts w:eastAsia="Times New Roman" w:cs="Segoe UI"/>
                <w:kern w:val="0"/>
                <w:szCs w:val="18"/>
                <w14:ligatures w14:val="none"/>
              </w:rPr>
            </w:pPr>
            <w:r w:rsidRPr="000C776C">
              <w:rPr>
                <w:rFonts w:eastAsia="Times New Roman" w:cs="Segoe UI"/>
                <w:kern w:val="0"/>
                <w:szCs w:val="18"/>
                <w14:ligatures w14:val="none"/>
              </w:rPr>
              <w:t>Bidirectional market participation: Millions of customers become both producers and consumers and may provide services to energy markets and the wider system.</w:t>
            </w:r>
          </w:p>
        </w:tc>
      </w:tr>
      <w:tr w:rsidR="000C776C" w:rsidRPr="000C776C" w14:paraId="6EAFCF55" w14:textId="77777777" w:rsidTr="00E24B05">
        <w:tc>
          <w:tcPr>
            <w:tcW w:w="2127" w:type="dxa"/>
            <w:shd w:val="clear" w:color="auto" w:fill="067296" w:themeFill="text2"/>
          </w:tcPr>
          <w:p w14:paraId="5E89B86B"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Capability</w:t>
            </w:r>
          </w:p>
        </w:tc>
        <w:tc>
          <w:tcPr>
            <w:tcW w:w="6378" w:type="dxa"/>
          </w:tcPr>
          <w:p w14:paraId="6474C4D3" w14:textId="77777777" w:rsidR="000C776C" w:rsidRPr="000C776C" w:rsidRDefault="000C776C" w:rsidP="000C776C">
            <w:pPr>
              <w:spacing w:before="120" w:after="120" w:line="288" w:lineRule="auto"/>
              <w:ind w:left="176" w:right="170"/>
              <w:rPr>
                <w:lang w:eastAsia="en-US" w:bidi="ar-SA"/>
              </w:rPr>
            </w:pPr>
            <w:r w:rsidRPr="000C776C">
              <w:rPr>
                <w:szCs w:val="18"/>
                <w:lang w:eastAsia="en-US" w:bidi="ar-SA"/>
              </w:rPr>
              <w:t>The ability to perform certain actions or achieve specific outcomes.</w:t>
            </w:r>
          </w:p>
        </w:tc>
      </w:tr>
      <w:tr w:rsidR="000C776C" w:rsidRPr="000C776C" w14:paraId="195B055A" w14:textId="77777777" w:rsidTr="00E24B05">
        <w:tc>
          <w:tcPr>
            <w:tcW w:w="2127" w:type="dxa"/>
            <w:shd w:val="clear" w:color="auto" w:fill="067296" w:themeFill="text2"/>
          </w:tcPr>
          <w:p w14:paraId="69B1D34E" w14:textId="77777777" w:rsidR="000C776C" w:rsidRPr="000C776C" w:rsidRDefault="000C776C" w:rsidP="000C776C">
            <w:pPr>
              <w:spacing w:before="120" w:after="120" w:line="288" w:lineRule="auto"/>
              <w:ind w:left="176" w:right="170"/>
              <w:jc w:val="center"/>
              <w:rPr>
                <w:rFonts w:ascii="PP Mori SemiBold" w:hAnsi="PP Mori SemiBold"/>
                <w:bCs/>
                <w:color w:val="FAFAFA" w:themeColor="background1"/>
                <w:szCs w:val="18"/>
              </w:rPr>
            </w:pPr>
            <w:r w:rsidRPr="000C776C">
              <w:rPr>
                <w:rFonts w:ascii="PP Mori SemiBold" w:hAnsi="PP Mori SemiBold"/>
                <w:bCs/>
                <w:color w:val="FAFAFA" w:themeColor="background1"/>
                <w:szCs w:val="18"/>
              </w:rPr>
              <w:t>Complexity</w:t>
            </w:r>
          </w:p>
          <w:p w14:paraId="66045909" w14:textId="77777777" w:rsidR="000C776C" w:rsidRPr="000C776C" w:rsidRDefault="000C776C" w:rsidP="000C776C">
            <w:pPr>
              <w:spacing w:before="120" w:after="120" w:line="288" w:lineRule="auto"/>
              <w:ind w:left="176" w:right="170"/>
              <w:jc w:val="center"/>
              <w:rPr>
                <w:rFonts w:ascii="PP Mori SemiBold" w:hAnsi="PP Mori SemiBold"/>
                <w:bCs/>
                <w:color w:val="FAFAFA" w:themeColor="background1"/>
                <w:szCs w:val="18"/>
              </w:rPr>
            </w:pPr>
          </w:p>
        </w:tc>
        <w:tc>
          <w:tcPr>
            <w:tcW w:w="6378" w:type="dxa"/>
          </w:tcPr>
          <w:p w14:paraId="4FD89838" w14:textId="77777777" w:rsidR="000C776C" w:rsidRPr="000C776C" w:rsidRDefault="000C776C" w:rsidP="000C776C">
            <w:pPr>
              <w:spacing w:before="120" w:after="120"/>
              <w:ind w:left="176"/>
              <w:rPr>
                <w:b/>
                <w:lang w:eastAsia="en-US" w:bidi="ar-SA"/>
              </w:rPr>
            </w:pPr>
            <w:r w:rsidRPr="000C776C">
              <w:rPr>
                <w:lang w:eastAsia="en-US" w:bidi="ar-SA"/>
              </w:rPr>
              <w:t xml:space="preserve">A system is complex if it has many interrelated, interconnected, or interdependent entities and relationships. A high-level indicator of the complexity of any system is the amount of information required to describe its full range of functions and behaviours (i.e. words, formulae, lines of code, etc.). </w:t>
            </w:r>
          </w:p>
          <w:p w14:paraId="4354700A" w14:textId="77777777" w:rsidR="000C776C" w:rsidRPr="000C776C" w:rsidRDefault="000C776C" w:rsidP="000C776C">
            <w:pPr>
              <w:spacing w:before="120" w:after="120"/>
              <w:ind w:left="176"/>
              <w:rPr>
                <w:b/>
                <w:lang w:eastAsia="en-US" w:bidi="ar-SA"/>
              </w:rPr>
            </w:pPr>
            <w:r w:rsidRPr="000C776C">
              <w:rPr>
                <w:lang w:eastAsia="en-US" w:bidi="ar-SA"/>
              </w:rPr>
              <w:t xml:space="preserve">It is important to note that additional complexity is driven into a legacy system by ‘asking more’ of it: more functions, more interdependencies, more robustness, more flexibility, etc. This expansion of complexity is always exacerbated by the addition of new components and may ultimately require targeted modifications to the structure through the application of Systems Architecture disciplines. </w:t>
            </w:r>
          </w:p>
        </w:tc>
      </w:tr>
      <w:tr w:rsidR="000C776C" w:rsidRPr="000C776C" w14:paraId="4CDE362B" w14:textId="77777777" w:rsidTr="00E24B05">
        <w:tc>
          <w:tcPr>
            <w:tcW w:w="2127" w:type="dxa"/>
            <w:shd w:val="clear" w:color="auto" w:fill="067296" w:themeFill="text2"/>
          </w:tcPr>
          <w:p w14:paraId="53E91FBE"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t>Component</w:t>
            </w:r>
          </w:p>
          <w:p w14:paraId="317391E4"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p>
        </w:tc>
        <w:tc>
          <w:tcPr>
            <w:tcW w:w="6378" w:type="dxa"/>
          </w:tcPr>
          <w:p w14:paraId="39B0B7D0" w14:textId="77777777" w:rsidR="000C776C" w:rsidRPr="000C776C" w:rsidRDefault="000C776C" w:rsidP="000C776C">
            <w:pPr>
              <w:spacing w:before="120" w:after="120" w:line="288" w:lineRule="auto"/>
              <w:ind w:left="176" w:right="170"/>
              <w:rPr>
                <w:szCs w:val="18"/>
                <w:lang w:eastAsia="en-US" w:bidi="ar-SA"/>
              </w:rPr>
            </w:pPr>
            <w:r w:rsidRPr="000C776C">
              <w:rPr>
                <w:szCs w:val="18"/>
                <w:lang w:eastAsia="en-US" w:bidi="ar-SA"/>
              </w:rPr>
              <w:t>A generic term for the uniquely identifiable elements, building blocks, organisations, devices and applications which are related together by a structure to enable the purposes of the system to be achieved.</w:t>
            </w:r>
            <w:r w:rsidRPr="000C776C">
              <w:rPr>
                <w:rFonts w:ascii="Cambria Math" w:hAnsi="Cambria Math" w:cs="Cambria Math"/>
                <w:szCs w:val="18"/>
                <w:lang w:eastAsia="en-US" w:bidi="ar-SA"/>
              </w:rPr>
              <w:t> </w:t>
            </w:r>
            <w:r w:rsidRPr="000C776C">
              <w:rPr>
                <w:rFonts w:ascii="Calibri" w:hAnsi="Calibri" w:cs="Calibri"/>
                <w:szCs w:val="18"/>
                <w:lang w:eastAsia="en-US" w:bidi="ar-SA"/>
              </w:rPr>
              <w:t> </w:t>
            </w:r>
          </w:p>
          <w:p w14:paraId="4B887430" w14:textId="77777777" w:rsidR="000C776C" w:rsidRPr="000C776C" w:rsidRDefault="000C776C" w:rsidP="000C776C">
            <w:pPr>
              <w:spacing w:before="120" w:after="120" w:line="288" w:lineRule="auto"/>
              <w:ind w:left="176" w:right="170"/>
              <w:rPr>
                <w:szCs w:val="18"/>
                <w:lang w:eastAsia="en-US" w:bidi="ar-SA"/>
              </w:rPr>
            </w:pPr>
            <w:r w:rsidRPr="000C776C">
              <w:rPr>
                <w:szCs w:val="18"/>
                <w:lang w:eastAsia="en-US" w:bidi="ar-SA"/>
              </w:rPr>
              <w:t>The term also includes mechanisms intrinsic to the functioning of the system that are both tangible and intangible, such as policy instruments, regulatory mechanisms, rate or tariff structures, etc.</w:t>
            </w:r>
            <w:r w:rsidRPr="000C776C">
              <w:rPr>
                <w:rFonts w:ascii="Calibri" w:hAnsi="Calibri" w:cs="Calibri"/>
                <w:szCs w:val="18"/>
                <w:lang w:eastAsia="en-US" w:bidi="ar-SA"/>
              </w:rPr>
              <w:t> </w:t>
            </w:r>
          </w:p>
        </w:tc>
      </w:tr>
      <w:tr w:rsidR="000C776C" w:rsidRPr="000C776C" w14:paraId="34411086" w14:textId="77777777" w:rsidTr="00E24B05">
        <w:tc>
          <w:tcPr>
            <w:tcW w:w="2127" w:type="dxa"/>
            <w:shd w:val="clear" w:color="auto" w:fill="067296" w:themeFill="text2"/>
          </w:tcPr>
          <w:p w14:paraId="03D0FC9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Consumer Energy Resources (CER/DER)</w:t>
            </w:r>
          </w:p>
          <w:p w14:paraId="0376249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666572A4" w14:textId="77777777" w:rsidR="000C776C" w:rsidRPr="000C776C" w:rsidRDefault="000C776C" w:rsidP="000C776C">
            <w:pPr>
              <w:spacing w:before="120" w:after="120" w:line="288" w:lineRule="auto"/>
              <w:ind w:left="175" w:right="169"/>
              <w:rPr>
                <w:szCs w:val="18"/>
                <w:lang w:eastAsia="en-US" w:bidi="ar-SA"/>
              </w:rPr>
            </w:pPr>
            <w:r w:rsidRPr="000C776C">
              <w:rPr>
                <w:lang w:eastAsia="en-US" w:bidi="ar-SA"/>
              </w:rPr>
              <w:t>A diverse range of small to medium scale energy resources that are located behind-the-meter at residential, commercial and industrial premises and are owned and operated by the customer. CER/DER are a multi-application resource that include the following types of technologies:</w:t>
            </w:r>
          </w:p>
          <w:p w14:paraId="5CEBDE9C" w14:textId="77777777" w:rsidR="000C776C" w:rsidRPr="000C776C" w:rsidRDefault="000C776C" w:rsidP="00470C91">
            <w:pPr>
              <w:numPr>
                <w:ilvl w:val="0"/>
                <w:numId w:val="33"/>
              </w:numPr>
              <w:spacing w:before="120" w:after="120" w:line="288" w:lineRule="auto"/>
              <w:ind w:left="743" w:right="170" w:hanging="284"/>
              <w:rPr>
                <w:szCs w:val="18"/>
                <w:lang w:eastAsia="en-US" w:bidi="ar-SA"/>
              </w:rPr>
            </w:pPr>
            <w:r w:rsidRPr="000C776C">
              <w:rPr>
                <w:lang w:eastAsia="en-US" w:bidi="ar-SA"/>
              </w:rPr>
              <w:t>Distributed Photovoltaics (DPV) and embedded generators</w:t>
            </w:r>
          </w:p>
          <w:p w14:paraId="5FC7E920" w14:textId="77777777" w:rsidR="000C776C" w:rsidRPr="000C776C" w:rsidRDefault="000C776C" w:rsidP="00470C91">
            <w:pPr>
              <w:numPr>
                <w:ilvl w:val="0"/>
                <w:numId w:val="33"/>
              </w:numPr>
              <w:spacing w:before="120" w:after="120" w:line="288" w:lineRule="auto"/>
              <w:ind w:left="743" w:right="170" w:hanging="284"/>
              <w:rPr>
                <w:szCs w:val="18"/>
                <w:lang w:eastAsia="en-US" w:bidi="ar-SA"/>
              </w:rPr>
            </w:pPr>
            <w:r w:rsidRPr="000C776C">
              <w:rPr>
                <w:lang w:eastAsia="en-US" w:bidi="ar-SA"/>
              </w:rPr>
              <w:t>Battery Energy Storage Systems (BESS), including small and medium-scale batteries</w:t>
            </w:r>
          </w:p>
          <w:p w14:paraId="13476464" w14:textId="77777777" w:rsidR="000C776C" w:rsidRPr="000C776C" w:rsidRDefault="000C776C" w:rsidP="00470C91">
            <w:pPr>
              <w:numPr>
                <w:ilvl w:val="0"/>
                <w:numId w:val="33"/>
              </w:numPr>
              <w:spacing w:before="120" w:after="120" w:line="288" w:lineRule="auto"/>
              <w:ind w:left="743" w:right="170" w:hanging="284"/>
              <w:rPr>
                <w:szCs w:val="18"/>
                <w:lang w:eastAsia="en-US" w:bidi="ar-SA"/>
              </w:rPr>
            </w:pPr>
            <w:r w:rsidRPr="000C776C">
              <w:rPr>
                <w:lang w:eastAsia="en-US" w:bidi="ar-SA"/>
              </w:rPr>
              <w:t>Electric Vehicles (EV)</w:t>
            </w:r>
          </w:p>
          <w:p w14:paraId="34E31C28" w14:textId="77777777" w:rsidR="000C776C" w:rsidRPr="000C776C" w:rsidRDefault="000C776C" w:rsidP="00470C91">
            <w:pPr>
              <w:numPr>
                <w:ilvl w:val="0"/>
                <w:numId w:val="33"/>
              </w:numPr>
              <w:spacing w:before="120" w:after="120" w:line="288" w:lineRule="auto"/>
              <w:ind w:left="743" w:right="170" w:hanging="284"/>
              <w:rPr>
                <w:szCs w:val="18"/>
                <w:lang w:eastAsia="en-US" w:bidi="ar-SA"/>
              </w:rPr>
            </w:pPr>
            <w:r w:rsidRPr="000C776C">
              <w:rPr>
                <w:lang w:eastAsia="en-US" w:bidi="ar-SA"/>
              </w:rPr>
              <w:t>Smart Inverters, and</w:t>
            </w:r>
          </w:p>
          <w:p w14:paraId="07BBFD7B" w14:textId="77777777" w:rsidR="000C776C" w:rsidRPr="000C776C" w:rsidRDefault="000C776C" w:rsidP="00470C91">
            <w:pPr>
              <w:numPr>
                <w:ilvl w:val="0"/>
                <w:numId w:val="33"/>
              </w:numPr>
              <w:spacing w:before="120" w:after="120" w:line="288" w:lineRule="auto"/>
              <w:ind w:left="743" w:right="170" w:hanging="284"/>
              <w:rPr>
                <w:szCs w:val="18"/>
                <w:lang w:eastAsia="en-US" w:bidi="ar-SA"/>
              </w:rPr>
            </w:pPr>
            <w:r w:rsidRPr="000C776C">
              <w:rPr>
                <w:lang w:eastAsia="en-US" w:bidi="ar-SA"/>
              </w:rPr>
              <w:t xml:space="preserve">Flexible Resources (Distributed). </w:t>
            </w:r>
          </w:p>
          <w:p w14:paraId="51F80E15" w14:textId="77777777" w:rsidR="000C776C" w:rsidRPr="000C776C" w:rsidRDefault="000C776C" w:rsidP="000C776C">
            <w:pPr>
              <w:spacing w:before="120" w:after="120" w:line="288" w:lineRule="auto"/>
              <w:ind w:left="176" w:right="176"/>
              <w:rPr>
                <w:szCs w:val="18"/>
                <w:lang w:bidi="ar-SA"/>
              </w:rPr>
            </w:pPr>
            <w:r w:rsidRPr="000C776C">
              <w:rPr>
                <w:lang w:eastAsia="en-US" w:bidi="ar-SA"/>
              </w:rPr>
              <w:t>The term Distributed Energy Resources (DER) is appropriately used of these technologies where they connected directly to the distribution system (i.e. front-of-meter).</w:t>
            </w:r>
          </w:p>
        </w:tc>
      </w:tr>
      <w:tr w:rsidR="000C776C" w:rsidRPr="000C776C" w14:paraId="2C73B990" w14:textId="77777777" w:rsidTr="00E24B05">
        <w:tc>
          <w:tcPr>
            <w:tcW w:w="2127" w:type="dxa"/>
            <w:shd w:val="clear" w:color="auto" w:fill="067296" w:themeFill="text2"/>
          </w:tcPr>
          <w:p w14:paraId="3F23B6C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Consumption</w:t>
            </w:r>
          </w:p>
        </w:tc>
        <w:tc>
          <w:tcPr>
            <w:tcW w:w="6378" w:type="dxa"/>
          </w:tcPr>
          <w:p w14:paraId="5828B34F" w14:textId="77777777" w:rsidR="000C776C" w:rsidRPr="000C776C" w:rsidRDefault="000C776C" w:rsidP="000C776C">
            <w:pPr>
              <w:spacing w:before="120" w:after="120" w:line="288" w:lineRule="auto"/>
              <w:ind w:left="176" w:right="176"/>
              <w:rPr>
                <w:szCs w:val="18"/>
                <w:lang w:bidi="ar-SA"/>
              </w:rPr>
            </w:pPr>
            <w:r w:rsidRPr="000C776C">
              <w:rPr>
                <w:szCs w:val="18"/>
                <w:lang w:bidi="ar-SA"/>
              </w:rPr>
              <w:t>The total electricity used over a duration of time, expressed as kilowatt hours (kWh), megawatt hours (MWh), gigawatt hours (GWh) and terawatt hours (TWh).</w:t>
            </w:r>
          </w:p>
        </w:tc>
      </w:tr>
      <w:tr w:rsidR="000C776C" w:rsidRPr="000C776C" w14:paraId="339E16C5" w14:textId="77777777" w:rsidTr="00E24B05">
        <w:tc>
          <w:tcPr>
            <w:tcW w:w="2127" w:type="dxa"/>
            <w:shd w:val="clear" w:color="auto" w:fill="067296" w:themeFill="text2"/>
          </w:tcPr>
          <w:p w14:paraId="6EA2974F"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Co-optimisation</w:t>
            </w:r>
          </w:p>
        </w:tc>
        <w:tc>
          <w:tcPr>
            <w:tcW w:w="6378" w:type="dxa"/>
          </w:tcPr>
          <w:p w14:paraId="6E93B545" w14:textId="77777777" w:rsidR="000C776C" w:rsidRPr="000C776C" w:rsidRDefault="000C776C" w:rsidP="000C776C">
            <w:pPr>
              <w:spacing w:before="120" w:after="120"/>
              <w:ind w:left="175"/>
              <w:rPr>
                <w:szCs w:val="18"/>
                <w:lang w:bidi="ar-SA"/>
              </w:rPr>
            </w:pPr>
            <w:r w:rsidRPr="000C776C">
              <w:rPr>
                <w:szCs w:val="18"/>
                <w:lang w:bidi="ar-SA"/>
              </w:rPr>
              <w:t xml:space="preserve">A structured approach to ensuring that </w:t>
            </w:r>
            <w:r w:rsidRPr="000C776C">
              <w:rPr>
                <w:lang w:eastAsia="en-US" w:bidi="ar-SA"/>
              </w:rPr>
              <w:t>energy resource</w:t>
            </w:r>
            <w:r w:rsidRPr="000C776C">
              <w:rPr>
                <w:szCs w:val="18"/>
                <w:lang w:bidi="ar-SA"/>
              </w:rPr>
              <w:t xml:space="preserve"> services dispatched and/or financially incentivised in one vertical </w:t>
            </w:r>
            <w:r w:rsidRPr="000C776C">
              <w:rPr>
                <w:lang w:eastAsia="en-US" w:bidi="ar-SA"/>
              </w:rPr>
              <w:t>tier/layer</w:t>
            </w:r>
            <w:r w:rsidRPr="000C776C">
              <w:rPr>
                <w:szCs w:val="18"/>
                <w:lang w:bidi="ar-SA"/>
              </w:rPr>
              <w:t xml:space="preserve"> of the </w:t>
            </w:r>
            <w:r w:rsidRPr="000C776C">
              <w:rPr>
                <w:lang w:eastAsia="en-US" w:bidi="ar-SA"/>
              </w:rPr>
              <w:t>power system</w:t>
            </w:r>
            <w:r w:rsidRPr="000C776C">
              <w:rPr>
                <w:szCs w:val="18"/>
                <w:lang w:bidi="ar-SA"/>
              </w:rPr>
              <w:t xml:space="preserve"> (e.g. </w:t>
            </w:r>
            <w:r w:rsidRPr="000C776C">
              <w:rPr>
                <w:lang w:eastAsia="en-US" w:bidi="ar-SA"/>
              </w:rPr>
              <w:t>bulk power, transmission</w:t>
            </w:r>
            <w:r w:rsidRPr="000C776C">
              <w:rPr>
                <w:szCs w:val="18"/>
                <w:lang w:bidi="ar-SA"/>
              </w:rPr>
              <w:t xml:space="preserve"> or </w:t>
            </w:r>
            <w:r w:rsidRPr="000C776C">
              <w:rPr>
                <w:lang w:eastAsia="en-US" w:bidi="ar-SA"/>
              </w:rPr>
              <w:t>distribution system</w:t>
            </w:r>
            <w:r w:rsidRPr="000C776C">
              <w:rPr>
                <w:szCs w:val="18"/>
                <w:lang w:bidi="ar-SA"/>
              </w:rPr>
              <w:t xml:space="preserve">) are not driving unintended negative consequences in other </w:t>
            </w:r>
            <w:r w:rsidRPr="000C776C">
              <w:rPr>
                <w:lang w:eastAsia="en-US" w:bidi="ar-SA"/>
              </w:rPr>
              <w:t>tiers/layers</w:t>
            </w:r>
            <w:r w:rsidRPr="000C776C">
              <w:rPr>
                <w:szCs w:val="18"/>
                <w:lang w:bidi="ar-SA"/>
              </w:rPr>
              <w:t xml:space="preserve"> of the </w:t>
            </w:r>
            <w:r w:rsidRPr="000C776C">
              <w:rPr>
                <w:lang w:eastAsia="en-US" w:bidi="ar-SA"/>
              </w:rPr>
              <w:t>system</w:t>
            </w:r>
            <w:r w:rsidRPr="000C776C">
              <w:rPr>
                <w:szCs w:val="18"/>
                <w:lang w:bidi="ar-SA"/>
              </w:rPr>
              <w:t>.</w:t>
            </w:r>
          </w:p>
        </w:tc>
      </w:tr>
      <w:tr w:rsidR="000C776C" w:rsidRPr="000C776C" w14:paraId="02055EEF" w14:textId="77777777" w:rsidTr="00E24B05">
        <w:tc>
          <w:tcPr>
            <w:tcW w:w="2127" w:type="dxa"/>
            <w:shd w:val="clear" w:color="auto" w:fill="067296" w:themeFill="text2"/>
          </w:tcPr>
          <w:p w14:paraId="52DC6366"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Customers</w:t>
            </w:r>
          </w:p>
        </w:tc>
        <w:tc>
          <w:tcPr>
            <w:tcW w:w="6378" w:type="dxa"/>
          </w:tcPr>
          <w:p w14:paraId="6BDE261B" w14:textId="77777777" w:rsidR="000C776C" w:rsidRPr="000C776C" w:rsidRDefault="000C776C" w:rsidP="000C776C">
            <w:pPr>
              <w:spacing w:before="120" w:after="120" w:line="288" w:lineRule="auto"/>
              <w:ind w:left="176" w:right="176"/>
              <w:rPr>
                <w:szCs w:val="18"/>
                <w:lang w:bidi="ar-SA"/>
              </w:rPr>
            </w:pPr>
            <w:r w:rsidRPr="000C776C">
              <w:rPr>
                <w:szCs w:val="18"/>
                <w:lang w:bidi="ar-SA"/>
              </w:rPr>
              <w:t>The human individuals, families, organisations, institutions and whole societies served by the power system and that are the fundamental reason it exists.</w:t>
            </w:r>
          </w:p>
          <w:p w14:paraId="4468C2C8" w14:textId="77777777" w:rsidR="000C776C" w:rsidRPr="000C776C" w:rsidRDefault="000C776C" w:rsidP="000C776C">
            <w:pPr>
              <w:spacing w:before="120" w:after="120" w:line="288" w:lineRule="auto"/>
              <w:ind w:left="176" w:right="176"/>
              <w:rPr>
                <w:szCs w:val="18"/>
                <w:lang w:bidi="ar-SA"/>
              </w:rPr>
            </w:pPr>
            <w:r w:rsidRPr="000C776C">
              <w:rPr>
                <w:szCs w:val="18"/>
                <w:lang w:bidi="ar-SA"/>
              </w:rPr>
              <w:t>Customers may choose only to receive, consume and pay for services from the power system.</w:t>
            </w:r>
            <w:r w:rsidRPr="000C776C">
              <w:rPr>
                <w:rFonts w:ascii="Calibri" w:hAnsi="Calibri" w:cs="Calibri"/>
                <w:szCs w:val="18"/>
                <w:lang w:bidi="ar-SA"/>
              </w:rPr>
              <w:t> </w:t>
            </w:r>
            <w:r w:rsidRPr="000C776C">
              <w:rPr>
                <w:szCs w:val="18"/>
                <w:lang w:bidi="ar-SA"/>
              </w:rPr>
              <w:t xml:space="preserve"> They may also elect to provide services to the power system, in the form of valuable</w:t>
            </w:r>
            <w:r w:rsidRPr="000C776C">
              <w:rPr>
                <w:rFonts w:ascii="Calibri" w:hAnsi="Calibri" w:cs="Calibri"/>
                <w:szCs w:val="18"/>
                <w:lang w:bidi="ar-SA"/>
              </w:rPr>
              <w:t> </w:t>
            </w:r>
            <w:r w:rsidRPr="000C776C">
              <w:rPr>
                <w:szCs w:val="18"/>
                <w:lang w:bidi="ar-SA"/>
              </w:rPr>
              <w:t xml:space="preserve">Electric Products consistent with technical requirements, in exchange for some form of value or additional benefit. </w:t>
            </w:r>
            <w:r w:rsidRPr="000C776C">
              <w:rPr>
                <w:rFonts w:ascii="Calibri" w:hAnsi="Calibri" w:cs="Calibri"/>
                <w:szCs w:val="18"/>
                <w:lang w:bidi="ar-SA"/>
              </w:rPr>
              <w:t> </w:t>
            </w:r>
          </w:p>
        </w:tc>
      </w:tr>
      <w:tr w:rsidR="000C776C" w:rsidRPr="000C776C" w14:paraId="01D04875" w14:textId="77777777" w:rsidTr="00E24B05">
        <w:tc>
          <w:tcPr>
            <w:tcW w:w="2127" w:type="dxa"/>
            <w:shd w:val="clear" w:color="auto" w:fill="067296" w:themeFill="text2"/>
          </w:tcPr>
          <w:p w14:paraId="231795FF"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Cyber-physical</w:t>
            </w:r>
          </w:p>
          <w:p w14:paraId="5AE220B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300D1AF7" w14:textId="77777777" w:rsidR="000C776C" w:rsidRPr="000C776C" w:rsidRDefault="000C776C" w:rsidP="000C776C">
            <w:pPr>
              <w:spacing w:before="120" w:after="120" w:line="288" w:lineRule="auto"/>
              <w:ind w:left="176" w:right="176"/>
              <w:rPr>
                <w:szCs w:val="18"/>
                <w:lang w:bidi="ar-SA"/>
              </w:rPr>
            </w:pPr>
            <w:r w:rsidRPr="000C776C">
              <w:rPr>
                <w:szCs w:val="18"/>
                <w:lang w:bidi="ar-SA"/>
              </w:rPr>
              <w:t>Tightly integrated computational and physical/engineered elements that create a close coupling between the virtual and physical. In cyber-physical systems, computer-based algorithms and capabilities are embedded in, and interact with physical/engineered processes, often in real or near real-time.</w:t>
            </w:r>
          </w:p>
        </w:tc>
      </w:tr>
      <w:tr w:rsidR="000C776C" w:rsidRPr="000C776C" w14:paraId="516D2D31" w14:textId="77777777" w:rsidTr="00E24B05">
        <w:tc>
          <w:tcPr>
            <w:tcW w:w="2127" w:type="dxa"/>
            <w:shd w:val="clear" w:color="auto" w:fill="067296" w:themeFill="text2"/>
          </w:tcPr>
          <w:p w14:paraId="2E78520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Decentralisation Ratio</w:t>
            </w:r>
          </w:p>
        </w:tc>
        <w:tc>
          <w:tcPr>
            <w:tcW w:w="6378" w:type="dxa"/>
          </w:tcPr>
          <w:p w14:paraId="58EE84E5" w14:textId="77777777" w:rsidR="000C776C" w:rsidRPr="000C776C" w:rsidRDefault="000C776C" w:rsidP="000C776C">
            <w:pPr>
              <w:spacing w:before="120" w:after="120" w:line="288" w:lineRule="auto"/>
              <w:ind w:left="176" w:right="176"/>
              <w:rPr>
                <w:szCs w:val="18"/>
                <w:lang w:bidi="ar-SA"/>
              </w:rPr>
            </w:pPr>
            <w:r w:rsidRPr="000C776C">
              <w:rPr>
                <w:szCs w:val="18"/>
                <w:lang w:bidi="ar-SA"/>
              </w:rPr>
              <w:t xml:space="preserve">The ratio of CER/DER capacity to total installed capacity. </w:t>
            </w:r>
          </w:p>
        </w:tc>
      </w:tr>
      <w:tr w:rsidR="000C776C" w:rsidRPr="000C776C" w14:paraId="751AF4BA" w14:textId="77777777" w:rsidTr="00E24B05">
        <w:tc>
          <w:tcPr>
            <w:tcW w:w="2127" w:type="dxa"/>
            <w:shd w:val="clear" w:color="auto" w:fill="067296" w:themeFill="text2"/>
          </w:tcPr>
          <w:p w14:paraId="646B8F2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eastAsia="Segoe UI" w:hAnsi="PP Mori SemiBold"/>
                <w:color w:val="FAFAFA" w:themeColor="background1"/>
                <w:szCs w:val="18"/>
              </w:rPr>
              <w:t>Decentralised System</w:t>
            </w:r>
          </w:p>
          <w:p w14:paraId="0D5EFF7E"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07C4D15" w14:textId="77777777" w:rsidR="000C776C" w:rsidRPr="000C776C" w:rsidRDefault="000C776C" w:rsidP="000C776C">
            <w:pPr>
              <w:spacing w:before="120" w:after="120" w:line="288" w:lineRule="auto"/>
              <w:ind w:left="176" w:right="176"/>
              <w:rPr>
                <w:lang w:bidi="ar-SA"/>
              </w:rPr>
            </w:pPr>
            <w:r w:rsidRPr="000C776C">
              <w:rPr>
                <w:szCs w:val="18"/>
                <w:lang w:eastAsia="en-US" w:bidi="ar-SA"/>
              </w:rPr>
              <w:t>Multiple separate Components and Energy Resources operating independently and in a manner that is solely focused on local or ‘selfish’ optimisation, with either very limited or no Orchestration or Operational Coordination.</w:t>
            </w:r>
          </w:p>
          <w:p w14:paraId="0BA5DCF9"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It is important to understand the difference between Decentralised Systems and Distributed Systems.</w:t>
            </w:r>
          </w:p>
        </w:tc>
      </w:tr>
      <w:tr w:rsidR="000C776C" w:rsidRPr="000C776C" w14:paraId="743D6FFC" w14:textId="77777777" w:rsidTr="00E24B05">
        <w:tc>
          <w:tcPr>
            <w:tcW w:w="2127" w:type="dxa"/>
            <w:shd w:val="clear" w:color="auto" w:fill="067296" w:themeFill="text2"/>
          </w:tcPr>
          <w:p w14:paraId="262B6D39"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Demand</w:t>
            </w:r>
          </w:p>
        </w:tc>
        <w:tc>
          <w:tcPr>
            <w:tcW w:w="6378" w:type="dxa"/>
          </w:tcPr>
          <w:p w14:paraId="6B09DBAD" w14:textId="77777777" w:rsidR="000C776C" w:rsidRPr="000C776C" w:rsidRDefault="000C776C" w:rsidP="000C776C">
            <w:pPr>
              <w:spacing w:before="120" w:after="120" w:line="288" w:lineRule="auto"/>
              <w:ind w:left="176" w:right="176"/>
              <w:rPr>
                <w:szCs w:val="18"/>
                <w:lang w:bidi="ar-SA"/>
              </w:rPr>
            </w:pPr>
            <w:r w:rsidRPr="000C776C">
              <w:rPr>
                <w:szCs w:val="18"/>
                <w:lang w:bidi="ar-SA"/>
              </w:rPr>
              <w:t>The electricity needed at a point in time, expressed as kilowatts (kW), megawatts (MW), gigawatts (GW) and terawatts (TW).</w:t>
            </w:r>
          </w:p>
        </w:tc>
      </w:tr>
    </w:tbl>
    <w:p w14:paraId="73FE055D"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35BE8DCE" w14:textId="77777777" w:rsidTr="00E24B05">
        <w:tc>
          <w:tcPr>
            <w:tcW w:w="2127" w:type="dxa"/>
            <w:shd w:val="clear" w:color="auto" w:fill="067296" w:themeFill="text2"/>
          </w:tcPr>
          <w:p w14:paraId="7320B37F"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Detailed Architecture</w:t>
            </w:r>
          </w:p>
        </w:tc>
        <w:tc>
          <w:tcPr>
            <w:tcW w:w="6378" w:type="dxa"/>
          </w:tcPr>
          <w:p w14:paraId="489312EF"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Based on a prior Reference Architecture process, a Detailed Architecture process provides unambiguous technical direction for system realisation, ensuring all structural elements, data flows, protocols, and performance criteria are fully specified to meet stakeholder requirements. It translates the high-level vision of the Reference Architecture into a buildable blueprint.</w:t>
            </w:r>
          </w:p>
          <w:p w14:paraId="4D4A4825"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The development of a Detailed Architecture functions as the second major phase of the Systems Architecture process. It necessitates deep technical rigor and multi-stakeholder collaboration to progressively identify and resolve dependencies and define exact interfaces. It eliminates abstraction by specifying quantifiable attributes (e.g. throughput, latency, scalability targets) and implementation choices (e.g., software frameworks, hardware models, network topologies). This creates a foundation for the development of a Detailed Engineering Design.</w:t>
            </w:r>
          </w:p>
        </w:tc>
      </w:tr>
      <w:tr w:rsidR="000C776C" w:rsidRPr="000C776C" w14:paraId="58417501" w14:textId="77777777" w:rsidTr="00E24B05">
        <w:tc>
          <w:tcPr>
            <w:tcW w:w="2127" w:type="dxa"/>
            <w:shd w:val="clear" w:color="auto" w:fill="067296" w:themeFill="text2"/>
          </w:tcPr>
          <w:p w14:paraId="6A52F3E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Distributed Energy Resources (DER)</w:t>
            </w:r>
          </w:p>
          <w:p w14:paraId="0B6487A5"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2AB46F6D" w14:textId="77777777" w:rsidR="000C776C" w:rsidRPr="000C776C" w:rsidRDefault="000C776C" w:rsidP="000C776C">
            <w:pPr>
              <w:spacing w:before="120" w:after="120" w:line="288" w:lineRule="auto"/>
              <w:ind w:left="176" w:right="176"/>
              <w:rPr>
                <w:szCs w:val="18"/>
                <w:lang w:bidi="ar-SA"/>
              </w:rPr>
            </w:pPr>
            <w:r w:rsidRPr="000C776C">
              <w:rPr>
                <w:szCs w:val="18"/>
                <w:lang w:bidi="ar-SA"/>
              </w:rPr>
              <w:t>A diverse range of small to medium scale energy resources that are connected directly to the distribution system (i.e. front-of-meter).</w:t>
            </w:r>
          </w:p>
          <w:p w14:paraId="6723820F" w14:textId="77777777" w:rsidR="000C776C" w:rsidRPr="000C776C" w:rsidRDefault="000C776C" w:rsidP="000C776C">
            <w:pPr>
              <w:spacing w:before="120" w:after="120" w:line="288" w:lineRule="auto"/>
              <w:ind w:left="176" w:right="176"/>
              <w:rPr>
                <w:szCs w:val="18"/>
                <w:lang w:bidi="ar-SA"/>
              </w:rPr>
            </w:pPr>
            <w:r w:rsidRPr="000C776C">
              <w:rPr>
                <w:szCs w:val="18"/>
                <w:lang w:bidi="ar-SA"/>
              </w:rPr>
              <w:t>Refer to Consumer Energy Resources (CER/DER).</w:t>
            </w:r>
          </w:p>
        </w:tc>
      </w:tr>
      <w:tr w:rsidR="000C776C" w:rsidRPr="000C776C" w14:paraId="350E046A" w14:textId="77777777" w:rsidTr="00E24B05">
        <w:tc>
          <w:tcPr>
            <w:tcW w:w="2127" w:type="dxa"/>
            <w:shd w:val="clear" w:color="auto" w:fill="067296" w:themeFill="text2"/>
          </w:tcPr>
          <w:p w14:paraId="6232955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eastAsia="Segoe UI" w:hAnsi="PP Mori SemiBold"/>
                <w:color w:val="FAFAFA" w:themeColor="background1"/>
                <w:szCs w:val="18"/>
              </w:rPr>
              <w:t>Distributed System</w:t>
            </w:r>
          </w:p>
          <w:p w14:paraId="4998B6C6"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02A8A74B" w14:textId="77777777" w:rsidR="000C776C" w:rsidRPr="000C776C" w:rsidRDefault="000C776C" w:rsidP="000C776C">
            <w:pPr>
              <w:spacing w:before="120" w:after="120" w:line="288" w:lineRule="auto"/>
              <w:ind w:left="176" w:right="176"/>
              <w:rPr>
                <w:lang w:bidi="ar-SA"/>
              </w:rPr>
            </w:pPr>
            <w:r w:rsidRPr="000C776C">
              <w:rPr>
                <w:szCs w:val="18"/>
                <w:lang w:eastAsia="en-US" w:bidi="ar-SA"/>
              </w:rPr>
              <w:t>A network of independent Components that are federated or interconnected in a manner which respects their autonomy but also enable them to work together to achieve a common goal.</w:t>
            </w:r>
          </w:p>
          <w:p w14:paraId="1B26A82A"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It is important to understand the difference between Distributed Systems and Decentralised Systems.</w:t>
            </w:r>
            <w:r w:rsidRPr="000C776C">
              <w:rPr>
                <w:szCs w:val="18"/>
                <w:lang w:bidi="ar-SA"/>
              </w:rPr>
              <w:tab/>
            </w:r>
          </w:p>
        </w:tc>
      </w:tr>
      <w:tr w:rsidR="000C776C" w:rsidRPr="000C776C" w14:paraId="09DD8380" w14:textId="77777777" w:rsidTr="00E24B05">
        <w:tc>
          <w:tcPr>
            <w:tcW w:w="2127" w:type="dxa"/>
            <w:shd w:val="clear" w:color="auto" w:fill="067296" w:themeFill="text2"/>
          </w:tcPr>
          <w:p w14:paraId="75CC26FA"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Distributed Photovoltaics (DPV)</w:t>
            </w:r>
          </w:p>
        </w:tc>
        <w:tc>
          <w:tcPr>
            <w:tcW w:w="6378" w:type="dxa"/>
          </w:tcPr>
          <w:p w14:paraId="3400482C" w14:textId="77777777" w:rsidR="000C776C" w:rsidRPr="000C776C" w:rsidRDefault="000C776C" w:rsidP="000C776C">
            <w:pPr>
              <w:spacing w:before="120" w:after="120" w:line="288" w:lineRule="auto"/>
              <w:ind w:left="176" w:right="176"/>
              <w:rPr>
                <w:szCs w:val="18"/>
                <w:lang w:bidi="ar-SA"/>
              </w:rPr>
            </w:pPr>
            <w:r w:rsidRPr="000C776C">
              <w:rPr>
                <w:szCs w:val="18"/>
                <w:lang w:bidi="ar-SA"/>
              </w:rPr>
              <w:t>Solar photovoltaic panel installations connected to the distribution network.  In many cases, these resources are located behind-the-meter at residential and commercial customer properties.</w:t>
            </w:r>
          </w:p>
        </w:tc>
      </w:tr>
      <w:tr w:rsidR="000C776C" w:rsidRPr="000C776C" w14:paraId="0BC81501" w14:textId="77777777" w:rsidTr="00E24B05">
        <w:tc>
          <w:tcPr>
            <w:tcW w:w="2127" w:type="dxa"/>
            <w:shd w:val="clear" w:color="auto" w:fill="067296" w:themeFill="text2"/>
          </w:tcPr>
          <w:p w14:paraId="120A6BDE"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Distribution Market Mechanisms</w:t>
            </w:r>
          </w:p>
          <w:p w14:paraId="34D8D72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7DC1B84B"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A general term reflecting </w:t>
            </w:r>
            <w:r w:rsidRPr="000C776C">
              <w:rPr>
                <w:szCs w:val="24"/>
                <w:lang w:bidi="ar-SA"/>
              </w:rPr>
              <w:t xml:space="preserve">a spectrum of approaches and mechanisms to value, incentivise, procure and operationally coordinate energy, flexibility and other system services from CER/DER and flexible loads.  In its most basic form, this may include tariff-based incentives and/or bilateral contracts. In more advanced forms, it may include distribution-level markets for the procurement of temporally and spatially dynamic system services, providing clear dispatch signals of the time, location and type of services required and enabling 'value stacking' of services in a manner co-optimised with bulk power markets. </w:t>
            </w:r>
          </w:p>
        </w:tc>
      </w:tr>
      <w:tr w:rsidR="000C776C" w:rsidRPr="000C776C" w14:paraId="625A7F4B" w14:textId="77777777" w:rsidTr="00E24B05">
        <w:tc>
          <w:tcPr>
            <w:tcW w:w="2127" w:type="dxa"/>
            <w:shd w:val="clear" w:color="auto" w:fill="067296" w:themeFill="text2"/>
          </w:tcPr>
          <w:p w14:paraId="15DA6F4E" w14:textId="77777777" w:rsidR="000C776C" w:rsidRPr="000C776C" w:rsidRDefault="000C776C" w:rsidP="000C776C">
            <w:pPr>
              <w:spacing w:before="120" w:after="120" w:line="288" w:lineRule="auto"/>
              <w:jc w:val="center"/>
              <w:rPr>
                <w:rFonts w:ascii="PP Mori SemiBold" w:eastAsia="Segoe UI" w:hAnsi="PP Mori SemiBold"/>
                <w:color w:val="FAFAFA" w:themeColor="background1"/>
                <w:szCs w:val="18"/>
              </w:rPr>
            </w:pPr>
            <w:r w:rsidRPr="000C776C">
              <w:rPr>
                <w:rFonts w:ascii="PP Mori SemiBold" w:eastAsia="Segoe UI" w:hAnsi="PP Mori SemiBold"/>
                <w:color w:val="FAFAFA" w:themeColor="background1"/>
                <w:szCs w:val="18"/>
              </w:rPr>
              <w:lastRenderedPageBreak/>
              <w:t>Distribution Network Model</w:t>
            </w:r>
          </w:p>
          <w:p w14:paraId="77ECAFB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4E1D0785"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A structured digital representation of the physical and operational characteristics of </w:t>
            </w:r>
            <w:r w:rsidRPr="000C776C">
              <w:rPr>
                <w:bCs/>
                <w:szCs w:val="18"/>
                <w:lang w:eastAsia="en-US" w:bidi="ar-SA"/>
              </w:rPr>
              <w:t>a</w:t>
            </w:r>
            <w:r w:rsidRPr="000C776C">
              <w:rPr>
                <w:szCs w:val="18"/>
                <w:lang w:eastAsia="en-US" w:bidi="ar-SA"/>
              </w:rPr>
              <w:t xml:space="preserve"> distribution system. It typically includes:</w:t>
            </w:r>
          </w:p>
          <w:p w14:paraId="4AB65AA6" w14:textId="77777777" w:rsidR="000C776C" w:rsidRPr="000C776C" w:rsidRDefault="000C776C" w:rsidP="00470C91">
            <w:pPr>
              <w:numPr>
                <w:ilvl w:val="0"/>
                <w:numId w:val="33"/>
              </w:numPr>
              <w:tabs>
                <w:tab w:val="num" w:pos="720"/>
              </w:tabs>
              <w:spacing w:before="120" w:after="120" w:line="288" w:lineRule="auto"/>
              <w:ind w:left="743" w:right="170" w:hanging="284"/>
              <w:rPr>
                <w:szCs w:val="18"/>
                <w:lang w:eastAsia="en-US" w:bidi="ar-SA"/>
              </w:rPr>
            </w:pPr>
            <w:r w:rsidRPr="000C776C">
              <w:rPr>
                <w:szCs w:val="18"/>
                <w:lang w:eastAsia="en-US" w:bidi="ar-SA"/>
              </w:rPr>
              <w:t>Topology: Nodes/buses, transformers, feeders, etc.;</w:t>
            </w:r>
          </w:p>
          <w:p w14:paraId="50C06A45" w14:textId="77777777" w:rsidR="000C776C" w:rsidRPr="000C776C" w:rsidRDefault="000C776C" w:rsidP="00470C91">
            <w:pPr>
              <w:numPr>
                <w:ilvl w:val="0"/>
                <w:numId w:val="33"/>
              </w:numPr>
              <w:tabs>
                <w:tab w:val="num" w:pos="720"/>
              </w:tabs>
              <w:spacing w:before="120" w:after="120" w:line="288" w:lineRule="auto"/>
              <w:ind w:left="743" w:right="170" w:hanging="284"/>
              <w:rPr>
                <w:szCs w:val="18"/>
                <w:lang w:eastAsia="en-US" w:bidi="ar-SA"/>
              </w:rPr>
            </w:pPr>
            <w:r w:rsidRPr="000C776C">
              <w:rPr>
                <w:szCs w:val="18"/>
                <w:lang w:eastAsia="en-US" w:bidi="ar-SA"/>
              </w:rPr>
              <w:t>Parameters: Impedance, line capacities, switch status, etc.;</w:t>
            </w:r>
          </w:p>
          <w:p w14:paraId="00B9BC5A" w14:textId="77777777" w:rsidR="000C776C" w:rsidRPr="000C776C" w:rsidRDefault="000C776C" w:rsidP="00470C91">
            <w:pPr>
              <w:numPr>
                <w:ilvl w:val="0"/>
                <w:numId w:val="33"/>
              </w:numPr>
              <w:tabs>
                <w:tab w:val="num" w:pos="720"/>
              </w:tabs>
              <w:spacing w:before="120" w:after="120" w:line="288" w:lineRule="auto"/>
              <w:ind w:left="743" w:right="170" w:hanging="284"/>
              <w:rPr>
                <w:szCs w:val="18"/>
                <w:lang w:eastAsia="en-US" w:bidi="ar-SA"/>
              </w:rPr>
            </w:pPr>
            <w:r w:rsidRPr="000C776C">
              <w:rPr>
                <w:szCs w:val="18"/>
                <w:lang w:eastAsia="en-US" w:bidi="ar-SA"/>
              </w:rPr>
              <w:t xml:space="preserve">Asset data: Load and generation types, ratings, etc.; and, </w:t>
            </w:r>
          </w:p>
          <w:p w14:paraId="707B6FA8" w14:textId="77777777" w:rsidR="000C776C" w:rsidRPr="000C776C" w:rsidRDefault="000C776C" w:rsidP="00470C91">
            <w:pPr>
              <w:numPr>
                <w:ilvl w:val="0"/>
                <w:numId w:val="33"/>
              </w:numPr>
              <w:tabs>
                <w:tab w:val="num" w:pos="720"/>
              </w:tabs>
              <w:spacing w:before="120" w:after="120" w:line="288" w:lineRule="auto"/>
              <w:ind w:left="743" w:right="170" w:hanging="284"/>
              <w:rPr>
                <w:szCs w:val="18"/>
                <w:lang w:eastAsia="en-US" w:bidi="ar-SA"/>
              </w:rPr>
            </w:pPr>
            <w:r w:rsidRPr="000C776C">
              <w:rPr>
                <w:szCs w:val="18"/>
                <w:lang w:eastAsia="en-US" w:bidi="ar-SA"/>
              </w:rPr>
              <w:t xml:space="preserve">Geographic data and schematic layouts. </w:t>
            </w:r>
          </w:p>
          <w:p w14:paraId="4A776B41"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These models support power flow analysis, fault location, load forecasting, and control applications in distribution system operation and planning.</w:t>
            </w:r>
          </w:p>
        </w:tc>
      </w:tr>
      <w:tr w:rsidR="000C776C" w:rsidRPr="000C776C" w14:paraId="487AF4F1" w14:textId="77777777" w:rsidTr="00E24B05">
        <w:tc>
          <w:tcPr>
            <w:tcW w:w="2127" w:type="dxa"/>
            <w:shd w:val="clear" w:color="auto" w:fill="067296" w:themeFill="text2"/>
          </w:tcPr>
          <w:p w14:paraId="44D2428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Distribution System Operator (DSO)</w:t>
            </w:r>
          </w:p>
        </w:tc>
        <w:tc>
          <w:tcPr>
            <w:tcW w:w="6378" w:type="dxa"/>
          </w:tcPr>
          <w:p w14:paraId="5150010D"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entity responsible for both the active management and optimisation of a high-CER/DER distribution system, and its two-way interoperation with the bulk power system, as the decarbonised grid becomes more volatile and bidirectional. In this more dynamic context, distribution system operation involves real-time coordination of the ‘system’ of network assets, flexible and inflexible demand, customer-owned CER and large-scale DER to deliver enhanced technical and economic outcomes not possible by managing network assets alone. </w:t>
            </w:r>
          </w:p>
          <w:p w14:paraId="054523CC" w14:textId="77777777" w:rsidR="000C776C" w:rsidRPr="000C776C" w:rsidRDefault="000C776C" w:rsidP="000C776C">
            <w:pPr>
              <w:spacing w:before="120" w:after="120" w:line="288" w:lineRule="auto"/>
              <w:ind w:left="176" w:right="176"/>
              <w:rPr>
                <w:rFonts w:eastAsia="DengXian" w:cs="Cordia New"/>
                <w:szCs w:val="18"/>
                <w:lang w:eastAsia="en-US" w:bidi="ar-SA"/>
              </w:rPr>
            </w:pPr>
            <w:r w:rsidRPr="000C776C">
              <w:rPr>
                <w:szCs w:val="18"/>
                <w:lang w:eastAsia="en-US" w:bidi="ar-SA"/>
              </w:rPr>
              <w:t>Somewhat analogous to a conventional bulk power system operator, distribution system operation requires both advanced controls and market mechanisms to ensure firm response and incentivise mutually beneficial participation, underpinned by transparency and neutrality. As distribution systems continue transforming to become an increasingly complex energy ecosystem, the active engagement of customers, CER/DER aggregators and third-party service providers, supported by advanced digital infrastructure and engagement tools, also becomes a critical focus of the DSO.</w:t>
            </w:r>
          </w:p>
        </w:tc>
      </w:tr>
      <w:tr w:rsidR="000C776C" w:rsidRPr="000C776C" w14:paraId="12070FAD" w14:textId="77777777" w:rsidTr="00E24B05">
        <w:tc>
          <w:tcPr>
            <w:tcW w:w="2127" w:type="dxa"/>
            <w:shd w:val="clear" w:color="auto" w:fill="067296" w:themeFill="text2"/>
          </w:tcPr>
          <w:p w14:paraId="3013A55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eastAsia="Segoe UI" w:hAnsi="PP Mori SemiBold"/>
                <w:color w:val="FAFAFA" w:themeColor="background1"/>
                <w:szCs w:val="18"/>
              </w:rPr>
              <w:t>Dynamic Operating Envelope (DOE)</w:t>
            </w:r>
          </w:p>
          <w:p w14:paraId="7CBB6BC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3D2365D9" w14:textId="77777777" w:rsidR="000C776C" w:rsidRPr="000C776C" w:rsidRDefault="000C776C" w:rsidP="000C776C">
            <w:pPr>
              <w:spacing w:before="120" w:after="120" w:line="288" w:lineRule="auto"/>
              <w:ind w:left="176" w:right="176"/>
              <w:rPr>
                <w:szCs w:val="18"/>
              </w:rPr>
            </w:pPr>
            <w:r w:rsidRPr="000C776C">
              <w:rPr>
                <w:szCs w:val="18"/>
                <w:lang w:eastAsia="en-US" w:bidi="ar-SA"/>
              </w:rPr>
              <w:t>Distinct from Static Operating Envelopes, DOE’s provide Dynamic Export Management from DER/CER to the Power System, based on the operating characteristics of the Distribution Network or wider Bulk Power System, in a manner that varies over time and location.</w:t>
            </w:r>
          </w:p>
        </w:tc>
      </w:tr>
    </w:tbl>
    <w:p w14:paraId="33F10B28"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645A8A83" w14:textId="77777777" w:rsidTr="00E24B05">
        <w:tc>
          <w:tcPr>
            <w:tcW w:w="2127" w:type="dxa"/>
            <w:shd w:val="clear" w:color="auto" w:fill="067296" w:themeFill="text2"/>
          </w:tcPr>
          <w:p w14:paraId="4145D6E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Electric Products</w:t>
            </w:r>
          </w:p>
        </w:tc>
        <w:tc>
          <w:tcPr>
            <w:tcW w:w="6378" w:type="dxa"/>
          </w:tcPr>
          <w:p w14:paraId="2F52E9F6" w14:textId="77777777" w:rsidR="000C776C" w:rsidRPr="000C776C" w:rsidRDefault="000C776C" w:rsidP="000C776C">
            <w:pPr>
              <w:spacing w:before="120" w:after="120" w:line="288" w:lineRule="auto"/>
              <w:ind w:left="176" w:right="176"/>
              <w:rPr>
                <w:szCs w:val="18"/>
                <w:lang w:bidi="ar-SA"/>
              </w:rPr>
            </w:pPr>
            <w:r w:rsidRPr="000C776C">
              <w:rPr>
                <w:szCs w:val="18"/>
                <w:lang w:bidi="ar-SA"/>
              </w:rPr>
              <w:t>The valuable physics-based services that may be provided to the power system by</w:t>
            </w:r>
            <w:r w:rsidRPr="000C776C">
              <w:rPr>
                <w:rFonts w:ascii="Calibri" w:hAnsi="Calibri" w:cs="Calibri"/>
                <w:szCs w:val="18"/>
                <w:lang w:bidi="ar-SA"/>
              </w:rPr>
              <w:t> </w:t>
            </w:r>
            <w:r w:rsidRPr="000C776C">
              <w:rPr>
                <w:szCs w:val="18"/>
                <w:lang w:bidi="ar-SA"/>
              </w:rPr>
              <w:t xml:space="preserve">CER/DER in exchange for some form of value or additional benefit. </w:t>
            </w:r>
            <w:r w:rsidRPr="000C776C">
              <w:rPr>
                <w:rFonts w:ascii="Calibri" w:hAnsi="Calibri" w:cs="Calibri"/>
                <w:szCs w:val="18"/>
                <w:lang w:bidi="ar-SA"/>
              </w:rPr>
              <w:t> </w:t>
            </w:r>
            <w:r w:rsidRPr="000C776C">
              <w:rPr>
                <w:szCs w:val="18"/>
                <w:lang w:bidi="ar-SA"/>
              </w:rPr>
              <w:t>All beneficial grid services are derivatives of the following ‘3Rs’:</w:t>
            </w:r>
          </w:p>
          <w:p w14:paraId="1AE64E1F" w14:textId="1C267637" w:rsidR="000C776C" w:rsidRPr="000C776C" w:rsidRDefault="000C776C" w:rsidP="00470C91">
            <w:pPr>
              <w:numPr>
                <w:ilvl w:val="0"/>
                <w:numId w:val="36"/>
              </w:numPr>
              <w:tabs>
                <w:tab w:val="num" w:pos="720"/>
              </w:tabs>
              <w:spacing w:before="120" w:after="120" w:line="288" w:lineRule="auto"/>
              <w:ind w:left="714" w:hanging="357"/>
              <w:rPr>
                <w:rFonts w:eastAsia="Segoe UI"/>
                <w:color w:val="252423"/>
                <w:szCs w:val="18"/>
              </w:rPr>
            </w:pPr>
            <w:hyperlink r:id="rId65" w:history="1">
              <w:r w:rsidRPr="000C776C">
                <w:rPr>
                  <w:rFonts w:eastAsia="Segoe UI"/>
                  <w:color w:val="252423"/>
                  <w:szCs w:val="18"/>
                </w:rPr>
                <w:t>Real Power</w:t>
              </w:r>
            </w:hyperlink>
            <w:r w:rsidRPr="000C776C">
              <w:rPr>
                <w:rFonts w:eastAsia="Segoe UI"/>
                <w:color w:val="252423"/>
                <w:szCs w:val="18"/>
              </w:rPr>
              <w:t>: measured in MW, is the instantaneous rate at which electrical</w:t>
            </w:r>
            <w:r w:rsidRPr="000C776C">
              <w:rPr>
                <w:rFonts w:ascii="Calibri" w:eastAsia="Segoe UI" w:hAnsi="Calibri" w:cs="Calibri"/>
                <w:color w:val="252423"/>
                <w:szCs w:val="18"/>
              </w:rPr>
              <w:t> </w:t>
            </w:r>
            <w:hyperlink r:id="rId66" w:history="1">
              <w:r w:rsidRPr="000C776C">
                <w:rPr>
                  <w:rFonts w:eastAsia="Segoe UI"/>
                  <w:color w:val="252423"/>
                  <w:szCs w:val="18"/>
                </w:rPr>
                <w:t>energy</w:t>
              </w:r>
            </w:hyperlink>
            <w:r w:rsidRPr="000C776C">
              <w:rPr>
                <w:rFonts w:ascii="Calibri" w:eastAsia="Segoe UI" w:hAnsi="Calibri" w:cs="Calibri"/>
                <w:color w:val="252423"/>
                <w:szCs w:val="18"/>
              </w:rPr>
              <w:t> </w:t>
            </w:r>
            <w:r w:rsidRPr="000C776C">
              <w:rPr>
                <w:rFonts w:eastAsia="Segoe UI"/>
                <w:color w:val="252423"/>
                <w:szCs w:val="18"/>
              </w:rPr>
              <w:t>is generated, transmitted or consumed;</w:t>
            </w:r>
          </w:p>
          <w:p w14:paraId="104FC73E" w14:textId="1729A92B" w:rsidR="000C776C" w:rsidRPr="000C776C" w:rsidRDefault="000C776C" w:rsidP="00470C91">
            <w:pPr>
              <w:numPr>
                <w:ilvl w:val="0"/>
                <w:numId w:val="36"/>
              </w:numPr>
              <w:tabs>
                <w:tab w:val="num" w:pos="720"/>
              </w:tabs>
              <w:spacing w:before="120" w:after="120" w:line="288" w:lineRule="auto"/>
              <w:ind w:left="714" w:hanging="357"/>
              <w:rPr>
                <w:rFonts w:eastAsia="Segoe UI"/>
                <w:color w:val="252423"/>
                <w:szCs w:val="18"/>
              </w:rPr>
            </w:pPr>
            <w:hyperlink r:id="rId67" w:history="1">
              <w:r w:rsidRPr="000C776C">
                <w:rPr>
                  <w:rFonts w:eastAsia="Segoe UI"/>
                  <w:color w:val="252423"/>
                  <w:szCs w:val="18"/>
                </w:rPr>
                <w:t>Reactive Power</w:t>
              </w:r>
            </w:hyperlink>
            <w:r w:rsidRPr="000C776C">
              <w:rPr>
                <w:rFonts w:eastAsia="Segoe UI"/>
                <w:color w:val="252423"/>
                <w:szCs w:val="18"/>
              </w:rPr>
              <w:t>: measured in MVAR, sustains the electrical field in AC systems while maintain voltage within the limits specified for safe operation (source or sink); and,</w:t>
            </w:r>
          </w:p>
          <w:p w14:paraId="5F9B500A" w14:textId="54C6672C" w:rsidR="000C776C" w:rsidRPr="000C776C" w:rsidRDefault="000C776C" w:rsidP="00470C91">
            <w:pPr>
              <w:numPr>
                <w:ilvl w:val="0"/>
                <w:numId w:val="36"/>
              </w:numPr>
              <w:tabs>
                <w:tab w:val="num" w:pos="720"/>
              </w:tabs>
              <w:spacing w:before="120" w:after="120" w:line="288" w:lineRule="auto"/>
              <w:ind w:left="714" w:hanging="357"/>
              <w:rPr>
                <w:szCs w:val="18"/>
              </w:rPr>
            </w:pPr>
            <w:hyperlink r:id="rId68" w:history="1">
              <w:r w:rsidRPr="000C776C">
                <w:rPr>
                  <w:rFonts w:eastAsia="Segoe UI"/>
                  <w:color w:val="252423"/>
                  <w:szCs w:val="18"/>
                </w:rPr>
                <w:t>Reserves</w:t>
              </w:r>
            </w:hyperlink>
            <w:r w:rsidRPr="000C776C">
              <w:rPr>
                <w:rFonts w:eastAsia="Segoe UI"/>
                <w:color w:val="252423"/>
                <w:szCs w:val="18"/>
              </w:rPr>
              <w:t>: measured in MW, represent contracted commitments to deliver or reduce real power (MW) or energy (MWh) at a point of time in the future.</w:t>
            </w:r>
          </w:p>
        </w:tc>
      </w:tr>
      <w:tr w:rsidR="000C776C" w:rsidRPr="000C776C" w14:paraId="3788FC63" w14:textId="77777777" w:rsidTr="00E24B05">
        <w:tc>
          <w:tcPr>
            <w:tcW w:w="2127" w:type="dxa"/>
            <w:shd w:val="clear" w:color="auto" w:fill="067296" w:themeFill="text2"/>
          </w:tcPr>
          <w:p w14:paraId="0080BF9A"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Energy Resources</w:t>
            </w:r>
          </w:p>
        </w:tc>
        <w:tc>
          <w:tcPr>
            <w:tcW w:w="6378" w:type="dxa"/>
          </w:tcPr>
          <w:p w14:paraId="66431BA8"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A universal term for all technologies that provide one or several of the electric products required by the power system. It includes conventional synchronous generation, utility-scale Variable Renewable Energy (VRE), Consumer Energy Resources (CER/DER) and various forms of energy storage and firming resources. </w:t>
            </w:r>
          </w:p>
        </w:tc>
      </w:tr>
      <w:tr w:rsidR="000C776C" w:rsidRPr="000C776C" w14:paraId="141EC5D3" w14:textId="77777777" w:rsidTr="00E24B05">
        <w:tc>
          <w:tcPr>
            <w:tcW w:w="2127" w:type="dxa"/>
            <w:tcBorders>
              <w:bottom w:val="nil"/>
            </w:tcBorders>
            <w:shd w:val="clear" w:color="auto" w:fill="067296" w:themeFill="text2"/>
          </w:tcPr>
          <w:p w14:paraId="1D4726AD" w14:textId="77777777" w:rsidR="000C776C" w:rsidRPr="000C776C" w:rsidRDefault="000C776C" w:rsidP="000C776C">
            <w:pPr>
              <w:spacing w:before="120" w:after="120" w:line="288" w:lineRule="auto"/>
              <w:ind w:left="175" w:right="176"/>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t>Flexible</w:t>
            </w:r>
          </w:p>
          <w:p w14:paraId="4DA383FA"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50AF274"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capacity of a decarbonising power system to anticipate, adapt to and manage the variability and volatility of supply and demand across all relevant time scales – from seconds to seasons – while maintaining reliability, affordability and system stability. </w:t>
            </w:r>
          </w:p>
          <w:p w14:paraId="6003FD71"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Flexibility is recognised as foundational to power system decarbonisation, sometimes being equated to being ‘the new baseload’. A key indicator of power system flexibility is the ability to integrate very high levels of both centralised and distributed Variable Renewable Energy (VRE) sources with minimal curtailment. </w:t>
            </w:r>
          </w:p>
        </w:tc>
      </w:tr>
      <w:tr w:rsidR="000C776C" w:rsidRPr="000C776C" w14:paraId="15B1608B" w14:textId="77777777" w:rsidTr="00E24B05">
        <w:tc>
          <w:tcPr>
            <w:tcW w:w="2127" w:type="dxa"/>
            <w:tcBorders>
              <w:top w:val="nil"/>
              <w:left w:val="nil"/>
              <w:bottom w:val="nil"/>
              <w:right w:val="nil"/>
            </w:tcBorders>
            <w:shd w:val="clear" w:color="auto" w:fill="067296" w:themeFill="text2"/>
          </w:tcPr>
          <w:p w14:paraId="7B97E719"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Flexible Resources – Distributed</w:t>
            </w:r>
          </w:p>
        </w:tc>
        <w:tc>
          <w:tcPr>
            <w:tcW w:w="6378" w:type="dxa"/>
            <w:tcBorders>
              <w:left w:val="nil"/>
            </w:tcBorders>
          </w:tcPr>
          <w:p w14:paraId="0D8993CF" w14:textId="50E2DB8B" w:rsidR="000C776C" w:rsidRPr="000C776C" w:rsidRDefault="000C776C" w:rsidP="000C776C">
            <w:pPr>
              <w:spacing w:before="120" w:after="120" w:line="288" w:lineRule="auto"/>
              <w:ind w:left="176" w:right="176"/>
              <w:rPr>
                <w:szCs w:val="18"/>
                <w:lang w:bidi="ar-SA"/>
              </w:rPr>
            </w:pPr>
            <w:r w:rsidRPr="000C776C">
              <w:rPr>
                <w:szCs w:val="18"/>
                <w:lang w:bidi="ar-SA"/>
              </w:rPr>
              <w:t>Certain categories of CER/DER that can, in a reliable and firm manner, modify their operational behaviour in response to</w:t>
            </w:r>
            <w:r w:rsidRPr="000C776C">
              <w:rPr>
                <w:rFonts w:ascii="Calibri" w:hAnsi="Calibri" w:cs="Calibri"/>
                <w:szCs w:val="18"/>
                <w:lang w:bidi="ar-SA"/>
              </w:rPr>
              <w:t> </w:t>
            </w:r>
            <w:hyperlink r:id="rId69" w:history="1">
              <w:r w:rsidRPr="000C776C">
                <w:rPr>
                  <w:szCs w:val="18"/>
                  <w:lang w:bidi="ar-SA"/>
                </w:rPr>
                <w:t>bulk power system</w:t>
              </w:r>
            </w:hyperlink>
            <w:r w:rsidRPr="000C776C">
              <w:rPr>
                <w:szCs w:val="18"/>
                <w:lang w:bidi="ar-SA"/>
              </w:rPr>
              <w:t>,</w:t>
            </w:r>
            <w:r w:rsidRPr="000C776C">
              <w:rPr>
                <w:rFonts w:ascii="Calibri" w:hAnsi="Calibri" w:cs="Calibri"/>
                <w:szCs w:val="18"/>
                <w:lang w:bidi="ar-SA"/>
              </w:rPr>
              <w:t> </w:t>
            </w:r>
            <w:hyperlink r:id="rId70" w:history="1">
              <w:r w:rsidRPr="000C776C">
                <w:rPr>
                  <w:szCs w:val="18"/>
                  <w:lang w:bidi="ar-SA"/>
                </w:rPr>
                <w:t>transmission network</w:t>
              </w:r>
            </w:hyperlink>
            <w:r w:rsidRPr="000C776C">
              <w:rPr>
                <w:rFonts w:ascii="Calibri" w:hAnsi="Calibri" w:cs="Calibri"/>
                <w:szCs w:val="18"/>
                <w:lang w:bidi="ar-SA"/>
              </w:rPr>
              <w:t> </w:t>
            </w:r>
            <w:r w:rsidRPr="000C776C">
              <w:rPr>
                <w:szCs w:val="18"/>
                <w:lang w:bidi="ar-SA"/>
              </w:rPr>
              <w:t>and/or local distribution network needs in a manner acceptable to the</w:t>
            </w:r>
            <w:r w:rsidRPr="000C776C">
              <w:rPr>
                <w:rFonts w:ascii="Calibri" w:hAnsi="Calibri" w:cs="Calibri"/>
                <w:szCs w:val="18"/>
                <w:lang w:bidi="ar-SA"/>
              </w:rPr>
              <w:t> </w:t>
            </w:r>
            <w:hyperlink r:id="rId71" w:history="1">
              <w:r w:rsidRPr="000C776C">
                <w:rPr>
                  <w:szCs w:val="18"/>
                  <w:lang w:bidi="ar-SA"/>
                </w:rPr>
                <w:t>customer</w:t>
              </w:r>
            </w:hyperlink>
            <w:r w:rsidRPr="000C776C">
              <w:rPr>
                <w:rFonts w:ascii="Calibri" w:hAnsi="Calibri" w:cs="Calibri"/>
                <w:szCs w:val="18"/>
                <w:lang w:bidi="ar-SA"/>
              </w:rPr>
              <w:t> </w:t>
            </w:r>
            <w:r w:rsidRPr="000C776C">
              <w:rPr>
                <w:szCs w:val="18"/>
                <w:lang w:bidi="ar-SA"/>
              </w:rPr>
              <w:t>or owner/investor.</w:t>
            </w:r>
          </w:p>
          <w:p w14:paraId="71F82B10" w14:textId="05E71A34" w:rsidR="000C776C" w:rsidRPr="000C776C" w:rsidRDefault="000C776C" w:rsidP="000C776C">
            <w:pPr>
              <w:spacing w:before="120" w:after="120" w:line="288" w:lineRule="auto"/>
              <w:ind w:left="176" w:right="176"/>
              <w:rPr>
                <w:szCs w:val="18"/>
                <w:lang w:bidi="ar-SA"/>
              </w:rPr>
            </w:pPr>
            <w:r w:rsidRPr="000C776C">
              <w:rPr>
                <w:szCs w:val="18"/>
                <w:lang w:bidi="ar-SA"/>
              </w:rPr>
              <w:t>Enabled by advanced approaches to</w:t>
            </w:r>
            <w:r w:rsidRPr="000C776C">
              <w:rPr>
                <w:rFonts w:ascii="Calibri" w:hAnsi="Calibri" w:cs="Calibri"/>
                <w:szCs w:val="18"/>
                <w:lang w:bidi="ar-SA"/>
              </w:rPr>
              <w:t> </w:t>
            </w:r>
            <w:hyperlink r:id="rId72" w:history="1">
              <w:r w:rsidRPr="000C776C">
                <w:rPr>
                  <w:szCs w:val="18"/>
                  <w:lang w:bidi="ar-SA"/>
                </w:rPr>
                <w:t>Operational Coordination</w:t>
              </w:r>
            </w:hyperlink>
            <w:r w:rsidRPr="000C776C">
              <w:rPr>
                <w:szCs w:val="18"/>
                <w:lang w:bidi="ar-SA"/>
              </w:rPr>
              <w:t>, large fleets of</w:t>
            </w:r>
            <w:r w:rsidRPr="000C776C">
              <w:rPr>
                <w:rFonts w:ascii="Calibri" w:hAnsi="Calibri" w:cs="Calibri"/>
                <w:szCs w:val="18"/>
                <w:lang w:bidi="ar-SA"/>
              </w:rPr>
              <w:t> </w:t>
            </w:r>
            <w:r w:rsidRPr="000C776C">
              <w:rPr>
                <w:szCs w:val="18"/>
                <w:lang w:bidi="ar-SA"/>
              </w:rPr>
              <w:t>these resources can beneficially alter the</w:t>
            </w:r>
            <w:r w:rsidRPr="000C776C">
              <w:rPr>
                <w:rFonts w:ascii="Calibri" w:hAnsi="Calibri" w:cs="Calibri"/>
                <w:szCs w:val="18"/>
                <w:lang w:bidi="ar-SA"/>
              </w:rPr>
              <w:t> </w:t>
            </w:r>
            <w:hyperlink r:id="rId73" w:history="1">
              <w:r w:rsidRPr="000C776C">
                <w:rPr>
                  <w:szCs w:val="18"/>
                  <w:lang w:bidi="ar-SA"/>
                </w:rPr>
                <w:t>demand</w:t>
              </w:r>
            </w:hyperlink>
            <w:r w:rsidRPr="000C776C">
              <w:rPr>
                <w:rFonts w:ascii="Calibri" w:hAnsi="Calibri" w:cs="Calibri"/>
                <w:szCs w:val="18"/>
                <w:lang w:bidi="ar-SA"/>
              </w:rPr>
              <w:t> </w:t>
            </w:r>
            <w:r w:rsidRPr="000C776C">
              <w:rPr>
                <w:szCs w:val="18"/>
                <w:lang w:bidi="ar-SA"/>
              </w:rPr>
              <w:t>profile of a</w:t>
            </w:r>
            <w:r w:rsidRPr="000C776C">
              <w:rPr>
                <w:rFonts w:ascii="Calibri" w:hAnsi="Calibri" w:cs="Calibri"/>
                <w:szCs w:val="18"/>
                <w:lang w:bidi="ar-SA"/>
              </w:rPr>
              <w:t> </w:t>
            </w:r>
            <w:hyperlink r:id="rId74" w:history="1">
              <w:r w:rsidRPr="000C776C">
                <w:rPr>
                  <w:szCs w:val="18"/>
                  <w:lang w:bidi="ar-SA"/>
                </w:rPr>
                <w:t>feeder</w:t>
              </w:r>
            </w:hyperlink>
            <w:r w:rsidRPr="000C776C">
              <w:rPr>
                <w:szCs w:val="18"/>
                <w:lang w:bidi="ar-SA"/>
              </w:rPr>
              <w:t>,</w:t>
            </w:r>
            <w:r w:rsidRPr="000C776C">
              <w:rPr>
                <w:rFonts w:ascii="Calibri" w:hAnsi="Calibri" w:cs="Calibri"/>
                <w:szCs w:val="18"/>
                <w:lang w:bidi="ar-SA"/>
              </w:rPr>
              <w:t> </w:t>
            </w:r>
            <w:hyperlink r:id="rId75" w:history="1">
              <w:r w:rsidRPr="000C776C">
                <w:rPr>
                  <w:szCs w:val="18"/>
                  <w:lang w:bidi="ar-SA"/>
                </w:rPr>
                <w:t>substation</w:t>
              </w:r>
            </w:hyperlink>
            <w:r w:rsidRPr="000C776C">
              <w:rPr>
                <w:szCs w:val="18"/>
                <w:lang w:bidi="ar-SA"/>
              </w:rPr>
              <w:t>, distribution network, transmission network and/or the bulk power system.</w:t>
            </w:r>
            <w:r w:rsidRPr="000C776C">
              <w:rPr>
                <w:rFonts w:ascii="Calibri" w:hAnsi="Calibri" w:cs="Calibri"/>
                <w:szCs w:val="18"/>
                <w:lang w:bidi="ar-SA"/>
              </w:rPr>
              <w:t> </w:t>
            </w:r>
            <w:r w:rsidRPr="000C776C">
              <w:rPr>
                <w:szCs w:val="18"/>
                <w:lang w:bidi="ar-SA"/>
              </w:rPr>
              <w:t xml:space="preserve"> </w:t>
            </w:r>
          </w:p>
          <w:p w14:paraId="5898EDDC" w14:textId="77777777" w:rsidR="000C776C" w:rsidRPr="000C776C" w:rsidRDefault="000C776C" w:rsidP="000C776C">
            <w:pPr>
              <w:spacing w:before="120" w:after="120" w:line="288" w:lineRule="auto"/>
              <w:ind w:left="176" w:right="176"/>
              <w:rPr>
                <w:szCs w:val="18"/>
                <w:lang w:bidi="ar-SA"/>
              </w:rPr>
            </w:pPr>
            <w:r w:rsidRPr="000C776C">
              <w:rPr>
                <w:szCs w:val="18"/>
                <w:lang w:bidi="ar-SA"/>
              </w:rPr>
              <w:lastRenderedPageBreak/>
              <w:t xml:space="preserve">Examples include various types of responsive loads such as water pumping, industrial process loads, battery charging, EV charging, heating loads, cooling loads, etc. </w:t>
            </w:r>
          </w:p>
          <w:p w14:paraId="7DEA043C" w14:textId="23312294" w:rsidR="000C776C" w:rsidRPr="000C776C" w:rsidRDefault="000C776C" w:rsidP="000C776C">
            <w:pPr>
              <w:spacing w:before="120" w:after="120" w:line="288" w:lineRule="auto"/>
              <w:ind w:left="176" w:right="176"/>
              <w:rPr>
                <w:szCs w:val="18"/>
                <w:lang w:bidi="ar-SA"/>
              </w:rPr>
            </w:pPr>
            <w:r w:rsidRPr="000C776C">
              <w:rPr>
                <w:szCs w:val="18"/>
                <w:lang w:bidi="ar-SA"/>
              </w:rPr>
              <w:t>(Note: The terms</w:t>
            </w:r>
            <w:r w:rsidRPr="000C776C">
              <w:rPr>
                <w:rFonts w:ascii="Calibri" w:hAnsi="Calibri" w:cs="Calibri"/>
                <w:szCs w:val="18"/>
                <w:lang w:bidi="ar-SA"/>
              </w:rPr>
              <w:t> </w:t>
            </w:r>
            <w:hyperlink r:id="rId76" w:history="1">
              <w:r w:rsidRPr="000C776C">
                <w:rPr>
                  <w:szCs w:val="18"/>
                  <w:lang w:bidi="ar-SA"/>
                </w:rPr>
                <w:t>demand management</w:t>
              </w:r>
            </w:hyperlink>
            <w:r w:rsidRPr="000C776C">
              <w:rPr>
                <w:szCs w:val="18"/>
                <w:lang w:bidi="ar-SA"/>
              </w:rPr>
              <w:t>,</w:t>
            </w:r>
            <w:r w:rsidRPr="000C776C">
              <w:rPr>
                <w:rFonts w:ascii="Calibri" w:hAnsi="Calibri" w:cs="Calibri"/>
                <w:szCs w:val="18"/>
                <w:lang w:bidi="ar-SA"/>
              </w:rPr>
              <w:t> </w:t>
            </w:r>
            <w:hyperlink r:id="rId77" w:history="1">
              <w:r w:rsidRPr="000C776C">
                <w:rPr>
                  <w:szCs w:val="18"/>
                  <w:lang w:bidi="ar-SA"/>
                </w:rPr>
                <w:t>demand response</w:t>
              </w:r>
            </w:hyperlink>
            <w:r w:rsidRPr="000C776C">
              <w:rPr>
                <w:szCs w:val="18"/>
                <w:lang w:bidi="ar-SA"/>
              </w:rPr>
              <w:t>,</w:t>
            </w:r>
            <w:r w:rsidRPr="000C776C">
              <w:rPr>
                <w:rFonts w:ascii="Calibri" w:hAnsi="Calibri" w:cs="Calibri"/>
                <w:szCs w:val="18"/>
                <w:lang w:bidi="ar-SA"/>
              </w:rPr>
              <w:t> </w:t>
            </w:r>
            <w:hyperlink r:id="rId78" w:history="1">
              <w:r w:rsidRPr="000C776C">
                <w:rPr>
                  <w:szCs w:val="18"/>
                  <w:lang w:bidi="ar-SA"/>
                </w:rPr>
                <w:t>load shifting</w:t>
              </w:r>
            </w:hyperlink>
            <w:r w:rsidRPr="000C776C">
              <w:rPr>
                <w:szCs w:val="18"/>
                <w:lang w:bidi="ar-SA"/>
              </w:rPr>
              <w:t>,</w:t>
            </w:r>
            <w:r w:rsidRPr="000C776C">
              <w:rPr>
                <w:rFonts w:ascii="Calibri" w:hAnsi="Calibri" w:cs="Calibri"/>
                <w:szCs w:val="18"/>
                <w:lang w:bidi="ar-SA"/>
              </w:rPr>
              <w:t> </w:t>
            </w:r>
            <w:hyperlink r:id="rId79" w:history="1">
              <w:r w:rsidRPr="000C776C">
                <w:rPr>
                  <w:szCs w:val="18"/>
                  <w:lang w:bidi="ar-SA"/>
                </w:rPr>
                <w:t>controllable load</w:t>
              </w:r>
            </w:hyperlink>
            <w:r w:rsidRPr="000C776C">
              <w:rPr>
                <w:rFonts w:ascii="Calibri" w:hAnsi="Calibri" w:cs="Calibri"/>
                <w:szCs w:val="18"/>
                <w:lang w:bidi="ar-SA"/>
              </w:rPr>
              <w:t> </w:t>
            </w:r>
            <w:r w:rsidRPr="000C776C">
              <w:rPr>
                <w:szCs w:val="18"/>
                <w:lang w:bidi="ar-SA"/>
              </w:rPr>
              <w:t>and</w:t>
            </w:r>
            <w:r w:rsidRPr="000C776C">
              <w:rPr>
                <w:rFonts w:ascii="Calibri" w:hAnsi="Calibri" w:cs="Calibri"/>
                <w:szCs w:val="18"/>
                <w:lang w:bidi="ar-SA"/>
              </w:rPr>
              <w:t> </w:t>
            </w:r>
            <w:hyperlink r:id="rId80" w:history="1">
              <w:r w:rsidRPr="000C776C">
                <w:rPr>
                  <w:szCs w:val="18"/>
                  <w:lang w:bidi="ar-SA"/>
                </w:rPr>
                <w:t>interruptible load</w:t>
              </w:r>
            </w:hyperlink>
            <w:r w:rsidRPr="000C776C">
              <w:rPr>
                <w:rFonts w:ascii="Calibri" w:hAnsi="Calibri" w:cs="Calibri"/>
                <w:szCs w:val="18"/>
                <w:lang w:bidi="ar-SA"/>
              </w:rPr>
              <w:t> </w:t>
            </w:r>
            <w:r w:rsidRPr="000C776C">
              <w:rPr>
                <w:szCs w:val="18"/>
                <w:lang w:bidi="ar-SA"/>
              </w:rPr>
              <w:t xml:space="preserve">are generally synonymous with this concept). </w:t>
            </w:r>
          </w:p>
        </w:tc>
      </w:tr>
      <w:tr w:rsidR="000C776C" w:rsidRPr="000C776C" w14:paraId="7944FC20" w14:textId="77777777" w:rsidTr="00E24B05">
        <w:trPr>
          <w:trHeight w:val="944"/>
        </w:trPr>
        <w:tc>
          <w:tcPr>
            <w:tcW w:w="2127" w:type="dxa"/>
            <w:tcBorders>
              <w:top w:val="nil"/>
              <w:left w:val="nil"/>
              <w:bottom w:val="nil"/>
              <w:right w:val="nil"/>
            </w:tcBorders>
            <w:shd w:val="clear" w:color="auto" w:fill="067296" w:themeFill="text2"/>
          </w:tcPr>
          <w:p w14:paraId="50D179F4"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Function</w:t>
            </w:r>
          </w:p>
          <w:p w14:paraId="0F406E18" w14:textId="77777777" w:rsidR="000C776C" w:rsidRPr="000C776C" w:rsidRDefault="000C776C" w:rsidP="000C776C">
            <w:pPr>
              <w:spacing w:before="120" w:after="120" w:line="288" w:lineRule="auto"/>
              <w:ind w:left="175" w:right="176"/>
              <w:jc w:val="center"/>
              <w:rPr>
                <w:rFonts w:ascii="PP Mori SemiBold" w:hAnsi="PP Mori SemiBold"/>
                <w:iCs/>
                <w:color w:val="FAFAFA" w:themeColor="background1"/>
                <w:szCs w:val="18"/>
              </w:rPr>
            </w:pPr>
          </w:p>
        </w:tc>
        <w:tc>
          <w:tcPr>
            <w:tcW w:w="6378" w:type="dxa"/>
            <w:tcBorders>
              <w:left w:val="nil"/>
            </w:tcBorders>
          </w:tcPr>
          <w:p w14:paraId="35CC4A23" w14:textId="77777777" w:rsidR="000C776C" w:rsidRPr="000C776C" w:rsidRDefault="000C776C" w:rsidP="000C776C">
            <w:pPr>
              <w:spacing w:before="120" w:after="120" w:line="288" w:lineRule="auto"/>
              <w:ind w:left="176" w:right="176"/>
              <w:rPr>
                <w:lang w:eastAsia="en-US" w:bidi="ar-SA"/>
              </w:rPr>
            </w:pPr>
            <w:r w:rsidRPr="000C776C">
              <w:rPr>
                <w:szCs w:val="18"/>
                <w:lang w:eastAsia="en-US" w:bidi="ar-SA"/>
              </w:rPr>
              <w:t>Any of a set of related actions contributing to a larger action; a task, operation, or service. Functions combine to implement capabilities.</w:t>
            </w:r>
          </w:p>
        </w:tc>
      </w:tr>
      <w:tr w:rsidR="000C776C" w:rsidRPr="000C776C" w14:paraId="023D7ABB" w14:textId="77777777" w:rsidTr="00E24B05">
        <w:trPr>
          <w:trHeight w:val="944"/>
        </w:trPr>
        <w:tc>
          <w:tcPr>
            <w:tcW w:w="2127" w:type="dxa"/>
            <w:tcBorders>
              <w:top w:val="nil"/>
            </w:tcBorders>
            <w:shd w:val="clear" w:color="auto" w:fill="067296" w:themeFill="text2"/>
          </w:tcPr>
          <w:p w14:paraId="6689488A" w14:textId="77777777" w:rsidR="000C776C" w:rsidRPr="000C776C" w:rsidRDefault="000C776C" w:rsidP="000C776C">
            <w:pPr>
              <w:spacing w:before="120" w:after="120" w:line="288" w:lineRule="auto"/>
              <w:ind w:left="175" w:right="176"/>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t>Interdependent Grid</w:t>
            </w:r>
          </w:p>
          <w:p w14:paraId="3BB0CC25"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08948482"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A set of structural and functional arrangements that formalise how the combination of centralised and distributed system management jointly underpins the secure and affordable operation of a decarbonising power system as operational volatility and bidirectional power flows increase. </w:t>
            </w:r>
          </w:p>
          <w:p w14:paraId="44AC1344"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In a conventional grid, most generation was located upstream, connected to the transmission network and system operations were comparatively hierarchical and ‘top-down’. By contrast, as millions of diverse, participating energy resources emerge across all tiers/layers of the grid, a more interdependent power system enables coordination and dynamic decision-making across all supply chain entities in near real-time. </w:t>
            </w:r>
          </w:p>
          <w:p w14:paraId="186BFFB5" w14:textId="77777777" w:rsidR="000C776C" w:rsidRPr="000C776C" w:rsidRDefault="000C776C" w:rsidP="000C776C">
            <w:pPr>
              <w:spacing w:before="120" w:after="120" w:line="288" w:lineRule="auto"/>
              <w:ind w:left="176" w:right="176"/>
              <w:rPr>
                <w:szCs w:val="18"/>
                <w:lang w:bidi="ar-SA"/>
              </w:rPr>
            </w:pPr>
            <w:r w:rsidRPr="000C776C">
              <w:rPr>
                <w:lang w:eastAsia="en-US" w:bidi="ar-SA"/>
              </w:rPr>
              <w:t xml:space="preserve">Supported by an architecturally informed digital infrastructure, the system operator, transmission networks, DSOs, aggregators and market platforms are capable of operating with greater levels of visibility, predictability and alignment. This provides the scalable foundation for both whole-system operational coordination and supply-demand balancing as a decarbonising, high-CER/DER grid becomes more volatile and bidirectional. </w:t>
            </w:r>
          </w:p>
        </w:tc>
      </w:tr>
      <w:tr w:rsidR="000C776C" w:rsidRPr="000C776C" w14:paraId="624285E9" w14:textId="77777777" w:rsidTr="00E24B05">
        <w:trPr>
          <w:trHeight w:val="944"/>
        </w:trPr>
        <w:tc>
          <w:tcPr>
            <w:tcW w:w="2127" w:type="dxa"/>
            <w:shd w:val="clear" w:color="auto" w:fill="067296" w:themeFill="text2"/>
          </w:tcPr>
          <w:p w14:paraId="0B99FF59"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Interface</w:t>
            </w:r>
          </w:p>
        </w:tc>
        <w:tc>
          <w:tcPr>
            <w:tcW w:w="6378" w:type="dxa"/>
          </w:tcPr>
          <w:p w14:paraId="2DE5C1A4" w14:textId="77777777" w:rsidR="000C776C" w:rsidRPr="000C776C" w:rsidRDefault="000C776C" w:rsidP="000C776C">
            <w:pPr>
              <w:spacing w:before="120" w:after="120" w:line="288" w:lineRule="auto"/>
              <w:ind w:left="176" w:right="176"/>
              <w:rPr>
                <w:szCs w:val="18"/>
                <w:lang w:bidi="ar-SA"/>
              </w:rPr>
            </w:pPr>
            <w:r w:rsidRPr="000C776C">
              <w:rPr>
                <w:szCs w:val="18"/>
                <w:lang w:bidi="ar-SA"/>
              </w:rPr>
              <w:t>A point of interaction or boundary where different subsystems, components, or modules communicate and exchange information or energy. It defines the protocols, standards, and methods through which these interactions occur, ensuring compatibility and coordination among the interconnected parts of the system. Interfaces are crucial for the integration and functionality of complex systems, allowing diverse elements to work together effectively.</w:t>
            </w:r>
          </w:p>
        </w:tc>
      </w:tr>
    </w:tbl>
    <w:p w14:paraId="2D182854"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067E0F76" w14:textId="77777777" w:rsidTr="00E24B05">
        <w:tc>
          <w:tcPr>
            <w:tcW w:w="2127" w:type="dxa"/>
            <w:shd w:val="clear" w:color="auto" w:fill="067296" w:themeFill="text2"/>
          </w:tcPr>
          <w:p w14:paraId="12CFF73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Interoperability</w:t>
            </w:r>
          </w:p>
          <w:p w14:paraId="4F4C6EA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423E86F7" w14:textId="6D1CE56E" w:rsidR="000C776C" w:rsidRPr="000C776C" w:rsidRDefault="000C776C" w:rsidP="000C776C">
            <w:pPr>
              <w:spacing w:before="120" w:after="120" w:line="288" w:lineRule="auto"/>
              <w:ind w:left="176" w:right="176"/>
              <w:rPr>
                <w:szCs w:val="18"/>
                <w:lang w:bidi="ar-SA"/>
              </w:rPr>
            </w:pPr>
            <w:r w:rsidRPr="000C776C">
              <w:rPr>
                <w:szCs w:val="18"/>
                <w:lang w:bidi="ar-SA"/>
              </w:rPr>
              <w:t>The capability of two or more s</w:t>
            </w:r>
            <w:hyperlink r:id="rId81" w:history="1">
              <w:r w:rsidRPr="000C776C">
                <w:rPr>
                  <w:szCs w:val="18"/>
                  <w:lang w:bidi="ar-SA"/>
                </w:rPr>
                <w:t>ystems,</w:t>
              </w:r>
            </w:hyperlink>
            <w:r w:rsidRPr="000C776C">
              <w:rPr>
                <w:szCs w:val="18"/>
                <w:lang w:bidi="ar-SA"/>
              </w:rPr>
              <w:t xml:space="preserve"> components or applications</w:t>
            </w:r>
            <w:r w:rsidRPr="000C776C">
              <w:rPr>
                <w:rFonts w:ascii="Calibri" w:hAnsi="Calibri" w:cs="Calibri"/>
                <w:szCs w:val="18"/>
                <w:lang w:bidi="ar-SA"/>
              </w:rPr>
              <w:t> </w:t>
            </w:r>
            <w:r w:rsidRPr="000C776C">
              <w:rPr>
                <w:szCs w:val="18"/>
                <w:lang w:bidi="ar-SA"/>
              </w:rPr>
              <w:t>to share, transfer, and readily use energy, power, information and services securely and effectively with little or no inconvenience to the user.</w:t>
            </w:r>
          </w:p>
          <w:p w14:paraId="73CC7A55" w14:textId="2EC44F18" w:rsidR="000C776C" w:rsidRPr="000C776C" w:rsidRDefault="000C776C" w:rsidP="000C776C">
            <w:pPr>
              <w:spacing w:before="120" w:after="120" w:line="288" w:lineRule="auto"/>
              <w:ind w:left="176" w:right="176"/>
              <w:rPr>
                <w:szCs w:val="18"/>
                <w:lang w:bidi="ar-SA"/>
              </w:rPr>
            </w:pPr>
            <w:r w:rsidRPr="000C776C">
              <w:rPr>
                <w:szCs w:val="18"/>
                <w:lang w:bidi="ar-SA"/>
              </w:rPr>
              <w:t xml:space="preserve">Future-ready approaches to Interoperability recognise that is has an intrinsic relationship to the underpinning </w:t>
            </w:r>
            <w:hyperlink r:id="rId82" w:history="1">
              <w:r w:rsidRPr="000C776C">
                <w:rPr>
                  <w:szCs w:val="18"/>
                  <w:lang w:bidi="ar-SA"/>
                </w:rPr>
                <w:t>Structure</w:t>
              </w:r>
            </w:hyperlink>
            <w:r w:rsidRPr="000C776C">
              <w:rPr>
                <w:szCs w:val="18"/>
                <w:lang w:bidi="ar-SA"/>
              </w:rPr>
              <w:t xml:space="preserve"> and Roles &amp; Responsibilities of the wider system, both in their current state form and as they will plausibly need to evolve to enable an increasingly decarbonised future system. </w:t>
            </w:r>
          </w:p>
        </w:tc>
      </w:tr>
      <w:tr w:rsidR="000C776C" w:rsidRPr="000C776C" w14:paraId="6D388006" w14:textId="77777777" w:rsidTr="00E24B05">
        <w:tc>
          <w:tcPr>
            <w:tcW w:w="2127" w:type="dxa"/>
            <w:shd w:val="clear" w:color="auto" w:fill="067296" w:themeFill="text2"/>
          </w:tcPr>
          <w:p w14:paraId="2D23C9A8"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Inverter-Based Resource</w:t>
            </w:r>
          </w:p>
        </w:tc>
        <w:tc>
          <w:tcPr>
            <w:tcW w:w="6378" w:type="dxa"/>
          </w:tcPr>
          <w:p w14:paraId="50FBF6D1" w14:textId="77777777" w:rsidR="000C776C" w:rsidRPr="000C776C" w:rsidRDefault="000C776C" w:rsidP="000C776C">
            <w:pPr>
              <w:spacing w:before="120" w:after="120" w:line="288" w:lineRule="auto"/>
              <w:ind w:left="176" w:right="176"/>
              <w:rPr>
                <w:szCs w:val="18"/>
                <w:lang w:bidi="ar-SA"/>
              </w:rPr>
            </w:pPr>
            <w:r w:rsidRPr="000C776C">
              <w:rPr>
                <w:szCs w:val="18"/>
                <w:lang w:bidi="ar-SA"/>
              </w:rPr>
              <w:t>A diverse range of energy resources that, unlike many conventional resources, do not have moving components that rotate synchronised with the frequency of the power system.  In contrast, resources such as wind turbines, solar photovoltaics (solar PV) and battery energy storage systems (BESS) are interfaced with the power system via power electronic converters known as inverters, which electronically replicate the standard operating frequency of the grid.</w:t>
            </w:r>
          </w:p>
        </w:tc>
      </w:tr>
      <w:tr w:rsidR="000C776C" w:rsidRPr="000C776C" w14:paraId="70B9C6E2" w14:textId="77777777" w:rsidTr="00E24B05">
        <w:tc>
          <w:tcPr>
            <w:tcW w:w="2127" w:type="dxa"/>
            <w:shd w:val="clear" w:color="auto" w:fill="067296" w:themeFill="text2"/>
          </w:tcPr>
          <w:p w14:paraId="2B9446B0" w14:textId="77777777" w:rsidR="000C776C" w:rsidRPr="000C776C" w:rsidRDefault="000C776C" w:rsidP="000C776C">
            <w:pPr>
              <w:spacing w:before="120" w:after="120" w:line="288" w:lineRule="auto"/>
              <w:ind w:left="175" w:right="176"/>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t>Layered Decomposition</w:t>
            </w:r>
          </w:p>
          <w:p w14:paraId="7268A5FA"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33B45212"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A foundational strategy for managing complexity in large, complex systems by breaking them into semi-independent, logically structured layers, each of which provides services to the layer above and uses services from the layer below. </w:t>
            </w:r>
          </w:p>
          <w:p w14:paraId="27BD45E5"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Based on formally established mathematical techniques, it is employed in many sectors, such as aerospace, internet and communications protocols, cloud computing and autonomous vehicles, to solve Ultra Large Scale (ULS) optimisation problems. It reduces coupling, increases resilience and enables scaling, making it a hallmark of modern complex engineered systems.</w:t>
            </w:r>
          </w:p>
          <w:p w14:paraId="232F355D" w14:textId="77777777" w:rsidR="000C776C" w:rsidRPr="000C776C" w:rsidRDefault="000C776C" w:rsidP="000C776C">
            <w:pPr>
              <w:spacing w:before="120" w:after="120" w:line="288" w:lineRule="auto"/>
              <w:ind w:left="176" w:right="176"/>
              <w:rPr>
                <w:bCs/>
                <w:lang w:eastAsia="en-US" w:bidi="ar-SA"/>
              </w:rPr>
            </w:pPr>
            <w:r w:rsidRPr="000C776C">
              <w:rPr>
                <w:szCs w:val="18"/>
                <w:lang w:eastAsia="en-US" w:bidi="ar-SA"/>
              </w:rPr>
              <w:t xml:space="preserve">As decarbonising power systems face growing levels of volatility and bidirectional power flows while transitioning from hundreds to millions of participating resources, layered decomposition provides an empirical basis for solving the many critical structural issues that impede whole-system visibility and the operational coordination of millions of diverse participating resources. </w:t>
            </w:r>
          </w:p>
          <w:p w14:paraId="651EFC16"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 xml:space="preserve">In contrast with more traditional ‘top-down’ hierarchical control, it enables highly complex problems to be decomposed multiple times into sub-problems, which then work in combination to solve the original problem. </w:t>
            </w:r>
          </w:p>
        </w:tc>
      </w:tr>
      <w:tr w:rsidR="000C776C" w:rsidRPr="000C776C" w14:paraId="4A12059C" w14:textId="77777777" w:rsidTr="00E24B05">
        <w:tc>
          <w:tcPr>
            <w:tcW w:w="2127" w:type="dxa"/>
            <w:shd w:val="clear" w:color="auto" w:fill="067296" w:themeFill="text2"/>
          </w:tcPr>
          <w:p w14:paraId="220FC5B6" w14:textId="77777777" w:rsidR="000C776C" w:rsidRPr="000C776C" w:rsidRDefault="000C776C" w:rsidP="000C776C">
            <w:pPr>
              <w:spacing w:before="120" w:after="120" w:line="288" w:lineRule="auto"/>
              <w:jc w:val="center"/>
              <w:rPr>
                <w:rFonts w:ascii="PP Mori SemiBold" w:eastAsia="Segoe UI" w:hAnsi="PP Mori SemiBold"/>
                <w:bCs/>
                <w:color w:val="FAFAFA" w:themeColor="background1"/>
                <w:szCs w:val="18"/>
              </w:rPr>
            </w:pPr>
            <w:r w:rsidRPr="000C776C">
              <w:rPr>
                <w:rFonts w:ascii="PP Mori SemiBold" w:eastAsia="Segoe UI" w:hAnsi="PP Mori SemiBold"/>
                <w:bCs/>
                <w:color w:val="FAFAFA" w:themeColor="background1"/>
                <w:szCs w:val="18"/>
              </w:rPr>
              <w:lastRenderedPageBreak/>
              <w:t>Market Mechanism</w:t>
            </w:r>
          </w:p>
        </w:tc>
        <w:tc>
          <w:tcPr>
            <w:tcW w:w="6378" w:type="dxa"/>
          </w:tcPr>
          <w:p w14:paraId="5220A976" w14:textId="77777777" w:rsidR="000C776C" w:rsidRPr="000C776C" w:rsidRDefault="000C776C" w:rsidP="000C776C">
            <w:pPr>
              <w:spacing w:before="120" w:after="120" w:line="288" w:lineRule="auto"/>
              <w:ind w:left="176" w:right="176"/>
              <w:rPr>
                <w:bCs/>
                <w:szCs w:val="18"/>
                <w:lang w:eastAsia="en-US" w:bidi="ar-SA"/>
              </w:rPr>
            </w:pPr>
            <w:r w:rsidRPr="000C776C">
              <w:rPr>
                <w:bCs/>
                <w:szCs w:val="18"/>
                <w:lang w:eastAsia="en-US" w:bidi="ar-SA"/>
              </w:rPr>
              <w:t>Any form of</w:t>
            </w:r>
            <w:r w:rsidRPr="000C776C">
              <w:rPr>
                <w:lang w:eastAsia="en-US" w:bidi="ar-SA"/>
              </w:rPr>
              <w:t xml:space="preserve"> e</w:t>
            </w:r>
            <w:r w:rsidRPr="000C776C">
              <w:rPr>
                <w:bCs/>
                <w:szCs w:val="18"/>
                <w:lang w:eastAsia="en-US" w:bidi="ar-SA"/>
              </w:rPr>
              <w:t xml:space="preserve">xchange </w:t>
            </w:r>
            <w:r w:rsidRPr="000C776C">
              <w:rPr>
                <w:lang w:eastAsia="en-US" w:bidi="ar-SA"/>
              </w:rPr>
              <w:t xml:space="preserve">mechanism </w:t>
            </w:r>
            <w:r w:rsidRPr="000C776C">
              <w:rPr>
                <w:bCs/>
                <w:szCs w:val="18"/>
                <w:lang w:eastAsia="en-US" w:bidi="ar-SA"/>
              </w:rPr>
              <w:t xml:space="preserve">between buyers and sellers of electricity services that enables the monetisation and transaction of their economic value via a range of means, including tariffs, contracts, auctions and digital platforms. </w:t>
            </w:r>
          </w:p>
        </w:tc>
      </w:tr>
      <w:tr w:rsidR="000C776C" w:rsidRPr="000C776C" w14:paraId="1B27912E" w14:textId="77777777" w:rsidTr="00E24B05">
        <w:tc>
          <w:tcPr>
            <w:tcW w:w="2127" w:type="dxa"/>
            <w:shd w:val="clear" w:color="auto" w:fill="067296" w:themeFill="text2"/>
          </w:tcPr>
          <w:p w14:paraId="306E012C" w14:textId="77777777" w:rsidR="000C776C" w:rsidRPr="000C776C" w:rsidRDefault="000C776C" w:rsidP="000C776C">
            <w:pPr>
              <w:spacing w:before="120" w:after="120" w:line="288" w:lineRule="auto"/>
              <w:jc w:val="center"/>
              <w:rPr>
                <w:rFonts w:ascii="PP Mori SemiBold" w:eastAsia="Segoe UI" w:hAnsi="PP Mori SemiBold"/>
                <w:color w:val="FAFAFA" w:themeColor="background1"/>
                <w:szCs w:val="18"/>
              </w:rPr>
            </w:pPr>
            <w:r w:rsidRPr="000C776C">
              <w:rPr>
                <w:rFonts w:ascii="PP Mori SemiBold" w:eastAsia="Segoe UI" w:hAnsi="PP Mori SemiBold"/>
                <w:color w:val="FAFAFA" w:themeColor="background1"/>
                <w:szCs w:val="18"/>
              </w:rPr>
              <w:t>Market-Control System</w:t>
            </w:r>
          </w:p>
          <w:p w14:paraId="072FC41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4E8338D1"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 xml:space="preserve">A market-control system in </w:t>
            </w:r>
            <w:r w:rsidRPr="000C776C">
              <w:rPr>
                <w:bCs/>
                <w:szCs w:val="18"/>
                <w:lang w:eastAsia="en-US" w:bidi="ar-SA"/>
              </w:rPr>
              <w:t>a</w:t>
            </w:r>
            <w:r w:rsidRPr="000C776C">
              <w:rPr>
                <w:szCs w:val="18"/>
                <w:lang w:eastAsia="en-US" w:bidi="ar-SA"/>
              </w:rPr>
              <w:t xml:space="preserve"> power system is the integrated set of mechanisms, processes, and technologies that coordinate electricity market operations with real-time grid control. It enables efficient energy trading, ensures the balance of supply and demand, maintains system reliability, enforces regulatory compliance, and supports financial settlement. By aligning economic signals with operational needs, it facilitates transparent pricing, </w:t>
            </w:r>
            <w:r w:rsidRPr="000C776C">
              <w:rPr>
                <w:bCs/>
                <w:szCs w:val="18"/>
                <w:lang w:eastAsia="en-US" w:bidi="ar-SA"/>
              </w:rPr>
              <w:t>incentivises</w:t>
            </w:r>
            <w:r w:rsidRPr="000C776C">
              <w:rPr>
                <w:szCs w:val="18"/>
                <w:lang w:eastAsia="en-US" w:bidi="ar-SA"/>
              </w:rPr>
              <w:t xml:space="preserve"> investment, and enables the integration of diverse energy resources into the grid.</w:t>
            </w:r>
          </w:p>
        </w:tc>
      </w:tr>
      <w:tr w:rsidR="000C776C" w:rsidRPr="000C776C" w14:paraId="07CD61B9" w14:textId="77777777" w:rsidTr="00E24B05">
        <w:tc>
          <w:tcPr>
            <w:tcW w:w="2127" w:type="dxa"/>
            <w:shd w:val="clear" w:color="auto" w:fill="067296" w:themeFill="text2"/>
          </w:tcPr>
          <w:p w14:paraId="57F950B9"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Market/System Operator (MSO)</w:t>
            </w:r>
          </w:p>
        </w:tc>
        <w:tc>
          <w:tcPr>
            <w:tcW w:w="6378" w:type="dxa"/>
          </w:tcPr>
          <w:p w14:paraId="129AC032" w14:textId="77777777" w:rsidR="000C776C" w:rsidRPr="000C776C" w:rsidRDefault="000C776C" w:rsidP="000C776C">
            <w:pPr>
              <w:spacing w:before="120" w:after="120" w:line="288" w:lineRule="auto"/>
              <w:ind w:left="176" w:right="176"/>
              <w:rPr>
                <w:szCs w:val="18"/>
                <w:lang w:bidi="ar-SA"/>
              </w:rPr>
            </w:pPr>
            <w:r w:rsidRPr="000C776C">
              <w:rPr>
                <w:szCs w:val="18"/>
                <w:lang w:bidi="ar-SA"/>
              </w:rPr>
              <w:t xml:space="preserve">An entity that combines the functions of the Market Operator and System Operator to ensure secure, reliable and efficient provision of electricity services with a primary focus on the bulk power system.  </w:t>
            </w:r>
          </w:p>
          <w:p w14:paraId="55CC02B9" w14:textId="77777777" w:rsidR="000C776C" w:rsidRPr="000C776C" w:rsidRDefault="000C776C" w:rsidP="000C776C">
            <w:pPr>
              <w:spacing w:before="120" w:after="120" w:line="288" w:lineRule="auto"/>
              <w:ind w:left="176" w:right="176"/>
              <w:rPr>
                <w:szCs w:val="18"/>
                <w:lang w:bidi="ar-SA"/>
              </w:rPr>
            </w:pPr>
            <w:r w:rsidRPr="000C776C">
              <w:rPr>
                <w:szCs w:val="18"/>
                <w:lang w:bidi="ar-SA"/>
              </w:rPr>
              <w:t xml:space="preserve">At the highest level, this will include responsibility for: </w:t>
            </w:r>
          </w:p>
          <w:p w14:paraId="0E9154C4" w14:textId="77777777" w:rsidR="000C776C" w:rsidRPr="000C776C" w:rsidRDefault="000C776C" w:rsidP="00470C91">
            <w:pPr>
              <w:numPr>
                <w:ilvl w:val="0"/>
                <w:numId w:val="36"/>
              </w:numPr>
              <w:tabs>
                <w:tab w:val="num" w:pos="720"/>
              </w:tabs>
              <w:spacing w:before="120" w:after="120" w:line="288" w:lineRule="auto"/>
              <w:ind w:left="714" w:hanging="357"/>
              <w:rPr>
                <w:rFonts w:eastAsia="Segoe UI"/>
                <w:color w:val="252423"/>
                <w:szCs w:val="18"/>
              </w:rPr>
            </w:pPr>
            <w:r w:rsidRPr="000C776C">
              <w:rPr>
                <w:rFonts w:eastAsia="Segoe UI"/>
                <w:color w:val="252423"/>
                <w:szCs w:val="18"/>
              </w:rPr>
              <w:t xml:space="preserve">System forecasting and planning: to ensure resource adequacy over various time horizons; </w:t>
            </w:r>
          </w:p>
          <w:p w14:paraId="786DA9B5" w14:textId="77777777" w:rsidR="000C776C" w:rsidRPr="000C776C" w:rsidRDefault="000C776C" w:rsidP="00470C91">
            <w:pPr>
              <w:numPr>
                <w:ilvl w:val="0"/>
                <w:numId w:val="36"/>
              </w:numPr>
              <w:tabs>
                <w:tab w:val="num" w:pos="720"/>
              </w:tabs>
              <w:spacing w:before="120" w:after="120" w:line="288" w:lineRule="auto"/>
              <w:ind w:left="714" w:hanging="357"/>
              <w:rPr>
                <w:rFonts w:eastAsia="Segoe UI"/>
                <w:color w:val="252423"/>
                <w:szCs w:val="18"/>
              </w:rPr>
            </w:pPr>
            <w:r w:rsidRPr="000C776C">
              <w:rPr>
                <w:rFonts w:eastAsia="Segoe UI"/>
                <w:color w:val="252423"/>
                <w:szCs w:val="18"/>
              </w:rPr>
              <w:t xml:space="preserve">Real-time system operation:  maintaining the instantaneous balancing of supply and demand; and, </w:t>
            </w:r>
          </w:p>
          <w:p w14:paraId="22148209" w14:textId="77777777" w:rsidR="000C776C" w:rsidRPr="000C776C" w:rsidRDefault="000C776C" w:rsidP="00470C91">
            <w:pPr>
              <w:numPr>
                <w:ilvl w:val="0"/>
                <w:numId w:val="36"/>
              </w:numPr>
              <w:tabs>
                <w:tab w:val="num" w:pos="720"/>
              </w:tabs>
              <w:spacing w:before="120" w:after="120" w:line="288" w:lineRule="auto"/>
              <w:ind w:left="714" w:hanging="357"/>
              <w:rPr>
                <w:szCs w:val="18"/>
              </w:rPr>
            </w:pPr>
            <w:r w:rsidRPr="000C776C">
              <w:rPr>
                <w:rFonts w:eastAsia="Segoe UI"/>
                <w:color w:val="252423"/>
                <w:szCs w:val="18"/>
              </w:rPr>
              <w:t>Market operations: to value, incentivise, procure and coordinate the provision of energy, capacity, flexibility and/or ancillary services.</w:t>
            </w:r>
            <w:r w:rsidRPr="000C776C">
              <w:rPr>
                <w:szCs w:val="18"/>
              </w:rPr>
              <w:t xml:space="preserve"> </w:t>
            </w:r>
          </w:p>
        </w:tc>
      </w:tr>
      <w:tr w:rsidR="000C776C" w:rsidRPr="000C776C" w14:paraId="61C7EFC2" w14:textId="77777777" w:rsidTr="00E24B05">
        <w:tc>
          <w:tcPr>
            <w:tcW w:w="2127" w:type="dxa"/>
            <w:shd w:val="clear" w:color="auto" w:fill="067296" w:themeFill="text2"/>
          </w:tcPr>
          <w:p w14:paraId="6D2AB080" w14:textId="77777777" w:rsidR="000C776C" w:rsidRPr="000C776C" w:rsidRDefault="000C776C" w:rsidP="000C776C">
            <w:pPr>
              <w:spacing w:before="120" w:after="120" w:line="288" w:lineRule="auto"/>
              <w:ind w:left="176" w:right="176"/>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t>Megashift</w:t>
            </w:r>
          </w:p>
          <w:p w14:paraId="19C2047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43329E67"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A term derived from the Strategic Foresight discipline which refers to a large-scale, systemic transformation that reshapes the underlying structures and behaviours of an industry, sector, society and/or the natural environment over an extended time horizon. Key characteristics of a Megashift include: </w:t>
            </w:r>
          </w:p>
          <w:p w14:paraId="07F3A658" w14:textId="77777777" w:rsidR="000C776C" w:rsidRPr="000C776C" w:rsidRDefault="000C776C" w:rsidP="00470C91">
            <w:pPr>
              <w:numPr>
                <w:ilvl w:val="0"/>
                <w:numId w:val="28"/>
              </w:numPr>
              <w:spacing w:before="120" w:after="120" w:line="288" w:lineRule="auto"/>
              <w:ind w:left="890" w:right="176" w:hanging="357"/>
              <w:rPr>
                <w:szCs w:val="18"/>
                <w:lang w:eastAsia="en-US" w:bidi="ar-SA"/>
              </w:rPr>
            </w:pPr>
            <w:r w:rsidRPr="000C776C">
              <w:rPr>
                <w:szCs w:val="18"/>
                <w:lang w:eastAsia="en-US" w:bidi="ar-SA"/>
              </w:rPr>
              <w:t>Scale and Scope:</w:t>
            </w:r>
            <w:r w:rsidRPr="000C776C">
              <w:rPr>
                <w:lang w:eastAsia="en-US" w:bidi="ar-SA"/>
              </w:rPr>
              <w:t xml:space="preserve"> Global or near-global in impact, typically affecting multiple domains at the same time. </w:t>
            </w:r>
          </w:p>
          <w:p w14:paraId="2941380A" w14:textId="77777777" w:rsidR="000C776C" w:rsidRPr="000C776C" w:rsidRDefault="000C776C" w:rsidP="00470C91">
            <w:pPr>
              <w:numPr>
                <w:ilvl w:val="0"/>
                <w:numId w:val="28"/>
              </w:numPr>
              <w:spacing w:before="120" w:after="120" w:line="288" w:lineRule="auto"/>
              <w:ind w:left="890" w:right="176" w:hanging="357"/>
              <w:rPr>
                <w:szCs w:val="18"/>
                <w:lang w:eastAsia="en-US" w:bidi="ar-SA"/>
              </w:rPr>
            </w:pPr>
            <w:r w:rsidRPr="000C776C">
              <w:rPr>
                <w:szCs w:val="18"/>
                <w:lang w:eastAsia="en-US" w:bidi="ar-SA"/>
              </w:rPr>
              <w:t>Multiple Drivers:</w:t>
            </w:r>
            <w:r w:rsidRPr="000C776C">
              <w:rPr>
                <w:lang w:eastAsia="en-US" w:bidi="ar-SA"/>
              </w:rPr>
              <w:t xml:space="preserve"> Broader than individual trends or emerging issues, typically reflecting the cumulative effects of many converging drivers.</w:t>
            </w:r>
          </w:p>
          <w:p w14:paraId="460FA8B5" w14:textId="77777777" w:rsidR="000C776C" w:rsidRPr="000C776C" w:rsidRDefault="000C776C" w:rsidP="00470C91">
            <w:pPr>
              <w:numPr>
                <w:ilvl w:val="0"/>
                <w:numId w:val="28"/>
              </w:numPr>
              <w:spacing w:before="120" w:after="120" w:line="288" w:lineRule="auto"/>
              <w:ind w:left="890" w:right="176" w:hanging="357"/>
              <w:rPr>
                <w:szCs w:val="18"/>
                <w:lang w:bidi="ar-SA"/>
              </w:rPr>
            </w:pPr>
            <w:r w:rsidRPr="000C776C">
              <w:rPr>
                <w:szCs w:val="18"/>
                <w:lang w:eastAsia="en-US" w:bidi="ar-SA"/>
              </w:rPr>
              <w:lastRenderedPageBreak/>
              <w:t>Temporal Depth:</w:t>
            </w:r>
            <w:r w:rsidRPr="000C776C">
              <w:rPr>
                <w:lang w:eastAsia="en-US" w:bidi="ar-SA"/>
              </w:rPr>
              <w:t xml:space="preserve"> Unlike short-term perturbations, Megashifts unfold over decades and often fundamentally reshape structures and systems for the long-term.</w:t>
            </w:r>
          </w:p>
        </w:tc>
      </w:tr>
      <w:tr w:rsidR="000C776C" w:rsidRPr="000C776C" w14:paraId="02B989FA" w14:textId="77777777" w:rsidTr="00E24B05">
        <w:tc>
          <w:tcPr>
            <w:tcW w:w="2127" w:type="dxa"/>
            <w:shd w:val="clear" w:color="auto" w:fill="067296" w:themeFill="text2"/>
          </w:tcPr>
          <w:p w14:paraId="4E45D4A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eastAsia="Segoe UI" w:hAnsi="PP Mori SemiBold"/>
                <w:color w:val="FAFAFA" w:themeColor="background1"/>
                <w:szCs w:val="18"/>
              </w:rPr>
              <w:lastRenderedPageBreak/>
              <w:t>Minimum Operational Demand</w:t>
            </w:r>
          </w:p>
          <w:p w14:paraId="67FC933D" w14:textId="77777777" w:rsidR="000C776C" w:rsidRPr="000C776C" w:rsidRDefault="000C776C" w:rsidP="000C776C">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5FA9734F" w14:textId="77777777" w:rsidR="000C776C" w:rsidRPr="000C776C" w:rsidRDefault="000C776C" w:rsidP="000C776C">
            <w:pPr>
              <w:spacing w:before="120" w:after="120" w:line="288" w:lineRule="auto"/>
              <w:ind w:left="176" w:right="176"/>
              <w:rPr>
                <w:lang w:eastAsia="en-US" w:bidi="ar-SA"/>
              </w:rPr>
            </w:pPr>
            <w:r w:rsidRPr="000C776C">
              <w:rPr>
                <w:szCs w:val="18"/>
                <w:lang w:eastAsia="en-US" w:bidi="ar-SA"/>
              </w:rPr>
              <w:t xml:space="preserve">The lowest amount of electrical Power instantaneously delivered, or forecast to be delivered, in a defined period (day, week, month, season or year), either at a specific Connection Point, network segment or for the entire Power System. Measured in kiloWatts (kW), MegaWatts (MW) or GigaWatts (GW). </w:t>
            </w:r>
            <w:r w:rsidRPr="000C776C">
              <w:rPr>
                <w:rFonts w:ascii="Calibri" w:hAnsi="Calibri" w:cs="Calibri"/>
                <w:szCs w:val="18"/>
                <w:lang w:eastAsia="en-US" w:bidi="ar-SA"/>
              </w:rPr>
              <w:t> </w:t>
            </w:r>
          </w:p>
        </w:tc>
      </w:tr>
      <w:tr w:rsidR="000C776C" w:rsidRPr="000C776C" w14:paraId="315A3F2F" w14:textId="77777777" w:rsidTr="00E24B05">
        <w:tc>
          <w:tcPr>
            <w:tcW w:w="2127" w:type="dxa"/>
            <w:shd w:val="clear" w:color="auto" w:fill="067296" w:themeFill="text2"/>
          </w:tcPr>
          <w:p w14:paraId="22EEDAFE"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eastAsia="Segoe UI" w:hAnsi="PP Mori SemiBold"/>
                <w:color w:val="FAFAFA" w:themeColor="background1"/>
                <w:szCs w:val="18"/>
              </w:rPr>
              <w:t>Model-Based Systems Engineering (MBSE)</w:t>
            </w:r>
          </w:p>
          <w:p w14:paraId="40540B55" w14:textId="77777777" w:rsidR="000C776C" w:rsidRPr="000C776C" w:rsidRDefault="000C776C" w:rsidP="000C776C">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73438A2D" w14:textId="77777777" w:rsidR="000C776C" w:rsidRPr="000C776C" w:rsidRDefault="000C776C" w:rsidP="000C776C">
            <w:pPr>
              <w:spacing w:before="120" w:after="120" w:line="288" w:lineRule="auto"/>
              <w:ind w:left="176" w:right="176"/>
              <w:rPr>
                <w:lang w:bidi="ar-SA"/>
              </w:rPr>
            </w:pPr>
            <w:r w:rsidRPr="000C776C">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0118D970" w14:textId="77777777" w:rsidR="000C776C" w:rsidRPr="000C776C" w:rsidRDefault="000C776C" w:rsidP="000C776C">
            <w:pPr>
              <w:spacing w:before="120" w:after="120" w:line="288" w:lineRule="auto"/>
              <w:ind w:left="176" w:right="176"/>
              <w:rPr>
                <w:lang w:eastAsia="en-US" w:bidi="ar-SA"/>
              </w:rPr>
            </w:pPr>
            <w:r w:rsidRPr="000C776C">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0C776C">
              <w:rPr>
                <w:rFonts w:ascii="Calibri" w:hAnsi="Calibri" w:cs="Calibri"/>
                <w:szCs w:val="18"/>
                <w:lang w:eastAsia="en-US" w:bidi="ar-SA"/>
              </w:rPr>
              <w:t> </w:t>
            </w:r>
            <w:r w:rsidRPr="000C776C">
              <w:rPr>
                <w:szCs w:val="18"/>
                <w:lang w:eastAsia="en-US" w:bidi="ar-SA"/>
              </w:rPr>
              <w:t>Architecture and Functions of a System.</w:t>
            </w:r>
            <w:r w:rsidRPr="000C776C">
              <w:rPr>
                <w:rFonts w:ascii="Calibri" w:hAnsi="Calibri" w:cs="Calibri"/>
                <w:szCs w:val="18"/>
                <w:lang w:eastAsia="en-US" w:bidi="ar-SA"/>
              </w:rPr>
              <w:t> </w:t>
            </w:r>
          </w:p>
        </w:tc>
      </w:tr>
      <w:tr w:rsidR="000C776C" w:rsidRPr="000C776C" w14:paraId="74175709" w14:textId="77777777" w:rsidTr="00E24B05">
        <w:tc>
          <w:tcPr>
            <w:tcW w:w="2127" w:type="dxa"/>
            <w:shd w:val="clear" w:color="auto" w:fill="067296" w:themeFill="text2"/>
          </w:tcPr>
          <w:p w14:paraId="6E36A8F7" w14:textId="77777777" w:rsidR="000C776C" w:rsidRPr="000C776C" w:rsidRDefault="000C776C" w:rsidP="000C776C">
            <w:pPr>
              <w:spacing w:before="120" w:after="120" w:line="288" w:lineRule="auto"/>
              <w:ind w:left="174" w:right="172"/>
              <w:jc w:val="center"/>
              <w:rPr>
                <w:rFonts w:ascii="PP Mori SemiBold" w:hAnsi="PP Mori SemiBold"/>
                <w:iCs/>
                <w:color w:val="FAFAFA" w:themeColor="background1"/>
                <w:szCs w:val="18"/>
              </w:rPr>
            </w:pPr>
            <w:r w:rsidRPr="000C776C">
              <w:rPr>
                <w:rFonts w:ascii="PP Mori SemiBold" w:hAnsi="PP Mori SemiBold"/>
                <w:iCs/>
                <w:color w:val="FAFAFA" w:themeColor="background1"/>
                <w:szCs w:val="18"/>
              </w:rPr>
              <w:t>Network of Structures</w:t>
            </w:r>
          </w:p>
          <w:p w14:paraId="41FD0E98"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2425AD05" w14:textId="77777777" w:rsidR="000C776C" w:rsidRPr="000C776C" w:rsidRDefault="000C776C" w:rsidP="000C776C">
            <w:pPr>
              <w:spacing w:before="120" w:after="120" w:line="288" w:lineRule="auto"/>
              <w:ind w:left="176" w:right="176"/>
              <w:rPr>
                <w:bCs/>
                <w:lang w:eastAsia="en-US" w:bidi="ar-SA"/>
              </w:rPr>
            </w:pPr>
            <w:r w:rsidRPr="000C776C">
              <w:rPr>
                <w:lang w:eastAsia="en-US" w:bidi="ar-SA"/>
              </w:rPr>
              <w:t>While it is customary to refer to the power system in the singular, a modern electricity system is in reality a ‘super-system’ of seven structures, four of which are functionally interdependent on a days-to-sub second timescale (coral-coloured nodes)</w:t>
            </w:r>
          </w:p>
          <w:p w14:paraId="546B5D73" w14:textId="77777777" w:rsidR="000C776C" w:rsidRPr="000C776C" w:rsidRDefault="000C776C" w:rsidP="000C776C">
            <w:pPr>
              <w:spacing w:before="120" w:after="120" w:line="288" w:lineRule="auto"/>
              <w:ind w:left="176" w:right="176"/>
              <w:rPr>
                <w:lang w:eastAsia="en-US" w:bidi="ar-SA"/>
              </w:rPr>
            </w:pPr>
            <w:r w:rsidRPr="000C776C">
              <w:rPr>
                <w:lang w:eastAsia="en-US" w:bidi="ar-SA"/>
              </w:rPr>
              <w:t xml:space="preserve">GW-scale power systems like the NEM and WEM                               consist of an intricate web of the following seven inter-dependent structures that must ultimately be transformed holistically: </w:t>
            </w:r>
          </w:p>
          <w:p w14:paraId="35ECED4E"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Electricity Infrastructure (Power Flows)</w:t>
            </w:r>
          </w:p>
          <w:p w14:paraId="5D588BB9"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Digital Infrastructure (Information/Data Exchange, Storage and Processing)</w:t>
            </w:r>
          </w:p>
          <w:p w14:paraId="28F50F80"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 xml:space="preserve">Operational Coordination Structure </w:t>
            </w:r>
          </w:p>
          <w:p w14:paraId="5C606C6D"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Transactional Structure</w:t>
            </w:r>
          </w:p>
          <w:p w14:paraId="7A2C8403"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Industry / Market Structure</w:t>
            </w:r>
            <w:r w:rsidRPr="000C776C">
              <w:rPr>
                <w:rFonts w:ascii="Calibri" w:eastAsia="Segoe UI" w:hAnsi="Calibri" w:cs="Calibri"/>
                <w:color w:val="252423"/>
                <w:szCs w:val="18"/>
                <w:lang w:bidi="ar-SA"/>
              </w:rPr>
              <w:t> </w:t>
            </w:r>
          </w:p>
          <w:p w14:paraId="18D14EF1"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lang w:bidi="ar-SA"/>
              </w:rPr>
            </w:pPr>
            <w:r w:rsidRPr="000C776C">
              <w:rPr>
                <w:rFonts w:eastAsia="Segoe UI"/>
                <w:color w:val="252423"/>
                <w:szCs w:val="18"/>
                <w:lang w:bidi="ar-SA"/>
              </w:rPr>
              <w:t>Regulatory Structure; and</w:t>
            </w:r>
            <w:r w:rsidRPr="000C776C">
              <w:rPr>
                <w:rFonts w:ascii="Calibri" w:eastAsia="Segoe UI" w:hAnsi="Calibri" w:cs="Calibri"/>
                <w:color w:val="252423"/>
                <w:szCs w:val="18"/>
                <w:lang w:bidi="ar-SA"/>
              </w:rPr>
              <w:t> </w:t>
            </w:r>
          </w:p>
          <w:p w14:paraId="30CE441A" w14:textId="77777777" w:rsidR="000C776C" w:rsidRPr="000C776C" w:rsidRDefault="000C776C" w:rsidP="00470C91">
            <w:pPr>
              <w:numPr>
                <w:ilvl w:val="0"/>
                <w:numId w:val="22"/>
              </w:numPr>
              <w:tabs>
                <w:tab w:val="num" w:pos="720"/>
              </w:tabs>
              <w:spacing w:before="60" w:after="60" w:line="288" w:lineRule="auto"/>
              <w:ind w:left="714" w:hanging="357"/>
              <w:rPr>
                <w:szCs w:val="18"/>
                <w:lang w:bidi="ar-SA"/>
              </w:rPr>
            </w:pPr>
            <w:r w:rsidRPr="000C776C">
              <w:rPr>
                <w:rFonts w:eastAsia="Segoe UI"/>
                <w:color w:val="252423"/>
                <w:szCs w:val="18"/>
                <w:lang w:bidi="ar-SA"/>
              </w:rPr>
              <w:t>Sector Coupling Structures (Gas, Water, Transport, etc).</w:t>
            </w:r>
            <w:r w:rsidRPr="000C776C">
              <w:rPr>
                <w:rFonts w:ascii="Calibri" w:hAnsi="Calibri" w:cs="Calibri"/>
                <w:szCs w:val="18"/>
                <w:lang w:bidi="ar-SA"/>
              </w:rPr>
              <w:t> </w:t>
            </w:r>
          </w:p>
        </w:tc>
      </w:tr>
      <w:tr w:rsidR="000C776C" w:rsidRPr="000C776C" w14:paraId="67E50C13" w14:textId="77777777" w:rsidTr="00E24B05">
        <w:tc>
          <w:tcPr>
            <w:tcW w:w="2127" w:type="dxa"/>
            <w:shd w:val="clear" w:color="auto" w:fill="067296" w:themeFill="text2"/>
          </w:tcPr>
          <w:p w14:paraId="3E72D9F3"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Observability</w:t>
            </w:r>
          </w:p>
        </w:tc>
        <w:tc>
          <w:tcPr>
            <w:tcW w:w="6378" w:type="dxa"/>
          </w:tcPr>
          <w:p w14:paraId="5720057C"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ability to infer the complete internal state (e.g., voltages, power flows, system frequency, and phase angles at all buses) of the system based on available measurements (e.g., SCADA, PMUs, smart meters) and the network model. </w:t>
            </w:r>
          </w:p>
          <w:p w14:paraId="027F4775"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A power system is said to be observable if it is possible to uniquely determine the system's state from available data.</w:t>
            </w:r>
          </w:p>
        </w:tc>
      </w:tr>
      <w:tr w:rsidR="000C776C" w:rsidRPr="000C776C" w14:paraId="052EC03C" w14:textId="77777777" w:rsidTr="00E24B05">
        <w:tc>
          <w:tcPr>
            <w:tcW w:w="2127" w:type="dxa"/>
            <w:shd w:val="clear" w:color="auto" w:fill="067296" w:themeFill="text2"/>
          </w:tcPr>
          <w:p w14:paraId="590D141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Operability</w:t>
            </w:r>
          </w:p>
        </w:tc>
        <w:tc>
          <w:tcPr>
            <w:tcW w:w="6378" w:type="dxa"/>
          </w:tcPr>
          <w:p w14:paraId="65C78E84"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capability to plan and operate the power system reliably, securely and efficiently under all expected conditions. Core prerequisites for operability include predictability, which is the ability to forecast system behaviour accurately, and dispatchability, which is the ability to control and adjust generation or demand in response to system needs. </w:t>
            </w:r>
          </w:p>
          <w:p w14:paraId="33B33C97"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Operability is a multidimensional system attribute, not a single metric, and encompasses the ability of system operators and control mechanisms to:</w:t>
            </w:r>
          </w:p>
          <w:p w14:paraId="7E283023"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Maintain supply-demand balance at all times;</w:t>
            </w:r>
          </w:p>
          <w:p w14:paraId="66CBB343"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Keep voltage and frequency within allowable limits;</w:t>
            </w:r>
          </w:p>
          <w:p w14:paraId="2FA8F79E"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Ensure thermal loading of equipment remains within capacity;</w:t>
            </w:r>
          </w:p>
          <w:p w14:paraId="00303FEB"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Respond to contingencies, such as generator or network outages;</w:t>
            </w:r>
          </w:p>
          <w:p w14:paraId="5610D3D7"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Manage ramping, variability, and uncertainty (especially from renewable sources);</w:t>
            </w:r>
          </w:p>
          <w:p w14:paraId="5E9BC528"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Coordinate resources and orchestrate flexibility (from generation, demand, or storage); and, </w:t>
            </w:r>
          </w:p>
          <w:p w14:paraId="18E786E5" w14:textId="77777777" w:rsidR="000C776C" w:rsidRPr="000C776C" w:rsidRDefault="000C776C" w:rsidP="00470C91">
            <w:pPr>
              <w:numPr>
                <w:ilvl w:val="0"/>
                <w:numId w:val="22"/>
              </w:numPr>
              <w:tabs>
                <w:tab w:val="num" w:pos="720"/>
              </w:tabs>
              <w:spacing w:before="60" w:after="60" w:line="288" w:lineRule="auto"/>
              <w:ind w:left="714" w:hanging="357"/>
              <w:rPr>
                <w:szCs w:val="18"/>
              </w:rPr>
            </w:pPr>
            <w:r w:rsidRPr="000C776C">
              <w:rPr>
                <w:rFonts w:eastAsia="Segoe UI"/>
                <w:color w:val="252423"/>
                <w:szCs w:val="18"/>
                <w:lang w:bidi="ar-SA"/>
              </w:rPr>
              <w:t>Respect operational and market constraints and interfaces (e.g., congestion, availability, ramp rates, dispatchability).</w:t>
            </w:r>
          </w:p>
        </w:tc>
      </w:tr>
      <w:tr w:rsidR="000C776C" w:rsidRPr="000C776C" w14:paraId="2BB6E0A6" w14:textId="77777777" w:rsidTr="00E24B05">
        <w:tc>
          <w:tcPr>
            <w:tcW w:w="2127" w:type="dxa"/>
            <w:shd w:val="clear" w:color="auto" w:fill="067296" w:themeFill="text2"/>
          </w:tcPr>
          <w:p w14:paraId="6D91646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Operational Coordination</w:t>
            </w:r>
          </w:p>
          <w:p w14:paraId="7DC4F258"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079205CB"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management and coordination of decisions, actions, and information flows across multiple actors, assets and system tiers/layers to ensure the secure, efficient, and stable operation of the power system. </w:t>
            </w:r>
          </w:p>
          <w:p w14:paraId="07F4FEE9"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It includes the systematic operational alignment, across timescales from day-ahead to real-time operation, of the following:</w:t>
            </w:r>
          </w:p>
          <w:p w14:paraId="5CE3F308"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System </w:t>
            </w:r>
            <w:r w:rsidRPr="000C776C">
              <w:rPr>
                <w:rFonts w:eastAsia="Segoe UI"/>
                <w:bCs/>
                <w:color w:val="252423"/>
                <w:szCs w:val="18"/>
              </w:rPr>
              <w:t>Operator</w:t>
            </w:r>
            <w:r w:rsidRPr="000C776C">
              <w:rPr>
                <w:rFonts w:eastAsia="Segoe UI"/>
                <w:color w:val="252423"/>
                <w:szCs w:val="18"/>
              </w:rPr>
              <w:t xml:space="preserve"> and Distribution System Operators (DSOs);</w:t>
            </w:r>
          </w:p>
          <w:p w14:paraId="2FEF5133"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Generators, Energy Storage, Consumer Energy Resources (CER/DER), etc.; </w:t>
            </w:r>
          </w:p>
          <w:p w14:paraId="0B0ADC76"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lastRenderedPageBreak/>
              <w:t xml:space="preserve">Transmission and Distribution network assets; </w:t>
            </w:r>
          </w:p>
          <w:p w14:paraId="3AB8408F"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Market participants, CER/DER Aggregators, etc.; and, </w:t>
            </w:r>
          </w:p>
          <w:p w14:paraId="49916F70"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Adjacent sector couplings (e.g. gas, transport, water, etc). </w:t>
            </w:r>
          </w:p>
          <w:p w14:paraId="6B6CEC15"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Supply-Demand Balancing is a critical outcome of successful Operational Coordination as it enables the right resources to be activated or curtailed in the right locations in the right timescales to maintain this balance.  The goals of Operational Coordination also include network constraint management, voltage support, frequency regulation, outage management, and system restoration. </w:t>
            </w:r>
          </w:p>
          <w:p w14:paraId="4CA9DE02"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 xml:space="preserve">While both Operational Coordination and Supply-Demand Balancing were traditionally the sole or primary responsibility of the MSO, multi-level Operational Coordination will be increasingly required as power systems become more decentralised and volatile as the scale deployment of VRE and CER/DER continues.  </w:t>
            </w:r>
          </w:p>
        </w:tc>
      </w:tr>
      <w:tr w:rsidR="000C776C" w:rsidRPr="000C776C" w14:paraId="5BF778C6" w14:textId="77777777" w:rsidTr="00E24B05">
        <w:tc>
          <w:tcPr>
            <w:tcW w:w="2127" w:type="dxa"/>
            <w:shd w:val="clear" w:color="auto" w:fill="067296" w:themeFill="text2"/>
          </w:tcPr>
          <w:p w14:paraId="21D505B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Orchestration</w:t>
            </w:r>
          </w:p>
        </w:tc>
        <w:tc>
          <w:tcPr>
            <w:tcW w:w="6378" w:type="dxa"/>
          </w:tcPr>
          <w:p w14:paraId="0448126C"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The coordination of dispatchable</w:t>
            </w:r>
            <w:r w:rsidRPr="000C776C">
              <w:rPr>
                <w:rFonts w:ascii="Cambria Math" w:hAnsi="Cambria Math" w:cs="Cambria Math"/>
                <w:szCs w:val="18"/>
                <w:lang w:eastAsia="en-US" w:bidi="ar-SA"/>
              </w:rPr>
              <w:t> </w:t>
            </w:r>
            <w:r w:rsidRPr="000C776C">
              <w:rPr>
                <w:szCs w:val="18"/>
                <w:lang w:eastAsia="en-US" w:bidi="ar-SA"/>
              </w:rPr>
              <w:t>Energy Resources, including but not limited to Consumer Energy Resources (CER/DER), in a manner that moderates negative Power System impacts and may include facilitating the provision of</w:t>
            </w:r>
            <w:r w:rsidRPr="000C776C">
              <w:rPr>
                <w:rFonts w:ascii="Cambria Math" w:hAnsi="Cambria Math" w:cs="Cambria Math"/>
                <w:szCs w:val="18"/>
                <w:lang w:eastAsia="en-US" w:bidi="ar-SA"/>
              </w:rPr>
              <w:t> </w:t>
            </w:r>
            <w:r w:rsidRPr="000C776C">
              <w:rPr>
                <w:szCs w:val="18"/>
                <w:lang w:eastAsia="en-US" w:bidi="ar-SA"/>
              </w:rPr>
              <w:t>Electric Products</w:t>
            </w:r>
            <w:r w:rsidRPr="000C776C">
              <w:rPr>
                <w:rFonts w:ascii="Cambria Math" w:hAnsi="Cambria Math" w:cs="Cambria Math"/>
                <w:szCs w:val="18"/>
                <w:lang w:eastAsia="en-US" w:bidi="ar-SA"/>
              </w:rPr>
              <w:t> </w:t>
            </w:r>
            <w:r w:rsidRPr="000C776C">
              <w:rPr>
                <w:szCs w:val="18"/>
                <w:lang w:eastAsia="en-US" w:bidi="ar-SA"/>
              </w:rPr>
              <w:t>to various</w:t>
            </w:r>
            <w:r w:rsidRPr="000C776C">
              <w:rPr>
                <w:rFonts w:ascii="Cambria Math" w:hAnsi="Cambria Math" w:cs="Cambria Math"/>
                <w:szCs w:val="18"/>
                <w:lang w:eastAsia="en-US" w:bidi="ar-SA"/>
              </w:rPr>
              <w:t> </w:t>
            </w:r>
            <w:r w:rsidRPr="000C776C">
              <w:rPr>
                <w:szCs w:val="18"/>
                <w:lang w:eastAsia="en-US" w:bidi="ar-SA"/>
              </w:rPr>
              <w:t>Tiers/Layers</w:t>
            </w:r>
            <w:r w:rsidRPr="000C776C">
              <w:rPr>
                <w:rFonts w:ascii="Cambria Math" w:hAnsi="Cambria Math" w:cs="Cambria Math"/>
                <w:szCs w:val="18"/>
                <w:lang w:eastAsia="en-US" w:bidi="ar-SA"/>
              </w:rPr>
              <w:t> </w:t>
            </w:r>
            <w:r w:rsidRPr="000C776C">
              <w:rPr>
                <w:szCs w:val="18"/>
                <w:lang w:eastAsia="en-US" w:bidi="ar-SA"/>
              </w:rPr>
              <w:t>of the</w:t>
            </w:r>
            <w:r w:rsidRPr="000C776C">
              <w:rPr>
                <w:rFonts w:ascii="Cambria Math" w:hAnsi="Cambria Math" w:cs="Cambria Math"/>
                <w:szCs w:val="18"/>
                <w:lang w:eastAsia="en-US" w:bidi="ar-SA"/>
              </w:rPr>
              <w:t> </w:t>
            </w:r>
            <w:r w:rsidRPr="000C776C">
              <w:rPr>
                <w:szCs w:val="18"/>
                <w:lang w:eastAsia="en-US" w:bidi="ar-SA"/>
              </w:rPr>
              <w:t>System</w:t>
            </w:r>
            <w:r w:rsidRPr="000C776C">
              <w:rPr>
                <w:rFonts w:ascii="Cambria Math" w:hAnsi="Cambria Math" w:cs="Cambria Math"/>
                <w:szCs w:val="18"/>
                <w:lang w:eastAsia="en-US" w:bidi="ar-SA"/>
              </w:rPr>
              <w:t> </w:t>
            </w:r>
            <w:r w:rsidRPr="000C776C">
              <w:rPr>
                <w:szCs w:val="18"/>
                <w:lang w:eastAsia="en-US" w:bidi="ar-SA"/>
              </w:rPr>
              <w:t>under a commercial arrangement.</w:t>
            </w:r>
            <w:r w:rsidRPr="000C776C">
              <w:rPr>
                <w:rFonts w:ascii="Calibri" w:hAnsi="Calibri" w:cs="Calibri"/>
                <w:szCs w:val="18"/>
                <w:lang w:eastAsia="en-US" w:bidi="ar-SA"/>
              </w:rPr>
              <w:t> </w:t>
            </w:r>
          </w:p>
        </w:tc>
      </w:tr>
      <w:tr w:rsidR="000C776C" w:rsidRPr="000C776C" w14:paraId="6EF8BBB1" w14:textId="77777777" w:rsidTr="00E24B05">
        <w:tc>
          <w:tcPr>
            <w:tcW w:w="2127" w:type="dxa"/>
            <w:shd w:val="clear" w:color="auto" w:fill="067296" w:themeFill="text2"/>
          </w:tcPr>
          <w:p w14:paraId="3FE11EF8"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Passive CER/DER</w:t>
            </w:r>
          </w:p>
        </w:tc>
        <w:tc>
          <w:tcPr>
            <w:tcW w:w="6378" w:type="dxa"/>
          </w:tcPr>
          <w:p w14:paraId="3A6DDE2B" w14:textId="77777777" w:rsidR="000C776C" w:rsidRPr="000C776C" w:rsidRDefault="000C776C" w:rsidP="000C776C">
            <w:pPr>
              <w:spacing w:before="120" w:after="120" w:line="288" w:lineRule="auto"/>
              <w:ind w:left="176" w:right="176"/>
              <w:rPr>
                <w:szCs w:val="18"/>
                <w:lang w:bidi="ar-SA"/>
              </w:rPr>
            </w:pPr>
            <w:r w:rsidRPr="000C776C">
              <w:rPr>
                <w:szCs w:val="18"/>
                <w:lang w:bidi="ar-SA"/>
              </w:rPr>
              <w:t>Consumer Energy Resources (CER/DER) that operate only under the direction of their own internal control algorithms and cannot be remotely orchestrated by a third party such as an Aggregator or Distribution System Operator (DSO).</w:t>
            </w:r>
          </w:p>
          <w:p w14:paraId="23F0FBCD" w14:textId="77777777" w:rsidR="000C776C" w:rsidRPr="000C776C" w:rsidRDefault="000C776C" w:rsidP="000C776C">
            <w:pPr>
              <w:spacing w:before="120" w:after="120" w:line="288" w:lineRule="auto"/>
              <w:ind w:left="176" w:right="176"/>
              <w:rPr>
                <w:szCs w:val="18"/>
                <w:lang w:bidi="ar-SA"/>
              </w:rPr>
            </w:pPr>
            <w:r w:rsidRPr="000C776C">
              <w:rPr>
                <w:szCs w:val="18"/>
                <w:lang w:bidi="ar-SA"/>
              </w:rPr>
              <w:t>Passive CER/DER are significantly less valuable to the power system than Active CER/DER due to their inability to alter their behaviour in response to significant operational conditions experienced by the wider system. As a result, where deployed at scale they will both impose operational inefficiencies and escalate Minimum Operational Demand risks to the reliability of the power system as a whole.</w:t>
            </w:r>
          </w:p>
        </w:tc>
      </w:tr>
    </w:tbl>
    <w:p w14:paraId="5745556F"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5C6199E4" w14:textId="77777777" w:rsidTr="00E24B05">
        <w:trPr>
          <w:trHeight w:val="747"/>
        </w:trPr>
        <w:tc>
          <w:tcPr>
            <w:tcW w:w="2127" w:type="dxa"/>
            <w:shd w:val="clear" w:color="auto" w:fill="067296" w:themeFill="text2"/>
          </w:tcPr>
          <w:p w14:paraId="19EB5EF7" w14:textId="77777777" w:rsidR="000C776C" w:rsidRPr="000C776C" w:rsidRDefault="000C776C" w:rsidP="000C776C">
            <w:pPr>
              <w:spacing w:before="120" w:after="120" w:line="288" w:lineRule="auto"/>
              <w:ind w:left="176" w:right="170"/>
              <w:jc w:val="center"/>
              <w:rPr>
                <w:rFonts w:ascii="PP Mori SemiBold" w:hAnsi="PP Mori SemiBold"/>
                <w:bCs/>
                <w:color w:val="FAFAFA" w:themeColor="background1"/>
                <w:szCs w:val="18"/>
              </w:rPr>
            </w:pPr>
            <w:r w:rsidRPr="000C776C">
              <w:rPr>
                <w:rFonts w:ascii="PP Mori SemiBold" w:hAnsi="PP Mori SemiBold"/>
                <w:bCs/>
                <w:color w:val="FAFAFA" w:themeColor="background1"/>
                <w:szCs w:val="18"/>
              </w:rPr>
              <w:lastRenderedPageBreak/>
              <w:t>Power Systems Architecture (PSA)</w:t>
            </w:r>
          </w:p>
        </w:tc>
        <w:tc>
          <w:tcPr>
            <w:tcW w:w="6378" w:type="dxa"/>
          </w:tcPr>
          <w:p w14:paraId="75A6E2D3" w14:textId="77777777" w:rsidR="000C776C" w:rsidRPr="000C776C" w:rsidRDefault="000C776C" w:rsidP="000C776C">
            <w:pPr>
              <w:spacing w:before="120" w:after="120" w:line="288" w:lineRule="auto"/>
              <w:ind w:left="176" w:right="176"/>
              <w:rPr>
                <w:szCs w:val="18"/>
                <w:lang w:bidi="ar-SA"/>
              </w:rPr>
            </w:pPr>
            <w:r w:rsidRPr="000C776C">
              <w:rPr>
                <w:szCs w:val="18"/>
                <w:lang w:bidi="ar-SA"/>
              </w:rPr>
              <w:t xml:space="preserve">An integrated set of disciplines that support the structural transformation of legacy power systems, enabling them to more effectively serve evolving customer and societal objectives.  </w:t>
            </w:r>
          </w:p>
          <w:p w14:paraId="1E58A23B" w14:textId="77777777" w:rsidR="000C776C" w:rsidRPr="000C776C" w:rsidRDefault="000C776C" w:rsidP="000C776C">
            <w:pPr>
              <w:spacing w:before="120" w:after="120" w:line="288" w:lineRule="auto"/>
              <w:ind w:left="176" w:right="176"/>
              <w:rPr>
                <w:szCs w:val="18"/>
                <w:lang w:bidi="ar-SA"/>
              </w:rPr>
            </w:pPr>
            <w:r w:rsidRPr="000C776C">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0C776C">
              <w:rPr>
                <w:rFonts w:ascii="Calibri" w:hAnsi="Calibri" w:cs="Calibri"/>
                <w:szCs w:val="18"/>
                <w:lang w:bidi="ar-SA"/>
              </w:rPr>
              <w:t> </w:t>
            </w:r>
          </w:p>
          <w:p w14:paraId="4954625D" w14:textId="77777777" w:rsidR="000C776C" w:rsidRPr="000C776C" w:rsidRDefault="000C776C" w:rsidP="00470C91">
            <w:pPr>
              <w:numPr>
                <w:ilvl w:val="0"/>
                <w:numId w:val="22"/>
              </w:numPr>
              <w:tabs>
                <w:tab w:val="num" w:pos="720"/>
              </w:tabs>
              <w:spacing w:before="60" w:after="60" w:line="288" w:lineRule="auto"/>
              <w:ind w:left="714" w:hanging="357"/>
              <w:rPr>
                <w:rFonts w:eastAsia="Segoe UI"/>
                <w:bCs/>
                <w:color w:val="252423"/>
                <w:szCs w:val="18"/>
              </w:rPr>
            </w:pPr>
            <w:r w:rsidRPr="000C776C">
              <w:rPr>
                <w:rFonts w:eastAsia="Segoe UI"/>
                <w:color w:val="252423"/>
                <w:szCs w:val="18"/>
              </w:rPr>
              <w:t xml:space="preserve">Whole-system insight over 5, 10 and 20-year time horizons, enabling the interrogation and mapping of current, emerging and future </w:t>
            </w:r>
            <w:r w:rsidRPr="000C776C">
              <w:rPr>
                <w:rFonts w:eastAsia="Segoe UI"/>
                <w:bCs/>
                <w:color w:val="252423"/>
                <w:szCs w:val="18"/>
              </w:rPr>
              <w:t>system</w:t>
            </w:r>
            <w:r w:rsidRPr="000C776C">
              <w:rPr>
                <w:rFonts w:eastAsia="Segoe UI"/>
                <w:color w:val="252423"/>
                <w:szCs w:val="18"/>
              </w:rPr>
              <w:t xml:space="preserve"> priorities and objectives including the </w:t>
            </w:r>
            <w:r w:rsidRPr="000C776C">
              <w:rPr>
                <w:rFonts w:eastAsia="Segoe UI"/>
                <w:bCs/>
                <w:color w:val="252423"/>
                <w:szCs w:val="18"/>
              </w:rPr>
              <w:t>role</w:t>
            </w:r>
            <w:r w:rsidRPr="000C776C">
              <w:rPr>
                <w:rFonts w:eastAsia="Segoe UI"/>
                <w:color w:val="252423"/>
                <w:szCs w:val="18"/>
              </w:rPr>
              <w:t xml:space="preserve"> and </w:t>
            </w:r>
            <w:r w:rsidRPr="000C776C">
              <w:rPr>
                <w:rFonts w:eastAsia="Segoe UI"/>
                <w:bCs/>
                <w:color w:val="252423"/>
                <w:szCs w:val="18"/>
              </w:rPr>
              <w:t>responsibilities, operational coordination and co</w:t>
            </w:r>
            <w:r w:rsidRPr="000C776C">
              <w:rPr>
                <w:rFonts w:eastAsia="Segoe UI"/>
                <w:color w:val="252423"/>
                <w:szCs w:val="18"/>
              </w:rPr>
              <w:t xml:space="preserve">-optimisation across all vertical </w:t>
            </w:r>
            <w:r w:rsidRPr="000C776C">
              <w:rPr>
                <w:rFonts w:eastAsia="Segoe UI"/>
                <w:bCs/>
                <w:color w:val="252423"/>
                <w:szCs w:val="18"/>
              </w:rPr>
              <w:t xml:space="preserve">tiers/layers. </w:t>
            </w:r>
          </w:p>
          <w:p w14:paraId="454E54B7" w14:textId="77777777" w:rsidR="000C776C" w:rsidRPr="000C776C" w:rsidRDefault="000C776C" w:rsidP="00470C91">
            <w:pPr>
              <w:numPr>
                <w:ilvl w:val="0"/>
                <w:numId w:val="22"/>
              </w:numPr>
              <w:tabs>
                <w:tab w:val="num" w:pos="720"/>
              </w:tabs>
              <w:spacing w:before="60" w:after="60" w:line="288" w:lineRule="auto"/>
              <w:ind w:left="714" w:hanging="357"/>
              <w:rPr>
                <w:rFonts w:eastAsia="Segoe UI"/>
                <w:bCs/>
                <w:color w:val="252423"/>
                <w:szCs w:val="18"/>
              </w:rPr>
            </w:pPr>
            <w:r w:rsidRPr="000C776C">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6914BC88" w14:textId="77777777" w:rsidR="000C776C" w:rsidRPr="000C776C" w:rsidRDefault="000C776C" w:rsidP="00470C91">
            <w:pPr>
              <w:numPr>
                <w:ilvl w:val="0"/>
                <w:numId w:val="22"/>
              </w:numPr>
              <w:tabs>
                <w:tab w:val="num" w:pos="720"/>
              </w:tabs>
              <w:spacing w:before="60" w:after="60" w:line="288" w:lineRule="auto"/>
              <w:ind w:left="714" w:hanging="357"/>
              <w:rPr>
                <w:rFonts w:eastAsia="Segoe UI"/>
                <w:color w:val="252423"/>
                <w:szCs w:val="18"/>
              </w:rPr>
            </w:pPr>
            <w:r w:rsidRPr="000C776C">
              <w:rPr>
                <w:rFonts w:eastAsia="Segoe UI"/>
                <w:color w:val="252423"/>
                <w:szCs w:val="18"/>
              </w:rPr>
              <w:t xml:space="preserve">Future-resilient decision making by surfacing hidden structural constraints early which may otherwise propagate a range of </w:t>
            </w:r>
            <w:r w:rsidRPr="000C776C">
              <w:rPr>
                <w:rFonts w:eastAsia="Segoe UI"/>
                <w:bCs/>
                <w:color w:val="252423"/>
                <w:szCs w:val="18"/>
              </w:rPr>
              <w:t>architectural</w:t>
            </w:r>
            <w:r w:rsidRPr="000C776C">
              <w:rPr>
                <w:rFonts w:eastAsia="Segoe UI"/>
                <w:color w:val="252423"/>
                <w:szCs w:val="18"/>
              </w:rPr>
              <w:t xml:space="preserve"> Issues including computational constraints, latency cascading and cyber-security vulnerabilities, providing greater assurance that new investments will be </w:t>
            </w:r>
            <w:r w:rsidRPr="000C776C">
              <w:rPr>
                <w:rFonts w:eastAsia="Segoe UI"/>
                <w:bCs/>
                <w:color w:val="252423"/>
                <w:szCs w:val="18"/>
              </w:rPr>
              <w:t>scalable and extensible</w:t>
            </w:r>
            <w:r w:rsidRPr="000C776C">
              <w:rPr>
                <w:rFonts w:eastAsia="Segoe UI"/>
                <w:color w:val="252423"/>
                <w:szCs w:val="18"/>
              </w:rPr>
              <w:t xml:space="preserve"> under all plausible futures.</w:t>
            </w:r>
          </w:p>
          <w:p w14:paraId="5B919541" w14:textId="77777777" w:rsidR="000C776C" w:rsidRPr="000C776C" w:rsidRDefault="000C776C" w:rsidP="000C776C">
            <w:pPr>
              <w:spacing w:before="120" w:after="120" w:line="288" w:lineRule="auto"/>
              <w:ind w:left="176" w:right="176"/>
              <w:rPr>
                <w:szCs w:val="18"/>
                <w:lang w:bidi="ar-SA"/>
              </w:rPr>
            </w:pPr>
            <w:r w:rsidRPr="000C776C">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7B17D55F" w14:textId="77777777" w:rsidR="000C776C" w:rsidRPr="000C776C" w:rsidRDefault="000C776C" w:rsidP="000C776C">
            <w:pPr>
              <w:spacing w:before="120" w:after="120" w:line="288" w:lineRule="auto"/>
              <w:ind w:left="176" w:right="176"/>
              <w:rPr>
                <w:bCs/>
                <w:szCs w:val="18"/>
                <w:lang w:eastAsia="en-US" w:bidi="ar-SA"/>
              </w:rPr>
            </w:pPr>
            <w:r w:rsidRPr="000C776C">
              <w:rPr>
                <w:szCs w:val="18"/>
                <w:lang w:bidi="ar-SA"/>
              </w:rPr>
              <w:t>It is designed to enhance decision quality, timeliness and traceability to support full benefits-realisation and avoid the propagation of unintended consequences.</w:t>
            </w:r>
          </w:p>
        </w:tc>
      </w:tr>
    </w:tbl>
    <w:p w14:paraId="2759ADC0"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43FE2357" w14:textId="77777777" w:rsidTr="00E24B05">
        <w:trPr>
          <w:trHeight w:val="747"/>
        </w:trPr>
        <w:tc>
          <w:tcPr>
            <w:tcW w:w="2127" w:type="dxa"/>
            <w:shd w:val="clear" w:color="auto" w:fill="067296" w:themeFill="text2"/>
          </w:tcPr>
          <w:p w14:paraId="366B6422"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Reference Architecture</w:t>
            </w:r>
          </w:p>
          <w:p w14:paraId="50ED4DD5"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p>
        </w:tc>
        <w:tc>
          <w:tcPr>
            <w:tcW w:w="6378" w:type="dxa"/>
          </w:tcPr>
          <w:p w14:paraId="3ACFCA48"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A Reference Architecture process develops an integrated set of documents and diagrams that capture the essence of the structural relationships, linkages and interdependencies that enable the functioning of a complex system. </w:t>
            </w:r>
          </w:p>
          <w:p w14:paraId="50900732"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 xml:space="preserve">The purpose of a Reference Architecture is to provide shared clarity on how the underpinning structures and relationships of a system are currently configured, including how they may need to change to enable future needs and stakeholder requirements. </w:t>
            </w:r>
          </w:p>
          <w:p w14:paraId="4070D73D" w14:textId="77777777" w:rsidR="000C776C" w:rsidRPr="000C776C" w:rsidRDefault="000C776C" w:rsidP="000C776C">
            <w:pPr>
              <w:spacing w:before="120" w:after="120" w:line="288" w:lineRule="auto"/>
              <w:ind w:left="176" w:right="176"/>
              <w:rPr>
                <w:szCs w:val="18"/>
                <w:lang w:eastAsia="en-US" w:bidi="ar-SA"/>
              </w:rPr>
            </w:pPr>
            <w:r w:rsidRPr="000C776C">
              <w:rPr>
                <w:szCs w:val="18"/>
                <w:lang w:eastAsia="en-US" w:bidi="ar-SA"/>
              </w:rPr>
              <w:t>The development of a Reference Architecture functions as the first major phase of the systems architecture process. The process facilitates a shared understanding across multiple organisations and disciplines of the current and plausible alternative structural arrangements. Necessitating a level of abstraction, it reflects the qualities and intrinsic nature of the system rather than its full detail. This provides a foundational step toward the subsequent Detailed Architecture and Detailed Engineering Design phases.</w:t>
            </w:r>
          </w:p>
        </w:tc>
      </w:tr>
      <w:tr w:rsidR="000C776C" w:rsidRPr="000C776C" w14:paraId="0FCEF496" w14:textId="77777777" w:rsidTr="00E24B05">
        <w:trPr>
          <w:trHeight w:val="747"/>
        </w:trPr>
        <w:tc>
          <w:tcPr>
            <w:tcW w:w="2127" w:type="dxa"/>
            <w:shd w:val="clear" w:color="auto" w:fill="067296" w:themeFill="text2"/>
          </w:tcPr>
          <w:p w14:paraId="079E94D4"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t>Responsibility</w:t>
            </w:r>
          </w:p>
        </w:tc>
        <w:tc>
          <w:tcPr>
            <w:tcW w:w="6378" w:type="dxa"/>
          </w:tcPr>
          <w:p w14:paraId="69C042C8"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A duty or obligation for which an entity is held accountable. One or more responsibilities attach to a given role.</w:t>
            </w:r>
          </w:p>
        </w:tc>
      </w:tr>
      <w:tr w:rsidR="000C776C" w:rsidRPr="000C776C" w14:paraId="4DF271DE" w14:textId="77777777" w:rsidTr="00E24B05">
        <w:tc>
          <w:tcPr>
            <w:tcW w:w="2127" w:type="dxa"/>
            <w:shd w:val="clear" w:color="auto" w:fill="067296" w:themeFill="text2"/>
          </w:tcPr>
          <w:p w14:paraId="1189D09F" w14:textId="77777777" w:rsidR="000C776C" w:rsidRPr="000C776C" w:rsidRDefault="000C776C" w:rsidP="000C776C">
            <w:pPr>
              <w:spacing w:before="120" w:after="120" w:line="288" w:lineRule="auto"/>
              <w:ind w:left="176" w:right="170"/>
              <w:jc w:val="center"/>
              <w:rPr>
                <w:rFonts w:ascii="PP Mori SemiBold" w:hAnsi="PP Mori SemiBold"/>
                <w:color w:val="FAFAFA" w:themeColor="background1"/>
                <w:szCs w:val="18"/>
              </w:rPr>
            </w:pPr>
            <w:r w:rsidRPr="000C776C">
              <w:rPr>
                <w:rFonts w:ascii="PP Mori SemiBold" w:hAnsi="PP Mori SemiBold"/>
                <w:color w:val="FAFAFA" w:themeColor="background1"/>
                <w:szCs w:val="18"/>
              </w:rPr>
              <w:t>Role</w:t>
            </w:r>
          </w:p>
          <w:p w14:paraId="6F152B17"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A230E90"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A set of connected behaviours, actions, or processes carried out by an entity (a person or an organisation) to animate, direct, or manage one or more functions.</w:t>
            </w:r>
          </w:p>
        </w:tc>
      </w:tr>
      <w:tr w:rsidR="000C776C" w:rsidRPr="000C776C" w14:paraId="45909D81" w14:textId="77777777" w:rsidTr="00E24B05">
        <w:tc>
          <w:tcPr>
            <w:tcW w:w="2127" w:type="dxa"/>
            <w:shd w:val="clear" w:color="auto" w:fill="067296" w:themeFill="text2"/>
          </w:tcPr>
          <w:p w14:paraId="69073D65" w14:textId="77777777" w:rsidR="000C776C" w:rsidRPr="000C776C" w:rsidRDefault="000C776C" w:rsidP="000C776C">
            <w:pPr>
              <w:spacing w:before="120" w:after="120" w:line="288" w:lineRule="auto"/>
              <w:jc w:val="center"/>
              <w:rPr>
                <w:rFonts w:ascii="PP Mori SemiBold" w:eastAsia="Segoe UI" w:hAnsi="PP Mori SemiBold"/>
                <w:color w:val="FAFAFA" w:themeColor="background1"/>
                <w:szCs w:val="18"/>
              </w:rPr>
            </w:pPr>
            <w:r w:rsidRPr="000C776C">
              <w:rPr>
                <w:rFonts w:ascii="PP Mori SemiBold" w:eastAsia="Segoe UI" w:hAnsi="PP Mori SemiBold"/>
                <w:color w:val="FAFAFA" w:themeColor="background1"/>
                <w:szCs w:val="18"/>
              </w:rPr>
              <w:t>Rough consensus</w:t>
            </w:r>
          </w:p>
          <w:p w14:paraId="55CB2D2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6E90D6E2" w14:textId="77777777" w:rsidR="000C776C" w:rsidRPr="000C776C" w:rsidRDefault="000C776C" w:rsidP="000C776C">
            <w:pPr>
              <w:spacing w:before="120" w:after="120" w:line="288" w:lineRule="auto"/>
              <w:ind w:left="176" w:right="176"/>
              <w:rPr>
                <w:szCs w:val="18"/>
                <w:lang w:bidi="ar-SA"/>
              </w:rPr>
            </w:pPr>
            <w:r w:rsidRPr="000C776C">
              <w:rPr>
                <w:szCs w:val="18"/>
                <w:lang w:eastAsia="en-US" w:bidi="ar-SA"/>
              </w:rPr>
              <w:t>A collaborative model developed by the Internet Engineering Task Force (IETF), the premier standards development organisation for the Internet, for effective multi-stakeholder problem solving in an ultra-complex systems environment. It provides a collaborative approach to achieving general agreement among multiple participants, rather than strict unanimity or a formal majority. It emphasises general alignment of the direction while allowing for areas of dissent.  Points of disagreement are weighed and collectively explored rather than ignored. Decision making largely based on voting outcomes, without understanding and addressing meaningful technical concerns, is avoided.</w:t>
            </w:r>
          </w:p>
        </w:tc>
      </w:tr>
    </w:tbl>
    <w:p w14:paraId="57F72C03"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0861127D" w14:textId="77777777" w:rsidTr="00E24B05">
        <w:tc>
          <w:tcPr>
            <w:tcW w:w="2127" w:type="dxa"/>
            <w:shd w:val="clear" w:color="auto" w:fill="067296" w:themeFill="text2"/>
          </w:tcPr>
          <w:p w14:paraId="40605A3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Scalability</w:t>
            </w:r>
          </w:p>
        </w:tc>
        <w:tc>
          <w:tcPr>
            <w:tcW w:w="6378" w:type="dxa"/>
          </w:tcPr>
          <w:p w14:paraId="4B72A642" w14:textId="77777777" w:rsidR="000C776C" w:rsidRPr="000C776C" w:rsidRDefault="000C776C" w:rsidP="000C776C">
            <w:pPr>
              <w:spacing w:before="120" w:after="120" w:line="288" w:lineRule="auto"/>
              <w:ind w:left="176" w:right="176"/>
              <w:rPr>
                <w:szCs w:val="18"/>
                <w:lang w:bidi="ar-SA"/>
              </w:rPr>
            </w:pPr>
            <w:r w:rsidRPr="000C776C">
              <w:rPr>
                <w:szCs w:val="18"/>
                <w:lang w:bidi="ar-SA"/>
              </w:rPr>
              <w:t>A central consideration of architectural analysis focusing on the degree to which a complex system can securely and efficiently accommodate scale growth. It is a systemic measure of the underpinning structure’s ability to accommodate significant increases in the number of components and endpoints without degrading system functions and/or requiring major modifications.</w:t>
            </w:r>
          </w:p>
        </w:tc>
      </w:tr>
      <w:tr w:rsidR="000C776C" w:rsidRPr="000C776C" w14:paraId="4BDAEB2B" w14:textId="77777777" w:rsidTr="00E24B05">
        <w:tc>
          <w:tcPr>
            <w:tcW w:w="2127" w:type="dxa"/>
            <w:shd w:val="clear" w:color="auto" w:fill="067296" w:themeFill="text2"/>
          </w:tcPr>
          <w:p w14:paraId="0F0EF717"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Smart Inverter</w:t>
            </w:r>
          </w:p>
          <w:p w14:paraId="4C29F13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0018A0BC" w14:textId="77777777" w:rsidR="000C776C" w:rsidRPr="000C776C" w:rsidRDefault="000C776C" w:rsidP="000C776C">
            <w:pPr>
              <w:spacing w:before="120" w:after="120" w:line="288" w:lineRule="auto"/>
              <w:ind w:left="176" w:right="176"/>
              <w:rPr>
                <w:szCs w:val="18"/>
                <w:lang w:bidi="ar-SA"/>
              </w:rPr>
            </w:pPr>
            <w:r w:rsidRPr="000C776C">
              <w:rPr>
                <w:szCs w:val="18"/>
                <w:lang w:bidi="ar-SA"/>
              </w:rPr>
              <w:t>An advanced type of power inverter that converts direct current (DC) into alternating current (AC) while incorporating smart technology features. These features often include grid support functions, remote monitoring, real-time data communication, and the ability to adjust power output to optimize energy usage and efficiency. Smart inverters are commonly used in renewable energy systems, such as solar and wind power installations, to enhance grid stability and integrate seamlessly with smart grids and other modern energy management systems.</w:t>
            </w:r>
          </w:p>
        </w:tc>
      </w:tr>
      <w:tr w:rsidR="000C776C" w:rsidRPr="000C776C" w14:paraId="7889EB2B" w14:textId="77777777" w:rsidTr="00E24B05">
        <w:tc>
          <w:tcPr>
            <w:tcW w:w="2127" w:type="dxa"/>
            <w:shd w:val="clear" w:color="auto" w:fill="067296" w:themeFill="text2"/>
          </w:tcPr>
          <w:p w14:paraId="287CA42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Structure</w:t>
            </w:r>
          </w:p>
        </w:tc>
        <w:tc>
          <w:tcPr>
            <w:tcW w:w="6378" w:type="dxa"/>
          </w:tcPr>
          <w:p w14:paraId="50B2DB0A" w14:textId="77777777" w:rsidR="000C776C" w:rsidRPr="000C776C" w:rsidRDefault="000C776C" w:rsidP="000C776C">
            <w:pPr>
              <w:spacing w:before="120" w:after="120" w:line="288" w:lineRule="auto"/>
              <w:ind w:left="176" w:right="169"/>
              <w:rPr>
                <w:szCs w:val="18"/>
                <w:lang w:bidi="ar-SA"/>
              </w:rPr>
            </w:pPr>
            <w:r w:rsidRPr="000C776C">
              <w:rPr>
                <w:szCs w:val="18"/>
                <w:lang w:eastAsia="en-US" w:bidi="ar-SA"/>
              </w:rPr>
              <w:t>Every functioning system created by humans has an underpinning structure. The structure of a system consists of the formal, stable connections, interactions, relationships and interdependencies that exist between the numerous components of the system and enable it to reliably achieve specific purposes.</w:t>
            </w:r>
          </w:p>
        </w:tc>
      </w:tr>
      <w:tr w:rsidR="000C776C" w:rsidRPr="000C776C" w14:paraId="6FA8CF48" w14:textId="77777777" w:rsidTr="00E24B05">
        <w:tc>
          <w:tcPr>
            <w:tcW w:w="2127" w:type="dxa"/>
            <w:shd w:val="clear" w:color="auto" w:fill="067296" w:themeFill="text2"/>
          </w:tcPr>
          <w:p w14:paraId="5E0FB6F9"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 xml:space="preserve">Structural Analysis </w:t>
            </w:r>
          </w:p>
          <w:p w14:paraId="1BEB4D18"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2CF95501"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In the context of electricity system transformation, structural analysis refers to the systematic evaluation of the physical, operational, and organizational structures of the power system to determine the changes necessary to transition from a conventional, fossil-fuel-based, unidirectional grid to a decarbonised, distributed, and bidirectional grid.</w:t>
            </w:r>
          </w:p>
          <w:p w14:paraId="743EE58C"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2BF91210"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 xml:space="preserve">Key components of structural analysis include: </w:t>
            </w:r>
          </w:p>
          <w:p w14:paraId="0D36C05D" w14:textId="77777777" w:rsidR="000C776C" w:rsidRPr="000C776C" w:rsidRDefault="000C776C" w:rsidP="00470C91">
            <w:pPr>
              <w:numPr>
                <w:ilvl w:val="0"/>
                <w:numId w:val="23"/>
              </w:numPr>
              <w:spacing w:before="60" w:after="60" w:line="288" w:lineRule="auto"/>
              <w:ind w:left="714" w:hanging="357"/>
              <w:rPr>
                <w:rFonts w:eastAsia="Segoe UI"/>
                <w:color w:val="252423"/>
                <w:szCs w:val="18"/>
              </w:rPr>
            </w:pPr>
            <w:r w:rsidRPr="000C776C">
              <w:rPr>
                <w:rFonts w:eastAsia="Segoe UI"/>
                <w:color w:val="252423"/>
                <w:szCs w:val="18"/>
              </w:rPr>
              <w:t>Physical Structure: Reconfiguration of transmission and distribution networks for bidirectional flows.</w:t>
            </w:r>
          </w:p>
          <w:p w14:paraId="087E6D61" w14:textId="77777777" w:rsidR="000C776C" w:rsidRPr="000C776C" w:rsidRDefault="000C776C" w:rsidP="00470C91">
            <w:pPr>
              <w:numPr>
                <w:ilvl w:val="0"/>
                <w:numId w:val="23"/>
              </w:numPr>
              <w:spacing w:before="60" w:after="60" w:line="288" w:lineRule="auto"/>
              <w:ind w:left="714" w:hanging="357"/>
              <w:rPr>
                <w:rFonts w:eastAsia="Segoe UI"/>
                <w:color w:val="252423"/>
                <w:szCs w:val="18"/>
              </w:rPr>
            </w:pPr>
            <w:r w:rsidRPr="000C776C">
              <w:rPr>
                <w:rFonts w:eastAsia="Segoe UI"/>
                <w:color w:val="252423"/>
                <w:szCs w:val="18"/>
              </w:rPr>
              <w:lastRenderedPageBreak/>
              <w:t>Operational Structure: Adaptation of protection systems, frequency control, and flexibility measures.</w:t>
            </w:r>
          </w:p>
          <w:p w14:paraId="7536E18D" w14:textId="77777777" w:rsidR="000C776C" w:rsidRPr="000C776C" w:rsidRDefault="000C776C" w:rsidP="00470C91">
            <w:pPr>
              <w:numPr>
                <w:ilvl w:val="0"/>
                <w:numId w:val="23"/>
              </w:numPr>
              <w:spacing w:before="60" w:after="60" w:line="288" w:lineRule="auto"/>
              <w:ind w:left="714" w:hanging="357"/>
              <w:rPr>
                <w:rFonts w:eastAsia="Segoe UI"/>
                <w:color w:val="252423"/>
                <w:szCs w:val="18"/>
              </w:rPr>
            </w:pPr>
            <w:r w:rsidRPr="000C776C">
              <w:rPr>
                <w:rFonts w:eastAsia="Segoe UI"/>
                <w:color w:val="252423"/>
                <w:szCs w:val="18"/>
              </w:rPr>
              <w:t>Institutional/Market Structure: Integration of distributed generation, demand-side participation, and new pricing models.</w:t>
            </w:r>
          </w:p>
          <w:p w14:paraId="5577CAB8" w14:textId="77777777" w:rsidR="000C776C" w:rsidRPr="000C776C" w:rsidRDefault="000C776C" w:rsidP="00470C91">
            <w:pPr>
              <w:numPr>
                <w:ilvl w:val="0"/>
                <w:numId w:val="23"/>
              </w:numPr>
              <w:spacing w:before="60" w:after="60" w:line="288" w:lineRule="auto"/>
              <w:ind w:left="714" w:hanging="357"/>
              <w:rPr>
                <w:szCs w:val="18"/>
              </w:rPr>
            </w:pPr>
            <w:r w:rsidRPr="000C776C">
              <w:rPr>
                <w:rFonts w:eastAsia="Segoe UI"/>
                <w:color w:val="252423"/>
                <w:szCs w:val="18"/>
              </w:rPr>
              <w:t>Resilience and Stability: Ensuring robust system performance under uncertainty and high penetration of renewables.</w:t>
            </w:r>
          </w:p>
        </w:tc>
      </w:tr>
      <w:tr w:rsidR="000C776C" w:rsidRPr="000C776C" w14:paraId="7CD99509" w14:textId="77777777" w:rsidTr="00E24B05">
        <w:tc>
          <w:tcPr>
            <w:tcW w:w="2127" w:type="dxa"/>
            <w:shd w:val="clear" w:color="auto" w:fill="067296" w:themeFill="text2"/>
          </w:tcPr>
          <w:p w14:paraId="3A24E036"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Structural Intervention</w:t>
            </w:r>
          </w:p>
          <w:p w14:paraId="33BA568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0E973E63"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 xml:space="preserve">In the context of power system transformation, </w:t>
            </w:r>
            <w:r w:rsidRPr="000C776C">
              <w:rPr>
                <w:bCs/>
                <w:szCs w:val="18"/>
                <w:lang w:eastAsia="en-US" w:bidi="ar-SA"/>
              </w:rPr>
              <w:t xml:space="preserve">a </w:t>
            </w:r>
            <w:r w:rsidRPr="000C776C">
              <w:rPr>
                <w:szCs w:val="18"/>
                <w:lang w:eastAsia="en-US" w:bidi="ar-SA"/>
              </w:rPr>
              <w:t>structural intervention refers to the deliberate modification or redesign of the physical, operational, and institutional components of the system to enable</w:t>
            </w:r>
            <w:r w:rsidRPr="000C776C">
              <w:rPr>
                <w:bCs/>
                <w:szCs w:val="18"/>
                <w:lang w:eastAsia="en-US" w:bidi="ar-SA"/>
              </w:rPr>
              <w:t>, for example,</w:t>
            </w:r>
            <w:r w:rsidRPr="000C776C">
              <w:rPr>
                <w:szCs w:val="18"/>
                <w:lang w:eastAsia="en-US" w:bidi="ar-SA"/>
              </w:rPr>
              <w:t xml:space="preserve"> the transition from a </w:t>
            </w:r>
            <w:r w:rsidRPr="000C776C">
              <w:rPr>
                <w:bCs/>
                <w:szCs w:val="18"/>
                <w:lang w:eastAsia="en-US" w:bidi="ar-SA"/>
              </w:rPr>
              <w:t>centralised</w:t>
            </w:r>
            <w:r w:rsidRPr="000C776C">
              <w:rPr>
                <w:szCs w:val="18"/>
                <w:lang w:eastAsia="en-US" w:bidi="ar-SA"/>
              </w:rPr>
              <w:t>, fossil-fuel-based, unidirectional grid to a decarbonised, distributed, and bidirectional grid.</w:t>
            </w:r>
          </w:p>
          <w:p w14:paraId="5B41034D"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Structural interventions go beyond incremental operational adjustments; they involve fundamental changes to the system’s architecture and governance to ensure it can support</w:t>
            </w:r>
            <w:r w:rsidRPr="000C776C">
              <w:rPr>
                <w:bCs/>
                <w:szCs w:val="18"/>
                <w:lang w:eastAsia="en-US" w:bidi="ar-SA"/>
              </w:rPr>
              <w:t xml:space="preserve"> developments such as</w:t>
            </w:r>
            <w:r w:rsidRPr="000C776C">
              <w:rPr>
                <w:szCs w:val="18"/>
                <w:lang w:eastAsia="en-US" w:bidi="ar-SA"/>
              </w:rPr>
              <w:t>:</w:t>
            </w:r>
          </w:p>
          <w:p w14:paraId="682888AC"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High penetration of renewable energy sources</w:t>
            </w:r>
          </w:p>
          <w:p w14:paraId="7610174E"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Two-way energy and information flows</w:t>
            </w:r>
          </w:p>
          <w:p w14:paraId="625B0FF5"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Distributed generation, storage, and flexible demand</w:t>
            </w:r>
          </w:p>
          <w:p w14:paraId="5A801753"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New market structures and regulatory frameworks</w:t>
            </w:r>
          </w:p>
          <w:p w14:paraId="7F0BA583" w14:textId="77777777" w:rsidR="000C776C" w:rsidRPr="000C776C" w:rsidRDefault="000C776C" w:rsidP="000C776C">
            <w:pPr>
              <w:spacing w:before="120" w:after="120" w:line="288" w:lineRule="auto"/>
              <w:ind w:left="176" w:right="169"/>
              <w:rPr>
                <w:szCs w:val="18"/>
              </w:rPr>
            </w:pPr>
            <w:r w:rsidRPr="000C776C">
              <w:rPr>
                <w:szCs w:val="18"/>
                <w:lang w:eastAsia="en-US" w:bidi="ar-SA"/>
              </w:rPr>
              <w:t>These interventions may include network reinforcement and reconfiguration, deployment of advanced digital infrastructure, implementation of new control and protection schemes, and policy and market redesign to maintain reliability, resilience, and economic efficiency in the evolving energy ecosystem.</w:t>
            </w:r>
          </w:p>
        </w:tc>
      </w:tr>
      <w:tr w:rsidR="000C776C" w:rsidRPr="000C776C" w14:paraId="1178EDB5" w14:textId="77777777" w:rsidTr="00E24B05">
        <w:tc>
          <w:tcPr>
            <w:tcW w:w="2127" w:type="dxa"/>
            <w:shd w:val="clear" w:color="auto" w:fill="067296" w:themeFill="text2"/>
          </w:tcPr>
          <w:p w14:paraId="4237839D" w14:textId="77777777" w:rsidR="000C776C" w:rsidRPr="000C776C" w:rsidRDefault="000C776C" w:rsidP="000C776C">
            <w:pPr>
              <w:spacing w:before="120" w:after="120" w:line="288" w:lineRule="auto"/>
              <w:jc w:val="center"/>
              <w:rPr>
                <w:rFonts w:ascii="PP Mori SemiBold" w:hAnsi="PP Mori SemiBold"/>
                <w:color w:val="FAFAFA" w:themeColor="background1"/>
              </w:rPr>
            </w:pPr>
            <w:r w:rsidRPr="000C776C">
              <w:rPr>
                <w:rFonts w:ascii="PP Mori SemiBold" w:hAnsi="PP Mori SemiBold"/>
                <w:color w:val="FAFAFA" w:themeColor="background1"/>
              </w:rPr>
              <w:t>Supply-Demand Balance</w:t>
            </w:r>
          </w:p>
          <w:p w14:paraId="66C0F5E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3A7616A" w14:textId="77777777" w:rsidR="000C776C" w:rsidRPr="000C776C" w:rsidRDefault="000C776C" w:rsidP="000C776C">
            <w:pPr>
              <w:spacing w:before="120" w:after="120" w:line="288" w:lineRule="auto"/>
              <w:ind w:left="176" w:right="169"/>
              <w:rPr>
                <w:szCs w:val="18"/>
                <w:lang w:eastAsia="en-US" w:bidi="ar-SA"/>
              </w:rPr>
            </w:pPr>
            <w:r w:rsidRPr="000C776C">
              <w:rPr>
                <w:lang w:eastAsia="en-US" w:bidi="ar-SA"/>
              </w:rPr>
              <w:t xml:space="preserve">Where volume of electricity delivered by all operating generation (supply) is maintained in equilibrium with all electricity consumed by customers (demand) during each second. </w:t>
            </w:r>
          </w:p>
          <w:p w14:paraId="1750CA98" w14:textId="77777777" w:rsidR="000C776C" w:rsidRPr="000C776C" w:rsidRDefault="000C776C" w:rsidP="000C776C">
            <w:pPr>
              <w:spacing w:before="120" w:after="120" w:line="288" w:lineRule="auto"/>
              <w:ind w:left="176" w:right="169"/>
              <w:rPr>
                <w:szCs w:val="18"/>
                <w:lang w:bidi="ar-SA"/>
              </w:rPr>
            </w:pPr>
            <w:r w:rsidRPr="000C776C">
              <w:rPr>
                <w:lang w:eastAsia="en-US" w:bidi="ar-SA"/>
              </w:rPr>
              <w:t>Maintaining this instantaneous balance is crucial for the stable operation of the power system as imbalances lead to frequency and voltage deviations, which can cause cascading outages.</w:t>
            </w:r>
          </w:p>
        </w:tc>
      </w:tr>
    </w:tbl>
    <w:p w14:paraId="6743ECFA"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2256F675" w14:textId="77777777" w:rsidTr="00E24B05">
        <w:tc>
          <w:tcPr>
            <w:tcW w:w="2127" w:type="dxa"/>
            <w:tcBorders>
              <w:bottom w:val="single" w:sz="4" w:space="0" w:color="FAFAFA" w:themeColor="background1"/>
            </w:tcBorders>
            <w:shd w:val="clear" w:color="auto" w:fill="067296" w:themeFill="text2"/>
          </w:tcPr>
          <w:p w14:paraId="33E723D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Supply-Demand Balancing</w:t>
            </w:r>
          </w:p>
          <w:p w14:paraId="4555B91B" w14:textId="77777777" w:rsidR="000C776C" w:rsidRPr="000C776C" w:rsidRDefault="000C776C" w:rsidP="000C776C">
            <w:pPr>
              <w:spacing w:before="120" w:after="120" w:line="288" w:lineRule="auto"/>
              <w:ind w:left="175" w:right="176"/>
              <w:jc w:val="center"/>
              <w:rPr>
                <w:rFonts w:ascii="PP Mori SemiBold" w:hAnsi="PP Mori SemiBold"/>
                <w:color w:val="FAFAFA" w:themeColor="background1"/>
                <w:sz w:val="28"/>
                <w:szCs w:val="44"/>
              </w:rPr>
            </w:pPr>
          </w:p>
        </w:tc>
        <w:tc>
          <w:tcPr>
            <w:tcW w:w="6378" w:type="dxa"/>
          </w:tcPr>
          <w:p w14:paraId="04AB12C9"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The continuous process of ensuring that total electricity generation (supply) matches electricity consumption (demand) every second.  Maintaining this instantaneous balance is crucial for the stable operation of the power system, with imbalances leading to frequency and voltage deviations, which can cause cascading outages.</w:t>
            </w:r>
          </w:p>
          <w:p w14:paraId="31FC518F"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Enabled by formal Operational Coordination mechanisms, the maintenance of supply and demand in constant equilibrium involves:</w:t>
            </w:r>
          </w:p>
          <w:p w14:paraId="37D198B1"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 xml:space="preserve">High levels of operational visibility and observability in real-time; </w:t>
            </w:r>
          </w:p>
          <w:p w14:paraId="7EDB8B8C"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 xml:space="preserve">The real-time dispatch of centralised and decentralised generation and energy storage; </w:t>
            </w:r>
          </w:p>
          <w:p w14:paraId="4785847A"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 xml:space="preserve">The activation of flexible demand, for example to align with periods of peaks or troughs of Variable Renewable Energy (VRE) generation; and, </w:t>
            </w:r>
          </w:p>
          <w:p w14:paraId="683817A8"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 xml:space="preserve">Activation of reserves and ancillary services as needed. </w:t>
            </w:r>
          </w:p>
          <w:p w14:paraId="4AF071FB" w14:textId="77777777" w:rsidR="000C776C" w:rsidRPr="000C776C" w:rsidRDefault="000C776C" w:rsidP="000C776C">
            <w:pPr>
              <w:spacing w:before="120" w:after="120" w:line="288" w:lineRule="auto"/>
              <w:ind w:left="176" w:right="169"/>
              <w:rPr>
                <w:szCs w:val="18"/>
                <w:lang w:eastAsia="en-US" w:bidi="ar-SA"/>
              </w:rPr>
            </w:pPr>
            <w:r w:rsidRPr="000C776C">
              <w:rPr>
                <w:rFonts w:cs="Segoe UI"/>
                <w:szCs w:val="18"/>
              </w:rPr>
              <w:t xml:space="preserve">Supply-Demand Balancing was traditionally the responsibility of the Market/System Operator and employed a Load-following Operational </w:t>
            </w:r>
            <w:r w:rsidRPr="000C776C">
              <w:rPr>
                <w:szCs w:val="18"/>
                <w:lang w:eastAsia="en-US" w:bidi="ar-SA"/>
              </w:rPr>
              <w:t xml:space="preserve">Paradigm as most generation plant was both dispatchable and connected to the transmission system.  </w:t>
            </w:r>
          </w:p>
          <w:p w14:paraId="05517DE2" w14:textId="77777777" w:rsidR="000C776C" w:rsidRPr="000C776C" w:rsidRDefault="000C776C" w:rsidP="000C776C">
            <w:pPr>
              <w:spacing w:before="120" w:after="120" w:line="288" w:lineRule="auto"/>
              <w:ind w:left="176" w:right="169"/>
              <w:rPr>
                <w:lang w:eastAsia="en-US" w:bidi="ar-SA"/>
              </w:rPr>
            </w:pPr>
            <w:r w:rsidRPr="000C776C">
              <w:rPr>
                <w:rFonts w:cs="Segoe UI"/>
                <w:szCs w:val="18"/>
                <w:lang w:bidi="ar-SA"/>
              </w:rPr>
              <w:t>As the scale deployment of VRE and Consumer Energy Resources (CER/DER) continues, and power systems become more volatile and decentralised, multi-level balancing will increasingly be required.  This may also require increasing time-windows where a Supply-following Operational Paradigm is employed.</w:t>
            </w:r>
          </w:p>
        </w:tc>
      </w:tr>
      <w:tr w:rsidR="000C776C" w:rsidRPr="000C776C" w14:paraId="381FE7F9" w14:textId="77777777" w:rsidTr="00E24B05">
        <w:tc>
          <w:tcPr>
            <w:tcW w:w="2127" w:type="dxa"/>
            <w:tcBorders>
              <w:top w:val="single" w:sz="4" w:space="0" w:color="FAFAFA" w:themeColor="background1"/>
            </w:tcBorders>
            <w:shd w:val="clear" w:color="auto" w:fill="067296" w:themeFill="text2"/>
          </w:tcPr>
          <w:p w14:paraId="7D39B88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Supply-side</w:t>
            </w:r>
          </w:p>
        </w:tc>
        <w:tc>
          <w:tcPr>
            <w:tcW w:w="6378" w:type="dxa"/>
          </w:tcPr>
          <w:p w14:paraId="2A69CF18" w14:textId="77777777" w:rsidR="000C776C" w:rsidRPr="000C776C" w:rsidRDefault="000C776C" w:rsidP="000C776C">
            <w:pPr>
              <w:spacing w:before="120" w:after="120" w:line="288" w:lineRule="auto"/>
              <w:ind w:left="176" w:right="169"/>
              <w:rPr>
                <w:szCs w:val="18"/>
                <w:lang w:bidi="ar-SA"/>
              </w:rPr>
            </w:pPr>
            <w:r w:rsidRPr="000C776C">
              <w:rPr>
                <w:szCs w:val="18"/>
                <w:lang w:bidi="ar-SA"/>
              </w:rPr>
              <w:t xml:space="preserve">The upstream end of a conventional power system where almost all generation plant was traditionally located.  </w:t>
            </w:r>
          </w:p>
          <w:p w14:paraId="383A857D" w14:textId="77777777" w:rsidR="000C776C" w:rsidRPr="000C776C" w:rsidRDefault="000C776C" w:rsidP="000C776C">
            <w:pPr>
              <w:spacing w:before="120" w:after="120" w:line="288" w:lineRule="auto"/>
              <w:ind w:left="176" w:right="169"/>
              <w:rPr>
                <w:szCs w:val="18"/>
                <w:lang w:bidi="ar-SA"/>
              </w:rPr>
            </w:pPr>
            <w:r w:rsidRPr="000C776C">
              <w:rPr>
                <w:szCs w:val="18"/>
                <w:lang w:bidi="ar-SA"/>
              </w:rPr>
              <w:t>More broadly, the term includes all parts of the power system upstream of the customer connection point, including the bulk power system, transmission networks and distribution networks.</w:t>
            </w:r>
          </w:p>
        </w:tc>
      </w:tr>
      <w:tr w:rsidR="000C776C" w:rsidRPr="000C776C" w14:paraId="6D49EF83" w14:textId="77777777" w:rsidTr="00E24B05">
        <w:tc>
          <w:tcPr>
            <w:tcW w:w="2127" w:type="dxa"/>
            <w:shd w:val="clear" w:color="auto" w:fill="067296" w:themeFill="text2"/>
          </w:tcPr>
          <w:p w14:paraId="3B1313F3"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Synchronous Generation</w:t>
            </w:r>
          </w:p>
        </w:tc>
        <w:tc>
          <w:tcPr>
            <w:tcW w:w="6378" w:type="dxa"/>
          </w:tcPr>
          <w:p w14:paraId="65F1189B" w14:textId="77777777" w:rsidR="000C776C" w:rsidRPr="000C776C" w:rsidRDefault="000C776C" w:rsidP="000C776C">
            <w:pPr>
              <w:spacing w:before="120" w:after="120" w:line="288" w:lineRule="auto"/>
              <w:ind w:left="176" w:right="169"/>
              <w:rPr>
                <w:szCs w:val="18"/>
                <w:lang w:bidi="ar-SA"/>
              </w:rPr>
            </w:pPr>
            <w:r w:rsidRPr="000C776C">
              <w:rPr>
                <w:szCs w:val="18"/>
                <w:lang w:bidi="ar-SA"/>
              </w:rPr>
              <w:t>Generation plant which is directly connected to the power system and rotates in synchronism with the frequency of the grid.</w:t>
            </w:r>
          </w:p>
        </w:tc>
      </w:tr>
    </w:tbl>
    <w:p w14:paraId="4876626F"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5AF7583B" w14:textId="77777777" w:rsidTr="00E24B05">
        <w:tc>
          <w:tcPr>
            <w:tcW w:w="2127" w:type="dxa"/>
            <w:shd w:val="clear" w:color="auto" w:fill="067296" w:themeFill="text2"/>
          </w:tcPr>
          <w:p w14:paraId="00AB214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System</w:t>
            </w:r>
          </w:p>
        </w:tc>
        <w:tc>
          <w:tcPr>
            <w:tcW w:w="6378" w:type="dxa"/>
          </w:tcPr>
          <w:p w14:paraId="402787CA" w14:textId="77777777" w:rsidR="000C776C" w:rsidRPr="000C776C" w:rsidRDefault="000C776C" w:rsidP="000C776C">
            <w:pPr>
              <w:spacing w:before="120" w:after="120" w:line="288" w:lineRule="auto"/>
              <w:ind w:left="176" w:right="169"/>
              <w:rPr>
                <w:szCs w:val="18"/>
                <w:lang w:eastAsia="en-US" w:bidi="ar-SA"/>
              </w:rPr>
            </w:pPr>
            <w:r w:rsidRPr="000C776C">
              <w:rPr>
                <w:lang w:eastAsia="en-US" w:bidi="ar-SA"/>
              </w:rPr>
              <w:t>An interconnected set of components that are formally linked together by a set of structural and functional relationships to achieve specific purpose(s). A system always involves three things:</w:t>
            </w:r>
          </w:p>
          <w:p w14:paraId="47912DAB"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Components or elements</w:t>
            </w:r>
            <w:r w:rsidRPr="000C776C">
              <w:rPr>
                <w:lang w:eastAsia="en-US" w:bidi="ar-SA"/>
              </w:rPr>
              <w:t xml:space="preserve">, which may be many or few, tangible or intangible </w:t>
            </w:r>
          </w:p>
          <w:p w14:paraId="2791E3E5"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Structural and functional relationships</w:t>
            </w:r>
            <w:r w:rsidRPr="000C776C">
              <w:rPr>
                <w:lang w:eastAsia="en-US" w:bidi="ar-SA"/>
              </w:rPr>
              <w:t>, which link or relate all the components together in a manner that enables interdependent operation; and</w:t>
            </w:r>
          </w:p>
          <w:p w14:paraId="22E09BD0" w14:textId="77777777" w:rsidR="000C776C" w:rsidRPr="000C776C" w:rsidRDefault="000C776C" w:rsidP="00470C91">
            <w:pPr>
              <w:numPr>
                <w:ilvl w:val="0"/>
                <w:numId w:val="28"/>
              </w:numPr>
              <w:spacing w:before="60" w:after="60" w:line="288" w:lineRule="auto"/>
              <w:ind w:left="890" w:right="176" w:hanging="357"/>
              <w:rPr>
                <w:szCs w:val="18"/>
                <w:lang w:eastAsia="en-US" w:bidi="ar-SA"/>
              </w:rPr>
            </w:pPr>
            <w:r w:rsidRPr="000C776C">
              <w:rPr>
                <w:szCs w:val="18"/>
                <w:lang w:eastAsia="en-US" w:bidi="ar-SA"/>
              </w:rPr>
              <w:t>One or more purpose(s)</w:t>
            </w:r>
            <w:r w:rsidRPr="000C776C">
              <w:rPr>
                <w:lang w:eastAsia="en-US" w:bidi="ar-SA"/>
              </w:rPr>
              <w:t xml:space="preserve">, which provide the ultimate reason for the system’s existence, and toward which the collective functions of all the components are directed, enabled by the architectural structures. </w:t>
            </w:r>
          </w:p>
          <w:p w14:paraId="1DC64951" w14:textId="77777777" w:rsidR="000C776C" w:rsidRPr="000C776C" w:rsidRDefault="000C776C" w:rsidP="000C776C">
            <w:pPr>
              <w:spacing w:before="120" w:after="120" w:line="288" w:lineRule="auto"/>
              <w:ind w:left="176" w:right="169"/>
              <w:rPr>
                <w:szCs w:val="18"/>
                <w:lang w:bidi="ar-SA"/>
              </w:rPr>
            </w:pPr>
            <w:r w:rsidRPr="000C776C">
              <w:rPr>
                <w:lang w:eastAsia="en-US" w:bidi="ar-SA"/>
              </w:rPr>
              <w:t>While the components of a system are often the most visible/tangible, the underpinning structure or architecture always has a disproportionate influence on the essential limits of what the system can reliably and efficiently perform.</w:t>
            </w:r>
          </w:p>
        </w:tc>
      </w:tr>
      <w:tr w:rsidR="000C776C" w:rsidRPr="000C776C" w14:paraId="7E48DF71" w14:textId="77777777" w:rsidTr="00E24B05">
        <w:tc>
          <w:tcPr>
            <w:tcW w:w="2127" w:type="dxa"/>
            <w:shd w:val="clear" w:color="auto" w:fill="067296" w:themeFill="text2"/>
          </w:tcPr>
          <w:p w14:paraId="5E00A4E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 xml:space="preserve">Systemic </w:t>
            </w:r>
            <w:r w:rsidRPr="000C776C">
              <w:rPr>
                <w:rFonts w:ascii="PP Mori SemiBold" w:hAnsi="PP Mori SemiBold"/>
                <w:bCs/>
                <w:color w:val="FAFAFA" w:themeColor="background1"/>
                <w:szCs w:val="18"/>
              </w:rPr>
              <w:t>Issue</w:t>
            </w:r>
          </w:p>
        </w:tc>
        <w:tc>
          <w:tcPr>
            <w:tcW w:w="6378" w:type="dxa"/>
          </w:tcPr>
          <w:p w14:paraId="59C3FB9A"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In the disciplines of Systems Architecture and Systems Engineering, a Systemic Issue refers to a cross-cutting problem that stems from the fundamental structure, design, or interactions within a system, rather than from isolated component failures or random anomalies. These issues emerge from the way the system is intrinsically organised and how its parts interrelate.</w:t>
            </w:r>
          </w:p>
          <w:p w14:paraId="4E98252D"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In the context of system transformation, Systemic Issues typically surface when existing, legacy arrangements are placed under stress by the cumulative impact of Emerging Trends -- developments and dynamics that were not anticipated during the original design of the system. For example, in electric power systems, Systemic Issues often appear across one or more of the seven inter-dependent technological, market, and regulatory structures outlined in the Network of Structures framework.</w:t>
            </w:r>
          </w:p>
          <w:p w14:paraId="3DD70E35" w14:textId="77777777" w:rsidR="000C776C" w:rsidRPr="000C776C" w:rsidRDefault="000C776C" w:rsidP="000C776C">
            <w:pPr>
              <w:spacing w:before="120" w:after="120" w:line="288" w:lineRule="auto"/>
              <w:ind w:left="176" w:right="169"/>
              <w:rPr>
                <w:szCs w:val="18"/>
              </w:rPr>
            </w:pPr>
            <w:r w:rsidRPr="000C776C">
              <w:rPr>
                <w:szCs w:val="18"/>
                <w:lang w:eastAsia="en-US" w:bidi="ar-SA"/>
              </w:rPr>
              <w:t>Identifying, analysing, and documenting Systemic Issues is a powerful and holistic approach to problem definition in complex, systems. Compared to traditional methods that examine numerous individual trends or develop extensive use case libraries, focusing on Systemic Issues enables practitioners to distil a limited set of high-leverage problems. Addressing these through targeted structural interventions can deliver transformative, system-wide benefits.</w:t>
            </w:r>
          </w:p>
        </w:tc>
      </w:tr>
      <w:tr w:rsidR="000C776C" w:rsidRPr="000C776C" w14:paraId="35840031" w14:textId="77777777" w:rsidTr="00E24B05">
        <w:tc>
          <w:tcPr>
            <w:tcW w:w="2127" w:type="dxa"/>
            <w:shd w:val="clear" w:color="auto" w:fill="067296" w:themeFill="text2"/>
          </w:tcPr>
          <w:p w14:paraId="4CB0EA3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Systems Architecture</w:t>
            </w:r>
          </w:p>
        </w:tc>
        <w:tc>
          <w:tcPr>
            <w:tcW w:w="6378" w:type="dxa"/>
          </w:tcPr>
          <w:p w14:paraId="3A16E720"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1BAD7C9C"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6992392C" w14:textId="77777777" w:rsidR="000C776C" w:rsidRPr="000C776C" w:rsidRDefault="000C776C" w:rsidP="000C776C">
            <w:pPr>
              <w:spacing w:before="120" w:after="120" w:line="288" w:lineRule="auto"/>
              <w:ind w:left="176" w:right="169"/>
              <w:rPr>
                <w:szCs w:val="18"/>
                <w:lang w:eastAsia="en-US" w:bidi="ar-SA"/>
              </w:rPr>
            </w:pPr>
            <w:r w:rsidRPr="000C776C">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29A83849" w14:textId="77777777" w:rsidR="000C776C" w:rsidRPr="000C776C" w:rsidRDefault="000C776C" w:rsidP="000C776C">
            <w:pPr>
              <w:spacing w:before="120" w:after="120" w:line="288" w:lineRule="auto"/>
              <w:ind w:left="176" w:right="169"/>
              <w:rPr>
                <w:szCs w:val="18"/>
                <w:lang w:bidi="ar-SA"/>
              </w:rPr>
            </w:pPr>
            <w:r w:rsidRPr="000C776C">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0C776C" w:rsidRPr="000C776C" w14:paraId="4607BF8C" w14:textId="77777777" w:rsidTr="00E24B05">
        <w:tc>
          <w:tcPr>
            <w:tcW w:w="2127" w:type="dxa"/>
            <w:shd w:val="clear" w:color="auto" w:fill="067296" w:themeFill="text2"/>
          </w:tcPr>
          <w:p w14:paraId="24083011"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Systems Engineering</w:t>
            </w:r>
          </w:p>
        </w:tc>
        <w:tc>
          <w:tcPr>
            <w:tcW w:w="6378" w:type="dxa"/>
          </w:tcPr>
          <w:p w14:paraId="6928D4F7" w14:textId="77777777" w:rsidR="000C776C" w:rsidRPr="000C776C" w:rsidRDefault="000C776C" w:rsidP="000C776C">
            <w:pPr>
              <w:spacing w:before="120" w:after="120" w:line="288" w:lineRule="auto"/>
              <w:ind w:left="176" w:right="169"/>
              <w:rPr>
                <w:lang w:bidi="ar-SA"/>
              </w:rPr>
            </w:pPr>
            <w:r w:rsidRPr="000C776C">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5E7EEAEF" w14:textId="77777777" w:rsidR="000C776C" w:rsidRPr="000C776C" w:rsidRDefault="000C776C" w:rsidP="000C776C">
            <w:pPr>
              <w:spacing w:before="120" w:after="120" w:line="288" w:lineRule="auto"/>
              <w:ind w:left="176" w:right="169"/>
              <w:rPr>
                <w:lang w:bidi="ar-SA"/>
              </w:rPr>
            </w:pPr>
            <w:r w:rsidRPr="000C776C">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0C776C" w:rsidRPr="000C776C" w14:paraId="43A4AC79" w14:textId="77777777" w:rsidTr="00E24B05">
        <w:tc>
          <w:tcPr>
            <w:tcW w:w="2127" w:type="dxa"/>
            <w:shd w:val="clear" w:color="auto" w:fill="067296" w:themeFill="text2"/>
          </w:tcPr>
          <w:p w14:paraId="324C26D7"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Systems Science</w:t>
            </w:r>
          </w:p>
          <w:p w14:paraId="2E7ADCCD"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3A755E05" w14:textId="0ED0E0DC" w:rsidR="000C776C" w:rsidRPr="000C776C" w:rsidRDefault="000C776C" w:rsidP="000C776C">
            <w:pPr>
              <w:spacing w:before="120" w:after="120" w:line="288" w:lineRule="auto"/>
              <w:ind w:left="176" w:right="169"/>
              <w:rPr>
                <w:szCs w:val="18"/>
                <w:lang w:bidi="ar-SA"/>
              </w:rPr>
            </w:pPr>
            <w:r w:rsidRPr="000C776C">
              <w:rPr>
                <w:szCs w:val="18"/>
                <w:lang w:bidi="ar-SA"/>
              </w:rPr>
              <w:t>A multi-domain, integrative discipline that brings together research into all aspects of complex</w:t>
            </w:r>
            <w:r w:rsidRPr="000C776C">
              <w:rPr>
                <w:rFonts w:ascii="Calibri" w:hAnsi="Calibri" w:cs="Calibri"/>
                <w:szCs w:val="18"/>
                <w:lang w:bidi="ar-SA"/>
              </w:rPr>
              <w:t> </w:t>
            </w:r>
            <w:hyperlink r:id="rId83" w:history="1">
              <w:r w:rsidRPr="000C776C">
                <w:rPr>
                  <w:szCs w:val="18"/>
                  <w:lang w:bidi="ar-SA"/>
                </w:rPr>
                <w:t>systems</w:t>
              </w:r>
            </w:hyperlink>
            <w:r w:rsidRPr="000C776C">
              <w:rPr>
                <w:rFonts w:ascii="Calibri" w:hAnsi="Calibri" w:cs="Calibri"/>
                <w:szCs w:val="18"/>
                <w:lang w:bidi="ar-SA"/>
              </w:rPr>
              <w:t> </w:t>
            </w:r>
            <w:r w:rsidRPr="000C776C">
              <w:rPr>
                <w:szCs w:val="18"/>
                <w:lang w:bidi="ar-SA"/>
              </w:rPr>
              <w:t>with a focus on identifying, exploring and understanding the universal patterns and behaviours of</w:t>
            </w:r>
            <w:r w:rsidRPr="000C776C">
              <w:rPr>
                <w:rFonts w:ascii="Calibri" w:hAnsi="Calibri" w:cs="Calibri"/>
                <w:szCs w:val="18"/>
                <w:lang w:bidi="ar-SA"/>
              </w:rPr>
              <w:t> </w:t>
            </w:r>
            <w:hyperlink r:id="rId84" w:history="1">
              <w:r w:rsidRPr="000C776C">
                <w:rPr>
                  <w:szCs w:val="18"/>
                  <w:lang w:bidi="ar-SA"/>
                </w:rPr>
                <w:t>complexity</w:t>
              </w:r>
            </w:hyperlink>
            <w:r w:rsidRPr="000C776C">
              <w:rPr>
                <w:rFonts w:ascii="Calibri" w:hAnsi="Calibri" w:cs="Calibri"/>
                <w:szCs w:val="18"/>
                <w:lang w:bidi="ar-SA"/>
              </w:rPr>
              <w:t> </w:t>
            </w:r>
            <w:r w:rsidRPr="000C776C">
              <w:rPr>
                <w:szCs w:val="18"/>
                <w:lang w:bidi="ar-SA"/>
              </w:rPr>
              <w:t>and</w:t>
            </w:r>
            <w:r w:rsidRPr="000C776C">
              <w:rPr>
                <w:rFonts w:ascii="Calibri" w:hAnsi="Calibri" w:cs="Calibri"/>
                <w:szCs w:val="18"/>
                <w:lang w:bidi="ar-SA"/>
              </w:rPr>
              <w:t> </w:t>
            </w:r>
            <w:hyperlink r:id="rId85" w:history="1">
              <w:r w:rsidRPr="000C776C">
                <w:rPr>
                  <w:szCs w:val="18"/>
                  <w:lang w:bidi="ar-SA"/>
                </w:rPr>
                <w:t>emergence</w:t>
              </w:r>
            </w:hyperlink>
            <w:r w:rsidRPr="000C776C">
              <w:rPr>
                <w:szCs w:val="18"/>
                <w:lang w:bidi="ar-SA"/>
              </w:rPr>
              <w:t>.</w:t>
            </w:r>
          </w:p>
        </w:tc>
      </w:tr>
      <w:tr w:rsidR="000C776C" w:rsidRPr="000C776C" w14:paraId="7F8DDB7C" w14:textId="77777777" w:rsidTr="00E24B05">
        <w:tc>
          <w:tcPr>
            <w:tcW w:w="2127" w:type="dxa"/>
            <w:shd w:val="clear" w:color="auto" w:fill="067296" w:themeFill="text2"/>
          </w:tcPr>
          <w:p w14:paraId="1F7982D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Theory of Change</w:t>
            </w:r>
          </w:p>
        </w:tc>
        <w:tc>
          <w:tcPr>
            <w:tcW w:w="6378" w:type="dxa"/>
          </w:tcPr>
          <w:p w14:paraId="139C2BC6" w14:textId="77777777" w:rsidR="000C776C" w:rsidRPr="000C776C" w:rsidRDefault="000C776C" w:rsidP="000C776C">
            <w:pPr>
              <w:spacing w:before="120" w:after="120" w:line="288" w:lineRule="auto"/>
              <w:ind w:left="176" w:right="169"/>
              <w:rPr>
                <w:szCs w:val="18"/>
                <w:lang w:bidi="ar-SA"/>
              </w:rPr>
            </w:pPr>
            <w:r w:rsidRPr="000C776C">
              <w:rPr>
                <w:szCs w:val="18"/>
                <w:lang w:bidi="ar-SA"/>
              </w:rPr>
              <w:t xml:space="preserve">A structured framework that outlines the causal pathways through which interventions are expected to lead to desired outcomes. </w:t>
            </w:r>
          </w:p>
          <w:p w14:paraId="694805F9" w14:textId="77777777" w:rsidR="000C776C" w:rsidRPr="000C776C" w:rsidRDefault="000C776C" w:rsidP="000C776C">
            <w:pPr>
              <w:spacing w:before="120" w:after="120" w:line="288" w:lineRule="auto"/>
              <w:ind w:left="176" w:right="169"/>
              <w:rPr>
                <w:szCs w:val="18"/>
                <w:lang w:bidi="ar-SA"/>
              </w:rPr>
            </w:pPr>
            <w:r w:rsidRPr="000C776C">
              <w:rPr>
                <w:szCs w:val="18"/>
                <w:lang w:bidi="ar-SA"/>
              </w:rPr>
              <w:t xml:space="preserve">Collaboratively developing a theory of change helps key stakeholders interrogate how and why an approach to transformation is expected to work, and surface and constructively debate differences early.  </w:t>
            </w:r>
          </w:p>
          <w:p w14:paraId="0B1A0065" w14:textId="77777777" w:rsidR="000C776C" w:rsidRPr="000C776C" w:rsidRDefault="000C776C" w:rsidP="000C776C">
            <w:pPr>
              <w:spacing w:before="120" w:after="120" w:line="288" w:lineRule="auto"/>
              <w:ind w:left="176" w:right="169"/>
              <w:rPr>
                <w:szCs w:val="18"/>
                <w:lang w:bidi="ar-SA"/>
              </w:rPr>
            </w:pPr>
            <w:r w:rsidRPr="000C776C">
              <w:rPr>
                <w:szCs w:val="18"/>
                <w:lang w:bidi="ar-SA"/>
              </w:rPr>
              <w:t xml:space="preserve">In a complex, multi-stakeholder context, this enables more efficient and effective interventions by making the assumptions underlying interventions explicit, identifying the necessary conditions for success, and describing the logical sequence of events that are expected to result in the intended changes. </w:t>
            </w:r>
          </w:p>
        </w:tc>
      </w:tr>
      <w:tr w:rsidR="000C776C" w:rsidRPr="000C776C" w14:paraId="7C0DA847" w14:textId="77777777" w:rsidTr="00E24B05">
        <w:tc>
          <w:tcPr>
            <w:tcW w:w="2127" w:type="dxa"/>
            <w:shd w:val="clear" w:color="auto" w:fill="067296" w:themeFill="text2"/>
          </w:tcPr>
          <w:p w14:paraId="002A181D" w14:textId="77777777" w:rsidR="000C776C" w:rsidRPr="000C776C" w:rsidRDefault="000C776C" w:rsidP="000C776C">
            <w:pPr>
              <w:spacing w:before="120" w:after="120" w:line="288" w:lineRule="auto"/>
              <w:jc w:val="center"/>
              <w:rPr>
                <w:rFonts w:ascii="PP Mori SemiBold" w:hAnsi="PP Mori SemiBold"/>
                <w:color w:val="FAFAFA" w:themeColor="background1"/>
              </w:rPr>
            </w:pPr>
            <w:r w:rsidRPr="000C776C">
              <w:rPr>
                <w:rFonts w:ascii="PP Mori SemiBold" w:hAnsi="PP Mori SemiBold"/>
                <w:color w:val="FAFAFA" w:themeColor="background1"/>
              </w:rPr>
              <w:t>Tier/Layer</w:t>
            </w:r>
          </w:p>
          <w:p w14:paraId="69EBD1F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16E220B6" w14:textId="77777777" w:rsidR="000C776C" w:rsidRPr="000C776C" w:rsidRDefault="000C776C" w:rsidP="000C776C">
            <w:pPr>
              <w:spacing w:before="160" w:after="160" w:line="288" w:lineRule="auto"/>
              <w:ind w:left="176" w:right="176"/>
              <w:rPr>
                <w:szCs w:val="18"/>
                <w:lang w:bidi="ar-SA"/>
              </w:rPr>
            </w:pPr>
            <w:r w:rsidRPr="000C776C">
              <w:rPr>
                <w:lang w:eastAsia="en-US" w:bidi="ar-SA"/>
              </w:rPr>
              <w:t xml:space="preserve">The vertical segments of a GW-scale power system which include the bulk power system, transmission networks and distribution networks. In historical context, these tiers have been largely managed as relatively discrete elements of a unidirectional supply chain. As whole-system operations become increasingly volatile and bidirectional, a significant deepening of two-way operational interdependence between the current and emerging entities such as DSOs becomes necessary. </w:t>
            </w:r>
          </w:p>
        </w:tc>
      </w:tr>
      <w:tr w:rsidR="000C776C" w:rsidRPr="000C776C" w14:paraId="0B0F551B" w14:textId="77777777" w:rsidTr="00E24B05">
        <w:tc>
          <w:tcPr>
            <w:tcW w:w="2127" w:type="dxa"/>
            <w:shd w:val="clear" w:color="auto" w:fill="067296" w:themeFill="text2"/>
          </w:tcPr>
          <w:p w14:paraId="32FD948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Transmission-Distribution Interface (TDI)</w:t>
            </w:r>
          </w:p>
          <w:p w14:paraId="45386FF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212B230E" w14:textId="77777777" w:rsidR="000C776C" w:rsidRPr="000C776C" w:rsidRDefault="000C776C" w:rsidP="000C776C">
            <w:pPr>
              <w:spacing w:before="100" w:after="100" w:line="288" w:lineRule="auto"/>
              <w:ind w:left="176" w:right="176"/>
              <w:rPr>
                <w:szCs w:val="18"/>
                <w:lang w:eastAsia="en-US" w:bidi="ar-SA"/>
              </w:rPr>
            </w:pPr>
            <w:r w:rsidRPr="000C776C">
              <w:rPr>
                <w:szCs w:val="18"/>
                <w:lang w:eastAsia="en-US" w:bidi="ar-SA"/>
              </w:rPr>
              <w:t>The physical points at which the bulk power/transmission system and a particular distribution system</w:t>
            </w:r>
            <w:r w:rsidRPr="000C776C">
              <w:rPr>
                <w:rFonts w:ascii="Calibri" w:hAnsi="Calibri" w:cs="Calibri"/>
                <w:szCs w:val="18"/>
                <w:lang w:eastAsia="en-US" w:bidi="ar-SA"/>
              </w:rPr>
              <w:t> </w:t>
            </w:r>
            <w:r w:rsidRPr="000C776C">
              <w:rPr>
                <w:szCs w:val="18"/>
                <w:lang w:eastAsia="en-US" w:bidi="ar-SA"/>
              </w:rPr>
              <w:t xml:space="preserve">interconnect, typically at one or several major substations. </w:t>
            </w:r>
          </w:p>
          <w:p w14:paraId="0EEC93E6" w14:textId="77777777" w:rsidR="000C776C" w:rsidRPr="000C776C" w:rsidRDefault="000C776C" w:rsidP="000C776C">
            <w:pPr>
              <w:spacing w:before="100" w:after="100" w:line="288" w:lineRule="auto"/>
              <w:ind w:left="176" w:right="176"/>
              <w:rPr>
                <w:szCs w:val="18"/>
                <w:lang w:eastAsia="en-US" w:bidi="ar-SA"/>
              </w:rPr>
            </w:pPr>
            <w:r w:rsidRPr="000C776C">
              <w:rPr>
                <w:szCs w:val="18"/>
                <w:lang w:eastAsia="en-US" w:bidi="ar-SA"/>
              </w:rPr>
              <w:t xml:space="preserve">In a conventional, unidirectional power system this has been commonly known as the Bulk Supply Point (BSP), where electricity from the bulk power system is delivered via the transmission network to regional and metropolitan distribution networks.  </w:t>
            </w:r>
          </w:p>
          <w:p w14:paraId="24F2A0CB" w14:textId="77777777" w:rsidR="000C776C" w:rsidRPr="000C776C" w:rsidRDefault="000C776C" w:rsidP="000C776C">
            <w:pPr>
              <w:spacing w:before="100" w:after="100" w:line="288" w:lineRule="auto"/>
              <w:ind w:left="176" w:right="176"/>
              <w:rPr>
                <w:szCs w:val="18"/>
                <w:lang w:eastAsia="en-US" w:bidi="ar-SA"/>
              </w:rPr>
            </w:pPr>
            <w:r w:rsidRPr="000C776C">
              <w:rPr>
                <w:szCs w:val="18"/>
                <w:lang w:eastAsia="en-US" w:bidi="ar-SA"/>
              </w:rPr>
              <w:t xml:space="preserve">While conventional aspects of the BSP remain unchanged, the TDI concept represents the need to transition to a more active, two-way interface model capable of enabling the required Transmission-Distribution Coordination (TDC) functions in support of effective whole-system operation.  </w:t>
            </w:r>
          </w:p>
        </w:tc>
      </w:tr>
    </w:tbl>
    <w:p w14:paraId="6640999D"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5586A9EC" w14:textId="77777777" w:rsidTr="00E24B05">
        <w:tc>
          <w:tcPr>
            <w:tcW w:w="2127" w:type="dxa"/>
            <w:shd w:val="clear" w:color="auto" w:fill="067296" w:themeFill="text2"/>
          </w:tcPr>
          <w:p w14:paraId="57520DB3"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Transmission-Distribution Coordination (TDC)</w:t>
            </w:r>
          </w:p>
        </w:tc>
        <w:tc>
          <w:tcPr>
            <w:tcW w:w="6378" w:type="dxa"/>
          </w:tcPr>
          <w:p w14:paraId="01E47AED" w14:textId="77777777" w:rsidR="000C776C" w:rsidRPr="000C776C" w:rsidRDefault="000C776C" w:rsidP="000C776C">
            <w:pPr>
              <w:spacing w:before="100" w:after="100" w:line="288" w:lineRule="auto"/>
              <w:ind w:left="176" w:right="176"/>
              <w:rPr>
                <w:szCs w:val="18"/>
                <w:lang w:eastAsia="en-US" w:bidi="ar-SA"/>
              </w:rPr>
            </w:pPr>
            <w:r w:rsidRPr="000C776C">
              <w:rPr>
                <w:szCs w:val="18"/>
                <w:lang w:eastAsia="en-US" w:bidi="ar-SA"/>
              </w:rPr>
              <w:t xml:space="preserve">A formalised and increasingly automated approach for aligning system planning, operational and market interactions and related data exchanges across the System Operator (AEMO), Transmission Networks and emerging Distribution System Operators (DSO) to enable secure, scalable and cost-efficient operation of a decarbonising power system. </w:t>
            </w:r>
          </w:p>
          <w:p w14:paraId="354C82FB" w14:textId="77777777" w:rsidR="000C776C" w:rsidRPr="000C776C" w:rsidRDefault="000C776C" w:rsidP="000C776C">
            <w:pPr>
              <w:spacing w:before="100" w:after="100" w:line="288" w:lineRule="auto"/>
              <w:ind w:left="176" w:right="176"/>
              <w:rPr>
                <w:bCs/>
                <w:szCs w:val="18"/>
                <w:lang w:eastAsia="en-US" w:bidi="ar-SA"/>
              </w:rPr>
            </w:pPr>
            <w:r w:rsidRPr="000C776C">
              <w:rPr>
                <w:szCs w:val="18"/>
                <w:lang w:eastAsia="en-US" w:bidi="ar-SA"/>
              </w:rPr>
              <w:t>TDC becomes necessary as power systems decarbonise, conventional sources of generation and flexibility are progressively withdrawn, and significant new volumes of supply, flexibility, buffering and system services must be sourced both upstream and downstream.  Unlike conventional grids where services were largely provided by upstream merchant resources, the transforming landscape will require generation capacity and system services to be sourced from thousands of utility-scale and millions of distributed resources.</w:t>
            </w:r>
          </w:p>
          <w:p w14:paraId="5349A975" w14:textId="77777777" w:rsidR="000C776C" w:rsidRPr="000C776C" w:rsidRDefault="000C776C" w:rsidP="000C776C">
            <w:pPr>
              <w:spacing w:before="100" w:after="100" w:line="288" w:lineRule="auto"/>
              <w:ind w:left="176" w:right="176"/>
              <w:rPr>
                <w:szCs w:val="18"/>
                <w:lang w:eastAsia="en-US" w:bidi="ar-SA"/>
              </w:rPr>
            </w:pPr>
            <w:r w:rsidRPr="000C776C">
              <w:rPr>
                <w:szCs w:val="18"/>
                <w:lang w:eastAsia="en-US" w:bidi="ar-SA"/>
              </w:rPr>
              <w:t xml:space="preserve">In this increasingly dynamic environment, active operational interdependence between upstream and downstream entities, resources and systems becomes essential to efficiently source, coordinate and co-optimise these services with the spatial and temporal needs of the end-to-end system. </w:t>
            </w:r>
          </w:p>
          <w:p w14:paraId="4BF6C8EB" w14:textId="77777777" w:rsidR="000C776C" w:rsidRPr="000C776C" w:rsidRDefault="000C776C" w:rsidP="000C776C">
            <w:pPr>
              <w:spacing w:before="100" w:after="100" w:line="288" w:lineRule="auto"/>
              <w:ind w:left="176" w:right="176"/>
              <w:rPr>
                <w:rFonts w:cs="Calibri"/>
                <w:szCs w:val="18"/>
                <w:lang w:bidi="ar-SA"/>
              </w:rPr>
            </w:pPr>
            <w:r w:rsidRPr="000C776C">
              <w:rPr>
                <w:szCs w:val="18"/>
                <w:lang w:eastAsia="en-US" w:bidi="ar-SA"/>
              </w:rPr>
              <w:t>Priority areas of TDC design are expected to include enhanced, low latency data transformations and exchange relevant to the joint management of frequency,</w:t>
            </w:r>
            <w:r w:rsidRPr="000C776C">
              <w:rPr>
                <w:rFonts w:ascii="Cambria Math" w:hAnsi="Cambria Math" w:cs="Cambria Math"/>
                <w:szCs w:val="18"/>
                <w:lang w:eastAsia="en-US" w:bidi="ar-SA"/>
              </w:rPr>
              <w:t> </w:t>
            </w:r>
            <w:r w:rsidRPr="000C776C">
              <w:rPr>
                <w:szCs w:val="18"/>
                <w:lang w:eastAsia="en-US" w:bidi="ar-SA"/>
              </w:rPr>
              <w:t>voltage, congestion, energy</w:t>
            </w:r>
            <w:r w:rsidRPr="000C776C">
              <w:rPr>
                <w:rFonts w:ascii="Cambria Math" w:hAnsi="Cambria Math" w:cs="Cambria Math"/>
                <w:szCs w:val="18"/>
                <w:lang w:eastAsia="en-US" w:bidi="ar-SA"/>
              </w:rPr>
              <w:t> </w:t>
            </w:r>
            <w:r w:rsidRPr="000C776C">
              <w:rPr>
                <w:szCs w:val="18"/>
                <w:lang w:eastAsia="en-US" w:bidi="ar-SA"/>
              </w:rPr>
              <w:t>flows, essential system services (ESS) and supply-demand balancing underpinned by end-to-end visibility and operational coordination</w:t>
            </w:r>
            <w:r w:rsidRPr="000C776C">
              <w:rPr>
                <w:rFonts w:ascii="Cambria Math" w:hAnsi="Cambria Math" w:cs="Cambria Math"/>
                <w:szCs w:val="18"/>
                <w:lang w:eastAsia="en-US" w:bidi="ar-SA"/>
              </w:rPr>
              <w:t> </w:t>
            </w:r>
            <w:r w:rsidRPr="000C776C">
              <w:rPr>
                <w:szCs w:val="18"/>
                <w:lang w:eastAsia="en-US" w:bidi="ar-SA"/>
              </w:rPr>
              <w:t>models.</w:t>
            </w:r>
          </w:p>
        </w:tc>
      </w:tr>
    </w:tbl>
    <w:p w14:paraId="2A31B8AC"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22783AD9" w14:textId="77777777" w:rsidTr="00E24B05">
        <w:tc>
          <w:tcPr>
            <w:tcW w:w="2127" w:type="dxa"/>
            <w:shd w:val="clear" w:color="auto" w:fill="067296" w:themeFill="text2"/>
          </w:tcPr>
          <w:p w14:paraId="50867494"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Ultra-large Scale (ULS)</w:t>
            </w:r>
          </w:p>
        </w:tc>
        <w:tc>
          <w:tcPr>
            <w:tcW w:w="6378" w:type="dxa"/>
          </w:tcPr>
          <w:p w14:paraId="5133204A" w14:textId="77777777" w:rsidR="000C776C" w:rsidRPr="000C776C" w:rsidRDefault="000C776C" w:rsidP="000C776C">
            <w:pPr>
              <w:spacing w:before="120" w:after="120" w:line="288" w:lineRule="auto"/>
              <w:ind w:left="175" w:right="176"/>
              <w:rPr>
                <w:szCs w:val="18"/>
                <w:lang w:bidi="ar-SA"/>
              </w:rPr>
            </w:pPr>
            <w:r w:rsidRPr="000C776C">
              <w:rPr>
                <w:szCs w:val="18"/>
                <w:lang w:bidi="ar-SA"/>
              </w:rPr>
              <w:t xml:space="preserve">Extremely large, inordinately complex Systems that consist of an unparalleled volume and diversity of hardware and software, data storage and exchange, computational elements and lines of code, participants and stakeholders, together with multiple complicated Structures that are interconnected in complicated ways. </w:t>
            </w:r>
          </w:p>
          <w:p w14:paraId="316A9E83" w14:textId="77777777" w:rsidR="000C776C" w:rsidRPr="000C776C" w:rsidRDefault="000C776C" w:rsidP="000C776C">
            <w:pPr>
              <w:spacing w:before="120" w:after="120" w:line="288" w:lineRule="auto"/>
              <w:ind w:left="175" w:right="176"/>
              <w:rPr>
                <w:szCs w:val="18"/>
                <w:lang w:bidi="ar-SA"/>
              </w:rPr>
            </w:pPr>
            <w:r w:rsidRPr="000C776C">
              <w:rPr>
                <w:szCs w:val="18"/>
                <w:lang w:bidi="ar-SA"/>
              </w:rPr>
              <w:t>A ULS System also typically exhibits the following characteristics:</w:t>
            </w:r>
          </w:p>
          <w:p w14:paraId="624FC315"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Wide geographic scales (continental to precinct);</w:t>
            </w:r>
          </w:p>
          <w:p w14:paraId="28FBDF03"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Wide-time scales (years to microseconds);</w:t>
            </w:r>
          </w:p>
          <w:p w14:paraId="61A73C85"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Long-term evolution and near continual deployments;</w:t>
            </w:r>
          </w:p>
          <w:p w14:paraId="67C9B0A0"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Centralised and decentralised data, control, and development;</w:t>
            </w:r>
          </w:p>
          <w:p w14:paraId="3F89E30F"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Wide diversity of perspectives on the purpose(s) and priorities of the System;</w:t>
            </w:r>
          </w:p>
          <w:p w14:paraId="27D896BC"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Inherently conflicting diverse requirements and trade-offs;</w:t>
            </w:r>
          </w:p>
          <w:p w14:paraId="3B1B6D6F"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Heterogeneous, inconsistent, and changing elements; and,</w:t>
            </w:r>
          </w:p>
          <w:p w14:paraId="26420B93" w14:textId="77777777" w:rsidR="000C776C" w:rsidRPr="000C776C" w:rsidRDefault="000C776C" w:rsidP="00470C91">
            <w:pPr>
              <w:numPr>
                <w:ilvl w:val="0"/>
                <w:numId w:val="28"/>
              </w:numPr>
              <w:spacing w:before="60" w:after="60" w:line="288" w:lineRule="auto"/>
              <w:ind w:left="890" w:right="176" w:hanging="357"/>
              <w:rPr>
                <w:szCs w:val="18"/>
                <w:lang w:bidi="ar-SA"/>
              </w:rPr>
            </w:pPr>
            <w:r w:rsidRPr="000C776C">
              <w:rPr>
                <w:szCs w:val="18"/>
                <w:lang w:bidi="ar-SA"/>
              </w:rPr>
              <w:t>Locational failures and response occur as a matter of normal operations.</w:t>
            </w:r>
          </w:p>
          <w:p w14:paraId="4EC2CE7C" w14:textId="77777777" w:rsidR="000C776C" w:rsidRPr="000C776C" w:rsidRDefault="000C776C" w:rsidP="000C776C">
            <w:pPr>
              <w:spacing w:before="120" w:after="120" w:line="288" w:lineRule="auto"/>
              <w:ind w:left="175" w:right="176"/>
              <w:rPr>
                <w:szCs w:val="18"/>
              </w:rPr>
            </w:pPr>
            <w:r w:rsidRPr="000C776C">
              <w:rPr>
                <w:szCs w:val="18"/>
                <w:lang w:bidi="ar-SA"/>
              </w:rPr>
              <w:t>GW-scale Power Systems are prime examples of ULS systems, and arguably some of the world’s largest and most complex.</w:t>
            </w:r>
          </w:p>
        </w:tc>
      </w:tr>
      <w:tr w:rsidR="000C776C" w:rsidRPr="000C776C" w14:paraId="05EE0573" w14:textId="77777777" w:rsidTr="00E24B05">
        <w:tc>
          <w:tcPr>
            <w:tcW w:w="2127" w:type="dxa"/>
            <w:shd w:val="clear" w:color="auto" w:fill="067296" w:themeFill="text2"/>
          </w:tcPr>
          <w:p w14:paraId="79765B77"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Value Stacking</w:t>
            </w:r>
          </w:p>
        </w:tc>
        <w:tc>
          <w:tcPr>
            <w:tcW w:w="6378" w:type="dxa"/>
          </w:tcPr>
          <w:p w14:paraId="4C9FCCC1" w14:textId="77777777" w:rsidR="000C776C" w:rsidRPr="000C776C" w:rsidRDefault="000C776C" w:rsidP="000C776C">
            <w:pPr>
              <w:spacing w:before="120" w:after="120" w:line="288" w:lineRule="auto"/>
              <w:ind w:left="175" w:right="176"/>
              <w:rPr>
                <w:szCs w:val="18"/>
                <w:lang w:bidi="ar-SA"/>
              </w:rPr>
            </w:pPr>
            <w:r w:rsidRPr="000C776C">
              <w:rPr>
                <w:szCs w:val="18"/>
                <w:lang w:bidi="ar-SA"/>
              </w:rPr>
              <w:t>The process of providing valuable physics-based services to several vertical tiers/layers of the power system (e.g. bulk power system, transmission network, distribution network, etc) for the purpose of maximising the simultaneous value of providing these services in manner that does not create unintended negative impacts.</w:t>
            </w:r>
          </w:p>
          <w:p w14:paraId="297EF0F1" w14:textId="77777777" w:rsidR="000C776C" w:rsidRPr="000C776C" w:rsidRDefault="000C776C" w:rsidP="000C776C">
            <w:pPr>
              <w:spacing w:before="120" w:after="120" w:line="288" w:lineRule="auto"/>
              <w:ind w:left="175" w:right="176"/>
              <w:rPr>
                <w:szCs w:val="18"/>
              </w:rPr>
            </w:pPr>
            <w:r w:rsidRPr="000C776C">
              <w:rPr>
                <w:szCs w:val="18"/>
                <w:lang w:bidi="ar-SA"/>
              </w:rPr>
              <w:t>Value Stacking is closely related to the topic of Co-optimisation.</w:t>
            </w:r>
          </w:p>
        </w:tc>
      </w:tr>
      <w:tr w:rsidR="000C776C" w:rsidRPr="000C776C" w14:paraId="0D7E9930" w14:textId="77777777" w:rsidTr="00E24B05">
        <w:tc>
          <w:tcPr>
            <w:tcW w:w="2127" w:type="dxa"/>
            <w:shd w:val="clear" w:color="auto" w:fill="067296" w:themeFill="text2"/>
          </w:tcPr>
          <w:p w14:paraId="1753D396"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Variable Renewable Energy (VRE)</w:t>
            </w:r>
          </w:p>
          <w:p w14:paraId="05E8EDEC"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53FC34B3" w14:textId="77777777" w:rsidR="000C776C" w:rsidRPr="000C776C" w:rsidRDefault="000C776C" w:rsidP="000C776C">
            <w:pPr>
              <w:spacing w:before="120" w:after="120" w:line="288" w:lineRule="auto"/>
              <w:ind w:left="175" w:right="176"/>
              <w:rPr>
                <w:szCs w:val="18"/>
              </w:rPr>
            </w:pPr>
            <w:r w:rsidRPr="000C776C">
              <w:rPr>
                <w:lang w:eastAsia="en-US" w:bidi="ar-SA"/>
              </w:rPr>
              <w:t>A generic term for intermittent forms of generation powered by renewable resources that are inherently variable, such as wind and solar energy. While some forms of CER/DER are considered VRE, the term is mostly used to describe large, utility-scale applications of solar and wind generation. In the absence of firming resources, large volumes of VRE can impact the stability of the power system and exacerbate periods of misalignment between demand and supply.</w:t>
            </w:r>
          </w:p>
        </w:tc>
      </w:tr>
    </w:tbl>
    <w:p w14:paraId="4CC777F7" w14:textId="77777777" w:rsidR="000C776C" w:rsidRPr="000C776C" w:rsidRDefault="000C776C" w:rsidP="000C776C">
      <w:pPr>
        <w:spacing w:line="252" w:lineRule="auto"/>
      </w:pPr>
      <w:r w:rsidRPr="000C776C">
        <w:br w:type="page"/>
      </w:r>
    </w:p>
    <w:tbl>
      <w:tblPr>
        <w:tblStyle w:val="TableGrid"/>
        <w:tblW w:w="8505" w:type="dxa"/>
        <w:tblInd w:w="-5" w:type="dxa"/>
        <w:tblLook w:val="04A0" w:firstRow="1" w:lastRow="0" w:firstColumn="1" w:lastColumn="0" w:noHBand="0" w:noVBand="1"/>
      </w:tblPr>
      <w:tblGrid>
        <w:gridCol w:w="2127"/>
        <w:gridCol w:w="6378"/>
      </w:tblGrid>
      <w:tr w:rsidR="000C776C" w:rsidRPr="000C776C" w14:paraId="5C38DF12" w14:textId="77777777" w:rsidTr="00E24B05">
        <w:tc>
          <w:tcPr>
            <w:tcW w:w="2127" w:type="dxa"/>
            <w:shd w:val="clear" w:color="auto" w:fill="067296" w:themeFill="text2"/>
          </w:tcPr>
          <w:p w14:paraId="1B521B0B"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lastRenderedPageBreak/>
              <w:t>Visibility</w:t>
            </w:r>
          </w:p>
          <w:p w14:paraId="37E44672"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p>
        </w:tc>
        <w:tc>
          <w:tcPr>
            <w:tcW w:w="6378" w:type="dxa"/>
          </w:tcPr>
          <w:p w14:paraId="4B6F47E6" w14:textId="77777777" w:rsidR="000C776C" w:rsidRPr="000C776C" w:rsidRDefault="000C776C" w:rsidP="000C776C">
            <w:pPr>
              <w:spacing w:before="120" w:after="120" w:line="288" w:lineRule="auto"/>
              <w:ind w:left="175" w:right="176"/>
              <w:rPr>
                <w:lang w:eastAsia="en-US" w:bidi="ar-SA"/>
              </w:rPr>
            </w:pPr>
            <w:r w:rsidRPr="000C776C">
              <w:rPr>
                <w:lang w:eastAsia="en-US" w:bidi="ar-SA"/>
              </w:rPr>
              <w:t xml:space="preserve">The degree to which information on energy resource characteristics and operational status is available to the System Operator, Distribution System Operator (DSO), and other authorised third parties. </w:t>
            </w:r>
          </w:p>
          <w:p w14:paraId="07261D26" w14:textId="77777777" w:rsidR="000C776C" w:rsidRPr="000C776C" w:rsidRDefault="000C776C" w:rsidP="000C776C">
            <w:pPr>
              <w:spacing w:before="120" w:after="120" w:line="288" w:lineRule="auto"/>
              <w:ind w:left="175" w:right="176"/>
              <w:rPr>
                <w:lang w:eastAsia="en-US" w:bidi="ar-SA"/>
              </w:rPr>
            </w:pPr>
            <w:r w:rsidRPr="000C776C">
              <w:rPr>
                <w:lang w:eastAsia="en-US" w:bidi="ar-SA"/>
              </w:rPr>
              <w:t>Examples include real-time or near real-time information on electrical demand, generation output, state of charge for energy storage, availability of demand response, system voltages and system frequency, and power flows on major network elements. Statistical data filtering methods also allow establishing trustworthiness of the obtained data enabling the visibility, and reconcile them amongst each other, and with respect to network models, to identify bad and / or malicious data.</w:t>
            </w:r>
          </w:p>
        </w:tc>
      </w:tr>
      <w:tr w:rsidR="000C776C" w:rsidRPr="000C776C" w14:paraId="22B5D1ED" w14:textId="77777777" w:rsidTr="00E24B05">
        <w:tc>
          <w:tcPr>
            <w:tcW w:w="2127" w:type="dxa"/>
            <w:shd w:val="clear" w:color="auto" w:fill="067296" w:themeFill="text2"/>
          </w:tcPr>
          <w:p w14:paraId="0CD28C16"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Volatility</w:t>
            </w:r>
          </w:p>
        </w:tc>
        <w:tc>
          <w:tcPr>
            <w:tcW w:w="6378" w:type="dxa"/>
          </w:tcPr>
          <w:p w14:paraId="0454D39B" w14:textId="77777777" w:rsidR="000C776C" w:rsidRPr="000C776C" w:rsidRDefault="000C776C" w:rsidP="000C776C">
            <w:pPr>
              <w:spacing w:before="120" w:after="120" w:line="288" w:lineRule="auto"/>
              <w:ind w:left="176" w:right="176"/>
              <w:rPr>
                <w:szCs w:val="18"/>
                <w:lang w:eastAsia="en-US" w:bidi="ar-SA"/>
              </w:rPr>
            </w:pPr>
            <w:r w:rsidRPr="000C776C">
              <w:rPr>
                <w:lang w:eastAsia="en-US" w:bidi="ar-SA"/>
              </w:rPr>
              <w:t xml:space="preserve">Rapid, significant, and often unpredictable fluctuations in electrical parameters such as voltage, frequency, and power flows, typically caused by fast-changing conditions in generation or demand. </w:t>
            </w:r>
          </w:p>
          <w:p w14:paraId="454689D8" w14:textId="77777777" w:rsidR="000C776C" w:rsidRPr="000C776C" w:rsidRDefault="000C776C" w:rsidP="000C776C">
            <w:pPr>
              <w:spacing w:before="120" w:after="120" w:line="288" w:lineRule="auto"/>
              <w:ind w:left="175" w:right="176"/>
              <w:rPr>
                <w:szCs w:val="18"/>
                <w:lang w:eastAsia="en-US" w:bidi="ar-SA"/>
              </w:rPr>
            </w:pPr>
            <w:r w:rsidRPr="000C776C">
              <w:rPr>
                <w:lang w:eastAsia="en-US" w:bidi="ar-SA"/>
              </w:rPr>
              <w:t>In the context of power systems, volatility is differentiated from general variability or uncertainty by the speed and magnitude of the resulting changes and their impact on the stability and operational control of the grid. At a high level, system volatility affects:</w:t>
            </w:r>
          </w:p>
          <w:p w14:paraId="3E230793" w14:textId="77777777" w:rsidR="000C776C" w:rsidRPr="000C776C" w:rsidRDefault="000C776C" w:rsidP="00470C91">
            <w:pPr>
              <w:numPr>
                <w:ilvl w:val="0"/>
                <w:numId w:val="28"/>
              </w:numPr>
              <w:spacing w:before="120" w:after="120" w:line="288" w:lineRule="auto"/>
              <w:ind w:left="890" w:right="176" w:hanging="357"/>
              <w:rPr>
                <w:szCs w:val="18"/>
                <w:lang w:eastAsia="en-US" w:bidi="ar-SA"/>
              </w:rPr>
            </w:pPr>
            <w:r w:rsidRPr="000C776C">
              <w:rPr>
                <w:szCs w:val="18"/>
                <w:lang w:eastAsia="en-US" w:bidi="ar-SA"/>
              </w:rPr>
              <w:t>Voltage stability:</w:t>
            </w:r>
            <w:r w:rsidRPr="000C776C">
              <w:rPr>
                <w:lang w:eastAsia="en-US" w:bidi="ar-SA"/>
              </w:rPr>
              <w:t xml:space="preserve"> Sudden shifts in reactive power demand or generation can cause local voltage spikes or drops. </w:t>
            </w:r>
          </w:p>
          <w:p w14:paraId="60E65FA7" w14:textId="77777777" w:rsidR="000C776C" w:rsidRPr="000C776C" w:rsidRDefault="000C776C" w:rsidP="00470C91">
            <w:pPr>
              <w:numPr>
                <w:ilvl w:val="0"/>
                <w:numId w:val="28"/>
              </w:numPr>
              <w:spacing w:before="120" w:after="120" w:line="288" w:lineRule="auto"/>
              <w:ind w:left="890" w:right="176" w:hanging="357"/>
              <w:rPr>
                <w:szCs w:val="18"/>
                <w:lang w:eastAsia="en-US" w:bidi="ar-SA"/>
              </w:rPr>
            </w:pPr>
            <w:r w:rsidRPr="000C776C">
              <w:rPr>
                <w:szCs w:val="18"/>
                <w:lang w:eastAsia="en-US" w:bidi="ar-SA"/>
              </w:rPr>
              <w:t>Frequency control:</w:t>
            </w:r>
            <w:r w:rsidRPr="000C776C">
              <w:rPr>
                <w:lang w:eastAsia="en-US" w:bidi="ar-SA"/>
              </w:rPr>
              <w:t xml:space="preserve"> Large, fast imbalances between supply and demand challenge the system's ability to maintain frequency within acceptable limits.</w:t>
            </w:r>
          </w:p>
          <w:p w14:paraId="00F06DED" w14:textId="77777777" w:rsidR="000C776C" w:rsidRPr="000C776C" w:rsidRDefault="000C776C" w:rsidP="00470C91">
            <w:pPr>
              <w:numPr>
                <w:ilvl w:val="0"/>
                <w:numId w:val="28"/>
              </w:numPr>
              <w:spacing w:before="120" w:after="120" w:line="288" w:lineRule="auto"/>
              <w:ind w:left="890" w:right="176" w:hanging="357"/>
              <w:rPr>
                <w:szCs w:val="18"/>
                <w:lang w:bidi="ar-SA"/>
              </w:rPr>
            </w:pPr>
            <w:r w:rsidRPr="000C776C">
              <w:rPr>
                <w:szCs w:val="18"/>
                <w:lang w:eastAsia="en-US" w:bidi="ar-SA"/>
              </w:rPr>
              <w:t>Power flow dynamics:</w:t>
            </w:r>
            <w:r w:rsidRPr="000C776C">
              <w:rPr>
                <w:lang w:eastAsia="en-US" w:bidi="ar-SA"/>
              </w:rPr>
              <w:t xml:space="preserve"> Bi-directional flows from distribution-connected resources can change direction unpredictably, stressing infrastructure and protection systems.</w:t>
            </w:r>
          </w:p>
        </w:tc>
      </w:tr>
      <w:tr w:rsidR="000C776C" w:rsidRPr="000C776C" w14:paraId="18ED0646" w14:textId="77777777" w:rsidTr="00E24B05">
        <w:tc>
          <w:tcPr>
            <w:tcW w:w="2127" w:type="dxa"/>
            <w:shd w:val="clear" w:color="auto" w:fill="067296" w:themeFill="text2"/>
          </w:tcPr>
          <w:p w14:paraId="344326C0" w14:textId="77777777" w:rsidR="000C776C" w:rsidRPr="000C776C" w:rsidRDefault="000C776C" w:rsidP="000C776C">
            <w:pPr>
              <w:spacing w:before="120" w:after="120" w:line="288" w:lineRule="auto"/>
              <w:jc w:val="center"/>
              <w:rPr>
                <w:rFonts w:ascii="PP Mori SemiBold" w:hAnsi="PP Mori SemiBold"/>
                <w:color w:val="FAFAFA" w:themeColor="background1"/>
                <w:szCs w:val="18"/>
              </w:rPr>
            </w:pPr>
            <w:r w:rsidRPr="000C776C">
              <w:rPr>
                <w:rFonts w:ascii="PP Mori SemiBold" w:hAnsi="PP Mori SemiBold"/>
                <w:color w:val="FAFAFA" w:themeColor="background1"/>
                <w:szCs w:val="18"/>
              </w:rPr>
              <w:t>Whole-system</w:t>
            </w:r>
          </w:p>
        </w:tc>
        <w:tc>
          <w:tcPr>
            <w:tcW w:w="6378" w:type="dxa"/>
          </w:tcPr>
          <w:p w14:paraId="0F3254D4" w14:textId="77777777" w:rsidR="000C776C" w:rsidRPr="000C776C" w:rsidRDefault="000C776C" w:rsidP="000C776C">
            <w:pPr>
              <w:spacing w:before="120" w:after="120" w:line="288" w:lineRule="auto"/>
              <w:rPr>
                <w:szCs w:val="18"/>
              </w:rPr>
            </w:pPr>
            <w:r w:rsidRPr="000C776C">
              <w:rPr>
                <w:szCs w:val="18"/>
              </w:rPr>
              <w:t xml:space="preserve">A systems-based approach to power system transformation that recognises the Laws of Physics interact with end-to-end system as one integrated whole, blind to historical structural separations.  </w:t>
            </w:r>
          </w:p>
        </w:tc>
      </w:tr>
    </w:tbl>
    <w:p w14:paraId="58165E91" w14:textId="77777777" w:rsidR="000C776C" w:rsidRPr="000C776C" w:rsidRDefault="000C776C" w:rsidP="000C776C">
      <w:pPr>
        <w:spacing w:before="120" w:after="120" w:line="288" w:lineRule="auto"/>
        <w:rPr>
          <w:rFonts w:ascii="PP Mori SemiBold" w:eastAsiaTheme="majorEastAsia" w:hAnsi="PP Mori SemiBold" w:cstheme="majorBidi"/>
          <w:color w:val="013C4C" w:themeColor="text1"/>
          <w:szCs w:val="18"/>
          <w:highlight w:val="yellow"/>
        </w:rPr>
      </w:pPr>
    </w:p>
    <w:p w14:paraId="6D36CC88" w14:textId="77777777" w:rsidR="000C776C" w:rsidRPr="000C776C" w:rsidRDefault="000C776C" w:rsidP="000C776C">
      <w:pPr>
        <w:spacing w:before="0" w:after="160" w:line="259" w:lineRule="auto"/>
        <w:rPr>
          <w:rFonts w:ascii="PP Mori SemiBold" w:eastAsiaTheme="majorEastAsia" w:hAnsi="PP Mori SemiBold" w:cstheme="majorBidi"/>
          <w:color w:val="013C4C" w:themeColor="text1"/>
          <w:sz w:val="32"/>
          <w:szCs w:val="40"/>
          <w:highlight w:val="yellow"/>
        </w:rPr>
      </w:pPr>
      <w:bookmarkStart w:id="280" w:name="Appendix_D"/>
      <w:r w:rsidRPr="000C776C">
        <w:rPr>
          <w:rFonts w:ascii="PP Mori SemiBold" w:eastAsiaTheme="majorEastAsia" w:hAnsi="PP Mori SemiBold" w:cstheme="majorBidi"/>
          <w:color w:val="013C4C" w:themeColor="text1"/>
          <w:sz w:val="32"/>
          <w:szCs w:val="40"/>
          <w:highlight w:val="yellow"/>
        </w:rPr>
        <w:br w:type="page"/>
      </w:r>
    </w:p>
    <w:p w14:paraId="6A517C7B" w14:textId="22469AF8" w:rsidR="000C776C" w:rsidRPr="000C776C" w:rsidRDefault="000C776C" w:rsidP="000C4B3F">
      <w:pPr>
        <w:pStyle w:val="Heading1"/>
        <w:numPr>
          <w:ilvl w:val="0"/>
          <w:numId w:val="0"/>
        </w:numPr>
      </w:pPr>
      <w:bookmarkStart w:id="281" w:name="_Toc205358031"/>
      <w:bookmarkStart w:id="282" w:name="_Toc205532894"/>
      <w:bookmarkStart w:id="283" w:name="Appendix_C"/>
      <w:r w:rsidRPr="000C776C">
        <w:lastRenderedPageBreak/>
        <w:t xml:space="preserve">Appendix </w:t>
      </w:r>
      <w:r w:rsidR="00F90984">
        <w:t>C</w:t>
      </w:r>
      <w:r w:rsidRPr="000C776C">
        <w:t>: Network of Structures</w:t>
      </w:r>
      <w:bookmarkEnd w:id="281"/>
      <w:bookmarkEnd w:id="282"/>
      <w:r w:rsidRPr="000C776C">
        <w:t xml:space="preserve"> </w:t>
      </w:r>
    </w:p>
    <w:p w14:paraId="53217D48" w14:textId="77777777" w:rsidR="000C776C" w:rsidRPr="000C776C" w:rsidRDefault="000C776C" w:rsidP="000C776C">
      <w:pPr>
        <w:spacing w:before="120" w:after="120"/>
        <w:rPr>
          <w:bCs/>
          <w:lang w:eastAsia="en-US" w:bidi="ar-SA"/>
        </w:rPr>
      </w:pPr>
      <w:bookmarkStart w:id="284" w:name="_Toc152831819"/>
      <w:bookmarkEnd w:id="283"/>
      <w:r w:rsidRPr="000C776C">
        <w:rPr>
          <w:lang w:eastAsia="en-US" w:bidi="ar-SA"/>
        </w:rPr>
        <w:t>While it is customary to refer to the power system in the singular, a modern electricity system is in reality a ‘super-system’ of seven structures, four of which are functionally interdependent on a days-to-sub second timescale (coral-colou</w:t>
      </w:r>
      <w:r w:rsidRPr="000C776C">
        <w:rPr>
          <w:bCs/>
          <w:lang w:eastAsia="en-US" w:bidi="ar-SA"/>
        </w:rPr>
        <w:t>red</w:t>
      </w:r>
      <w:r w:rsidRPr="000C776C">
        <w:rPr>
          <w:lang w:eastAsia="en-US" w:bidi="ar-SA"/>
        </w:rPr>
        <w:t xml:space="preserve"> nodes)</w:t>
      </w:r>
    </w:p>
    <w:p w14:paraId="46D02400" w14:textId="77777777" w:rsidR="000C776C" w:rsidRPr="000C776C" w:rsidRDefault="000C776C" w:rsidP="000C776C">
      <w:pPr>
        <w:spacing w:before="120" w:after="120"/>
        <w:rPr>
          <w:lang w:eastAsia="en-US" w:bidi="ar-SA"/>
        </w:rPr>
      </w:pPr>
      <w:r w:rsidRPr="000C776C">
        <w:rPr>
          <w:noProof/>
          <w:lang w:eastAsia="en-US" w:bidi="ar-SA"/>
        </w:rPr>
        <w:drawing>
          <wp:anchor distT="0" distB="0" distL="114300" distR="114300" simplePos="0" relativeHeight="251658248" behindDoc="1" locked="0" layoutInCell="1" allowOverlap="1" wp14:anchorId="2873CA21" wp14:editId="7D1E2CDA">
            <wp:simplePos x="0" y="0"/>
            <wp:positionH relativeFrom="margin">
              <wp:posOffset>2731694</wp:posOffset>
            </wp:positionH>
            <wp:positionV relativeFrom="paragraph">
              <wp:posOffset>265354</wp:posOffset>
            </wp:positionV>
            <wp:extent cx="2794000" cy="2794000"/>
            <wp:effectExtent l="0" t="0" r="6350" b="6350"/>
            <wp:wrapThrough wrapText="bothSides">
              <wp:wrapPolygon edited="0">
                <wp:start x="9867" y="147"/>
                <wp:lineTo x="5596" y="2798"/>
                <wp:lineTo x="2651" y="3829"/>
                <wp:lineTo x="1473" y="4565"/>
                <wp:lineTo x="1325" y="7511"/>
                <wp:lineTo x="736" y="9867"/>
                <wp:lineTo x="0" y="12224"/>
                <wp:lineTo x="0" y="14727"/>
                <wp:lineTo x="4271" y="19293"/>
                <wp:lineTo x="4418" y="19882"/>
                <wp:lineTo x="5744" y="21502"/>
                <wp:lineTo x="6185" y="21502"/>
                <wp:lineTo x="15169" y="21502"/>
                <wp:lineTo x="15758" y="21502"/>
                <wp:lineTo x="17084" y="19882"/>
                <wp:lineTo x="17084" y="19293"/>
                <wp:lineTo x="21355" y="14580"/>
                <wp:lineTo x="21502" y="13991"/>
                <wp:lineTo x="21502" y="12518"/>
                <wp:lineTo x="21355" y="12224"/>
                <wp:lineTo x="20765" y="9867"/>
                <wp:lineTo x="20029" y="7511"/>
                <wp:lineTo x="20029" y="4713"/>
                <wp:lineTo x="18704" y="3829"/>
                <wp:lineTo x="15905" y="2798"/>
                <wp:lineTo x="11487" y="147"/>
                <wp:lineTo x="9867" y="147"/>
              </wp:wrapPolygon>
            </wp:wrapThrough>
            <wp:docPr id="1731908687" name="drawing" descr="A diagram of a network of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08687" name="drawing" descr="A diagram of a network of structures&#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14:sizeRelH relativeFrom="margin">
              <wp14:pctWidth>0</wp14:pctWidth>
            </wp14:sizeRelH>
            <wp14:sizeRelV relativeFrom="margin">
              <wp14:pctHeight>0</wp14:pctHeight>
            </wp14:sizeRelV>
          </wp:anchor>
        </w:drawing>
      </w:r>
      <w:r w:rsidRPr="000C776C">
        <w:rPr>
          <w:lang w:eastAsia="en-US" w:bidi="ar-SA"/>
        </w:rPr>
        <w:t xml:space="preserve">GW-scale power systems like the NEM consist of an intricate web of the following seven inter-dependent structures that must ultimately be transformed holistically: </w:t>
      </w:r>
    </w:p>
    <w:p w14:paraId="3A01DC9B"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Electricity Infrastructure (Power Flows)</w:t>
      </w:r>
    </w:p>
    <w:p w14:paraId="74790085"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Digital Infrastructure (Information/Data Exchange, Storage and Processing)</w:t>
      </w:r>
    </w:p>
    <w:p w14:paraId="6115E2D4"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 xml:space="preserve">Operational Coordination Structure </w:t>
      </w:r>
    </w:p>
    <w:p w14:paraId="1FABCA3E"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Transactional Structure</w:t>
      </w:r>
    </w:p>
    <w:p w14:paraId="1C7A5D3B"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Industry / Market Structure</w:t>
      </w:r>
      <w:r w:rsidRPr="000C776C">
        <w:rPr>
          <w:rFonts w:ascii="Calibri" w:hAnsi="Calibri" w:cs="Calibri"/>
          <w:lang w:eastAsia="en-US" w:bidi="ar-SA"/>
        </w:rPr>
        <w:t> </w:t>
      </w:r>
    </w:p>
    <w:p w14:paraId="1D575676"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Regulatory Structure; and</w:t>
      </w:r>
      <w:r w:rsidRPr="000C776C">
        <w:rPr>
          <w:rFonts w:ascii="Calibri" w:hAnsi="Calibri" w:cs="Calibri"/>
          <w:lang w:eastAsia="en-US" w:bidi="ar-SA"/>
        </w:rPr>
        <w:t> </w:t>
      </w:r>
    </w:p>
    <w:p w14:paraId="3A9C9EEC" w14:textId="77777777" w:rsidR="000C776C" w:rsidRPr="000C776C" w:rsidRDefault="000C776C" w:rsidP="00470C91">
      <w:pPr>
        <w:numPr>
          <w:ilvl w:val="0"/>
          <w:numId w:val="37"/>
        </w:numPr>
        <w:spacing w:after="120" w:line="252" w:lineRule="auto"/>
        <w:ind w:left="714" w:hanging="357"/>
        <w:rPr>
          <w:lang w:eastAsia="en-US" w:bidi="ar-SA"/>
        </w:rPr>
      </w:pPr>
      <w:r w:rsidRPr="000C776C">
        <w:rPr>
          <w:lang w:eastAsia="en-US" w:bidi="ar-SA"/>
        </w:rPr>
        <w:t>Sector Coupling Structures (Gas, Water, Transport, etc).</w:t>
      </w:r>
      <w:r w:rsidRPr="000C776C">
        <w:rPr>
          <w:rFonts w:ascii="Calibri" w:hAnsi="Calibri" w:cs="Calibri"/>
          <w:lang w:eastAsia="en-US" w:bidi="ar-SA"/>
        </w:rPr>
        <w:t> </w:t>
      </w:r>
    </w:p>
    <w:p w14:paraId="2589841A" w14:textId="77777777" w:rsidR="000C776C" w:rsidRPr="000C776C" w:rsidRDefault="000C776C" w:rsidP="000C776C">
      <w:pPr>
        <w:spacing w:before="120" w:after="120"/>
        <w:rPr>
          <w:lang w:eastAsia="en-US" w:bidi="ar-SA"/>
        </w:rPr>
      </w:pPr>
    </w:p>
    <w:p w14:paraId="279D8E0C" w14:textId="77777777" w:rsidR="000C776C" w:rsidRPr="000C776C" w:rsidRDefault="000C776C" w:rsidP="000C776C">
      <w:pPr>
        <w:spacing w:before="120" w:after="120"/>
        <w:rPr>
          <w:lang w:eastAsia="en-US" w:bidi="ar-SA"/>
        </w:rPr>
      </w:pPr>
      <w:r w:rsidRPr="000C776C">
        <w:rPr>
          <w:lang w:eastAsia="en-US" w:bidi="ar-SA"/>
        </w:rPr>
        <w:t xml:space="preserve">The seven inter-dependent structures that make up the Network of Structures are now described in more detail below. </w:t>
      </w:r>
    </w:p>
    <w:p w14:paraId="625F2977"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1.  Electricity Infrastructure (Power Flows)</w:t>
      </w:r>
      <w:bookmarkEnd w:id="284"/>
      <w:r w:rsidRPr="000C776C">
        <w:rPr>
          <w:rFonts w:ascii="FreightSans Pro Book" w:hAnsi="FreightSans Pro Book"/>
          <w:b/>
          <w:color w:val="013C4C" w:themeColor="text1"/>
          <w:sz w:val="22"/>
          <w:szCs w:val="32"/>
        </w:rPr>
        <w:tab/>
      </w:r>
    </w:p>
    <w:p w14:paraId="77C6A287" w14:textId="77777777" w:rsidR="000C776C" w:rsidRPr="000C776C" w:rsidRDefault="000C776C" w:rsidP="000C776C">
      <w:pPr>
        <w:spacing w:before="180" w:after="0" w:line="276" w:lineRule="auto"/>
        <w:rPr>
          <w:szCs w:val="18"/>
        </w:rPr>
      </w:pPr>
      <w:r w:rsidRPr="000C776C">
        <w:rPr>
          <w:szCs w:val="18"/>
        </w:rPr>
        <w:t xml:space="preserve">Infrastructures and subsystems that provide for the generation and physical movement of Electricity across the end-to-end Power System, including Generation Plant, Transmission Networks, Distribution Networks, Substations, Embedded Networks, Microgrids and diverse Energy Resources. </w:t>
      </w:r>
    </w:p>
    <w:p w14:paraId="1A560F41" w14:textId="77777777" w:rsidR="000C776C" w:rsidRPr="000C776C" w:rsidRDefault="000C776C" w:rsidP="000C776C">
      <w:pPr>
        <w:spacing w:before="180" w:after="0" w:line="276" w:lineRule="auto"/>
        <w:rPr>
          <w:szCs w:val="18"/>
        </w:rPr>
      </w:pPr>
      <w:r w:rsidRPr="000C776C">
        <w:rPr>
          <w:szCs w:val="18"/>
        </w:rPr>
        <w:t>While historically designed for unidirectional operational, today Electricity Infrastructure increasingly experiences bi-directional Power Flows, especially in the Distribution Networks.  A sample of conventional and emerging examples include:</w:t>
      </w:r>
      <w:r w:rsidRPr="000C776C">
        <w:rPr>
          <w:szCs w:val="18"/>
        </w:rPr>
        <w:tab/>
      </w:r>
    </w:p>
    <w:p w14:paraId="7293EDFA" w14:textId="77777777" w:rsidR="000C776C" w:rsidRPr="000C776C" w:rsidRDefault="000C776C" w:rsidP="00470C91">
      <w:pPr>
        <w:numPr>
          <w:ilvl w:val="0"/>
          <w:numId w:val="38"/>
        </w:numPr>
        <w:spacing w:before="180" w:after="0" w:line="276" w:lineRule="auto"/>
        <w:rPr>
          <w:szCs w:val="18"/>
        </w:rPr>
      </w:pPr>
      <w:r w:rsidRPr="000C776C">
        <w:rPr>
          <w:szCs w:val="18"/>
        </w:rPr>
        <w:t>Power Flows from the Bulk Power System through the Transmission Networks to Bulk Supply Points (BSP).</w:t>
      </w:r>
    </w:p>
    <w:p w14:paraId="301D86F5" w14:textId="77777777" w:rsidR="000C776C" w:rsidRPr="000C776C" w:rsidRDefault="000C776C" w:rsidP="00470C91">
      <w:pPr>
        <w:numPr>
          <w:ilvl w:val="0"/>
          <w:numId w:val="38"/>
        </w:numPr>
        <w:spacing w:before="180" w:after="0" w:line="276" w:lineRule="auto"/>
        <w:rPr>
          <w:szCs w:val="18"/>
        </w:rPr>
      </w:pPr>
      <w:r w:rsidRPr="000C776C">
        <w:rPr>
          <w:szCs w:val="18"/>
        </w:rPr>
        <w:t xml:space="preserve">Power flows from BSP through Distribution Networks to Connection Points for each Customer.  </w:t>
      </w:r>
    </w:p>
    <w:p w14:paraId="77CF37A6" w14:textId="77777777" w:rsidR="000C776C" w:rsidRPr="000C776C" w:rsidRDefault="000C776C" w:rsidP="00470C91">
      <w:pPr>
        <w:numPr>
          <w:ilvl w:val="0"/>
          <w:numId w:val="38"/>
        </w:numPr>
        <w:spacing w:before="180" w:after="0" w:line="276" w:lineRule="auto"/>
        <w:rPr>
          <w:szCs w:val="18"/>
        </w:rPr>
      </w:pPr>
      <w:r w:rsidRPr="000C776C">
        <w:rPr>
          <w:szCs w:val="18"/>
        </w:rPr>
        <w:t>Storage of excess Renewable Energy output for subsequent injection to the Power System at periods of Peak Demand.</w:t>
      </w:r>
    </w:p>
    <w:p w14:paraId="6396C28E" w14:textId="77777777" w:rsidR="000C776C" w:rsidRPr="000C776C" w:rsidRDefault="000C776C" w:rsidP="00470C91">
      <w:pPr>
        <w:numPr>
          <w:ilvl w:val="0"/>
          <w:numId w:val="38"/>
        </w:numPr>
        <w:spacing w:before="180" w:after="0" w:line="276" w:lineRule="auto"/>
        <w:rPr>
          <w:szCs w:val="18"/>
        </w:rPr>
      </w:pPr>
      <w:r w:rsidRPr="000C776C">
        <w:rPr>
          <w:szCs w:val="18"/>
        </w:rPr>
        <w:lastRenderedPageBreak/>
        <w:t>Customer-owned Distributed Photovoltaics (DPV) and Battery Energy Storage Systems (BESS) that provide Power to their own Loads and/or exports to the local Distribution Network.</w:t>
      </w:r>
    </w:p>
    <w:p w14:paraId="29B2A71E"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 xml:space="preserve">2. </w:t>
      </w:r>
      <w:bookmarkStart w:id="285" w:name="_Toc152831820"/>
      <w:r w:rsidRPr="000C776C">
        <w:rPr>
          <w:rFonts w:ascii="FreightSans Pro Book" w:hAnsi="FreightSans Pro Book"/>
          <w:b/>
          <w:color w:val="013C4C" w:themeColor="text1"/>
          <w:sz w:val="22"/>
          <w:szCs w:val="32"/>
        </w:rPr>
        <w:t xml:space="preserve"> Digital Infrastructure (Information/Data Exchange, Storage, and Processing)</w:t>
      </w:r>
      <w:bookmarkEnd w:id="285"/>
      <w:r w:rsidRPr="000C776C">
        <w:rPr>
          <w:rFonts w:ascii="FreightSans Pro Book" w:hAnsi="FreightSans Pro Book"/>
          <w:b/>
          <w:color w:val="013C4C" w:themeColor="text1"/>
          <w:sz w:val="22"/>
          <w:szCs w:val="32"/>
        </w:rPr>
        <w:tab/>
      </w:r>
    </w:p>
    <w:p w14:paraId="45C1E218" w14:textId="77777777" w:rsidR="000C776C" w:rsidRPr="000C776C" w:rsidRDefault="000C776C" w:rsidP="000C776C">
      <w:pPr>
        <w:spacing w:before="180" w:after="0" w:line="276" w:lineRule="auto"/>
        <w:rPr>
          <w:szCs w:val="18"/>
        </w:rPr>
      </w:pPr>
      <w:r w:rsidRPr="000C776C">
        <w:rPr>
          <w:szCs w:val="18"/>
        </w:rPr>
        <w:t>Infrastructures and subsystems that provide for all information and data exchange required to maintain the safe and reliable operation of the Power System and underpin its coordinated operation.  A sample of conventional and emerging examples include:</w:t>
      </w:r>
      <w:r w:rsidRPr="000C776C">
        <w:rPr>
          <w:szCs w:val="18"/>
        </w:rPr>
        <w:tab/>
      </w:r>
    </w:p>
    <w:p w14:paraId="3A0B9566" w14:textId="77777777" w:rsidR="000C776C" w:rsidRPr="000C776C" w:rsidRDefault="000C776C" w:rsidP="00470C91">
      <w:pPr>
        <w:numPr>
          <w:ilvl w:val="0"/>
          <w:numId w:val="38"/>
        </w:numPr>
        <w:spacing w:before="180" w:after="0" w:line="276" w:lineRule="auto"/>
        <w:rPr>
          <w:szCs w:val="18"/>
        </w:rPr>
      </w:pPr>
      <w:r w:rsidRPr="000C776C">
        <w:rPr>
          <w:szCs w:val="18"/>
        </w:rPr>
        <w:t xml:space="preserve">Signals and data used for real-time control of the Power System such as State Estimation, Frequency monitoring, Topology configuration monitoring, etc.  </w:t>
      </w:r>
    </w:p>
    <w:p w14:paraId="696F4C5C" w14:textId="77777777" w:rsidR="000C776C" w:rsidRPr="000C776C" w:rsidRDefault="000C776C" w:rsidP="00470C91">
      <w:pPr>
        <w:numPr>
          <w:ilvl w:val="0"/>
          <w:numId w:val="38"/>
        </w:numPr>
        <w:spacing w:before="180" w:after="0" w:line="276" w:lineRule="auto"/>
        <w:rPr>
          <w:szCs w:val="18"/>
        </w:rPr>
      </w:pPr>
      <w:r w:rsidRPr="000C776C">
        <w:rPr>
          <w:szCs w:val="18"/>
        </w:rPr>
        <w:t xml:space="preserve">Energy Resources participating in the Wholesale Market submit real-time asset performance reports to the Market/System Operator (MSO). </w:t>
      </w:r>
    </w:p>
    <w:p w14:paraId="6DD14B3F" w14:textId="77777777" w:rsidR="000C776C" w:rsidRPr="000C776C" w:rsidRDefault="000C776C" w:rsidP="00470C91">
      <w:pPr>
        <w:numPr>
          <w:ilvl w:val="0"/>
          <w:numId w:val="38"/>
        </w:numPr>
        <w:spacing w:before="180" w:after="0" w:line="276" w:lineRule="auto"/>
        <w:rPr>
          <w:szCs w:val="18"/>
        </w:rPr>
      </w:pPr>
      <w:r w:rsidRPr="000C776C">
        <w:rPr>
          <w:szCs w:val="18"/>
        </w:rPr>
        <w:t>MSO and Distribution System Operators (DSO) exchange system condition information across the relevant Transmission-Distribution Interface (TDI) to support the conjoint Power System management.</w:t>
      </w:r>
    </w:p>
    <w:p w14:paraId="1140AA53" w14:textId="77777777" w:rsidR="000C776C" w:rsidRPr="000C776C" w:rsidRDefault="000C776C" w:rsidP="00470C91">
      <w:pPr>
        <w:numPr>
          <w:ilvl w:val="0"/>
          <w:numId w:val="38"/>
        </w:numPr>
        <w:spacing w:before="180" w:after="0" w:line="276" w:lineRule="auto"/>
        <w:rPr>
          <w:szCs w:val="18"/>
        </w:rPr>
      </w:pPr>
      <w:r w:rsidRPr="000C776C">
        <w:rPr>
          <w:szCs w:val="18"/>
        </w:rPr>
        <w:t>Energy Retailers and Aggregators participating in the Wholesale Market and Distribution-level Markets submit telemetry to the relevant entities to indicate asset performance in real-time.</w:t>
      </w:r>
    </w:p>
    <w:p w14:paraId="78D2DE22"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 xml:space="preserve">3. </w:t>
      </w:r>
      <w:bookmarkStart w:id="286" w:name="_Toc152831821"/>
      <w:r w:rsidRPr="000C776C">
        <w:rPr>
          <w:rFonts w:ascii="FreightSans Pro Book" w:hAnsi="FreightSans Pro Book"/>
          <w:b/>
          <w:color w:val="013C4C" w:themeColor="text1"/>
          <w:sz w:val="22"/>
          <w:szCs w:val="32"/>
        </w:rPr>
        <w:t xml:space="preserve"> Transactional Structure</w:t>
      </w:r>
      <w:bookmarkEnd w:id="286"/>
    </w:p>
    <w:p w14:paraId="4CA0B018" w14:textId="77777777" w:rsidR="000C776C" w:rsidRPr="000C776C" w:rsidRDefault="000C776C" w:rsidP="000C776C">
      <w:pPr>
        <w:spacing w:before="180" w:after="0" w:line="276" w:lineRule="auto"/>
        <w:rPr>
          <w:szCs w:val="18"/>
        </w:rPr>
      </w:pPr>
      <w:r w:rsidRPr="000C776C">
        <w:rPr>
          <w:szCs w:val="18"/>
        </w:rPr>
        <w:t xml:space="preserve">Infrastructures and Subsystems that provide for the valuation, procurement, sale and measurement of Energy, Capacity and Essential System Services (ESS) at any Tier/Layer of the Power System through market or other financial arrangements. This may include participation in Wholesale Market, Distribution-level Markets, advanced Tariffs/Rates.  This also includes market schedules and Dispatch instructions. </w:t>
      </w:r>
    </w:p>
    <w:p w14:paraId="4B90585E" w14:textId="77777777" w:rsidR="000C776C" w:rsidRPr="000C776C" w:rsidRDefault="000C776C" w:rsidP="000C776C">
      <w:pPr>
        <w:spacing w:before="180" w:after="0" w:line="276" w:lineRule="auto"/>
        <w:rPr>
          <w:szCs w:val="18"/>
        </w:rPr>
      </w:pPr>
      <w:r w:rsidRPr="000C776C">
        <w:rPr>
          <w:szCs w:val="18"/>
        </w:rPr>
        <w:t>A sample of conventional and emerging examples include:</w:t>
      </w:r>
      <w:r w:rsidRPr="000C776C">
        <w:rPr>
          <w:szCs w:val="18"/>
        </w:rPr>
        <w:tab/>
      </w:r>
    </w:p>
    <w:p w14:paraId="7B9AEB35" w14:textId="77777777" w:rsidR="000C776C" w:rsidRPr="000C776C" w:rsidRDefault="000C776C" w:rsidP="00470C91">
      <w:pPr>
        <w:numPr>
          <w:ilvl w:val="0"/>
          <w:numId w:val="38"/>
        </w:numPr>
        <w:spacing w:before="180" w:after="0" w:line="276" w:lineRule="auto"/>
        <w:rPr>
          <w:szCs w:val="18"/>
        </w:rPr>
      </w:pPr>
      <w:r w:rsidRPr="000C776C">
        <w:rPr>
          <w:szCs w:val="18"/>
        </w:rPr>
        <w:t>Energy Resources participating in the Wholesale Market provide bids/offers to the Market/System Operator (MSO) who subsequently schedules the Dispatch of participating resources.</w:t>
      </w:r>
    </w:p>
    <w:p w14:paraId="013E4106" w14:textId="77777777" w:rsidR="000C776C" w:rsidRPr="000C776C" w:rsidRDefault="000C776C" w:rsidP="00470C91">
      <w:pPr>
        <w:numPr>
          <w:ilvl w:val="0"/>
          <w:numId w:val="38"/>
        </w:numPr>
        <w:spacing w:before="180" w:after="0" w:line="276" w:lineRule="auto"/>
        <w:rPr>
          <w:szCs w:val="18"/>
        </w:rPr>
      </w:pPr>
      <w:r w:rsidRPr="000C776C">
        <w:rPr>
          <w:szCs w:val="18"/>
        </w:rPr>
        <w:t xml:space="preserve">Relevant to the Operational Coordination of the Power System, both the legacy and emerging market structures are calibrated to ensure Co-optimisation of Energy Resource behaviours across the different Tiers/Layers of the system.  </w:t>
      </w:r>
    </w:p>
    <w:p w14:paraId="4C5144E4" w14:textId="77777777" w:rsidR="000C776C" w:rsidRPr="000C776C" w:rsidRDefault="000C776C" w:rsidP="00470C91">
      <w:pPr>
        <w:numPr>
          <w:ilvl w:val="0"/>
          <w:numId w:val="38"/>
        </w:numPr>
        <w:spacing w:before="180" w:after="0" w:line="276" w:lineRule="auto"/>
        <w:rPr>
          <w:szCs w:val="18"/>
        </w:rPr>
      </w:pPr>
      <w:r w:rsidRPr="000C776C">
        <w:rPr>
          <w:szCs w:val="18"/>
        </w:rPr>
        <w:t>Energy Retailers and Aggregators procure and contract services from Distributed Energy Resources (DER/CER) and other Flexible Resources (Demand-side) and sell them in various Wholesale Markets and/or Distribution-level Markets.</w:t>
      </w:r>
    </w:p>
    <w:p w14:paraId="64CCC421" w14:textId="77777777" w:rsidR="000C776C" w:rsidRPr="000C776C" w:rsidRDefault="000C776C" w:rsidP="00470C91">
      <w:pPr>
        <w:numPr>
          <w:ilvl w:val="0"/>
          <w:numId w:val="38"/>
        </w:numPr>
        <w:spacing w:before="180" w:after="0" w:line="276" w:lineRule="auto"/>
        <w:rPr>
          <w:szCs w:val="18"/>
        </w:rPr>
      </w:pPr>
      <w:r w:rsidRPr="000C776C">
        <w:rPr>
          <w:szCs w:val="18"/>
        </w:rPr>
        <w:lastRenderedPageBreak/>
        <w:t xml:space="preserve">Support more granular ‘market-control’ alignment to incentivise and activate targeted provision of valuable services in the form of Electric Products when and where most needed. </w:t>
      </w:r>
    </w:p>
    <w:p w14:paraId="1E8D2179"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 xml:space="preserve">4. </w:t>
      </w:r>
      <w:bookmarkStart w:id="287" w:name="_Toc152831822"/>
      <w:r w:rsidRPr="000C776C">
        <w:rPr>
          <w:rFonts w:ascii="FreightSans Pro Book" w:hAnsi="FreightSans Pro Book"/>
          <w:b/>
          <w:color w:val="013C4C" w:themeColor="text1"/>
          <w:sz w:val="22"/>
          <w:szCs w:val="32"/>
        </w:rPr>
        <w:t xml:space="preserve"> Operational Coordination Structure</w:t>
      </w:r>
      <w:bookmarkEnd w:id="287"/>
    </w:p>
    <w:p w14:paraId="2749DF9F" w14:textId="77777777" w:rsidR="000C776C" w:rsidRPr="000C776C" w:rsidRDefault="000C776C" w:rsidP="000C776C">
      <w:pPr>
        <w:spacing w:before="180" w:after="0" w:line="276" w:lineRule="auto"/>
        <w:rPr>
          <w:szCs w:val="18"/>
        </w:rPr>
      </w:pPr>
      <w:r w:rsidRPr="000C776C">
        <w:rPr>
          <w:szCs w:val="18"/>
        </w:rPr>
        <w:t xml:space="preserve">Infrastructures and Subsystems that support the systematic operational alignment of both Utility and non-Utility assets as Power Systems move from hundreds to tens of millions of participating Energy Resources.  In an operational context characterised by greater Volatility, advanced Operational Coordination is essential for safe, secure and efficient Power System operation in a manner that has a high level of Resilience, Scalability and Extensibility. </w:t>
      </w:r>
    </w:p>
    <w:p w14:paraId="5814A73C" w14:textId="77777777" w:rsidR="000C776C" w:rsidRPr="000C776C" w:rsidRDefault="000C776C" w:rsidP="000C776C">
      <w:pPr>
        <w:spacing w:before="180" w:after="0" w:line="276" w:lineRule="auto"/>
        <w:rPr>
          <w:szCs w:val="18"/>
        </w:rPr>
      </w:pPr>
      <w:r w:rsidRPr="000C776C">
        <w:rPr>
          <w:szCs w:val="18"/>
        </w:rPr>
        <w:t>A sample of conventional and emerging examples include:</w:t>
      </w:r>
      <w:r w:rsidRPr="000C776C">
        <w:rPr>
          <w:szCs w:val="18"/>
        </w:rPr>
        <w:tab/>
      </w:r>
    </w:p>
    <w:p w14:paraId="2B6085C9" w14:textId="77777777" w:rsidR="000C776C" w:rsidRPr="000C776C" w:rsidRDefault="000C776C" w:rsidP="00470C91">
      <w:pPr>
        <w:numPr>
          <w:ilvl w:val="0"/>
          <w:numId w:val="38"/>
        </w:numPr>
        <w:spacing w:before="180" w:after="0" w:line="276" w:lineRule="auto"/>
        <w:rPr>
          <w:szCs w:val="18"/>
        </w:rPr>
      </w:pPr>
      <w:r w:rsidRPr="000C776C">
        <w:rPr>
          <w:szCs w:val="18"/>
        </w:rPr>
        <w:t xml:space="preserve">Market/System Operator (MSO) exerts control over Energy Resources participating in the Wholesale Market by sending Dispatch instructions and basepoints to secure necessary services. </w:t>
      </w:r>
    </w:p>
    <w:p w14:paraId="30F93375" w14:textId="77777777" w:rsidR="000C776C" w:rsidRPr="000C776C" w:rsidRDefault="000C776C" w:rsidP="00470C91">
      <w:pPr>
        <w:numPr>
          <w:ilvl w:val="0"/>
          <w:numId w:val="38"/>
        </w:numPr>
        <w:spacing w:before="180" w:after="0" w:line="276" w:lineRule="auto"/>
        <w:rPr>
          <w:szCs w:val="18"/>
        </w:rPr>
      </w:pPr>
      <w:r w:rsidRPr="000C776C">
        <w:rPr>
          <w:szCs w:val="18"/>
        </w:rPr>
        <w:t xml:space="preserve">MSO exerts control over the Transmission Network in response to a constraint or contingency to preserve System Security and Reliability. </w:t>
      </w:r>
    </w:p>
    <w:p w14:paraId="6337D543" w14:textId="77777777" w:rsidR="000C776C" w:rsidRPr="000C776C" w:rsidRDefault="000C776C" w:rsidP="00470C91">
      <w:pPr>
        <w:numPr>
          <w:ilvl w:val="0"/>
          <w:numId w:val="38"/>
        </w:numPr>
        <w:spacing w:before="180" w:after="0" w:line="276" w:lineRule="auto"/>
        <w:rPr>
          <w:szCs w:val="18"/>
        </w:rPr>
      </w:pPr>
      <w:r w:rsidRPr="000C776C">
        <w:rPr>
          <w:szCs w:val="18"/>
        </w:rPr>
        <w:t xml:space="preserve">Aggregators provide the MSO and Distribution System Operator (DSO) resource availability forecasts for Energy Resources.  </w:t>
      </w:r>
    </w:p>
    <w:p w14:paraId="6FFD494C" w14:textId="77777777" w:rsidR="000C776C" w:rsidRPr="000C776C" w:rsidRDefault="000C776C" w:rsidP="00470C91">
      <w:pPr>
        <w:numPr>
          <w:ilvl w:val="0"/>
          <w:numId w:val="38"/>
        </w:numPr>
        <w:spacing w:before="180" w:after="0" w:line="276" w:lineRule="auto"/>
        <w:rPr>
          <w:szCs w:val="18"/>
        </w:rPr>
      </w:pPr>
      <w:r w:rsidRPr="000C776C">
        <w:rPr>
          <w:szCs w:val="18"/>
        </w:rPr>
        <w:t xml:space="preserve">The MSO and DSO conjointly manage their respective sides of the Transmission-Distribution Interfaces (TDI) due to the growing dependence on Energy Resources located on both sides of the TDI. </w:t>
      </w:r>
    </w:p>
    <w:p w14:paraId="62F1E045" w14:textId="77777777" w:rsidR="000C776C" w:rsidRPr="000C776C" w:rsidRDefault="000C776C" w:rsidP="00470C91">
      <w:pPr>
        <w:numPr>
          <w:ilvl w:val="0"/>
          <w:numId w:val="38"/>
        </w:numPr>
        <w:spacing w:before="180" w:after="0" w:line="276" w:lineRule="auto"/>
        <w:rPr>
          <w:szCs w:val="18"/>
        </w:rPr>
      </w:pPr>
      <w:r w:rsidRPr="000C776C">
        <w:rPr>
          <w:szCs w:val="18"/>
        </w:rPr>
        <w:t xml:space="preserve">Aggregators orchestrate contracted CER/DER in response to the various market structures for procuring the Electric Products required by different Tiers/Layers of the system.  </w:t>
      </w:r>
    </w:p>
    <w:p w14:paraId="7435940D" w14:textId="77777777" w:rsidR="000C776C" w:rsidRPr="000C776C" w:rsidRDefault="000C776C" w:rsidP="000C776C">
      <w:pPr>
        <w:spacing w:before="180" w:after="0" w:line="276" w:lineRule="auto"/>
        <w:rPr>
          <w:szCs w:val="18"/>
        </w:rPr>
      </w:pPr>
      <w:r w:rsidRPr="000C776C">
        <w:rPr>
          <w:szCs w:val="18"/>
        </w:rPr>
        <w:t xml:space="preserve">Advanced Operational Coordination models are ultimately required to enable the transition to a more holistic Transmission-Distribution-Customer (TDC) model of system coordination.  </w:t>
      </w:r>
    </w:p>
    <w:p w14:paraId="467DA085"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 xml:space="preserve">5. </w:t>
      </w:r>
      <w:bookmarkStart w:id="288" w:name="_Toc152831823"/>
      <w:r w:rsidRPr="000C776C">
        <w:rPr>
          <w:rFonts w:ascii="FreightSans Pro Book" w:hAnsi="FreightSans Pro Book"/>
          <w:b/>
          <w:color w:val="013C4C" w:themeColor="text1"/>
          <w:sz w:val="22"/>
          <w:szCs w:val="32"/>
        </w:rPr>
        <w:t xml:space="preserve"> Industry / Market Structure</w:t>
      </w:r>
      <w:bookmarkEnd w:id="288"/>
    </w:p>
    <w:p w14:paraId="5C83FA70" w14:textId="77777777" w:rsidR="000C776C" w:rsidRPr="000C776C" w:rsidRDefault="000C776C" w:rsidP="000C776C">
      <w:pPr>
        <w:spacing w:before="180" w:after="0" w:line="276" w:lineRule="auto"/>
        <w:rPr>
          <w:szCs w:val="18"/>
        </w:rPr>
      </w:pPr>
      <w:r w:rsidRPr="000C776C">
        <w:rPr>
          <w:szCs w:val="18"/>
        </w:rPr>
        <w:t xml:space="preserve">The range of Entities involved in operating an end-to-end Power System, across its vertical Tiers/Layers and various markets, and within the boundaries of their formal Roles and Responsibilities, as set out in the legal and regulatory arrangements of a specific jurisdiction.  Some examples of these Entities include: </w:t>
      </w:r>
    </w:p>
    <w:p w14:paraId="4E2B78A6" w14:textId="77777777" w:rsidR="000C776C" w:rsidRPr="000C776C" w:rsidRDefault="000C776C" w:rsidP="00470C91">
      <w:pPr>
        <w:numPr>
          <w:ilvl w:val="0"/>
          <w:numId w:val="38"/>
        </w:numPr>
        <w:spacing w:before="180" w:after="0" w:line="276" w:lineRule="auto"/>
        <w:rPr>
          <w:szCs w:val="18"/>
        </w:rPr>
      </w:pPr>
      <w:r w:rsidRPr="000C776C">
        <w:rPr>
          <w:szCs w:val="18"/>
        </w:rPr>
        <w:t xml:space="preserve">Market/System Operator (MSO); </w:t>
      </w:r>
    </w:p>
    <w:p w14:paraId="74C04999" w14:textId="77777777" w:rsidR="000C776C" w:rsidRPr="000C776C" w:rsidRDefault="000C776C" w:rsidP="00470C91">
      <w:pPr>
        <w:numPr>
          <w:ilvl w:val="0"/>
          <w:numId w:val="38"/>
        </w:numPr>
        <w:spacing w:before="180" w:after="0" w:line="276" w:lineRule="auto"/>
        <w:rPr>
          <w:szCs w:val="18"/>
        </w:rPr>
      </w:pPr>
      <w:r w:rsidRPr="000C776C">
        <w:rPr>
          <w:szCs w:val="18"/>
        </w:rPr>
        <w:t>Generators;</w:t>
      </w:r>
    </w:p>
    <w:p w14:paraId="0FD475DC" w14:textId="77777777" w:rsidR="000C776C" w:rsidRPr="000C776C" w:rsidRDefault="000C776C" w:rsidP="00470C91">
      <w:pPr>
        <w:numPr>
          <w:ilvl w:val="0"/>
          <w:numId w:val="38"/>
        </w:numPr>
        <w:spacing w:before="180" w:after="0" w:line="276" w:lineRule="auto"/>
        <w:rPr>
          <w:szCs w:val="18"/>
        </w:rPr>
      </w:pPr>
      <w:r w:rsidRPr="000C776C">
        <w:rPr>
          <w:szCs w:val="18"/>
        </w:rPr>
        <w:t xml:space="preserve">Transmission Network providers; </w:t>
      </w:r>
    </w:p>
    <w:p w14:paraId="64BA3563" w14:textId="77777777" w:rsidR="000C776C" w:rsidRPr="000C776C" w:rsidRDefault="000C776C" w:rsidP="00470C91">
      <w:pPr>
        <w:numPr>
          <w:ilvl w:val="0"/>
          <w:numId w:val="38"/>
        </w:numPr>
        <w:spacing w:before="180" w:after="0" w:line="276" w:lineRule="auto"/>
        <w:rPr>
          <w:szCs w:val="18"/>
        </w:rPr>
      </w:pPr>
      <w:r w:rsidRPr="000C776C">
        <w:rPr>
          <w:szCs w:val="18"/>
        </w:rPr>
        <w:lastRenderedPageBreak/>
        <w:t xml:space="preserve">Distribution Network providers; </w:t>
      </w:r>
    </w:p>
    <w:p w14:paraId="569F0735" w14:textId="77777777" w:rsidR="000C776C" w:rsidRPr="000C776C" w:rsidRDefault="000C776C" w:rsidP="00470C91">
      <w:pPr>
        <w:numPr>
          <w:ilvl w:val="0"/>
          <w:numId w:val="38"/>
        </w:numPr>
        <w:spacing w:before="180" w:after="0" w:line="276" w:lineRule="auto"/>
        <w:rPr>
          <w:szCs w:val="18"/>
        </w:rPr>
      </w:pPr>
      <w:r w:rsidRPr="000C776C">
        <w:rPr>
          <w:szCs w:val="18"/>
        </w:rPr>
        <w:t>Distribution System Operators (DSO);</w:t>
      </w:r>
    </w:p>
    <w:p w14:paraId="2DE459D7" w14:textId="77777777" w:rsidR="000C776C" w:rsidRPr="000C776C" w:rsidRDefault="000C776C" w:rsidP="00470C91">
      <w:pPr>
        <w:numPr>
          <w:ilvl w:val="0"/>
          <w:numId w:val="38"/>
        </w:numPr>
        <w:spacing w:before="180" w:after="0" w:line="276" w:lineRule="auto"/>
        <w:rPr>
          <w:szCs w:val="18"/>
        </w:rPr>
      </w:pPr>
      <w:r w:rsidRPr="000C776C">
        <w:rPr>
          <w:szCs w:val="18"/>
        </w:rPr>
        <w:t xml:space="preserve">Energy Retailers; and, </w:t>
      </w:r>
    </w:p>
    <w:p w14:paraId="2C5761ED" w14:textId="77777777" w:rsidR="000C776C" w:rsidRPr="000C776C" w:rsidRDefault="000C776C" w:rsidP="00470C91">
      <w:pPr>
        <w:numPr>
          <w:ilvl w:val="0"/>
          <w:numId w:val="38"/>
        </w:numPr>
        <w:spacing w:before="180" w:after="0" w:line="276" w:lineRule="auto"/>
        <w:rPr>
          <w:szCs w:val="18"/>
        </w:rPr>
      </w:pPr>
      <w:r w:rsidRPr="000C776C">
        <w:rPr>
          <w:szCs w:val="18"/>
        </w:rPr>
        <w:t xml:space="preserve">Aggregators. </w:t>
      </w:r>
    </w:p>
    <w:p w14:paraId="2F548C41" w14:textId="77777777" w:rsidR="000C776C" w:rsidRPr="000C776C" w:rsidRDefault="000C776C" w:rsidP="000C776C">
      <w:pPr>
        <w:spacing w:after="0" w:line="276" w:lineRule="auto"/>
        <w:rPr>
          <w:rFonts w:ascii="FreightSans Pro Book" w:hAnsi="FreightSans Pro Book"/>
          <w:b/>
          <w:color w:val="013C4C" w:themeColor="text1"/>
          <w:sz w:val="22"/>
          <w:szCs w:val="32"/>
        </w:rPr>
      </w:pPr>
      <w:r w:rsidRPr="000C776C">
        <w:rPr>
          <w:rFonts w:ascii="FreightSans Pro Book" w:hAnsi="FreightSans Pro Book"/>
          <w:b/>
          <w:color w:val="013C4C" w:themeColor="text1"/>
          <w:sz w:val="22"/>
          <w:szCs w:val="32"/>
        </w:rPr>
        <w:t xml:space="preserve">6. </w:t>
      </w:r>
      <w:bookmarkStart w:id="289" w:name="_Toc152831824"/>
      <w:r w:rsidRPr="000C776C">
        <w:rPr>
          <w:rFonts w:ascii="FreightSans Pro Book" w:hAnsi="FreightSans Pro Book"/>
          <w:b/>
          <w:color w:val="013C4C" w:themeColor="text1"/>
          <w:sz w:val="22"/>
          <w:szCs w:val="32"/>
        </w:rPr>
        <w:t xml:space="preserve"> Governance / Regulatory Structure</w:t>
      </w:r>
      <w:bookmarkEnd w:id="289"/>
    </w:p>
    <w:p w14:paraId="59955435" w14:textId="77777777" w:rsidR="000C776C" w:rsidRPr="000C776C" w:rsidRDefault="000C776C" w:rsidP="000C776C">
      <w:pPr>
        <w:spacing w:before="180" w:after="0" w:line="276" w:lineRule="auto"/>
        <w:rPr>
          <w:szCs w:val="18"/>
        </w:rPr>
      </w:pPr>
      <w:r w:rsidRPr="000C776C">
        <w:rPr>
          <w:szCs w:val="18"/>
        </w:rPr>
        <w:t xml:space="preserve">The range of Entities involved in the governance and regulation of an end-to-end Power System and its related markets, as set out in the legal arrangements of a specific jurisdiction. In Power Systems Architecture, this structure focuses on the mapping of various governance and regulatory relationships, with an emphasis on which Entity regulates which types of organisations as represented in the Industry / Market Structure.  These may include: </w:t>
      </w:r>
    </w:p>
    <w:p w14:paraId="50CC50BE" w14:textId="77777777" w:rsidR="000C776C" w:rsidRPr="000C776C" w:rsidRDefault="000C776C" w:rsidP="00470C91">
      <w:pPr>
        <w:numPr>
          <w:ilvl w:val="0"/>
          <w:numId w:val="38"/>
        </w:numPr>
        <w:spacing w:before="180" w:after="0" w:line="276" w:lineRule="auto"/>
        <w:rPr>
          <w:szCs w:val="18"/>
        </w:rPr>
      </w:pPr>
      <w:r w:rsidRPr="000C776C">
        <w:rPr>
          <w:szCs w:val="18"/>
        </w:rPr>
        <w:t xml:space="preserve">Federal governments and agencies; </w:t>
      </w:r>
    </w:p>
    <w:p w14:paraId="49425A8C" w14:textId="77777777" w:rsidR="000C776C" w:rsidRPr="000C776C" w:rsidRDefault="000C776C" w:rsidP="00470C91">
      <w:pPr>
        <w:numPr>
          <w:ilvl w:val="0"/>
          <w:numId w:val="38"/>
        </w:numPr>
        <w:spacing w:before="180" w:after="0" w:line="276" w:lineRule="auto"/>
        <w:rPr>
          <w:szCs w:val="18"/>
        </w:rPr>
      </w:pPr>
      <w:r w:rsidRPr="000C776C">
        <w:rPr>
          <w:szCs w:val="18"/>
        </w:rPr>
        <w:t xml:space="preserve">Federal regulatory bodies; </w:t>
      </w:r>
    </w:p>
    <w:p w14:paraId="11987851" w14:textId="77777777" w:rsidR="000C776C" w:rsidRPr="000C776C" w:rsidRDefault="000C776C" w:rsidP="00470C91">
      <w:pPr>
        <w:numPr>
          <w:ilvl w:val="0"/>
          <w:numId w:val="38"/>
        </w:numPr>
        <w:spacing w:before="180" w:after="0" w:line="276" w:lineRule="auto"/>
        <w:rPr>
          <w:szCs w:val="18"/>
        </w:rPr>
      </w:pPr>
      <w:r w:rsidRPr="000C776C">
        <w:rPr>
          <w:szCs w:val="18"/>
        </w:rPr>
        <w:t xml:space="preserve">State governments and agencies; </w:t>
      </w:r>
    </w:p>
    <w:p w14:paraId="214C6B88" w14:textId="77777777" w:rsidR="000C776C" w:rsidRPr="000C776C" w:rsidRDefault="000C776C" w:rsidP="00470C91">
      <w:pPr>
        <w:numPr>
          <w:ilvl w:val="0"/>
          <w:numId w:val="38"/>
        </w:numPr>
        <w:spacing w:before="180" w:after="0" w:line="276" w:lineRule="auto"/>
        <w:rPr>
          <w:szCs w:val="18"/>
        </w:rPr>
      </w:pPr>
      <w:r w:rsidRPr="000C776C">
        <w:rPr>
          <w:szCs w:val="18"/>
        </w:rPr>
        <w:t xml:space="preserve">State regulatory bodies; and, </w:t>
      </w:r>
    </w:p>
    <w:p w14:paraId="0BC60B6A" w14:textId="77777777" w:rsidR="000C776C" w:rsidRPr="000C776C" w:rsidRDefault="000C776C" w:rsidP="00470C91">
      <w:pPr>
        <w:numPr>
          <w:ilvl w:val="0"/>
          <w:numId w:val="38"/>
        </w:numPr>
        <w:spacing w:before="180" w:after="0" w:line="276" w:lineRule="auto"/>
        <w:rPr>
          <w:szCs w:val="18"/>
        </w:rPr>
      </w:pPr>
      <w:r w:rsidRPr="000C776C">
        <w:rPr>
          <w:szCs w:val="18"/>
        </w:rPr>
        <w:t xml:space="preserve">Trans-national bodies. </w:t>
      </w:r>
    </w:p>
    <w:p w14:paraId="47B08E2A" w14:textId="77777777" w:rsidR="000C776C" w:rsidRPr="000C776C" w:rsidRDefault="000C776C" w:rsidP="000C776C">
      <w:pPr>
        <w:spacing w:after="0" w:line="276" w:lineRule="auto"/>
        <w:rPr>
          <w:rFonts w:ascii="FreightSans Pro Book" w:hAnsi="FreightSans Pro Book"/>
          <w:b/>
          <w:color w:val="013C4C" w:themeColor="text1"/>
          <w:sz w:val="22"/>
          <w:szCs w:val="32"/>
        </w:rPr>
      </w:pPr>
      <w:bookmarkStart w:id="290" w:name="_Toc142644264"/>
      <w:bookmarkStart w:id="291" w:name="_Toc142645117"/>
      <w:bookmarkStart w:id="292" w:name="_Toc142651789"/>
      <w:bookmarkStart w:id="293" w:name="_Toc142652036"/>
      <w:bookmarkStart w:id="294" w:name="_Toc142652283"/>
      <w:bookmarkStart w:id="295" w:name="_Toc142904122"/>
      <w:bookmarkStart w:id="296" w:name="_Toc142904368"/>
      <w:bookmarkStart w:id="297" w:name="_Toc142910523"/>
      <w:bookmarkStart w:id="298" w:name="_Toc142919526"/>
      <w:bookmarkStart w:id="299" w:name="_Toc142644265"/>
      <w:bookmarkStart w:id="300" w:name="_Toc142645118"/>
      <w:bookmarkStart w:id="301" w:name="_Toc142651790"/>
      <w:bookmarkStart w:id="302" w:name="_Toc142652037"/>
      <w:bookmarkStart w:id="303" w:name="_Toc142652284"/>
      <w:bookmarkStart w:id="304" w:name="_Toc142904123"/>
      <w:bookmarkStart w:id="305" w:name="_Toc142904369"/>
      <w:bookmarkStart w:id="306" w:name="_Toc142910524"/>
      <w:bookmarkStart w:id="307" w:name="_Toc142919527"/>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0C776C">
        <w:rPr>
          <w:rFonts w:ascii="FreightSans Pro Book" w:hAnsi="FreightSans Pro Book"/>
          <w:b/>
          <w:color w:val="013C4C" w:themeColor="text1"/>
          <w:sz w:val="22"/>
          <w:szCs w:val="32"/>
        </w:rPr>
        <w:t xml:space="preserve">7. </w:t>
      </w:r>
      <w:bookmarkStart w:id="308" w:name="_Toc152831825"/>
      <w:r w:rsidRPr="000C776C">
        <w:rPr>
          <w:rFonts w:ascii="FreightSans Pro Book" w:hAnsi="FreightSans Pro Book"/>
          <w:b/>
          <w:color w:val="013C4C" w:themeColor="text1"/>
          <w:sz w:val="22"/>
          <w:szCs w:val="32"/>
        </w:rPr>
        <w:t xml:space="preserve"> Sector Coupling Structures</w:t>
      </w:r>
      <w:bookmarkEnd w:id="308"/>
      <w:r w:rsidRPr="000C776C">
        <w:rPr>
          <w:rFonts w:ascii="FreightSans Pro Book" w:hAnsi="FreightSans Pro Book"/>
          <w:b/>
          <w:color w:val="013C4C" w:themeColor="text1"/>
          <w:sz w:val="22"/>
          <w:szCs w:val="32"/>
        </w:rPr>
        <w:t xml:space="preserve"> </w:t>
      </w:r>
    </w:p>
    <w:p w14:paraId="5B4AC4FC" w14:textId="77777777" w:rsidR="000C776C" w:rsidRPr="000C776C" w:rsidRDefault="000C776C" w:rsidP="000C776C">
      <w:pPr>
        <w:spacing w:before="180" w:after="0" w:line="276" w:lineRule="auto"/>
        <w:rPr>
          <w:rFonts w:cstheme="minorHAnsi"/>
          <w:szCs w:val="18"/>
        </w:rPr>
      </w:pPr>
      <w:r w:rsidRPr="000C776C">
        <w:rPr>
          <w:rFonts w:cstheme="minorHAnsi"/>
          <w:szCs w:val="18"/>
        </w:rPr>
        <w:t xml:space="preserve">As decarbonisation advances, the proactive management of Interfaces between the Power System and other sectors becomes an increasingly critical part of enabling a more flexible and adaptive Grid.  Examples of various sector couplings include: </w:t>
      </w:r>
    </w:p>
    <w:p w14:paraId="5E73EEAE" w14:textId="77777777" w:rsidR="000C776C" w:rsidRPr="000C776C" w:rsidRDefault="000C776C" w:rsidP="00470C91">
      <w:pPr>
        <w:numPr>
          <w:ilvl w:val="0"/>
          <w:numId w:val="38"/>
        </w:numPr>
        <w:spacing w:before="180" w:after="0" w:line="276" w:lineRule="auto"/>
        <w:rPr>
          <w:rFonts w:cstheme="minorHAnsi"/>
          <w:szCs w:val="18"/>
        </w:rPr>
      </w:pPr>
      <w:bookmarkStart w:id="309" w:name="_Toc126933200"/>
      <w:bookmarkStart w:id="310" w:name="_Toc113449634"/>
      <w:bookmarkStart w:id="311" w:name="_Toc113449949"/>
      <w:r w:rsidRPr="000C776C">
        <w:rPr>
          <w:rFonts w:cstheme="minorHAnsi"/>
          <w:szCs w:val="18"/>
        </w:rPr>
        <w:t>Electricity and gas sectors</w:t>
      </w:r>
      <w:bookmarkEnd w:id="309"/>
      <w:bookmarkEnd w:id="310"/>
      <w:bookmarkEnd w:id="311"/>
      <w:r w:rsidRPr="000C776C">
        <w:rPr>
          <w:rFonts w:cstheme="minorHAnsi"/>
          <w:szCs w:val="18"/>
        </w:rPr>
        <w:t xml:space="preserve">; </w:t>
      </w:r>
    </w:p>
    <w:p w14:paraId="20988213" w14:textId="77777777" w:rsidR="000C776C" w:rsidRPr="000C776C" w:rsidRDefault="000C776C" w:rsidP="00470C91">
      <w:pPr>
        <w:numPr>
          <w:ilvl w:val="0"/>
          <w:numId w:val="38"/>
        </w:numPr>
        <w:spacing w:before="180" w:after="0" w:line="276" w:lineRule="auto"/>
        <w:rPr>
          <w:rFonts w:cstheme="minorHAnsi"/>
          <w:szCs w:val="18"/>
        </w:rPr>
      </w:pPr>
      <w:bookmarkStart w:id="312" w:name="_Toc126933201"/>
      <w:bookmarkStart w:id="313" w:name="_Toc113449637"/>
      <w:bookmarkStart w:id="314" w:name="_Toc113449952"/>
      <w:r w:rsidRPr="000C776C">
        <w:rPr>
          <w:rFonts w:cstheme="minorHAnsi"/>
          <w:szCs w:val="18"/>
        </w:rPr>
        <w:t>Electricity and industrial processes</w:t>
      </w:r>
      <w:bookmarkEnd w:id="312"/>
      <w:bookmarkEnd w:id="313"/>
      <w:bookmarkEnd w:id="314"/>
      <w:r w:rsidRPr="000C776C">
        <w:rPr>
          <w:rFonts w:cstheme="minorHAnsi"/>
          <w:szCs w:val="18"/>
        </w:rPr>
        <w:t xml:space="preserve">; </w:t>
      </w:r>
    </w:p>
    <w:p w14:paraId="15C2C5DB" w14:textId="77777777" w:rsidR="000C776C" w:rsidRPr="000C776C" w:rsidRDefault="000C776C" w:rsidP="00470C91">
      <w:pPr>
        <w:numPr>
          <w:ilvl w:val="0"/>
          <w:numId w:val="38"/>
        </w:numPr>
        <w:spacing w:before="180" w:after="0" w:line="276" w:lineRule="auto"/>
        <w:rPr>
          <w:rFonts w:cstheme="minorHAnsi"/>
          <w:szCs w:val="18"/>
        </w:rPr>
      </w:pPr>
      <w:bookmarkStart w:id="315" w:name="_Toc126933202"/>
      <w:bookmarkStart w:id="316" w:name="_Toc113449636"/>
      <w:bookmarkStart w:id="317" w:name="_Toc113449951"/>
      <w:r w:rsidRPr="000C776C">
        <w:rPr>
          <w:rFonts w:cstheme="minorHAnsi"/>
          <w:szCs w:val="18"/>
        </w:rPr>
        <w:t>Electricity and transport</w:t>
      </w:r>
      <w:bookmarkEnd w:id="315"/>
      <w:bookmarkEnd w:id="316"/>
      <w:bookmarkEnd w:id="317"/>
      <w:r w:rsidRPr="000C776C">
        <w:rPr>
          <w:rFonts w:cstheme="minorHAnsi"/>
          <w:szCs w:val="18"/>
        </w:rPr>
        <w:t xml:space="preserve">; </w:t>
      </w:r>
    </w:p>
    <w:p w14:paraId="6C2D29D0" w14:textId="77777777" w:rsidR="000C776C" w:rsidRPr="000C776C" w:rsidRDefault="000C776C" w:rsidP="00470C91">
      <w:pPr>
        <w:numPr>
          <w:ilvl w:val="0"/>
          <w:numId w:val="38"/>
        </w:numPr>
        <w:spacing w:before="180" w:after="0" w:line="276" w:lineRule="auto"/>
        <w:rPr>
          <w:rFonts w:cstheme="minorHAnsi"/>
          <w:szCs w:val="18"/>
        </w:rPr>
      </w:pPr>
      <w:bookmarkStart w:id="318" w:name="_Toc126933203"/>
      <w:bookmarkStart w:id="319" w:name="_Toc113449635"/>
      <w:bookmarkStart w:id="320" w:name="_Toc113449950"/>
      <w:r w:rsidRPr="000C776C">
        <w:rPr>
          <w:rFonts w:cstheme="minorHAnsi"/>
          <w:szCs w:val="18"/>
        </w:rPr>
        <w:t>Electricity and building services</w:t>
      </w:r>
      <w:bookmarkEnd w:id="318"/>
      <w:bookmarkEnd w:id="319"/>
      <w:bookmarkEnd w:id="320"/>
      <w:r w:rsidRPr="000C776C">
        <w:rPr>
          <w:rFonts w:cstheme="minorHAnsi"/>
          <w:szCs w:val="18"/>
        </w:rPr>
        <w:t xml:space="preserve">; </w:t>
      </w:r>
    </w:p>
    <w:p w14:paraId="1BAA06CD" w14:textId="77777777" w:rsidR="000C776C" w:rsidRPr="000C776C" w:rsidRDefault="000C776C" w:rsidP="00470C91">
      <w:pPr>
        <w:numPr>
          <w:ilvl w:val="0"/>
          <w:numId w:val="38"/>
        </w:numPr>
        <w:spacing w:before="180" w:after="0" w:line="276" w:lineRule="auto"/>
        <w:rPr>
          <w:rFonts w:cstheme="minorHAnsi"/>
          <w:szCs w:val="18"/>
        </w:rPr>
      </w:pPr>
      <w:bookmarkStart w:id="321" w:name="_Toc126933204"/>
      <w:bookmarkStart w:id="322" w:name="_Toc113449638"/>
      <w:bookmarkStart w:id="323" w:name="_Toc113449953"/>
      <w:r w:rsidRPr="000C776C">
        <w:rPr>
          <w:rFonts w:cstheme="minorHAnsi"/>
          <w:szCs w:val="18"/>
        </w:rPr>
        <w:t>Electricity and water systems</w:t>
      </w:r>
      <w:bookmarkEnd w:id="321"/>
      <w:bookmarkEnd w:id="322"/>
      <w:bookmarkEnd w:id="323"/>
      <w:r w:rsidRPr="000C776C">
        <w:rPr>
          <w:rFonts w:cstheme="minorHAnsi"/>
          <w:szCs w:val="18"/>
        </w:rPr>
        <w:t xml:space="preserve">; </w:t>
      </w:r>
    </w:p>
    <w:p w14:paraId="64D3B239" w14:textId="77777777" w:rsidR="000C776C" w:rsidRPr="000C776C" w:rsidRDefault="000C776C" w:rsidP="00470C91">
      <w:pPr>
        <w:numPr>
          <w:ilvl w:val="0"/>
          <w:numId w:val="38"/>
        </w:numPr>
        <w:spacing w:before="180" w:after="0" w:line="276" w:lineRule="auto"/>
        <w:rPr>
          <w:rFonts w:cstheme="minorHAnsi"/>
          <w:szCs w:val="18"/>
        </w:rPr>
      </w:pPr>
      <w:bookmarkStart w:id="324" w:name="_Toc113449633"/>
      <w:bookmarkStart w:id="325" w:name="_Toc113449948"/>
      <w:bookmarkStart w:id="326" w:name="_Toc126933205"/>
      <w:r w:rsidRPr="000C776C">
        <w:rPr>
          <w:rFonts w:cstheme="minorHAnsi"/>
          <w:szCs w:val="18"/>
        </w:rPr>
        <w:t>Power system and ICT technologies</w:t>
      </w:r>
      <w:bookmarkStart w:id="327" w:name="_Toc113449639"/>
      <w:bookmarkStart w:id="328" w:name="_Toc113449954"/>
      <w:bookmarkStart w:id="329" w:name="_Toc126933206"/>
      <w:bookmarkEnd w:id="324"/>
      <w:bookmarkEnd w:id="325"/>
      <w:bookmarkEnd w:id="326"/>
      <w:r w:rsidRPr="000C776C">
        <w:rPr>
          <w:rFonts w:cstheme="minorHAnsi"/>
          <w:szCs w:val="18"/>
        </w:rPr>
        <w:t xml:space="preserve">; and, </w:t>
      </w:r>
    </w:p>
    <w:p w14:paraId="2869270D" w14:textId="77777777" w:rsidR="000C776C" w:rsidRPr="000C776C" w:rsidRDefault="000C776C" w:rsidP="00470C91">
      <w:pPr>
        <w:numPr>
          <w:ilvl w:val="0"/>
          <w:numId w:val="38"/>
        </w:numPr>
        <w:spacing w:before="180" w:after="0" w:line="276" w:lineRule="auto"/>
        <w:rPr>
          <w:rFonts w:cstheme="minorHAnsi"/>
          <w:szCs w:val="18"/>
        </w:rPr>
      </w:pPr>
      <w:r w:rsidRPr="000C776C">
        <w:rPr>
          <w:rFonts w:cstheme="minorHAnsi"/>
          <w:szCs w:val="18"/>
        </w:rPr>
        <w:t>Electricity and the emerging Green Hydrogen secto</w:t>
      </w:r>
      <w:bookmarkEnd w:id="327"/>
      <w:bookmarkEnd w:id="328"/>
      <w:bookmarkEnd w:id="329"/>
      <w:r w:rsidRPr="000C776C">
        <w:rPr>
          <w:rFonts w:cstheme="minorHAnsi"/>
          <w:szCs w:val="18"/>
        </w:rPr>
        <w:t xml:space="preserve">r. </w:t>
      </w:r>
    </w:p>
    <w:p w14:paraId="650BD83D" w14:textId="77777777" w:rsidR="000C776C" w:rsidRPr="000C776C" w:rsidRDefault="000C776C" w:rsidP="000C776C">
      <w:pPr>
        <w:spacing w:before="0" w:after="160" w:line="276" w:lineRule="auto"/>
        <w:rPr>
          <w:rFonts w:cstheme="minorHAnsi"/>
          <w:szCs w:val="18"/>
        </w:rPr>
      </w:pPr>
      <w:r w:rsidRPr="000C776C">
        <w:rPr>
          <w:rFonts w:cstheme="minorHAnsi"/>
          <w:szCs w:val="18"/>
        </w:rPr>
        <w:br w:type="page"/>
      </w:r>
    </w:p>
    <w:p w14:paraId="1273970C" w14:textId="63EF3CA5" w:rsidR="000C776C" w:rsidRPr="000C776C" w:rsidRDefault="000C776C" w:rsidP="00DC1D04">
      <w:pPr>
        <w:pStyle w:val="Heading1"/>
        <w:numPr>
          <w:ilvl w:val="0"/>
          <w:numId w:val="0"/>
        </w:numPr>
      </w:pPr>
      <w:bookmarkStart w:id="330" w:name="_Toc205358032"/>
      <w:bookmarkStart w:id="331" w:name="_Toc205532895"/>
      <w:bookmarkStart w:id="332" w:name="_Toc171684250"/>
      <w:bookmarkStart w:id="333" w:name="Appendix_E"/>
      <w:r w:rsidRPr="000C776C">
        <w:lastRenderedPageBreak/>
        <w:t xml:space="preserve">Appendix </w:t>
      </w:r>
      <w:r w:rsidR="00F90984">
        <w:t>D</w:t>
      </w:r>
      <w:r w:rsidRPr="000C776C">
        <w:t>: Power Systems Architecture vs Enterprise IT Architecture - Important Distinctions</w:t>
      </w:r>
      <w:bookmarkEnd w:id="330"/>
      <w:bookmarkEnd w:id="331"/>
      <w:r w:rsidRPr="000C776C">
        <w:t xml:space="preserve"> </w:t>
      </w:r>
      <w:bookmarkEnd w:id="332"/>
    </w:p>
    <w:bookmarkEnd w:id="333"/>
    <w:p w14:paraId="777656A3" w14:textId="77777777" w:rsidR="000C776C" w:rsidRPr="000C776C" w:rsidRDefault="000C776C" w:rsidP="000C776C">
      <w:pPr>
        <w:spacing w:before="180" w:after="0" w:line="276" w:lineRule="auto"/>
        <w:rPr>
          <w:szCs w:val="18"/>
        </w:rPr>
      </w:pPr>
      <w:r w:rsidRPr="000C776C">
        <w:rPr>
          <w:szCs w:val="18"/>
        </w:rPr>
        <w:t>When considering technological systems, the term</w:t>
      </w:r>
      <w:r w:rsidRPr="000C776C">
        <w:rPr>
          <w:rFonts w:ascii="Calibri" w:hAnsi="Calibri" w:cs="Calibri"/>
          <w:szCs w:val="18"/>
        </w:rPr>
        <w:t> </w:t>
      </w:r>
      <w:r w:rsidRPr="000C776C">
        <w:rPr>
          <w:szCs w:val="18"/>
        </w:rPr>
        <w:t>‘architecture’</w:t>
      </w:r>
      <w:r w:rsidRPr="000C776C">
        <w:rPr>
          <w:rFonts w:ascii="Calibri" w:hAnsi="Calibri" w:cs="Calibri"/>
          <w:szCs w:val="18"/>
        </w:rPr>
        <w:t> </w:t>
      </w:r>
      <w:r w:rsidRPr="000C776C">
        <w:rPr>
          <w:szCs w:val="18"/>
        </w:rPr>
        <w:t>can be used in several different ways. This can reduce the accuracy of communication between stakeholders, particularly in sectors that less mature in the adoption of</w:t>
      </w:r>
      <w:r w:rsidRPr="000C776C">
        <w:rPr>
          <w:rFonts w:ascii="Calibri" w:hAnsi="Calibri" w:cs="Calibri"/>
          <w:szCs w:val="18"/>
        </w:rPr>
        <w:t> </w:t>
      </w:r>
      <w:r w:rsidRPr="000C776C">
        <w:rPr>
          <w:szCs w:val="18"/>
        </w:rPr>
        <w:t>Systems Engineering</w:t>
      </w:r>
      <w:r w:rsidRPr="000C776C">
        <w:rPr>
          <w:rFonts w:ascii="Calibri" w:hAnsi="Calibri" w:cs="Calibri"/>
          <w:szCs w:val="18"/>
        </w:rPr>
        <w:t> </w:t>
      </w:r>
      <w:r w:rsidRPr="000C776C">
        <w:rPr>
          <w:szCs w:val="18"/>
        </w:rPr>
        <w:t>practices. In the global power sector, this has sometimes resulted in an unhelpful confusion of terms, lower quality decisions and unnecessary impediments to timely decision making.</w:t>
      </w:r>
    </w:p>
    <w:p w14:paraId="11E69CA9" w14:textId="77777777" w:rsidR="000C776C" w:rsidRPr="000C776C" w:rsidRDefault="000C776C" w:rsidP="000C776C">
      <w:pPr>
        <w:spacing w:before="180" w:after="0" w:line="276" w:lineRule="auto"/>
        <w:rPr>
          <w:szCs w:val="18"/>
        </w:rPr>
      </w:pPr>
      <w:r w:rsidRPr="000C776C">
        <w:rPr>
          <w:szCs w:val="18"/>
        </w:rPr>
        <w:t>A common mistake is that a focus on</w:t>
      </w:r>
      <w:r w:rsidRPr="000C776C">
        <w:rPr>
          <w:rFonts w:ascii="Calibri" w:hAnsi="Calibri" w:cs="Calibri"/>
          <w:szCs w:val="18"/>
        </w:rPr>
        <w:t> </w:t>
      </w:r>
      <w:r w:rsidRPr="000C776C">
        <w:rPr>
          <w:szCs w:val="18"/>
        </w:rPr>
        <w:t>‘digital architecture’</w:t>
      </w:r>
      <w:r w:rsidRPr="000C776C">
        <w:rPr>
          <w:rFonts w:ascii="Calibri" w:hAnsi="Calibri" w:cs="Calibri"/>
          <w:szCs w:val="18"/>
        </w:rPr>
        <w:t> </w:t>
      </w:r>
      <w:r w:rsidRPr="000C776C">
        <w:rPr>
          <w:szCs w:val="18"/>
        </w:rPr>
        <w:t>is the primary or singular focus of architectural disciplines when applied to</w:t>
      </w:r>
      <w:r w:rsidRPr="000C776C">
        <w:rPr>
          <w:rFonts w:ascii="Calibri" w:hAnsi="Calibri" w:cs="Calibri"/>
          <w:szCs w:val="18"/>
        </w:rPr>
        <w:t> </w:t>
      </w:r>
      <w:r w:rsidRPr="000C776C">
        <w:rPr>
          <w:szCs w:val="18"/>
        </w:rPr>
        <w:t>Power System</w:t>
      </w:r>
      <w:r w:rsidRPr="000C776C">
        <w:rPr>
          <w:rFonts w:ascii="Calibri" w:hAnsi="Calibri" w:cs="Calibri"/>
          <w:szCs w:val="18"/>
        </w:rPr>
        <w:t> </w:t>
      </w:r>
      <w:r w:rsidRPr="000C776C">
        <w:rPr>
          <w:szCs w:val="18"/>
        </w:rPr>
        <w:t xml:space="preserve">transformation. While digital architecture is indeed vital, it is one of seven overlaid structures that constitute the Architecture of a modern Power System. This is critical to the holistic consideration of transformation options as all seven structures have a significant influence on each other, four of which are dynamically inter-dependent on a hours-to-milliseconds basis (i.e. </w:t>
      </w:r>
      <w:r w:rsidRPr="000C776C">
        <w:rPr>
          <w:szCs w:val="24"/>
        </w:rPr>
        <w:t xml:space="preserve">electricity infrastructure, operational coordination structure and transactional structure).  </w:t>
      </w:r>
    </w:p>
    <w:p w14:paraId="5714B32B" w14:textId="77777777" w:rsidR="000C776C" w:rsidRPr="000C776C" w:rsidRDefault="000C776C" w:rsidP="000C776C">
      <w:pPr>
        <w:spacing w:before="180" w:after="0" w:line="276" w:lineRule="auto"/>
        <w:rPr>
          <w:szCs w:val="18"/>
        </w:rPr>
      </w:pPr>
      <w:r w:rsidRPr="000C776C">
        <w:rPr>
          <w:szCs w:val="18"/>
        </w:rPr>
        <w:t>A closely related error is an assumption that the more generally known concept of</w:t>
      </w:r>
      <w:r w:rsidRPr="000C776C">
        <w:rPr>
          <w:rFonts w:ascii="Calibri" w:hAnsi="Calibri" w:cs="Calibri"/>
          <w:szCs w:val="18"/>
        </w:rPr>
        <w:t> </w:t>
      </w:r>
      <w:r w:rsidRPr="000C776C">
        <w:rPr>
          <w:szCs w:val="18"/>
        </w:rPr>
        <w:t>Enterprise IT Architecture</w:t>
      </w:r>
      <w:r w:rsidRPr="000C776C">
        <w:rPr>
          <w:rFonts w:ascii="Calibri" w:hAnsi="Calibri" w:cs="Calibri"/>
          <w:szCs w:val="18"/>
        </w:rPr>
        <w:t> </w:t>
      </w:r>
      <w:r w:rsidRPr="000C776C">
        <w:rPr>
          <w:szCs w:val="18"/>
        </w:rPr>
        <w:t>is broadly the same as</w:t>
      </w:r>
      <w:r w:rsidRPr="000C776C">
        <w:rPr>
          <w:rFonts w:ascii="Calibri" w:hAnsi="Calibri" w:cs="Calibri"/>
          <w:szCs w:val="18"/>
        </w:rPr>
        <w:t> </w:t>
      </w:r>
      <w:r w:rsidRPr="000C776C">
        <w:rPr>
          <w:szCs w:val="18"/>
        </w:rPr>
        <w:t xml:space="preserve">Power System Architecture. As such, the following table </w:t>
      </w:r>
      <w:r w:rsidRPr="000C776C">
        <w:rPr>
          <w:szCs w:val="18"/>
          <w:lang w:val="en-GB"/>
        </w:rPr>
        <w:t>originally developed by</w:t>
      </w:r>
      <w:r w:rsidRPr="000C776C">
        <w:rPr>
          <w:rFonts w:ascii="Calibri" w:hAnsi="Calibri" w:cs="Calibri"/>
          <w:szCs w:val="18"/>
          <w:lang w:val="en-GB"/>
        </w:rPr>
        <w:t> </w:t>
      </w:r>
      <w:r w:rsidRPr="000C776C">
        <w:rPr>
          <w:szCs w:val="18"/>
          <w:lang w:val="en-GB"/>
        </w:rPr>
        <w:t>Eamonn McCormick</w:t>
      </w:r>
      <w:r w:rsidRPr="000C776C">
        <w:rPr>
          <w:rFonts w:ascii="Calibri" w:hAnsi="Calibri" w:cs="Calibri"/>
          <w:szCs w:val="18"/>
          <w:lang w:val="en-GB"/>
        </w:rPr>
        <w:t> </w:t>
      </w:r>
      <w:r w:rsidRPr="000C776C">
        <w:rPr>
          <w:szCs w:val="18"/>
          <w:lang w:val="en-GB"/>
        </w:rPr>
        <w:t>and</w:t>
      </w:r>
      <w:r w:rsidRPr="000C776C">
        <w:rPr>
          <w:rFonts w:ascii="Calibri" w:hAnsi="Calibri" w:cs="Calibri"/>
          <w:szCs w:val="18"/>
          <w:lang w:val="en-GB"/>
        </w:rPr>
        <w:t> </w:t>
      </w:r>
      <w:r w:rsidRPr="000C776C">
        <w:rPr>
          <w:szCs w:val="18"/>
          <w:lang w:val="en-GB"/>
        </w:rPr>
        <w:t>Stuart McCafferty</w:t>
      </w:r>
      <w:r w:rsidRPr="000C776C">
        <w:rPr>
          <w:szCs w:val="18"/>
        </w:rPr>
        <w:t xml:space="preserve"> provides a practical illustration of both the similarities and key differences that must be appreciated to enhance clarity of communication and quality of decision making in an inherently complex area.</w:t>
      </w:r>
    </w:p>
    <w:p w14:paraId="502A662A" w14:textId="77777777" w:rsidR="000C776C" w:rsidRPr="000C776C" w:rsidRDefault="000C776C" w:rsidP="000C776C">
      <w:pPr>
        <w:spacing w:before="0" w:after="0" w:line="276" w:lineRule="auto"/>
        <w:rPr>
          <w:rFonts w:ascii="FreightSans Pro Book" w:hAnsi="FreightSans Pro Book"/>
          <w:sz w:val="20"/>
          <w:szCs w:val="20"/>
        </w:rPr>
      </w:pPr>
    </w:p>
    <w:tbl>
      <w:tblPr>
        <w:tblStyle w:val="TableGrid"/>
        <w:tblW w:w="8642" w:type="dxa"/>
        <w:tblInd w:w="-3" w:type="dxa"/>
        <w:tblLook w:val="04A0" w:firstRow="1" w:lastRow="0" w:firstColumn="1" w:lastColumn="0" w:noHBand="0" w:noVBand="1"/>
      </w:tblPr>
      <w:tblGrid>
        <w:gridCol w:w="1696"/>
        <w:gridCol w:w="3544"/>
        <w:gridCol w:w="3402"/>
      </w:tblGrid>
      <w:tr w:rsidR="000C776C" w:rsidRPr="000C776C" w14:paraId="030C5D15" w14:textId="77777777" w:rsidTr="00E24B05">
        <w:trPr>
          <w:trHeight w:val="905"/>
        </w:trPr>
        <w:tc>
          <w:tcPr>
            <w:tcW w:w="1696"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059E4888" w14:textId="77777777" w:rsidR="000C776C" w:rsidRPr="000C776C" w:rsidRDefault="000C776C" w:rsidP="000C776C">
            <w:pPr>
              <w:spacing w:before="60" w:after="120" w:line="276" w:lineRule="auto"/>
              <w:jc w:val="center"/>
              <w:rPr>
                <w:b/>
                <w:szCs w:val="18"/>
              </w:rPr>
            </w:pPr>
            <w:r w:rsidRPr="000C776C">
              <w:rPr>
                <w:rFonts w:eastAsiaTheme="majorEastAsia" w:cstheme="majorBidi"/>
                <w:b/>
                <w:color w:val="FAFAFA" w:themeColor="background1"/>
                <w:szCs w:val="18"/>
              </w:rPr>
              <w:t>Area of Comparison</w:t>
            </w:r>
          </w:p>
        </w:tc>
        <w:tc>
          <w:tcPr>
            <w:tcW w:w="3544"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245132C5" w14:textId="77777777" w:rsidR="000C776C" w:rsidRPr="000C776C" w:rsidRDefault="000C776C" w:rsidP="000C776C">
            <w:pPr>
              <w:spacing w:before="60" w:after="120" w:line="276" w:lineRule="auto"/>
              <w:jc w:val="center"/>
              <w:rPr>
                <w:b/>
                <w:szCs w:val="18"/>
              </w:rPr>
            </w:pPr>
            <w:r w:rsidRPr="000C776C">
              <w:rPr>
                <w:rFonts w:eastAsiaTheme="majorEastAsia" w:cstheme="majorBidi"/>
                <w:b/>
                <w:color w:val="FAFAFA" w:themeColor="background1"/>
                <w:szCs w:val="18"/>
              </w:rPr>
              <w:t>Power Systems Architecture</w:t>
            </w:r>
          </w:p>
        </w:tc>
        <w:tc>
          <w:tcPr>
            <w:tcW w:w="3402" w:type="dxa"/>
            <w:tcBorders>
              <w:top w:val="single" w:sz="6" w:space="0" w:color="B3ADAD"/>
              <w:left w:val="single" w:sz="6" w:space="0" w:color="B3ADAD"/>
              <w:bottom w:val="single" w:sz="4" w:space="0" w:color="auto"/>
              <w:right w:val="single" w:sz="6" w:space="0" w:color="B3ADAD"/>
            </w:tcBorders>
            <w:shd w:val="clear" w:color="auto" w:fill="013C4C" w:themeFill="text1"/>
            <w:vAlign w:val="center"/>
          </w:tcPr>
          <w:p w14:paraId="5A156D3B" w14:textId="77777777" w:rsidR="000C776C" w:rsidRPr="000C776C" w:rsidRDefault="000C776C" w:rsidP="000C776C">
            <w:pPr>
              <w:spacing w:before="60" w:after="120" w:line="276" w:lineRule="auto"/>
              <w:jc w:val="center"/>
              <w:rPr>
                <w:b/>
                <w:szCs w:val="18"/>
              </w:rPr>
            </w:pPr>
            <w:r w:rsidRPr="000C776C">
              <w:rPr>
                <w:rFonts w:eastAsiaTheme="majorEastAsia" w:cstheme="majorBidi"/>
                <w:b/>
                <w:color w:val="FAFAFA" w:themeColor="background1"/>
                <w:szCs w:val="18"/>
              </w:rPr>
              <w:t>Enterprise IT Architecture</w:t>
            </w:r>
          </w:p>
        </w:tc>
      </w:tr>
      <w:tr w:rsidR="000C776C" w:rsidRPr="000C776C" w14:paraId="0E2461CA"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0C5BB0A5" w14:textId="77777777" w:rsidR="000C776C" w:rsidRPr="000C776C" w:rsidRDefault="000C776C" w:rsidP="000C776C">
            <w:pPr>
              <w:spacing w:before="120" w:after="120" w:line="276" w:lineRule="auto"/>
              <w:jc w:val="center"/>
              <w:rPr>
                <w:b/>
                <w:color w:val="FAFAFA" w:themeColor="background1"/>
                <w:szCs w:val="18"/>
              </w:rPr>
            </w:pPr>
            <w:r w:rsidRPr="000C776C">
              <w:rPr>
                <w:rFonts w:eastAsia="Times New Roman" w:cs="Times New Roman"/>
                <w:b/>
                <w:color w:val="FAFAFA" w:themeColor="background1"/>
                <w:kern w:val="0"/>
                <w:szCs w:val="18"/>
                <w:lang w:eastAsia="en-AU" w:bidi="ar-SA"/>
                <w14:ligatures w14:val="none"/>
              </w:rPr>
              <w:t>Target System</w:t>
            </w:r>
          </w:p>
        </w:tc>
        <w:tc>
          <w:tcPr>
            <w:tcW w:w="3544" w:type="dxa"/>
            <w:tcBorders>
              <w:top w:val="single" w:sz="4" w:space="0" w:color="auto"/>
              <w:left w:val="single" w:sz="4" w:space="0" w:color="auto"/>
              <w:bottom w:val="single" w:sz="4" w:space="0" w:color="auto"/>
              <w:right w:val="single" w:sz="4" w:space="0" w:color="auto"/>
            </w:tcBorders>
          </w:tcPr>
          <w:p w14:paraId="34945E65" w14:textId="77777777" w:rsidR="000C776C" w:rsidRPr="000C776C" w:rsidRDefault="000C776C" w:rsidP="000C776C">
            <w:pPr>
              <w:spacing w:before="120" w:after="120" w:line="276" w:lineRule="auto"/>
              <w:rPr>
                <w:szCs w:val="18"/>
              </w:rPr>
            </w:pPr>
            <w:r w:rsidRPr="000C776C">
              <w:rPr>
                <w:rFonts w:eastAsia="Times New Roman" w:cs="Times New Roman"/>
                <w:kern w:val="0"/>
                <w:szCs w:val="18"/>
                <w:lang w:eastAsia="en-AU" w:bidi="ar-SA"/>
                <w14:ligatures w14:val="none"/>
              </w:rPr>
              <w:t>GW-scale Power Systems</w:t>
            </w:r>
          </w:p>
        </w:tc>
        <w:tc>
          <w:tcPr>
            <w:tcW w:w="3402" w:type="dxa"/>
            <w:tcBorders>
              <w:top w:val="single" w:sz="4" w:space="0" w:color="auto"/>
              <w:left w:val="single" w:sz="4" w:space="0" w:color="auto"/>
              <w:bottom w:val="single" w:sz="4" w:space="0" w:color="auto"/>
              <w:right w:val="single" w:sz="4" w:space="0" w:color="auto"/>
            </w:tcBorders>
          </w:tcPr>
          <w:p w14:paraId="3AF618DB" w14:textId="77777777" w:rsidR="000C776C" w:rsidRPr="000C776C" w:rsidRDefault="000C776C" w:rsidP="000C776C">
            <w:pPr>
              <w:spacing w:before="120" w:after="120" w:line="276" w:lineRule="auto"/>
              <w:rPr>
                <w:szCs w:val="18"/>
              </w:rPr>
            </w:pPr>
            <w:r w:rsidRPr="000C776C">
              <w:rPr>
                <w:rFonts w:eastAsia="Times New Roman" w:cs="Times New Roman"/>
                <w:kern w:val="0"/>
                <w:szCs w:val="18"/>
                <w:lang w:eastAsia="en-AU" w:bidi="ar-SA"/>
                <w14:ligatures w14:val="none"/>
              </w:rPr>
              <w:t>Enterprise IT systems</w:t>
            </w:r>
          </w:p>
        </w:tc>
      </w:tr>
      <w:tr w:rsidR="000C776C" w:rsidRPr="000C776C" w14:paraId="2F9F4070"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24C84479"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 xml:space="preserve">Technological Focus </w:t>
            </w:r>
          </w:p>
        </w:tc>
        <w:tc>
          <w:tcPr>
            <w:tcW w:w="3544" w:type="dxa"/>
            <w:tcBorders>
              <w:top w:val="single" w:sz="4" w:space="0" w:color="auto"/>
              <w:left w:val="single" w:sz="4" w:space="0" w:color="auto"/>
              <w:bottom w:val="single" w:sz="4" w:space="0" w:color="auto"/>
              <w:right w:val="single" w:sz="4" w:space="0" w:color="auto"/>
            </w:tcBorders>
          </w:tcPr>
          <w:p w14:paraId="31F79160"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 xml:space="preserve">Cyber-physical and transactional systems </w:t>
            </w:r>
          </w:p>
        </w:tc>
        <w:tc>
          <w:tcPr>
            <w:tcW w:w="3402" w:type="dxa"/>
            <w:tcBorders>
              <w:top w:val="single" w:sz="4" w:space="0" w:color="auto"/>
              <w:left w:val="single" w:sz="4" w:space="0" w:color="auto"/>
              <w:bottom w:val="single" w:sz="4" w:space="0" w:color="auto"/>
              <w:right w:val="single" w:sz="4" w:space="0" w:color="auto"/>
            </w:tcBorders>
          </w:tcPr>
          <w:p w14:paraId="0190EB4B"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 xml:space="preserve">Digital systems </w:t>
            </w:r>
          </w:p>
        </w:tc>
      </w:tr>
      <w:tr w:rsidR="000C776C" w:rsidRPr="000C776C" w14:paraId="7F3174BF"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0B77D844" w14:textId="77777777" w:rsidR="000C776C" w:rsidRPr="000C776C" w:rsidRDefault="000C776C" w:rsidP="000C776C">
            <w:pPr>
              <w:spacing w:before="120" w:after="120" w:line="276" w:lineRule="auto"/>
              <w:jc w:val="center"/>
              <w:rPr>
                <w:b/>
                <w:color w:val="FAFAFA" w:themeColor="background1"/>
                <w:szCs w:val="18"/>
              </w:rPr>
            </w:pPr>
            <w:r w:rsidRPr="000C776C">
              <w:rPr>
                <w:rFonts w:eastAsia="Times New Roman" w:cs="Times New Roman"/>
                <w:b/>
                <w:color w:val="FAFAFA" w:themeColor="background1"/>
                <w:kern w:val="0"/>
                <w:szCs w:val="18"/>
                <w:lang w:eastAsia="en-AU" w:bidi="ar-SA"/>
                <w14:ligatures w14:val="none"/>
              </w:rPr>
              <w:t>Focus/Scope</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0FB063F0"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Employs the Network of Structures model to interrogate the seven structures spanning an end-to-end Power System and across its vertical</w:t>
            </w:r>
            <w:r w:rsidRPr="000C776C">
              <w:rPr>
                <w:rFonts w:ascii="Calibri" w:eastAsia="Times New Roman" w:hAnsi="Calibri" w:cs="Calibri"/>
                <w:kern w:val="0"/>
                <w:szCs w:val="18"/>
                <w:lang w:eastAsia="en-AU" w:bidi="ar-SA"/>
                <w14:ligatures w14:val="none"/>
              </w:rPr>
              <w:t> </w:t>
            </w:r>
            <w:r w:rsidRPr="000C776C">
              <w:rPr>
                <w:rFonts w:eastAsia="Times New Roman" w:cs="Times New Roman"/>
                <w:kern w:val="0"/>
                <w:szCs w:val="18"/>
                <w:lang w:eastAsia="en-AU" w:bidi="ar-SA"/>
                <w14:ligatures w14:val="none"/>
              </w:rPr>
              <w:t>Tiers/Layers.</w:t>
            </w:r>
          </w:p>
          <w:p w14:paraId="7CF6A4FF"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This enables holistic, structured consideration of current, transitionary and future states and the targeted structural interventions required to move from one to the other.</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D24B2AD" w14:textId="77777777" w:rsidR="000C776C" w:rsidRPr="000C776C" w:rsidRDefault="000C776C" w:rsidP="000C776C">
            <w:pPr>
              <w:spacing w:before="120" w:after="120" w:line="276" w:lineRule="auto"/>
              <w:rPr>
                <w:rFonts w:eastAsia="Times New Roman" w:cs="Calibri"/>
                <w:kern w:val="0"/>
                <w:szCs w:val="18"/>
                <w:lang w:eastAsia="en-AU" w:bidi="ar-SA"/>
                <w14:ligatures w14:val="none"/>
              </w:rPr>
            </w:pPr>
            <w:r w:rsidRPr="000C776C">
              <w:rPr>
                <w:rFonts w:eastAsia="Times New Roman" w:cs="Times New Roman"/>
                <w:kern w:val="0"/>
                <w:szCs w:val="18"/>
                <w:lang w:eastAsia="en-AU" w:bidi="ar-SA"/>
                <w14:ligatures w14:val="none"/>
              </w:rPr>
              <w:t>Focuses on Digital Infrastructure at enterprise level.</w:t>
            </w:r>
            <w:r w:rsidRPr="000C776C">
              <w:rPr>
                <w:rFonts w:ascii="Calibri" w:eastAsia="Times New Roman" w:hAnsi="Calibri" w:cs="Calibri"/>
                <w:kern w:val="0"/>
                <w:szCs w:val="18"/>
                <w:lang w:eastAsia="en-AU" w:bidi="ar-SA"/>
                <w14:ligatures w14:val="none"/>
              </w:rPr>
              <w:t> </w:t>
            </w:r>
          </w:p>
          <w:p w14:paraId="23E76599" w14:textId="77777777" w:rsidR="000C776C" w:rsidRPr="000C776C" w:rsidRDefault="000C776C" w:rsidP="000C776C">
            <w:pPr>
              <w:spacing w:before="120" w:after="120" w:line="276" w:lineRule="auto"/>
              <w:rPr>
                <w:szCs w:val="18"/>
              </w:rPr>
            </w:pPr>
            <w:r w:rsidRPr="000C776C">
              <w:rPr>
                <w:rFonts w:eastAsia="Times New Roman" w:cs="Times New Roman"/>
                <w:kern w:val="0"/>
                <w:szCs w:val="18"/>
                <w:lang w:eastAsia="en-AU" w:bidi="ar-SA"/>
                <w14:ligatures w14:val="none"/>
              </w:rPr>
              <w:t>For enterprises operating within the power sector, this will likely include consideration of interfaces between the Enterprise IT Architecture and the wider Power Systems Architecture.</w:t>
            </w:r>
            <w:r w:rsidRPr="000C776C">
              <w:rPr>
                <w:rFonts w:ascii="Calibri" w:eastAsia="Times New Roman" w:hAnsi="Calibri" w:cs="Calibri"/>
                <w:kern w:val="0"/>
                <w:szCs w:val="18"/>
                <w:lang w:eastAsia="en-AU" w:bidi="ar-SA"/>
                <w14:ligatures w14:val="none"/>
              </w:rPr>
              <w:t>  </w:t>
            </w:r>
          </w:p>
        </w:tc>
      </w:tr>
      <w:tr w:rsidR="000C776C" w:rsidRPr="000C776C" w14:paraId="79944BAE"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12AD911B"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lastRenderedPageBreak/>
              <w:t>Complexity &amp; Risk</w:t>
            </w:r>
          </w:p>
        </w:tc>
        <w:tc>
          <w:tcPr>
            <w:tcW w:w="3544" w:type="dxa"/>
            <w:tcBorders>
              <w:top w:val="single" w:sz="4" w:space="0" w:color="auto"/>
              <w:left w:val="single" w:sz="4" w:space="0" w:color="auto"/>
              <w:bottom w:val="single" w:sz="4" w:space="0" w:color="auto"/>
              <w:right w:val="single" w:sz="4" w:space="0" w:color="auto"/>
            </w:tcBorders>
          </w:tcPr>
          <w:p w14:paraId="27A47BA5"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Industry Level: Ultra-Large-Scale (ULS) Complexity.</w:t>
            </w:r>
          </w:p>
          <w:p w14:paraId="6C2843AD"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Helps manage risk within and across the end-to-end Power System.</w:t>
            </w:r>
            <w:r w:rsidRPr="000C776C">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5FB942C6"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 xml:space="preserve">Enterprise Level: Large Scale Complexity. </w:t>
            </w:r>
          </w:p>
          <w:p w14:paraId="61439ABE"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Helps manage risk within the enterprise.</w:t>
            </w:r>
            <w:r w:rsidRPr="000C776C">
              <w:rPr>
                <w:rFonts w:ascii="Calibri" w:eastAsia="Times New Roman" w:hAnsi="Calibri" w:cs="Calibri"/>
                <w:kern w:val="0"/>
                <w:szCs w:val="18"/>
                <w:lang w:eastAsia="en-AU" w:bidi="ar-SA"/>
                <w14:ligatures w14:val="none"/>
              </w:rPr>
              <w:t> </w:t>
            </w:r>
          </w:p>
        </w:tc>
      </w:tr>
      <w:tr w:rsidR="000C776C" w:rsidRPr="000C776C" w14:paraId="15A86A99"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49283830"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Stakeholders</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7006B85"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Diverse stakeholders including policy makers, regulators, industry, customer groups, environmental groups, etc.</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6299E3D"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Internal enterprise stakeholders, and generally reporting to CIO.</w:t>
            </w:r>
            <w:r w:rsidRPr="000C776C">
              <w:rPr>
                <w:rFonts w:ascii="Calibri" w:eastAsia="Times New Roman" w:hAnsi="Calibri" w:cs="Calibri"/>
                <w:kern w:val="0"/>
                <w:szCs w:val="18"/>
                <w:lang w:eastAsia="en-AU" w:bidi="ar-SA"/>
                <w14:ligatures w14:val="none"/>
              </w:rPr>
              <w:t> </w:t>
            </w:r>
            <w:r w:rsidRPr="000C776C">
              <w:rPr>
                <w:rFonts w:eastAsia="Times New Roman" w:cs="Times New Roman"/>
                <w:kern w:val="0"/>
                <w:szCs w:val="18"/>
                <w:lang w:eastAsia="en-AU" w:bidi="ar-SA"/>
                <w14:ligatures w14:val="none"/>
              </w:rPr>
              <w:t xml:space="preserve"> Primarily reflects focus on corporate IT systems.</w:t>
            </w:r>
            <w:r w:rsidRPr="000C776C">
              <w:rPr>
                <w:rFonts w:ascii="Calibri" w:eastAsia="Times New Roman" w:hAnsi="Calibri" w:cs="Calibri"/>
                <w:kern w:val="0"/>
                <w:szCs w:val="18"/>
                <w:lang w:eastAsia="en-AU" w:bidi="ar-SA"/>
                <w14:ligatures w14:val="none"/>
              </w:rPr>
              <w:t> </w:t>
            </w:r>
            <w:r w:rsidRPr="000C776C">
              <w:rPr>
                <w:rFonts w:eastAsia="Times New Roman" w:cs="Times New Roman"/>
                <w:kern w:val="0"/>
                <w:szCs w:val="18"/>
                <w:lang w:eastAsia="en-AU" w:bidi="ar-SA"/>
                <w14:ligatures w14:val="none"/>
              </w:rPr>
              <w:t xml:space="preserve"> </w:t>
            </w:r>
            <w:r w:rsidRPr="000C776C">
              <w:rPr>
                <w:rFonts w:ascii="Calibri" w:eastAsia="Times New Roman" w:hAnsi="Calibri" w:cs="Calibri"/>
                <w:kern w:val="0"/>
                <w:szCs w:val="18"/>
                <w:lang w:eastAsia="en-AU" w:bidi="ar-SA"/>
                <w14:ligatures w14:val="none"/>
              </w:rPr>
              <w:t> </w:t>
            </w:r>
          </w:p>
        </w:tc>
      </w:tr>
      <w:tr w:rsidR="000C776C" w:rsidRPr="000C776C" w14:paraId="5656DB0A"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790E1A4A"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Motivation</w:t>
            </w:r>
          </w:p>
        </w:tc>
        <w:tc>
          <w:tcPr>
            <w:tcW w:w="3544" w:type="dxa"/>
            <w:tcBorders>
              <w:top w:val="single" w:sz="4" w:space="0" w:color="auto"/>
              <w:left w:val="single" w:sz="4" w:space="0" w:color="auto"/>
              <w:bottom w:val="single" w:sz="4" w:space="0" w:color="auto"/>
              <w:right w:val="single" w:sz="4" w:space="0" w:color="auto"/>
            </w:tcBorders>
          </w:tcPr>
          <w:p w14:paraId="2D137741"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Power Systems Architecture is focused on clearly identifying specific Power System challenges and opportunities that require structural interventions to resolve. Defines essential industry limits/constraints.</w:t>
            </w:r>
          </w:p>
        </w:tc>
        <w:tc>
          <w:tcPr>
            <w:tcW w:w="3402" w:type="dxa"/>
            <w:tcBorders>
              <w:top w:val="single" w:sz="4" w:space="0" w:color="auto"/>
              <w:left w:val="single" w:sz="4" w:space="0" w:color="auto"/>
              <w:bottom w:val="single" w:sz="4" w:space="0" w:color="auto"/>
              <w:right w:val="single" w:sz="4" w:space="0" w:color="auto"/>
            </w:tcBorders>
          </w:tcPr>
          <w:p w14:paraId="5ED2C184"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Focused on the various challenges and opportunities that an enterprise must address internally.</w:t>
            </w:r>
            <w:r w:rsidRPr="000C776C">
              <w:rPr>
                <w:rFonts w:ascii="Calibri" w:eastAsia="Times New Roman" w:hAnsi="Calibri" w:cs="Calibri"/>
                <w:kern w:val="0"/>
                <w:szCs w:val="18"/>
                <w:lang w:eastAsia="en-AU" w:bidi="ar-SA"/>
                <w14:ligatures w14:val="none"/>
              </w:rPr>
              <w:t> </w:t>
            </w:r>
          </w:p>
        </w:tc>
      </w:tr>
      <w:tr w:rsidR="000C776C" w:rsidRPr="000C776C" w14:paraId="0DA6E98B"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5D1DF2A9"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Requirements</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60F32A0A"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Defines qualities and properties of the future end-to-end Power System based on a broad range of societal and stakeholder perspectives.</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BA0AA01"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Defines business requirements primarily from the perspective of enterprise stakeholders only.</w:t>
            </w:r>
          </w:p>
        </w:tc>
      </w:tr>
      <w:tr w:rsidR="000C776C" w:rsidRPr="000C776C" w14:paraId="43F4D586"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575A32AA"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Current State</w:t>
            </w:r>
          </w:p>
        </w:tc>
        <w:tc>
          <w:tcPr>
            <w:tcW w:w="3544" w:type="dxa"/>
            <w:tcBorders>
              <w:top w:val="single" w:sz="4" w:space="0" w:color="auto"/>
              <w:left w:val="single" w:sz="4" w:space="0" w:color="auto"/>
              <w:bottom w:val="single" w:sz="4" w:space="0" w:color="auto"/>
              <w:right w:val="single" w:sz="4" w:space="0" w:color="auto"/>
            </w:tcBorders>
          </w:tcPr>
          <w:p w14:paraId="3A56944D"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Employs the Network of Structures model to interrogate and map the ‘as built’ Power System structures and the relationships across:</w:t>
            </w:r>
            <w:r w:rsidRPr="000C776C">
              <w:rPr>
                <w:rFonts w:ascii="Calibri" w:eastAsia="Times New Roman" w:hAnsi="Calibri" w:cs="Calibri"/>
                <w:kern w:val="0"/>
                <w:szCs w:val="18"/>
                <w:lang w:eastAsia="en-AU" w:bidi="ar-SA"/>
                <w14:ligatures w14:val="none"/>
              </w:rPr>
              <w:t> </w:t>
            </w:r>
          </w:p>
          <w:p w14:paraId="26842112"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 xml:space="preserve">Electricity Infrastructure (Power Flows); </w:t>
            </w:r>
          </w:p>
          <w:p w14:paraId="35F573E0"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Digital Infrastructure (Information/Data Exchange, Storage &amp; Processing);</w:t>
            </w:r>
          </w:p>
          <w:p w14:paraId="246B2507"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Operational Coordination Structure;</w:t>
            </w:r>
          </w:p>
          <w:p w14:paraId="3D78506A"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Transactional Structure;</w:t>
            </w:r>
            <w:r w:rsidRPr="000C776C">
              <w:rPr>
                <w:rFonts w:ascii="Calibri" w:eastAsia="Times New Roman" w:hAnsi="Calibri" w:cs="Calibri"/>
                <w:kern w:val="0"/>
                <w:szCs w:val="18"/>
                <w:lang w:eastAsia="en-AU" w:bidi="ar-SA"/>
                <w14:ligatures w14:val="none"/>
              </w:rPr>
              <w:t> </w:t>
            </w:r>
          </w:p>
          <w:p w14:paraId="4BB1C84D"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Industry / Market Structure;</w:t>
            </w:r>
            <w:r w:rsidRPr="000C776C">
              <w:rPr>
                <w:rFonts w:ascii="Calibri" w:eastAsia="Times New Roman" w:hAnsi="Calibri" w:cs="Calibri"/>
                <w:kern w:val="0"/>
                <w:szCs w:val="18"/>
                <w:lang w:eastAsia="en-AU" w:bidi="ar-SA"/>
                <w14:ligatures w14:val="none"/>
              </w:rPr>
              <w:t> </w:t>
            </w:r>
          </w:p>
          <w:p w14:paraId="7E5E0AFC"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Governance / Regulatory Structure; and,</w:t>
            </w:r>
            <w:r w:rsidRPr="000C776C">
              <w:rPr>
                <w:rFonts w:ascii="Calibri" w:eastAsia="Times New Roman" w:hAnsi="Calibri" w:cs="Calibri"/>
                <w:kern w:val="0"/>
                <w:szCs w:val="18"/>
                <w:lang w:eastAsia="en-AU" w:bidi="ar-SA"/>
                <w14:ligatures w14:val="none"/>
              </w:rPr>
              <w:t> </w:t>
            </w:r>
          </w:p>
          <w:p w14:paraId="78D85DA7"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Sector Coupling Structures (Gas, Water, Transport, etc).</w:t>
            </w:r>
            <w:r w:rsidRPr="000C776C">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1F8DD677" w14:textId="77777777" w:rsidR="000C776C" w:rsidRPr="000C776C" w:rsidRDefault="000C776C" w:rsidP="000C776C">
            <w:pPr>
              <w:spacing w:before="120" w:after="120" w:line="276" w:lineRule="auto"/>
              <w:ind w:left="39"/>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Defines the current state of the enterprise:</w:t>
            </w:r>
          </w:p>
          <w:p w14:paraId="1F696461"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Strategic enterprise objectives mapped to capabilities;</w:t>
            </w:r>
            <w:r w:rsidRPr="000C776C">
              <w:rPr>
                <w:rFonts w:ascii="Calibri" w:eastAsia="Times New Roman" w:hAnsi="Calibri" w:cs="Calibri"/>
                <w:kern w:val="0"/>
                <w:szCs w:val="18"/>
                <w:lang w:eastAsia="en-AU" w:bidi="ar-SA"/>
                <w14:ligatures w14:val="none"/>
              </w:rPr>
              <w:t> </w:t>
            </w:r>
          </w:p>
          <w:p w14:paraId="293CAC37"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Enterprise principles;</w:t>
            </w:r>
          </w:p>
          <w:p w14:paraId="17A77EB1"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Business Architecture;</w:t>
            </w:r>
          </w:p>
          <w:p w14:paraId="0FB4156F"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Information System Architecture; and,</w:t>
            </w:r>
            <w:r w:rsidRPr="000C776C">
              <w:rPr>
                <w:rFonts w:ascii="Calibri" w:eastAsia="Times New Roman" w:hAnsi="Calibri" w:cs="Calibri"/>
                <w:kern w:val="0"/>
                <w:szCs w:val="18"/>
                <w:lang w:eastAsia="en-AU" w:bidi="ar-SA"/>
                <w14:ligatures w14:val="none"/>
              </w:rPr>
              <w:t> </w:t>
            </w:r>
          </w:p>
          <w:p w14:paraId="0AA70198"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Technology Architecture.</w:t>
            </w:r>
            <w:r w:rsidRPr="000C776C">
              <w:rPr>
                <w:rFonts w:ascii="Calibri" w:eastAsia="Times New Roman" w:hAnsi="Calibri" w:cs="Calibri"/>
                <w:kern w:val="0"/>
                <w:szCs w:val="18"/>
                <w:lang w:eastAsia="en-AU" w:bidi="ar-SA"/>
                <w14:ligatures w14:val="none"/>
              </w:rPr>
              <w:t> </w:t>
            </w:r>
          </w:p>
        </w:tc>
      </w:tr>
      <w:tr w:rsidR="000C776C" w:rsidRPr="000C776C" w14:paraId="70F7DA13"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22B03D17"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lastRenderedPageBreak/>
              <w:t>Target Future State</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5E2452CD" w14:textId="77777777" w:rsidR="000C776C" w:rsidRPr="000C776C" w:rsidRDefault="000C776C" w:rsidP="000C776C">
            <w:pPr>
              <w:spacing w:before="120" w:after="120" w:line="276" w:lineRule="auto"/>
              <w:rPr>
                <w:rFonts w:eastAsia="Times New Roman" w:cs="Calibri"/>
                <w:kern w:val="0"/>
                <w:szCs w:val="18"/>
                <w:lang w:eastAsia="en-AU" w:bidi="ar-SA"/>
                <w14:ligatures w14:val="none"/>
              </w:rPr>
            </w:pPr>
            <w:r w:rsidRPr="000C776C">
              <w:rPr>
                <w:rFonts w:eastAsia="Times New Roman" w:cs="Times New Roman"/>
                <w:kern w:val="0"/>
                <w:szCs w:val="18"/>
                <w:lang w:eastAsia="en-AU" w:bidi="ar-SA"/>
                <w14:ligatures w14:val="none"/>
              </w:rPr>
              <w:t>Supports the collaborative development of a future vision for the Power System and employs the Network of Structures model to interrogate and map the most credible enabling structural interventions to achieve the vision across:</w:t>
            </w:r>
            <w:r w:rsidRPr="000C776C">
              <w:rPr>
                <w:rFonts w:ascii="Calibri" w:eastAsia="Times New Roman" w:hAnsi="Calibri" w:cs="Calibri"/>
                <w:kern w:val="0"/>
                <w:szCs w:val="18"/>
                <w:lang w:eastAsia="en-AU" w:bidi="ar-SA"/>
                <w14:ligatures w14:val="none"/>
              </w:rPr>
              <w:t> </w:t>
            </w:r>
          </w:p>
          <w:p w14:paraId="32896C33"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 xml:space="preserve">Electricity Infrastructure (Power Flows); </w:t>
            </w:r>
          </w:p>
          <w:p w14:paraId="5D089F51"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Digital Infrastructure (Information/Data Exchange, Storage &amp; Processing);</w:t>
            </w:r>
          </w:p>
          <w:p w14:paraId="2ED4C882"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Operational Coordination Structure;</w:t>
            </w:r>
          </w:p>
          <w:p w14:paraId="341CF426"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Transactional Structure;</w:t>
            </w:r>
            <w:r w:rsidRPr="000C776C">
              <w:rPr>
                <w:rFonts w:ascii="Calibri" w:eastAsia="Times New Roman" w:hAnsi="Calibri" w:cs="Calibri"/>
                <w:kern w:val="0"/>
                <w:szCs w:val="18"/>
                <w:lang w:eastAsia="en-AU" w:bidi="ar-SA"/>
                <w14:ligatures w14:val="none"/>
              </w:rPr>
              <w:t> </w:t>
            </w:r>
          </w:p>
          <w:p w14:paraId="55CF363D"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Industry / Market Structure;</w:t>
            </w:r>
            <w:r w:rsidRPr="000C776C">
              <w:rPr>
                <w:rFonts w:ascii="Calibri" w:eastAsia="Times New Roman" w:hAnsi="Calibri" w:cs="Calibri"/>
                <w:kern w:val="0"/>
                <w:szCs w:val="18"/>
                <w:lang w:eastAsia="en-AU" w:bidi="ar-SA"/>
                <w14:ligatures w14:val="none"/>
              </w:rPr>
              <w:t> </w:t>
            </w:r>
          </w:p>
          <w:p w14:paraId="0960933C"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Governance / Regulatory Structure; and,</w:t>
            </w:r>
            <w:r w:rsidRPr="000C776C">
              <w:rPr>
                <w:rFonts w:ascii="Calibri" w:eastAsia="Times New Roman" w:hAnsi="Calibri" w:cs="Calibri"/>
                <w:kern w:val="0"/>
                <w:szCs w:val="18"/>
                <w:lang w:eastAsia="en-AU" w:bidi="ar-SA"/>
                <w14:ligatures w14:val="none"/>
              </w:rPr>
              <w:t> </w:t>
            </w:r>
          </w:p>
          <w:p w14:paraId="58FD2CCD"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Sector Coupling Structures (Gas, Water, Transport, etc).</w:t>
            </w:r>
            <w:r w:rsidRPr="000C776C">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3ACA3AC"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Defines target state of the enterprise:</w:t>
            </w:r>
          </w:p>
          <w:p w14:paraId="110F9FE1"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Strategic enterprise objectives mapped to capabilities;</w:t>
            </w:r>
            <w:r w:rsidRPr="000C776C">
              <w:rPr>
                <w:rFonts w:ascii="Calibri" w:eastAsia="Times New Roman" w:hAnsi="Calibri" w:cs="Calibri"/>
                <w:kern w:val="0"/>
                <w:szCs w:val="18"/>
                <w:lang w:eastAsia="en-AU" w:bidi="ar-SA"/>
                <w14:ligatures w14:val="none"/>
              </w:rPr>
              <w:t> </w:t>
            </w:r>
          </w:p>
          <w:p w14:paraId="1F753C87"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Enterprise principles;</w:t>
            </w:r>
          </w:p>
          <w:p w14:paraId="6F9FCCF3"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Business Architecture;</w:t>
            </w:r>
          </w:p>
          <w:p w14:paraId="6086722C"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Information System Architecture; and,</w:t>
            </w:r>
            <w:r w:rsidRPr="000C776C">
              <w:rPr>
                <w:rFonts w:ascii="Calibri" w:eastAsia="Times New Roman" w:hAnsi="Calibri" w:cs="Calibri"/>
                <w:kern w:val="0"/>
                <w:szCs w:val="18"/>
                <w:lang w:eastAsia="en-AU" w:bidi="ar-SA"/>
                <w14:ligatures w14:val="none"/>
              </w:rPr>
              <w:t> </w:t>
            </w:r>
          </w:p>
          <w:p w14:paraId="20D6F168" w14:textId="77777777" w:rsidR="000C776C" w:rsidRPr="000C776C" w:rsidRDefault="000C776C" w:rsidP="00470C91">
            <w:pPr>
              <w:numPr>
                <w:ilvl w:val="0"/>
                <w:numId w:val="34"/>
              </w:numPr>
              <w:spacing w:before="120" w:after="120" w:line="276" w:lineRule="auto"/>
              <w:ind w:left="322" w:hanging="283"/>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Technology Architecture.</w:t>
            </w:r>
            <w:r w:rsidRPr="000C776C">
              <w:rPr>
                <w:rFonts w:ascii="Calibri" w:eastAsia="Times New Roman" w:hAnsi="Calibri" w:cs="Calibri"/>
                <w:kern w:val="0"/>
                <w:szCs w:val="18"/>
                <w:lang w:eastAsia="en-AU" w:bidi="ar-SA"/>
                <w14:ligatures w14:val="none"/>
              </w:rPr>
              <w:t> </w:t>
            </w:r>
          </w:p>
        </w:tc>
      </w:tr>
      <w:tr w:rsidR="000C776C" w:rsidRPr="000C776C" w14:paraId="6B72FA29" w14:textId="77777777" w:rsidTr="00E24B05">
        <w:tc>
          <w:tcPr>
            <w:tcW w:w="1696" w:type="dxa"/>
            <w:tcBorders>
              <w:top w:val="single" w:sz="4" w:space="0" w:color="auto"/>
              <w:left w:val="single" w:sz="4" w:space="0" w:color="auto"/>
              <w:bottom w:val="single" w:sz="4" w:space="0" w:color="auto"/>
              <w:right w:val="single" w:sz="4" w:space="0" w:color="auto"/>
            </w:tcBorders>
            <w:shd w:val="clear" w:color="auto" w:fill="067296" w:themeFill="text2"/>
          </w:tcPr>
          <w:p w14:paraId="6F760D0D" w14:textId="77777777" w:rsidR="000C776C" w:rsidRPr="000C776C" w:rsidRDefault="000C776C" w:rsidP="000C776C">
            <w:pPr>
              <w:spacing w:before="120" w:after="120" w:line="276" w:lineRule="auto"/>
              <w:jc w:val="center"/>
              <w:rPr>
                <w:rFonts w:eastAsia="Times New Roman" w:cs="Times New Roman"/>
                <w:b/>
                <w:color w:val="FAFAFA" w:themeColor="background1"/>
                <w:kern w:val="0"/>
                <w:szCs w:val="18"/>
                <w:lang w:eastAsia="en-AU" w:bidi="ar-SA"/>
                <w14:ligatures w14:val="none"/>
              </w:rPr>
            </w:pPr>
            <w:r w:rsidRPr="000C776C">
              <w:rPr>
                <w:rFonts w:eastAsia="Times New Roman" w:cs="Times New Roman"/>
                <w:b/>
                <w:color w:val="FAFAFA" w:themeColor="background1"/>
                <w:kern w:val="0"/>
                <w:szCs w:val="18"/>
                <w:lang w:eastAsia="en-AU" w:bidi="ar-SA"/>
                <w14:ligatures w14:val="none"/>
              </w:rPr>
              <w:t>Transition Planning</w:t>
            </w:r>
          </w:p>
        </w:tc>
        <w:tc>
          <w:tcPr>
            <w:tcW w:w="3544" w:type="dxa"/>
            <w:tcBorders>
              <w:top w:val="single" w:sz="4" w:space="0" w:color="auto"/>
              <w:left w:val="single" w:sz="4" w:space="0" w:color="auto"/>
              <w:bottom w:val="single" w:sz="4" w:space="0" w:color="auto"/>
              <w:right w:val="single" w:sz="4" w:space="0" w:color="auto"/>
            </w:tcBorders>
          </w:tcPr>
          <w:p w14:paraId="1EDF9932"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Provides a framework underpinning the progressive transition of a GW-scale Power System from its historical current state to the desired future state.</w:t>
            </w:r>
            <w:r w:rsidRPr="000C776C">
              <w:rPr>
                <w:rFonts w:ascii="Calibri" w:eastAsia="Times New Roman" w:hAnsi="Calibri" w:cs="Calibri"/>
                <w:kern w:val="0"/>
                <w:szCs w:val="18"/>
                <w:lang w:eastAsia="en-AU" w:bidi="ar-SA"/>
                <w14:ligatures w14:val="none"/>
              </w:rPr>
              <w:t> </w:t>
            </w:r>
            <w:r w:rsidRPr="000C776C">
              <w:rPr>
                <w:rFonts w:eastAsia="Times New Roman" w:cs="Times New Roman"/>
                <w:kern w:val="0"/>
                <w:szCs w:val="18"/>
                <w:lang w:eastAsia="en-AU" w:bidi="ar-SA"/>
                <w14:ligatures w14:val="none"/>
              </w:rPr>
              <w:t xml:space="preserve"> </w:t>
            </w:r>
            <w:r w:rsidRPr="000C776C">
              <w:rPr>
                <w:rFonts w:ascii="Calibri" w:eastAsia="Times New Roman" w:hAnsi="Calibri" w:cs="Calibri"/>
                <w:kern w:val="0"/>
                <w:szCs w:val="18"/>
                <w:lang w:eastAsia="en-AU" w:bidi="ar-SA"/>
                <w14:ligatures w14:val="none"/>
              </w:rPr>
              <w:t>  </w:t>
            </w:r>
          </w:p>
        </w:tc>
        <w:tc>
          <w:tcPr>
            <w:tcW w:w="3402" w:type="dxa"/>
            <w:tcBorders>
              <w:top w:val="single" w:sz="4" w:space="0" w:color="auto"/>
              <w:left w:val="single" w:sz="4" w:space="0" w:color="auto"/>
              <w:bottom w:val="single" w:sz="4" w:space="0" w:color="auto"/>
              <w:right w:val="single" w:sz="4" w:space="0" w:color="auto"/>
            </w:tcBorders>
          </w:tcPr>
          <w:p w14:paraId="0304D52E" w14:textId="77777777" w:rsidR="000C776C" w:rsidRPr="000C776C" w:rsidRDefault="000C776C" w:rsidP="000C776C">
            <w:pPr>
              <w:spacing w:before="120" w:after="120" w:line="276" w:lineRule="auto"/>
              <w:rPr>
                <w:rFonts w:eastAsia="Times New Roman" w:cs="Times New Roman"/>
                <w:kern w:val="0"/>
                <w:szCs w:val="18"/>
                <w:lang w:eastAsia="en-AU" w:bidi="ar-SA"/>
                <w14:ligatures w14:val="none"/>
              </w:rPr>
            </w:pPr>
            <w:r w:rsidRPr="000C776C">
              <w:rPr>
                <w:rFonts w:eastAsia="Times New Roman" w:cs="Times New Roman"/>
                <w:kern w:val="0"/>
                <w:szCs w:val="18"/>
                <w:lang w:eastAsia="en-AU" w:bidi="ar-SA"/>
                <w14:ligatures w14:val="none"/>
              </w:rPr>
              <w:t>Develop enterprise roadmap to move from current state to target future state.</w:t>
            </w:r>
          </w:p>
        </w:tc>
      </w:tr>
      <w:bookmarkEnd w:id="280"/>
    </w:tbl>
    <w:p w14:paraId="34F3D66E" w14:textId="77777777" w:rsidR="000C776C" w:rsidRPr="000C776C" w:rsidRDefault="000C776C" w:rsidP="000C776C">
      <w:pPr>
        <w:spacing w:before="0" w:after="160" w:line="259" w:lineRule="auto"/>
        <w:rPr>
          <w:rFonts w:ascii="PP Mori SemiBold" w:eastAsiaTheme="majorEastAsia" w:hAnsi="PP Mori SemiBold" w:cstheme="majorBidi"/>
          <w:color w:val="013C4C" w:themeColor="text1"/>
          <w:sz w:val="32"/>
          <w:szCs w:val="40"/>
          <w:highlight w:val="yellow"/>
        </w:rPr>
      </w:pPr>
    </w:p>
    <w:p w14:paraId="09761B26" w14:textId="77777777" w:rsidR="000C776C" w:rsidRPr="000C776C" w:rsidRDefault="000C776C" w:rsidP="000C776C">
      <w:pPr>
        <w:spacing w:line="252" w:lineRule="auto"/>
        <w:rPr>
          <w:highlight w:val="yellow"/>
        </w:rPr>
      </w:pPr>
    </w:p>
    <w:p w14:paraId="12FC2479" w14:textId="77777777" w:rsidR="000C776C" w:rsidRPr="000C776C" w:rsidRDefault="000C776C" w:rsidP="000C776C">
      <w:pPr>
        <w:spacing w:before="0" w:after="160" w:line="259" w:lineRule="auto"/>
        <w:rPr>
          <w:rFonts w:ascii="PP Mori SemiBold" w:eastAsiaTheme="majorEastAsia" w:hAnsi="PP Mori SemiBold" w:cstheme="majorBidi"/>
          <w:color w:val="013C4C" w:themeColor="text1"/>
          <w:sz w:val="32"/>
          <w:szCs w:val="40"/>
        </w:rPr>
      </w:pPr>
    </w:p>
    <w:p w14:paraId="6E0FFB1D" w14:textId="77777777" w:rsidR="000C776C" w:rsidRPr="000C776C" w:rsidRDefault="000C776C" w:rsidP="000C776C">
      <w:pPr>
        <w:spacing w:before="180" w:after="60"/>
        <w:rPr>
          <w:lang w:val="en-GB"/>
        </w:rPr>
      </w:pPr>
    </w:p>
    <w:p w14:paraId="76217A79" w14:textId="77777777" w:rsidR="000C776C" w:rsidRPr="000C776C" w:rsidRDefault="000C776C" w:rsidP="000C776C">
      <w:pPr>
        <w:spacing w:before="180" w:after="60"/>
        <w:rPr>
          <w:lang w:val="en-GB"/>
        </w:rPr>
      </w:pPr>
    </w:p>
    <w:p w14:paraId="7D64665E" w14:textId="77777777" w:rsidR="000C776C" w:rsidRPr="000C776C" w:rsidRDefault="000C776C" w:rsidP="000C776C">
      <w:pPr>
        <w:spacing w:before="180" w:after="60"/>
        <w:rPr>
          <w:lang w:val="en-GB"/>
        </w:rPr>
      </w:pPr>
    </w:p>
    <w:p w14:paraId="626D7F7F" w14:textId="0FB83271" w:rsidR="00FE15DF" w:rsidRDefault="00FE15DF">
      <w:pPr>
        <w:rPr>
          <w:szCs w:val="18"/>
        </w:rPr>
      </w:pPr>
    </w:p>
    <w:sectPr w:rsidR="00FE15DF" w:rsidSect="00BF2706">
      <w:pgSz w:w="11906" w:h="16838"/>
      <w:pgMar w:top="2552" w:right="1134" w:bottom="851"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A0C6E" w14:textId="77777777" w:rsidR="002F1CC0" w:rsidRDefault="002F1CC0" w:rsidP="00714A61">
      <w:pPr>
        <w:spacing w:before="0" w:after="0" w:line="240" w:lineRule="auto"/>
      </w:pPr>
      <w:r>
        <w:separator/>
      </w:r>
    </w:p>
  </w:endnote>
  <w:endnote w:type="continuationSeparator" w:id="0">
    <w:p w14:paraId="673121EF" w14:textId="77777777" w:rsidR="002F1CC0" w:rsidRDefault="002F1CC0" w:rsidP="00714A61">
      <w:pPr>
        <w:spacing w:before="0" w:after="0" w:line="240" w:lineRule="auto"/>
      </w:pPr>
      <w:r>
        <w:continuationSeparator/>
      </w:r>
    </w:p>
  </w:endnote>
  <w:endnote w:type="continuationNotice" w:id="1">
    <w:p w14:paraId="244139E8" w14:textId="77777777" w:rsidR="002F1CC0" w:rsidRDefault="002F1C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P Mori SemiBold">
    <w:panose1 w:val="00000700000000000000"/>
    <w:charset w:val="00"/>
    <w:family w:val="modern"/>
    <w:notTrueType/>
    <w:pitch w:val="variable"/>
    <w:sig w:usb0="00000007" w:usb1="00000000" w:usb2="00000000" w:usb3="00000000" w:csb0="00000093" w:csb1="00000000"/>
  </w:font>
  <w:font w:name="PP Mori">
    <w:panose1 w:val="000005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P Mori ExtraLight">
    <w:panose1 w:val="000002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FreightSans Pro Book">
    <w:altName w:val="Calibri"/>
    <w:panose1 w:val="00000000000000000000"/>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921976"/>
      <w:docPartObj>
        <w:docPartGallery w:val="Page Numbers (Bottom of Page)"/>
        <w:docPartUnique/>
      </w:docPartObj>
    </w:sdtPr>
    <w:sdtContent>
      <w:p w14:paraId="0BC8D9C6" w14:textId="56D72C3D" w:rsidR="003374A8" w:rsidRDefault="003374A8">
        <w:pPr>
          <w:pStyle w:val="Footer"/>
          <w:jc w:val="right"/>
        </w:pPr>
        <w:r>
          <w:fldChar w:fldCharType="begin"/>
        </w:r>
        <w:r>
          <w:instrText>PAGE   \* MERGEFORMAT</w:instrText>
        </w:r>
        <w:r>
          <w:fldChar w:fldCharType="separate"/>
        </w:r>
        <w:r>
          <w:rPr>
            <w:lang w:val="en-GB"/>
          </w:rPr>
          <w:t>2</w:t>
        </w:r>
        <w:r>
          <w:fldChar w:fldCharType="end"/>
        </w:r>
      </w:p>
    </w:sdtContent>
  </w:sdt>
  <w:p w14:paraId="6B80B717" w14:textId="77777777" w:rsidR="003C3C6C" w:rsidRDefault="003C3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E5CBC" w14:textId="77777777" w:rsidR="002F1CC0" w:rsidRDefault="002F1CC0" w:rsidP="00714A61">
      <w:pPr>
        <w:spacing w:before="0" w:after="0" w:line="240" w:lineRule="auto"/>
      </w:pPr>
      <w:r>
        <w:separator/>
      </w:r>
    </w:p>
  </w:footnote>
  <w:footnote w:type="continuationSeparator" w:id="0">
    <w:p w14:paraId="110FD6A6" w14:textId="77777777" w:rsidR="002F1CC0" w:rsidRDefault="002F1CC0" w:rsidP="00714A61">
      <w:pPr>
        <w:spacing w:before="0" w:after="0" w:line="240" w:lineRule="auto"/>
      </w:pPr>
      <w:r>
        <w:continuationSeparator/>
      </w:r>
    </w:p>
  </w:footnote>
  <w:footnote w:type="continuationNotice" w:id="1">
    <w:p w14:paraId="4D636811" w14:textId="77777777" w:rsidR="002F1CC0" w:rsidRDefault="002F1CC0">
      <w:pPr>
        <w:spacing w:before="0" w:after="0" w:line="240" w:lineRule="auto"/>
      </w:pPr>
    </w:p>
  </w:footnote>
  <w:footnote w:id="2">
    <w:p w14:paraId="1E1BEBC4" w14:textId="6D70B0B5" w:rsidR="00314017" w:rsidRPr="00F14453" w:rsidRDefault="00314017">
      <w:pPr>
        <w:pStyle w:val="FootnoteText"/>
        <w:rPr>
          <w:sz w:val="14"/>
          <w:szCs w:val="14"/>
          <w:lang w:val="en-GB"/>
        </w:rPr>
      </w:pPr>
      <w:r w:rsidRPr="00F14453">
        <w:rPr>
          <w:rStyle w:val="FootnoteReference"/>
          <w:sz w:val="14"/>
          <w:szCs w:val="14"/>
        </w:rPr>
        <w:footnoteRef/>
      </w:r>
      <w:r w:rsidRPr="00F14453">
        <w:rPr>
          <w:sz w:val="14"/>
          <w:szCs w:val="14"/>
        </w:rPr>
        <w:t xml:space="preserve"> </w:t>
      </w:r>
      <w:r w:rsidR="00EF701E" w:rsidRPr="00F14453">
        <w:rPr>
          <w:sz w:val="14"/>
          <w:szCs w:val="14"/>
          <w:lang w:val="en-GB"/>
        </w:rPr>
        <w:t>TS_O</w:t>
      </w:r>
      <w:r w:rsidR="00670FCB" w:rsidRPr="00F14453">
        <w:rPr>
          <w:sz w:val="14"/>
          <w:szCs w:val="14"/>
          <w:lang w:val="en-GB"/>
        </w:rPr>
        <w:t xml:space="preserve"> &amp; DS_O</w:t>
      </w:r>
      <w:r w:rsidR="00EF701E" w:rsidRPr="00F14453">
        <w:rPr>
          <w:sz w:val="14"/>
          <w:szCs w:val="14"/>
          <w:lang w:val="en-GB"/>
        </w:rPr>
        <w:t xml:space="preserve"> </w:t>
      </w:r>
      <w:r w:rsidR="003923EB" w:rsidRPr="00F14453">
        <w:rPr>
          <w:sz w:val="14"/>
          <w:szCs w:val="14"/>
          <w:lang w:val="en-GB"/>
        </w:rPr>
        <w:t>refers to Transmission System Operator</w:t>
      </w:r>
      <w:r w:rsidR="00670FCB" w:rsidRPr="00F14453">
        <w:rPr>
          <w:sz w:val="14"/>
          <w:szCs w:val="14"/>
          <w:lang w:val="en-GB"/>
        </w:rPr>
        <w:t xml:space="preserve"> &amp; Distribution System Operator respectively. </w:t>
      </w:r>
      <w:r w:rsidR="008E46DD" w:rsidRPr="00F14453">
        <w:rPr>
          <w:sz w:val="14"/>
          <w:szCs w:val="14"/>
          <w:lang w:val="en-GB"/>
        </w:rPr>
        <w:t>MO is Market Operator. FSP is Flexibility Serv</w:t>
      </w:r>
      <w:r w:rsidR="00DB5BE0" w:rsidRPr="00F14453">
        <w:rPr>
          <w:sz w:val="14"/>
          <w:szCs w:val="14"/>
          <w:lang w:val="en-GB"/>
        </w:rPr>
        <w:t>ice Provider</w:t>
      </w:r>
    </w:p>
  </w:footnote>
  <w:footnote w:id="3">
    <w:p w14:paraId="35C1E1A6" w14:textId="77777777" w:rsidR="00146A9A" w:rsidRPr="00F14453" w:rsidRDefault="00146A9A" w:rsidP="00146A9A">
      <w:pPr>
        <w:pStyle w:val="FootnoteText"/>
        <w:rPr>
          <w:sz w:val="14"/>
          <w:szCs w:val="14"/>
          <w:lang w:val="en-GB"/>
        </w:rPr>
      </w:pPr>
      <w:r w:rsidRPr="00F14453">
        <w:rPr>
          <w:rStyle w:val="FootnoteReference"/>
          <w:sz w:val="14"/>
          <w:szCs w:val="14"/>
        </w:rPr>
        <w:footnoteRef/>
      </w:r>
      <w:r w:rsidRPr="00F14453">
        <w:rPr>
          <w:sz w:val="14"/>
          <w:szCs w:val="14"/>
        </w:rPr>
        <w:t xml:space="preserve"> </w:t>
      </w:r>
      <w:r w:rsidRPr="00F14453">
        <w:rPr>
          <w:sz w:val="14"/>
          <w:szCs w:val="14"/>
          <w:lang w:val="en-GB"/>
        </w:rPr>
        <w:t>OO refers to Optimisation Operator</w:t>
      </w:r>
    </w:p>
  </w:footnote>
  <w:footnote w:id="4">
    <w:p w14:paraId="17C32335" w14:textId="7A49E663" w:rsidR="00460C0B" w:rsidRPr="00F14453" w:rsidRDefault="00460C0B" w:rsidP="00460C0B">
      <w:pPr>
        <w:pStyle w:val="FootnoteText"/>
        <w:rPr>
          <w:sz w:val="14"/>
          <w:szCs w:val="14"/>
          <w:lang w:val="en-GB"/>
        </w:rPr>
      </w:pPr>
      <w:r w:rsidRPr="00F14453">
        <w:rPr>
          <w:rStyle w:val="FootnoteReference"/>
          <w:sz w:val="14"/>
          <w:szCs w:val="14"/>
        </w:rPr>
        <w:footnoteRef/>
      </w:r>
      <w:r w:rsidRPr="00F14453">
        <w:rPr>
          <w:sz w:val="14"/>
          <w:szCs w:val="14"/>
        </w:rPr>
        <w:t xml:space="preserve"> BRP refers to balance responsible party </w:t>
      </w:r>
      <w:r w:rsidR="008D0E24" w:rsidRPr="00F14453">
        <w:rPr>
          <w:sz w:val="14"/>
          <w:szCs w:val="14"/>
        </w:rPr>
        <w:t xml:space="preserve">and </w:t>
      </w:r>
      <w:r w:rsidRPr="00F14453">
        <w:rPr>
          <w:sz w:val="14"/>
          <w:szCs w:val="14"/>
        </w:rPr>
        <w:t>means a market participant or its chosen representative responsible for its</w:t>
      </w:r>
      <w:r w:rsidR="00B10B95" w:rsidRPr="00F14453">
        <w:rPr>
          <w:sz w:val="14"/>
          <w:szCs w:val="14"/>
        </w:rPr>
        <w:t xml:space="preserve"> </w:t>
      </w:r>
      <w:r w:rsidR="003103BB" w:rsidRPr="00F14453">
        <w:rPr>
          <w:sz w:val="14"/>
          <w:szCs w:val="14"/>
        </w:rPr>
        <w:t>I</w:t>
      </w:r>
      <w:r w:rsidRPr="00F14453">
        <w:rPr>
          <w:sz w:val="14"/>
          <w:szCs w:val="14"/>
        </w:rPr>
        <w:t>mbalances</w:t>
      </w:r>
      <w:r w:rsidR="003103BB" w:rsidRPr="00F14453">
        <w:rPr>
          <w:sz w:val="14"/>
          <w:szCs w:val="14"/>
        </w:rPr>
        <w:t>. FP refers to Flexibility Provider.</w:t>
      </w:r>
    </w:p>
  </w:footnote>
  <w:footnote w:id="5">
    <w:p w14:paraId="02EA42F8" w14:textId="0755D30B" w:rsidR="00AC705D" w:rsidRPr="00F14453" w:rsidRDefault="00AC705D">
      <w:pPr>
        <w:pStyle w:val="FootnoteText"/>
        <w:rPr>
          <w:sz w:val="14"/>
          <w:szCs w:val="14"/>
          <w:lang w:val="en-GB"/>
        </w:rPr>
      </w:pPr>
      <w:r w:rsidRPr="00F14453">
        <w:rPr>
          <w:rStyle w:val="FootnoteReference"/>
          <w:sz w:val="14"/>
          <w:szCs w:val="14"/>
        </w:rPr>
        <w:footnoteRef/>
      </w:r>
      <w:r w:rsidRPr="00F14453">
        <w:rPr>
          <w:sz w:val="14"/>
          <w:szCs w:val="14"/>
        </w:rPr>
        <w:t xml:space="preserve"> </w:t>
      </w:r>
      <w:r w:rsidR="005830E6" w:rsidRPr="00F14453">
        <w:rPr>
          <w:sz w:val="14"/>
          <w:szCs w:val="14"/>
        </w:rPr>
        <w:t xml:space="preserve">Adapted </w:t>
      </w:r>
      <w:r w:rsidR="005F4921" w:rsidRPr="00F14453">
        <w:rPr>
          <w:sz w:val="14"/>
          <w:szCs w:val="14"/>
        </w:rPr>
        <w:t>from</w:t>
      </w:r>
      <w:r w:rsidR="00DB61A5">
        <w:rPr>
          <w:sz w:val="14"/>
          <w:szCs w:val="14"/>
        </w:rPr>
        <w:t xml:space="preserve"> </w:t>
      </w:r>
      <w:r w:rsidR="00DB61A5" w:rsidRPr="000D4FC2">
        <w:rPr>
          <w:sz w:val="14"/>
          <w:szCs w:val="14"/>
        </w:rPr>
        <w:t>[31]</w:t>
      </w:r>
      <w:r w:rsidR="00DB61A5">
        <w:rPr>
          <w:sz w:val="14"/>
          <w:szCs w:val="14"/>
        </w:rPr>
        <w:t>:</w:t>
      </w:r>
      <w:r w:rsidR="005F4921" w:rsidRPr="00F14453">
        <w:rPr>
          <w:sz w:val="14"/>
          <w:szCs w:val="14"/>
        </w:rPr>
        <w:t xml:space="preserve"> </w:t>
      </w:r>
      <w:r w:rsidR="00D20E47" w:rsidRPr="00F14453">
        <w:rPr>
          <w:noProof/>
          <w:sz w:val="14"/>
          <w:szCs w:val="14"/>
        </w:rPr>
        <w:t>“Latency Implications for Grid Communications</w:t>
      </w:r>
      <w:r w:rsidR="005E29CC" w:rsidRPr="00F14453">
        <w:rPr>
          <w:noProof/>
          <w:sz w:val="14"/>
          <w:szCs w:val="14"/>
        </w:rPr>
        <w:t>”,</w:t>
      </w:r>
      <w:r w:rsidR="00D20E47" w:rsidRPr="00F14453">
        <w:rPr>
          <w:noProof/>
          <w:sz w:val="14"/>
          <w:szCs w:val="14"/>
        </w:rPr>
        <w:t xml:space="preserve"> 31 January 2024</w:t>
      </w:r>
      <w:r w:rsidR="005E29CC" w:rsidRPr="00F14453">
        <w:rPr>
          <w:noProof/>
          <w:sz w:val="14"/>
          <w:szCs w:val="14"/>
        </w:rPr>
        <w:t xml:space="preserve"> -</w:t>
      </w:r>
      <w:r w:rsidR="005F4921" w:rsidRPr="00F14453">
        <w:rPr>
          <w:sz w:val="14"/>
          <w:szCs w:val="14"/>
        </w:rPr>
        <w:t xml:space="preserve"> </w:t>
      </w:r>
      <w:r w:rsidR="00D20E47" w:rsidRPr="00F14453">
        <w:rPr>
          <w:noProof/>
          <w:sz w:val="14"/>
          <w:szCs w:val="14"/>
        </w:rPr>
        <w:t>U.S. Department of Energy, Office of Electricity.</w:t>
      </w:r>
    </w:p>
  </w:footnote>
  <w:footnote w:id="6">
    <w:p w14:paraId="47F39B43" w14:textId="36BAC69B" w:rsidR="005D16E9" w:rsidRPr="008E1526" w:rsidRDefault="005D16E9">
      <w:pPr>
        <w:pStyle w:val="FootnoteText"/>
        <w:rPr>
          <w:sz w:val="16"/>
          <w:szCs w:val="16"/>
          <w:lang w:val="en-GB"/>
        </w:rPr>
      </w:pPr>
      <w:r w:rsidRPr="008E1526">
        <w:rPr>
          <w:rStyle w:val="FootnoteReference"/>
          <w:sz w:val="16"/>
          <w:szCs w:val="16"/>
        </w:rPr>
        <w:footnoteRef/>
      </w:r>
      <w:r w:rsidRPr="008E1526">
        <w:rPr>
          <w:sz w:val="16"/>
          <w:szCs w:val="16"/>
        </w:rPr>
        <w:t xml:space="preserve"> </w:t>
      </w:r>
      <w:r w:rsidR="00D70029" w:rsidRPr="008E1526">
        <w:rPr>
          <w:sz w:val="16"/>
          <w:szCs w:val="16"/>
        </w:rPr>
        <w:t xml:space="preserve">The Inter-Control Center Communications Protocol (ICCP), also known as TASE.2 and defined by IEC 60870-6, is a widely adopted standard for data exchange between utility control </w:t>
      </w:r>
      <w:r w:rsidR="006571EE" w:rsidRPr="008E1526">
        <w:rPr>
          <w:sz w:val="16"/>
          <w:szCs w:val="16"/>
        </w:rPr>
        <w:t>rooms</w:t>
      </w:r>
    </w:p>
  </w:footnote>
  <w:footnote w:id="7">
    <w:p w14:paraId="66B3B425" w14:textId="556C868C" w:rsidR="009B6DBC" w:rsidRPr="00F14453" w:rsidRDefault="009B6DBC">
      <w:pPr>
        <w:pStyle w:val="FootnoteText"/>
        <w:rPr>
          <w:sz w:val="14"/>
          <w:szCs w:val="14"/>
          <w:lang w:val="en-GB"/>
        </w:rPr>
      </w:pPr>
      <w:r w:rsidRPr="008E1526">
        <w:rPr>
          <w:rStyle w:val="FootnoteReference"/>
          <w:sz w:val="16"/>
          <w:szCs w:val="16"/>
        </w:rPr>
        <w:footnoteRef/>
      </w:r>
      <w:r w:rsidRPr="008E1526">
        <w:rPr>
          <w:sz w:val="16"/>
          <w:szCs w:val="16"/>
        </w:rPr>
        <w:t xml:space="preserve"> </w:t>
      </w:r>
      <w:r w:rsidR="00E126C9" w:rsidRPr="008E1526">
        <w:rPr>
          <w:sz w:val="16"/>
          <w:szCs w:val="16"/>
          <w:lang w:val="en-GB"/>
        </w:rPr>
        <w:t>Most commonly the Common Information Model (CIM)</w:t>
      </w:r>
    </w:p>
  </w:footnote>
  <w:footnote w:id="8">
    <w:p w14:paraId="3D95B030" w14:textId="1B13B54F" w:rsidR="00E93797" w:rsidRPr="00E93797" w:rsidRDefault="00E93797">
      <w:pPr>
        <w:pStyle w:val="FootnoteText"/>
        <w:rPr>
          <w:lang w:val="en-GB"/>
        </w:rPr>
      </w:pPr>
      <w:r>
        <w:rPr>
          <w:rStyle w:val="FootnoteReference"/>
        </w:rPr>
        <w:footnoteRef/>
      </w:r>
      <w:r>
        <w:t xml:space="preserve"> </w:t>
      </w:r>
      <w:r w:rsidRPr="00A651FF">
        <w:rPr>
          <w:sz w:val="16"/>
          <w:szCs w:val="22"/>
          <w:lang w:val="en-GB"/>
        </w:rPr>
        <w:t xml:space="preserve">For a more detailed treatment of </w:t>
      </w:r>
      <w:r w:rsidR="00A651FF" w:rsidRPr="00A651FF">
        <w:rPr>
          <w:sz w:val="16"/>
          <w:szCs w:val="22"/>
          <w:lang w:val="en-GB"/>
        </w:rPr>
        <w:t>DSO models</w:t>
      </w:r>
      <w:r w:rsidR="0073284E">
        <w:rPr>
          <w:sz w:val="16"/>
          <w:szCs w:val="22"/>
          <w:lang w:val="en-GB"/>
        </w:rPr>
        <w:t xml:space="preserve"> and structural archetypes</w:t>
      </w:r>
      <w:r w:rsidR="00A651FF" w:rsidRPr="00A651FF">
        <w:rPr>
          <w:sz w:val="16"/>
          <w:szCs w:val="22"/>
          <w:lang w:val="en-GB"/>
        </w:rPr>
        <w:t xml:space="preserve">, refer to Report 4 in this series.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DB43" w14:textId="26E0C175" w:rsidR="00E55A19" w:rsidRPr="00876D04" w:rsidRDefault="001C5BFD" w:rsidP="00ED1526">
    <w:pPr>
      <w:jc w:val="right"/>
    </w:pPr>
    <w:r>
      <w:rPr>
        <w:noProof/>
      </w:rPr>
      <mc:AlternateContent>
        <mc:Choice Requires="wps">
          <w:drawing>
            <wp:anchor distT="0" distB="0" distL="114300" distR="114300" simplePos="0" relativeHeight="251658242" behindDoc="0" locked="0" layoutInCell="1" allowOverlap="1" wp14:anchorId="378A8ED7" wp14:editId="2A330100">
              <wp:simplePos x="0" y="0"/>
              <wp:positionH relativeFrom="column">
                <wp:posOffset>6949759</wp:posOffset>
              </wp:positionH>
              <wp:positionV relativeFrom="paragraph">
                <wp:posOffset>-2501583</wp:posOffset>
              </wp:positionV>
              <wp:extent cx="0" cy="6393818"/>
              <wp:effectExtent l="0" t="0" r="0" b="0"/>
              <wp:wrapNone/>
              <wp:docPr id="1936672179" name="Straight Connector 7"/>
              <wp:cNvGraphicFramePr/>
              <a:graphic xmlns:a="http://schemas.openxmlformats.org/drawingml/2006/main">
                <a:graphicData uri="http://schemas.microsoft.com/office/word/2010/wordprocessingShape">
                  <wps:wsp>
                    <wps:cNvCnPr/>
                    <wps:spPr>
                      <a:xfrm rot="5400000" flipV="1">
                        <a:off x="0" y="0"/>
                        <a:ext cx="0" cy="6393818"/>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80B87B" id="Straight Connector 7" o:spid="_x0000_s1026" style="position:absolute;rotation:-90;flip:y;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25pt,-197pt" to="547.25pt,3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" strokecolor="#013b4a" strokeweight=".13pt">
              <v:stroke opacity="16191f" joinstyle="miter"/>
            </v:line>
          </w:pict>
        </mc:Fallback>
      </mc:AlternateContent>
    </w:r>
    <w:r>
      <w:rPr>
        <w:noProof/>
      </w:rPr>
      <mc:AlternateContent>
        <mc:Choice Requires="wpg">
          <w:drawing>
            <wp:anchor distT="0" distB="0" distL="114300" distR="114300" simplePos="0" relativeHeight="251658241" behindDoc="0" locked="0" layoutInCell="1" allowOverlap="1" wp14:anchorId="5F81FC23" wp14:editId="7B3C36C9">
              <wp:simplePos x="0" y="0"/>
              <wp:positionH relativeFrom="column">
                <wp:posOffset>-3769360</wp:posOffset>
              </wp:positionH>
              <wp:positionV relativeFrom="paragraph">
                <wp:posOffset>693706</wp:posOffset>
              </wp:positionV>
              <wp:extent cx="7560000" cy="856800"/>
              <wp:effectExtent l="0" t="0" r="22225" b="19685"/>
              <wp:wrapNone/>
              <wp:docPr id="1263181356"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V="1">
                        <a:off x="0" y="0"/>
                        <a:ext cx="7560000" cy="856800"/>
                        <a:chOff x="0" y="993766"/>
                        <a:chExt cx="5400039" cy="611571"/>
                      </a:xfrm>
                    </wpg:grpSpPr>
                    <wps:wsp>
                      <wps:cNvPr id="926162846" name="Freeform: Shape 926162846"/>
                      <wps:cNvSpPr/>
                      <wps:spPr>
                        <a:xfrm>
                          <a:off x="0" y="993766"/>
                          <a:ext cx="2430505" cy="305274"/>
                        </a:xfrm>
                        <a:custGeom>
                          <a:avLst/>
                          <a:gdLst>
                            <a:gd name="connsiteX0" fmla="*/ 0 w 2430505"/>
                            <a:gd name="connsiteY0" fmla="*/ 0 h 305274"/>
                            <a:gd name="connsiteX1" fmla="*/ 1907045 w 2430505"/>
                            <a:gd name="connsiteY1" fmla="*/ 601 h 305274"/>
                            <a:gd name="connsiteX2" fmla="*/ 2430505 w 2430505"/>
                            <a:gd name="connsiteY2" fmla="*/ 305275 h 305274"/>
                          </a:gdLst>
                          <a:ahLst/>
                          <a:cxnLst>
                            <a:cxn ang="0">
                              <a:pos x="connsiteX0" y="connsiteY0"/>
                            </a:cxn>
                            <a:cxn ang="0">
                              <a:pos x="connsiteX1" y="connsiteY1"/>
                            </a:cxn>
                            <a:cxn ang="0">
                              <a:pos x="connsiteX2" y="connsiteY2"/>
                            </a:cxn>
                          </a:cxnLst>
                          <a:rect l="l" t="t" r="r" b="b"/>
                          <a:pathLst>
                            <a:path w="2430505" h="305274">
                              <a:moveTo>
                                <a:pt x="0" y="0"/>
                              </a:moveTo>
                              <a:lnTo>
                                <a:pt x="1907045" y="601"/>
                              </a:lnTo>
                              <a:cubicBezTo>
                                <a:pt x="2135776" y="601"/>
                                <a:pt x="2320199" y="106099"/>
                                <a:pt x="2430505" y="305275"/>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0479513" name="Freeform: Shape 1680479513"/>
                      <wps:cNvSpPr/>
                      <wps:spPr>
                        <a:xfrm>
                          <a:off x="2430505" y="1299040"/>
                          <a:ext cx="2969534" cy="306297"/>
                        </a:xfrm>
                        <a:custGeom>
                          <a:avLst/>
                          <a:gdLst>
                            <a:gd name="connsiteX0" fmla="*/ 2969535 w 2969534"/>
                            <a:gd name="connsiteY0" fmla="*/ 306298 h 306297"/>
                            <a:gd name="connsiteX1" fmla="*/ 523460 w 2969534"/>
                            <a:gd name="connsiteY1" fmla="*/ 306298 h 306297"/>
                            <a:gd name="connsiteX2" fmla="*/ 0 w 2969534"/>
                            <a:gd name="connsiteY2" fmla="*/ 0 h 306297"/>
                          </a:gdLst>
                          <a:ahLst/>
                          <a:cxnLst>
                            <a:cxn ang="0">
                              <a:pos x="connsiteX0" y="connsiteY0"/>
                            </a:cxn>
                            <a:cxn ang="0">
                              <a:pos x="connsiteX1" y="connsiteY1"/>
                            </a:cxn>
                            <a:cxn ang="0">
                              <a:pos x="connsiteX2" y="connsiteY2"/>
                            </a:cxn>
                          </a:cxnLst>
                          <a:rect l="l" t="t" r="r" b="b"/>
                          <a:pathLst>
                            <a:path w="2969534" h="306297">
                              <a:moveTo>
                                <a:pt x="2969535" y="306298"/>
                              </a:moveTo>
                              <a:lnTo>
                                <a:pt x="523460" y="306298"/>
                              </a:lnTo>
                              <a:cubicBezTo>
                                <a:pt x="294729" y="306298"/>
                                <a:pt x="110306" y="200231"/>
                                <a:pt x="0" y="0"/>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5F62D" id="Graphic 1" o:spid="_x0000_s1026" style="position:absolute;margin-left:-296.8pt;margin-top:54.6pt;width:595.3pt;height:67.45pt;flip:y;z-index:251658241" coordorigin=",9937" coordsize="54000,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">
              <o:lock v:ext="edit" aspectratio="t"/>
              <v:shape id="Freeform: Shape 926162846" o:spid="_x0000_s1027" style="position:absolute;top:9937;width:24305;height:3053;visibility:visible;mso-wrap-style:square;v-text-anchor:middle" coordsize="2430505,3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" path="m,l1907045,601v228731,,413154,105498,523460,304674e" filled="f" strokecolor="#013b4a" strokeweight=".04503mm">
                <v:stroke opacity="16448f" joinstyle="miter"/>
                <v:path arrowok="t" o:connecttype="custom" o:connectlocs="0,0;1907045,601;2430505,305275" o:connectangles="0,0,0"/>
              </v:shape>
              <v:shape id="Freeform: Shape 1680479513" o:spid="_x0000_s1028" style="position:absolute;left:24305;top:12990;width:29695;height:3063;visibility:visible;mso-wrap-style:square;v-text-anchor:middle" coordsize="2969534,3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" path="m2969535,306298r-2446075,c294729,306298,110306,200231,,e" filled="f" strokecolor="#013b4a" strokeweight=".04503mm">
                <v:stroke opacity="16448f" joinstyle="miter"/>
                <v:path arrowok="t" o:connecttype="custom" o:connectlocs="2969535,306298;523460,306298;0,0" o:connectangles="0,0,0"/>
              </v:shape>
            </v:group>
          </w:pict>
        </mc:Fallback>
      </mc:AlternateContent>
    </w:r>
    <w:r w:rsidR="00876D04">
      <w:rPr>
        <w:noProof/>
      </w:rPr>
      <mc:AlternateContent>
        <mc:Choice Requires="wps">
          <w:drawing>
            <wp:anchor distT="0" distB="0" distL="114300" distR="114300" simplePos="0" relativeHeight="251658240" behindDoc="0" locked="0" layoutInCell="1" allowOverlap="1" wp14:anchorId="6DF5FE3E" wp14:editId="0948828B">
              <wp:simplePos x="0" y="0"/>
              <wp:positionH relativeFrom="column">
                <wp:posOffset>-383540</wp:posOffset>
              </wp:positionH>
              <wp:positionV relativeFrom="paragraph">
                <wp:posOffset>-358140</wp:posOffset>
              </wp:positionV>
              <wp:extent cx="0" cy="10692000"/>
              <wp:effectExtent l="0" t="0" r="38100" b="33655"/>
              <wp:wrapNone/>
              <wp:docPr id="1207502343" name="Straight Connector 1207502343"/>
              <wp:cNvGraphicFramePr/>
              <a:graphic xmlns:a="http://schemas.openxmlformats.org/drawingml/2006/main">
                <a:graphicData uri="http://schemas.microsoft.com/office/word/2010/wordprocessingShape">
                  <wps:wsp>
                    <wps:cNvCnPr/>
                    <wps:spPr>
                      <a:xfrm>
                        <a:off x="0" y="0"/>
                        <a:ext cx="0" cy="10692000"/>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196B7D" id="Straight Connector 1207502343"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pt,-28.2pt" to="-30.2pt,8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" strokecolor="#013b4a" strokeweight=".13pt">
              <v:stroke opacity="16191f" joinstyle="miter"/>
            </v:line>
          </w:pict>
        </mc:Fallback>
      </mc:AlternateContent>
    </w:r>
    <w:r w:rsidR="00876D04" w:rsidRPr="00ED1526">
      <w:rPr>
        <w:noProof/>
      </w:rPr>
      <w:drawing>
        <wp:inline distT="0" distB="0" distL="0" distR="0" wp14:anchorId="32C045BC" wp14:editId="15400561">
          <wp:extent cx="1940106" cy="360000"/>
          <wp:effectExtent l="0" t="0" r="3175" b="2540"/>
          <wp:docPr id="754292886" name="Picture 754292886"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6747" name="Picture 761306747"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106"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6D8CA26"/>
    <w:lvl w:ilvl="0">
      <w:start w:val="1"/>
      <w:numFmt w:val="decimal"/>
      <w:pStyle w:val="ListNumber"/>
      <w:lvlText w:val="%1."/>
      <w:lvlJc w:val="left"/>
      <w:pPr>
        <w:tabs>
          <w:tab w:val="num" w:pos="360"/>
        </w:tabs>
        <w:ind w:left="360" w:hanging="360"/>
      </w:pPr>
    </w:lvl>
  </w:abstractNum>
  <w:abstractNum w:abstractNumId="1" w15:restartNumberingAfterBreak="0">
    <w:nsid w:val="00295EB8"/>
    <w:multiLevelType w:val="hybridMultilevel"/>
    <w:tmpl w:val="0C2C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7708E"/>
    <w:multiLevelType w:val="multilevel"/>
    <w:tmpl w:val="7DC8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47826"/>
    <w:multiLevelType w:val="hybridMultilevel"/>
    <w:tmpl w:val="27984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A31315"/>
    <w:multiLevelType w:val="hybridMultilevel"/>
    <w:tmpl w:val="86FAB6D2"/>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5" w15:restartNumberingAfterBreak="0">
    <w:nsid w:val="0565353F"/>
    <w:multiLevelType w:val="hybridMultilevel"/>
    <w:tmpl w:val="F692C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625FD"/>
    <w:multiLevelType w:val="hybridMultilevel"/>
    <w:tmpl w:val="299E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4E346F"/>
    <w:multiLevelType w:val="hybridMultilevel"/>
    <w:tmpl w:val="A5A8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257721"/>
    <w:multiLevelType w:val="hybridMultilevel"/>
    <w:tmpl w:val="867A5F90"/>
    <w:styleLink w:val="Style1"/>
    <w:lvl w:ilvl="0" w:tplc="6658BDCA">
      <w:start w:val="1"/>
      <w:numFmt w:val="upperLetter"/>
      <w:lvlText w:val="%1."/>
      <w:lvlJc w:val="left"/>
      <w:pPr>
        <w:ind w:left="360" w:hanging="360"/>
      </w:pPr>
      <w:rPr>
        <w:rFonts w:ascii="PP Mori SemiBold" w:hAnsi="PP Mori SemiBold"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08323AF"/>
    <w:multiLevelType w:val="hybridMultilevel"/>
    <w:tmpl w:val="821AA456"/>
    <w:lvl w:ilvl="0" w:tplc="0C090003">
      <w:start w:val="1"/>
      <w:numFmt w:val="bullet"/>
      <w:lvlText w:val="o"/>
      <w:lvlJc w:val="left"/>
      <w:pPr>
        <w:ind w:left="752" w:hanging="360"/>
      </w:pPr>
      <w:rPr>
        <w:rFonts w:ascii="Courier New" w:hAnsi="Courier New" w:cs="Courier New" w:hint="default"/>
      </w:rPr>
    </w:lvl>
    <w:lvl w:ilvl="1" w:tplc="FFFFFFFF" w:tentative="1">
      <w:start w:val="1"/>
      <w:numFmt w:val="bullet"/>
      <w:lvlText w:val="o"/>
      <w:lvlJc w:val="left"/>
      <w:pPr>
        <w:ind w:left="1472" w:hanging="360"/>
      </w:pPr>
      <w:rPr>
        <w:rFonts w:ascii="Courier New" w:hAnsi="Courier New" w:cs="Courier New" w:hint="default"/>
      </w:rPr>
    </w:lvl>
    <w:lvl w:ilvl="2" w:tplc="FFFFFFFF" w:tentative="1">
      <w:start w:val="1"/>
      <w:numFmt w:val="bullet"/>
      <w:lvlText w:val=""/>
      <w:lvlJc w:val="left"/>
      <w:pPr>
        <w:ind w:left="2192" w:hanging="360"/>
      </w:pPr>
      <w:rPr>
        <w:rFonts w:ascii="Wingdings" w:hAnsi="Wingdings" w:hint="default"/>
      </w:rPr>
    </w:lvl>
    <w:lvl w:ilvl="3" w:tplc="FFFFFFFF" w:tentative="1">
      <w:start w:val="1"/>
      <w:numFmt w:val="bullet"/>
      <w:lvlText w:val=""/>
      <w:lvlJc w:val="left"/>
      <w:pPr>
        <w:ind w:left="2912" w:hanging="360"/>
      </w:pPr>
      <w:rPr>
        <w:rFonts w:ascii="Symbol" w:hAnsi="Symbol" w:hint="default"/>
      </w:rPr>
    </w:lvl>
    <w:lvl w:ilvl="4" w:tplc="FFFFFFFF" w:tentative="1">
      <w:start w:val="1"/>
      <w:numFmt w:val="bullet"/>
      <w:lvlText w:val="o"/>
      <w:lvlJc w:val="left"/>
      <w:pPr>
        <w:ind w:left="3632" w:hanging="360"/>
      </w:pPr>
      <w:rPr>
        <w:rFonts w:ascii="Courier New" w:hAnsi="Courier New" w:cs="Courier New" w:hint="default"/>
      </w:rPr>
    </w:lvl>
    <w:lvl w:ilvl="5" w:tplc="FFFFFFFF" w:tentative="1">
      <w:start w:val="1"/>
      <w:numFmt w:val="bullet"/>
      <w:lvlText w:val=""/>
      <w:lvlJc w:val="left"/>
      <w:pPr>
        <w:ind w:left="4352" w:hanging="360"/>
      </w:pPr>
      <w:rPr>
        <w:rFonts w:ascii="Wingdings" w:hAnsi="Wingdings" w:hint="default"/>
      </w:rPr>
    </w:lvl>
    <w:lvl w:ilvl="6" w:tplc="FFFFFFFF" w:tentative="1">
      <w:start w:val="1"/>
      <w:numFmt w:val="bullet"/>
      <w:lvlText w:val=""/>
      <w:lvlJc w:val="left"/>
      <w:pPr>
        <w:ind w:left="5072" w:hanging="360"/>
      </w:pPr>
      <w:rPr>
        <w:rFonts w:ascii="Symbol" w:hAnsi="Symbol" w:hint="default"/>
      </w:rPr>
    </w:lvl>
    <w:lvl w:ilvl="7" w:tplc="FFFFFFFF" w:tentative="1">
      <w:start w:val="1"/>
      <w:numFmt w:val="bullet"/>
      <w:lvlText w:val="o"/>
      <w:lvlJc w:val="left"/>
      <w:pPr>
        <w:ind w:left="5792" w:hanging="360"/>
      </w:pPr>
      <w:rPr>
        <w:rFonts w:ascii="Courier New" w:hAnsi="Courier New" w:cs="Courier New" w:hint="default"/>
      </w:rPr>
    </w:lvl>
    <w:lvl w:ilvl="8" w:tplc="FFFFFFFF" w:tentative="1">
      <w:start w:val="1"/>
      <w:numFmt w:val="bullet"/>
      <w:lvlText w:val=""/>
      <w:lvlJc w:val="left"/>
      <w:pPr>
        <w:ind w:left="6512" w:hanging="360"/>
      </w:pPr>
      <w:rPr>
        <w:rFonts w:ascii="Wingdings" w:hAnsi="Wingdings" w:hint="default"/>
      </w:rPr>
    </w:lvl>
  </w:abstractNum>
  <w:abstractNum w:abstractNumId="10" w15:restartNumberingAfterBreak="0">
    <w:nsid w:val="168B7EB7"/>
    <w:multiLevelType w:val="multilevel"/>
    <w:tmpl w:val="E2BE2512"/>
    <w:lvl w:ilvl="0">
      <w:start w:val="1"/>
      <w:numFmt w:val="decimal"/>
      <w:lvlText w:val="%1."/>
      <w:lvlJc w:val="left"/>
      <w:pPr>
        <w:ind w:left="360" w:hanging="360"/>
      </w:pPr>
      <w:rPr>
        <w:rFonts w:hint="default"/>
      </w:rPr>
    </w:lvl>
    <w:lvl w:ilvl="1">
      <w:start w:val="3"/>
      <w:numFmt w:val="decimal"/>
      <w:lvlRestart w:val="0"/>
      <w:pStyle w:val="11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1B2404"/>
    <w:multiLevelType w:val="hybridMultilevel"/>
    <w:tmpl w:val="FB64D7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DB612D"/>
    <w:multiLevelType w:val="multilevel"/>
    <w:tmpl w:val="68A6FF66"/>
    <w:lvl w:ilvl="0">
      <w:start w:val="1"/>
      <w:numFmt w:val="decimal"/>
      <w:pStyle w:val="Heading1"/>
      <w:lvlText w:val="%1"/>
      <w:lvlJc w:val="left"/>
      <w:pPr>
        <w:ind w:left="432" w:hanging="432"/>
      </w:pPr>
    </w:lvl>
    <w:lvl w:ilvl="1">
      <w:start w:val="1"/>
      <w:numFmt w:val="decimal"/>
      <w:pStyle w:val="Heading2"/>
      <w:lvlText w:val="%1.%2"/>
      <w:lvlJc w:val="left"/>
      <w:pPr>
        <w:ind w:left="142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3306C19"/>
    <w:multiLevelType w:val="hybridMultilevel"/>
    <w:tmpl w:val="703055B8"/>
    <w:lvl w:ilvl="0" w:tplc="EB5267AA">
      <w:start w:val="1"/>
      <w:numFmt w:val="decimal"/>
      <w:pStyle w:val="Style1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7F54EE"/>
    <w:multiLevelType w:val="hybridMultilevel"/>
    <w:tmpl w:val="C7DE1B9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5" w15:restartNumberingAfterBreak="0">
    <w:nsid w:val="376A24E5"/>
    <w:multiLevelType w:val="hybridMultilevel"/>
    <w:tmpl w:val="513A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055594"/>
    <w:multiLevelType w:val="hybridMultilevel"/>
    <w:tmpl w:val="B524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594198"/>
    <w:multiLevelType w:val="hybridMultilevel"/>
    <w:tmpl w:val="2F821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633A60"/>
    <w:multiLevelType w:val="hybridMultilevel"/>
    <w:tmpl w:val="222C3B70"/>
    <w:styleLink w:val="Style2"/>
    <w:lvl w:ilvl="0" w:tplc="0C090001">
      <w:start w:val="1"/>
      <w:numFmt w:val="bullet"/>
      <w:lvlText w:val=""/>
      <w:lvlJc w:val="left"/>
      <w:pPr>
        <w:ind w:left="720" w:hanging="360"/>
      </w:pPr>
      <w:rPr>
        <w:rFonts w:ascii="Symbol" w:hAnsi="Symbol" w:hint="default"/>
        <w:b/>
        <w:color w:val="auto"/>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C31181"/>
    <w:multiLevelType w:val="hybridMultilevel"/>
    <w:tmpl w:val="631C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145D60"/>
    <w:multiLevelType w:val="hybridMultilevel"/>
    <w:tmpl w:val="12886FA0"/>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21" w15:restartNumberingAfterBreak="0">
    <w:nsid w:val="52251F04"/>
    <w:multiLevelType w:val="hybridMultilevel"/>
    <w:tmpl w:val="D3A2AA62"/>
    <w:lvl w:ilvl="0" w:tplc="FFFFFFFF">
      <w:start w:val="1"/>
      <w:numFmt w:val="decimal"/>
      <w:lvlText w:val="%1."/>
      <w:lvlJc w:val="left"/>
      <w:pPr>
        <w:ind w:left="720" w:hanging="360"/>
      </w:pPr>
      <w:rPr>
        <w:rFonts w:ascii="PP Mori" w:hAnsi="PP Mori" w:hint="default"/>
        <w:b w:val="0"/>
        <w:i w:val="0"/>
        <w:color w:val="auto"/>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8905B2"/>
    <w:multiLevelType w:val="hybridMultilevel"/>
    <w:tmpl w:val="3D1017CA"/>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3" w15:restartNumberingAfterBreak="0">
    <w:nsid w:val="5698524F"/>
    <w:multiLevelType w:val="hybridMultilevel"/>
    <w:tmpl w:val="C882D080"/>
    <w:lvl w:ilvl="0" w:tplc="814EF1E4">
      <w:start w:val="1"/>
      <w:numFmt w:val="bullet"/>
      <w:pStyle w:val="ListParagraph"/>
      <w:lvlText w:val=""/>
      <w:lvlJc w:val="left"/>
      <w:pPr>
        <w:ind w:left="1146" w:hanging="360"/>
      </w:pPr>
      <w:rPr>
        <w:rFonts w:ascii="Symbol" w:hAnsi="Symbol" w:hint="default"/>
      </w:rPr>
    </w:lvl>
    <w:lvl w:ilvl="1" w:tplc="10CCD122">
      <w:numFmt w:val="bullet"/>
      <w:lvlText w:val="•"/>
      <w:lvlJc w:val="left"/>
      <w:pPr>
        <w:ind w:left="1866" w:hanging="360"/>
      </w:pPr>
      <w:rPr>
        <w:rFonts w:ascii="PP Mori" w:eastAsiaTheme="minorEastAsia" w:hAnsi="PP Mori" w:cstheme="minorBidi"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4" w15:restartNumberingAfterBreak="0">
    <w:nsid w:val="585F71AC"/>
    <w:multiLevelType w:val="hybridMultilevel"/>
    <w:tmpl w:val="24C2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E5F72"/>
    <w:multiLevelType w:val="hybridMultilevel"/>
    <w:tmpl w:val="C92E9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B1069C"/>
    <w:multiLevelType w:val="hybridMultilevel"/>
    <w:tmpl w:val="791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BA2CE6"/>
    <w:multiLevelType w:val="multilevel"/>
    <w:tmpl w:val="B0B0E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D78D9"/>
    <w:multiLevelType w:val="hybridMultilevel"/>
    <w:tmpl w:val="D1A064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9D0034"/>
    <w:multiLevelType w:val="hybridMultilevel"/>
    <w:tmpl w:val="DCFEA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245EA8"/>
    <w:multiLevelType w:val="hybridMultilevel"/>
    <w:tmpl w:val="59DEF2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30791E"/>
    <w:multiLevelType w:val="hybridMultilevel"/>
    <w:tmpl w:val="A236784E"/>
    <w:lvl w:ilvl="0" w:tplc="3A0402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2103BB"/>
    <w:multiLevelType w:val="hybridMultilevel"/>
    <w:tmpl w:val="8C18F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5E480A"/>
    <w:multiLevelType w:val="hybridMultilevel"/>
    <w:tmpl w:val="50F40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8D3603"/>
    <w:multiLevelType w:val="hybridMultilevel"/>
    <w:tmpl w:val="A926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994C82"/>
    <w:multiLevelType w:val="hybridMultilevel"/>
    <w:tmpl w:val="233E4CF0"/>
    <w:lvl w:ilvl="0" w:tplc="7B7017AA">
      <w:start w:val="1"/>
      <w:numFmt w:val="decimal"/>
      <w:lvlText w:val="%1."/>
      <w:lvlJc w:val="left"/>
      <w:pPr>
        <w:ind w:left="720" w:hanging="360"/>
      </w:pPr>
      <w:rPr>
        <w:rFonts w:ascii="PP Mori SemiBold" w:hAnsi="PP Mori SemiBold" w:hint="default"/>
        <w:b/>
        <w:i w:val="0"/>
        <w:color w:val="013C4C"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1F6C67"/>
    <w:multiLevelType w:val="hybridMultilevel"/>
    <w:tmpl w:val="CD42FD58"/>
    <w:lvl w:ilvl="0" w:tplc="EC8C5CC0">
      <w:start w:val="1"/>
      <w:numFmt w:val="decimal"/>
      <w:lvlText w:val="%1."/>
      <w:lvlJc w:val="left"/>
      <w:pPr>
        <w:ind w:left="1069" w:hanging="360"/>
      </w:pPr>
      <w:rPr>
        <w:rFonts w:ascii="PP Mori SemiBold" w:hAnsi="PP Mori SemiBold" w:hint="default"/>
      </w:r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15:restartNumberingAfterBreak="0">
    <w:nsid w:val="7F29268C"/>
    <w:multiLevelType w:val="multilevel"/>
    <w:tmpl w:val="9BA802D8"/>
    <w:lvl w:ilvl="0">
      <w:start w:val="1"/>
      <w:numFmt w:val="decimal"/>
      <w:lvlText w:val="%1"/>
      <w:lvlJc w:val="left"/>
      <w:pPr>
        <w:ind w:left="567" w:hanging="567"/>
      </w:pPr>
      <w:rPr>
        <w:rFonts w:hint="default"/>
      </w:rPr>
    </w:lvl>
    <w:lvl w:ilvl="1">
      <w:start w:val="1"/>
      <w:numFmt w:val="decimal"/>
      <w:lvlText w:val="%1.%2"/>
      <w:lvlJc w:val="left"/>
      <w:pPr>
        <w:ind w:left="1276" w:hanging="709"/>
      </w:pPr>
      <w:rPr>
        <w:rFonts w:hint="default"/>
      </w:rPr>
    </w:lvl>
    <w:lvl w:ilvl="2">
      <w:start w:val="1"/>
      <w:numFmt w:val="decimal"/>
      <w:pStyle w:val="Heading30"/>
      <w:lvlText w:val="%1.%2.%3"/>
      <w:lvlJc w:val="left"/>
      <w:pPr>
        <w:tabs>
          <w:tab w:val="num" w:pos="1701"/>
        </w:tabs>
        <w:ind w:left="1985" w:hanging="709"/>
      </w:pPr>
      <w:rPr>
        <w:rFonts w:hint="default"/>
      </w:rPr>
    </w:lvl>
    <w:lvl w:ilvl="3">
      <w:start w:val="1"/>
      <w:numFmt w:val="decimal"/>
      <w:pStyle w:val="Heading40"/>
      <w:lvlText w:val="%1.%2.%3.%4"/>
      <w:lvlJc w:val="left"/>
      <w:pPr>
        <w:tabs>
          <w:tab w:val="num" w:pos="2268"/>
        </w:tabs>
        <w:ind w:left="1985" w:hanging="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63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36312455">
    <w:abstractNumId w:val="12"/>
  </w:num>
  <w:num w:numId="2" w16cid:durableId="1514416976">
    <w:abstractNumId w:val="20"/>
  </w:num>
  <w:num w:numId="3" w16cid:durableId="1245988268">
    <w:abstractNumId w:val="31"/>
  </w:num>
  <w:num w:numId="4" w16cid:durableId="128322315">
    <w:abstractNumId w:val="28"/>
  </w:num>
  <w:num w:numId="5" w16cid:durableId="262953609">
    <w:abstractNumId w:val="33"/>
  </w:num>
  <w:num w:numId="6" w16cid:durableId="202183435">
    <w:abstractNumId w:val="15"/>
  </w:num>
  <w:num w:numId="7" w16cid:durableId="220140436">
    <w:abstractNumId w:val="27"/>
  </w:num>
  <w:num w:numId="8" w16cid:durableId="1882017865">
    <w:abstractNumId w:val="14"/>
  </w:num>
  <w:num w:numId="9" w16cid:durableId="1855345389">
    <w:abstractNumId w:val="5"/>
  </w:num>
  <w:num w:numId="10" w16cid:durableId="1514875852">
    <w:abstractNumId w:val="36"/>
  </w:num>
  <w:num w:numId="11" w16cid:durableId="817455807">
    <w:abstractNumId w:val="6"/>
  </w:num>
  <w:num w:numId="12" w16cid:durableId="1163163013">
    <w:abstractNumId w:val="16"/>
  </w:num>
  <w:num w:numId="13" w16cid:durableId="1923054632">
    <w:abstractNumId w:val="25"/>
  </w:num>
  <w:num w:numId="14" w16cid:durableId="533881534">
    <w:abstractNumId w:val="23"/>
  </w:num>
  <w:num w:numId="15" w16cid:durableId="1036347392">
    <w:abstractNumId w:val="7"/>
  </w:num>
  <w:num w:numId="16" w16cid:durableId="14773801">
    <w:abstractNumId w:val="29"/>
  </w:num>
  <w:num w:numId="17" w16cid:durableId="1546523775">
    <w:abstractNumId w:val="3"/>
  </w:num>
  <w:num w:numId="18" w16cid:durableId="1044912192">
    <w:abstractNumId w:val="1"/>
  </w:num>
  <w:num w:numId="19" w16cid:durableId="1357806219">
    <w:abstractNumId w:val="30"/>
  </w:num>
  <w:num w:numId="20" w16cid:durableId="512650905">
    <w:abstractNumId w:val="9"/>
  </w:num>
  <w:num w:numId="21" w16cid:durableId="58289832">
    <w:abstractNumId w:val="32"/>
  </w:num>
  <w:num w:numId="22" w16cid:durableId="63530022">
    <w:abstractNumId w:val="19"/>
  </w:num>
  <w:num w:numId="23" w16cid:durableId="241763537">
    <w:abstractNumId w:val="34"/>
  </w:num>
  <w:num w:numId="24" w16cid:durableId="2043944040">
    <w:abstractNumId w:val="35"/>
  </w:num>
  <w:num w:numId="25" w16cid:durableId="1574243003">
    <w:abstractNumId w:val="26"/>
  </w:num>
  <w:num w:numId="26" w16cid:durableId="1564022381">
    <w:abstractNumId w:val="37"/>
  </w:num>
  <w:num w:numId="27" w16cid:durableId="1332561060">
    <w:abstractNumId w:val="0"/>
  </w:num>
  <w:num w:numId="28" w16cid:durableId="146284709">
    <w:abstractNumId w:val="4"/>
  </w:num>
  <w:num w:numId="29" w16cid:durableId="866210971">
    <w:abstractNumId w:val="18"/>
  </w:num>
  <w:num w:numId="30" w16cid:durableId="1352948765">
    <w:abstractNumId w:val="8"/>
  </w:num>
  <w:num w:numId="31" w16cid:durableId="315498008">
    <w:abstractNumId w:val="13"/>
  </w:num>
  <w:num w:numId="32" w16cid:durableId="662589130">
    <w:abstractNumId w:val="10"/>
  </w:num>
  <w:num w:numId="33" w16cid:durableId="2140222215">
    <w:abstractNumId w:val="22"/>
  </w:num>
  <w:num w:numId="34" w16cid:durableId="524250681">
    <w:abstractNumId w:val="24"/>
  </w:num>
  <w:num w:numId="35" w16cid:durableId="1605726793">
    <w:abstractNumId w:val="2"/>
  </w:num>
  <w:num w:numId="36" w16cid:durableId="336537036">
    <w:abstractNumId w:val="17"/>
  </w:num>
  <w:num w:numId="37" w16cid:durableId="515382596">
    <w:abstractNumId w:val="21"/>
  </w:num>
  <w:num w:numId="38" w16cid:durableId="1541280218">
    <w:abstractNumId w:val="11"/>
  </w:num>
  <w:num w:numId="39" w16cid:durableId="64566840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664"/>
    <w:rsid w:val="000005E5"/>
    <w:rsid w:val="00000908"/>
    <w:rsid w:val="00000936"/>
    <w:rsid w:val="00000DD0"/>
    <w:rsid w:val="00000E17"/>
    <w:rsid w:val="00000F6B"/>
    <w:rsid w:val="00001229"/>
    <w:rsid w:val="00001B75"/>
    <w:rsid w:val="00001DA3"/>
    <w:rsid w:val="000021F5"/>
    <w:rsid w:val="0000225A"/>
    <w:rsid w:val="000022C2"/>
    <w:rsid w:val="000022C8"/>
    <w:rsid w:val="00002639"/>
    <w:rsid w:val="00002E4E"/>
    <w:rsid w:val="00002EE3"/>
    <w:rsid w:val="000030AB"/>
    <w:rsid w:val="000030FB"/>
    <w:rsid w:val="000034C8"/>
    <w:rsid w:val="000038A5"/>
    <w:rsid w:val="0000393B"/>
    <w:rsid w:val="00003A61"/>
    <w:rsid w:val="00003D9E"/>
    <w:rsid w:val="00003F40"/>
    <w:rsid w:val="00003FFD"/>
    <w:rsid w:val="000049EE"/>
    <w:rsid w:val="00004BB9"/>
    <w:rsid w:val="00004F52"/>
    <w:rsid w:val="00005185"/>
    <w:rsid w:val="00005B60"/>
    <w:rsid w:val="00005C0B"/>
    <w:rsid w:val="00005CCE"/>
    <w:rsid w:val="00006091"/>
    <w:rsid w:val="00006462"/>
    <w:rsid w:val="0000654A"/>
    <w:rsid w:val="00006583"/>
    <w:rsid w:val="00006934"/>
    <w:rsid w:val="00006D3A"/>
    <w:rsid w:val="00006F00"/>
    <w:rsid w:val="0000753B"/>
    <w:rsid w:val="000075D9"/>
    <w:rsid w:val="0000761B"/>
    <w:rsid w:val="00007799"/>
    <w:rsid w:val="00007DB9"/>
    <w:rsid w:val="00007DE0"/>
    <w:rsid w:val="00007EFF"/>
    <w:rsid w:val="000106CC"/>
    <w:rsid w:val="00010857"/>
    <w:rsid w:val="00010997"/>
    <w:rsid w:val="00010B1A"/>
    <w:rsid w:val="00010D14"/>
    <w:rsid w:val="000111ED"/>
    <w:rsid w:val="000112DB"/>
    <w:rsid w:val="0001141D"/>
    <w:rsid w:val="000114FB"/>
    <w:rsid w:val="000116BF"/>
    <w:rsid w:val="000116D3"/>
    <w:rsid w:val="00011725"/>
    <w:rsid w:val="000117D5"/>
    <w:rsid w:val="00011C56"/>
    <w:rsid w:val="00011FB8"/>
    <w:rsid w:val="000120D5"/>
    <w:rsid w:val="00012667"/>
    <w:rsid w:val="00013144"/>
    <w:rsid w:val="00013356"/>
    <w:rsid w:val="00013700"/>
    <w:rsid w:val="00013809"/>
    <w:rsid w:val="00013EEE"/>
    <w:rsid w:val="00013FD8"/>
    <w:rsid w:val="000142AB"/>
    <w:rsid w:val="000144DD"/>
    <w:rsid w:val="000146AC"/>
    <w:rsid w:val="00014B69"/>
    <w:rsid w:val="00014D07"/>
    <w:rsid w:val="00014D27"/>
    <w:rsid w:val="00014DBD"/>
    <w:rsid w:val="00014DE2"/>
    <w:rsid w:val="00014E12"/>
    <w:rsid w:val="00014E24"/>
    <w:rsid w:val="00014E31"/>
    <w:rsid w:val="00014ED7"/>
    <w:rsid w:val="000151E4"/>
    <w:rsid w:val="00015305"/>
    <w:rsid w:val="000155D0"/>
    <w:rsid w:val="000157B3"/>
    <w:rsid w:val="000157FD"/>
    <w:rsid w:val="00015876"/>
    <w:rsid w:val="000158F6"/>
    <w:rsid w:val="00015903"/>
    <w:rsid w:val="00015934"/>
    <w:rsid w:val="00015A8F"/>
    <w:rsid w:val="00015B0E"/>
    <w:rsid w:val="00015B1A"/>
    <w:rsid w:val="00015DF8"/>
    <w:rsid w:val="000160FF"/>
    <w:rsid w:val="00016910"/>
    <w:rsid w:val="000169B6"/>
    <w:rsid w:val="00016DC1"/>
    <w:rsid w:val="00017206"/>
    <w:rsid w:val="00017260"/>
    <w:rsid w:val="0001746E"/>
    <w:rsid w:val="0001751D"/>
    <w:rsid w:val="000176E5"/>
    <w:rsid w:val="0001770A"/>
    <w:rsid w:val="00017876"/>
    <w:rsid w:val="000202CD"/>
    <w:rsid w:val="0002052D"/>
    <w:rsid w:val="00020A25"/>
    <w:rsid w:val="00020C5D"/>
    <w:rsid w:val="00021595"/>
    <w:rsid w:val="00021D16"/>
    <w:rsid w:val="00021F10"/>
    <w:rsid w:val="00022980"/>
    <w:rsid w:val="00022982"/>
    <w:rsid w:val="00022E81"/>
    <w:rsid w:val="00022F46"/>
    <w:rsid w:val="000231AE"/>
    <w:rsid w:val="00023523"/>
    <w:rsid w:val="0002367F"/>
    <w:rsid w:val="00023688"/>
    <w:rsid w:val="000238B3"/>
    <w:rsid w:val="00023C70"/>
    <w:rsid w:val="00023F8A"/>
    <w:rsid w:val="000240F5"/>
    <w:rsid w:val="0002434E"/>
    <w:rsid w:val="000244D7"/>
    <w:rsid w:val="000244FF"/>
    <w:rsid w:val="000248AB"/>
    <w:rsid w:val="00024D88"/>
    <w:rsid w:val="00024DB2"/>
    <w:rsid w:val="00024E1A"/>
    <w:rsid w:val="00025140"/>
    <w:rsid w:val="000251B2"/>
    <w:rsid w:val="0002520A"/>
    <w:rsid w:val="0002522D"/>
    <w:rsid w:val="000253B6"/>
    <w:rsid w:val="00025FB4"/>
    <w:rsid w:val="000260B7"/>
    <w:rsid w:val="0002637E"/>
    <w:rsid w:val="0002669B"/>
    <w:rsid w:val="000269AB"/>
    <w:rsid w:val="00026AC0"/>
    <w:rsid w:val="00026B42"/>
    <w:rsid w:val="00026B62"/>
    <w:rsid w:val="00026C7D"/>
    <w:rsid w:val="00026E4F"/>
    <w:rsid w:val="00026EF9"/>
    <w:rsid w:val="000272DC"/>
    <w:rsid w:val="00027450"/>
    <w:rsid w:val="00027624"/>
    <w:rsid w:val="00027B8B"/>
    <w:rsid w:val="00030096"/>
    <w:rsid w:val="0003035A"/>
    <w:rsid w:val="0003044C"/>
    <w:rsid w:val="000305BF"/>
    <w:rsid w:val="00030683"/>
    <w:rsid w:val="000306E9"/>
    <w:rsid w:val="00030A70"/>
    <w:rsid w:val="00030DA7"/>
    <w:rsid w:val="00031347"/>
    <w:rsid w:val="0003136A"/>
    <w:rsid w:val="00031425"/>
    <w:rsid w:val="00031502"/>
    <w:rsid w:val="0003166F"/>
    <w:rsid w:val="000316C2"/>
    <w:rsid w:val="000318AA"/>
    <w:rsid w:val="00031CA6"/>
    <w:rsid w:val="00031CB4"/>
    <w:rsid w:val="00031DD6"/>
    <w:rsid w:val="000320FF"/>
    <w:rsid w:val="00032180"/>
    <w:rsid w:val="0003234A"/>
    <w:rsid w:val="000325D7"/>
    <w:rsid w:val="000326E3"/>
    <w:rsid w:val="000329AE"/>
    <w:rsid w:val="00032AE6"/>
    <w:rsid w:val="00032CA0"/>
    <w:rsid w:val="00032F2B"/>
    <w:rsid w:val="00033132"/>
    <w:rsid w:val="00033225"/>
    <w:rsid w:val="0003351D"/>
    <w:rsid w:val="000338AB"/>
    <w:rsid w:val="00033D3A"/>
    <w:rsid w:val="00033D5D"/>
    <w:rsid w:val="0003416E"/>
    <w:rsid w:val="00034B3E"/>
    <w:rsid w:val="00034F47"/>
    <w:rsid w:val="00035542"/>
    <w:rsid w:val="00035A62"/>
    <w:rsid w:val="00035BB4"/>
    <w:rsid w:val="00035DA7"/>
    <w:rsid w:val="00035F36"/>
    <w:rsid w:val="00036039"/>
    <w:rsid w:val="00036222"/>
    <w:rsid w:val="00036313"/>
    <w:rsid w:val="00036477"/>
    <w:rsid w:val="0003657F"/>
    <w:rsid w:val="000365DD"/>
    <w:rsid w:val="00036E9E"/>
    <w:rsid w:val="00036F6D"/>
    <w:rsid w:val="00037113"/>
    <w:rsid w:val="000375BD"/>
    <w:rsid w:val="00037D9C"/>
    <w:rsid w:val="00037EA1"/>
    <w:rsid w:val="00040574"/>
    <w:rsid w:val="000405C5"/>
    <w:rsid w:val="00040779"/>
    <w:rsid w:val="0004079D"/>
    <w:rsid w:val="00041256"/>
    <w:rsid w:val="00041603"/>
    <w:rsid w:val="00041794"/>
    <w:rsid w:val="000417C1"/>
    <w:rsid w:val="00041C92"/>
    <w:rsid w:val="00041E3C"/>
    <w:rsid w:val="00041EE3"/>
    <w:rsid w:val="0004243C"/>
    <w:rsid w:val="0004264D"/>
    <w:rsid w:val="0004284F"/>
    <w:rsid w:val="00042926"/>
    <w:rsid w:val="00042EB0"/>
    <w:rsid w:val="00042F20"/>
    <w:rsid w:val="00042FDF"/>
    <w:rsid w:val="0004300C"/>
    <w:rsid w:val="0004329A"/>
    <w:rsid w:val="00043420"/>
    <w:rsid w:val="00043740"/>
    <w:rsid w:val="00043849"/>
    <w:rsid w:val="00043D17"/>
    <w:rsid w:val="00043DD8"/>
    <w:rsid w:val="00044238"/>
    <w:rsid w:val="00044949"/>
    <w:rsid w:val="000451DB"/>
    <w:rsid w:val="0004541C"/>
    <w:rsid w:val="000457C2"/>
    <w:rsid w:val="00045C54"/>
    <w:rsid w:val="00045F39"/>
    <w:rsid w:val="00045F9C"/>
    <w:rsid w:val="00045FB6"/>
    <w:rsid w:val="0004640F"/>
    <w:rsid w:val="0004670E"/>
    <w:rsid w:val="00046AC5"/>
    <w:rsid w:val="00046D05"/>
    <w:rsid w:val="000470DB"/>
    <w:rsid w:val="00047525"/>
    <w:rsid w:val="00047661"/>
    <w:rsid w:val="000476F9"/>
    <w:rsid w:val="00047B08"/>
    <w:rsid w:val="00047BDB"/>
    <w:rsid w:val="000503E1"/>
    <w:rsid w:val="000503E5"/>
    <w:rsid w:val="000505C2"/>
    <w:rsid w:val="0005074D"/>
    <w:rsid w:val="00050A0A"/>
    <w:rsid w:val="00050C99"/>
    <w:rsid w:val="00050CDD"/>
    <w:rsid w:val="00050D3D"/>
    <w:rsid w:val="000512C7"/>
    <w:rsid w:val="000512FD"/>
    <w:rsid w:val="0005174B"/>
    <w:rsid w:val="00051B96"/>
    <w:rsid w:val="00051E3B"/>
    <w:rsid w:val="000523A0"/>
    <w:rsid w:val="00052685"/>
    <w:rsid w:val="0005268D"/>
    <w:rsid w:val="000529FD"/>
    <w:rsid w:val="00052D09"/>
    <w:rsid w:val="00053861"/>
    <w:rsid w:val="00053E6D"/>
    <w:rsid w:val="00053F8F"/>
    <w:rsid w:val="0005457D"/>
    <w:rsid w:val="00054EED"/>
    <w:rsid w:val="0005536E"/>
    <w:rsid w:val="000554A2"/>
    <w:rsid w:val="00055753"/>
    <w:rsid w:val="00055C22"/>
    <w:rsid w:val="00055D02"/>
    <w:rsid w:val="00055D71"/>
    <w:rsid w:val="000561D2"/>
    <w:rsid w:val="00056225"/>
    <w:rsid w:val="000564A0"/>
    <w:rsid w:val="000564B3"/>
    <w:rsid w:val="000566B7"/>
    <w:rsid w:val="00056919"/>
    <w:rsid w:val="0005694B"/>
    <w:rsid w:val="00056A5A"/>
    <w:rsid w:val="00056D16"/>
    <w:rsid w:val="00056EB4"/>
    <w:rsid w:val="00056F63"/>
    <w:rsid w:val="00057BE6"/>
    <w:rsid w:val="00057EFE"/>
    <w:rsid w:val="00060517"/>
    <w:rsid w:val="00060570"/>
    <w:rsid w:val="00060A67"/>
    <w:rsid w:val="00060BA9"/>
    <w:rsid w:val="00060C1F"/>
    <w:rsid w:val="00060D12"/>
    <w:rsid w:val="00060D9D"/>
    <w:rsid w:val="00061AC4"/>
    <w:rsid w:val="00061ACF"/>
    <w:rsid w:val="00061CEC"/>
    <w:rsid w:val="00061E29"/>
    <w:rsid w:val="0006211A"/>
    <w:rsid w:val="0006222B"/>
    <w:rsid w:val="0006288F"/>
    <w:rsid w:val="00062BB6"/>
    <w:rsid w:val="00062C7D"/>
    <w:rsid w:val="00062E5C"/>
    <w:rsid w:val="0006321B"/>
    <w:rsid w:val="000636BC"/>
    <w:rsid w:val="00063765"/>
    <w:rsid w:val="00063A0A"/>
    <w:rsid w:val="00063D11"/>
    <w:rsid w:val="000641D1"/>
    <w:rsid w:val="0006425A"/>
    <w:rsid w:val="000642C5"/>
    <w:rsid w:val="0006480E"/>
    <w:rsid w:val="00064A9D"/>
    <w:rsid w:val="00064B93"/>
    <w:rsid w:val="00064C42"/>
    <w:rsid w:val="00064EE3"/>
    <w:rsid w:val="00064F03"/>
    <w:rsid w:val="00064F95"/>
    <w:rsid w:val="0006519C"/>
    <w:rsid w:val="0006530E"/>
    <w:rsid w:val="000658EC"/>
    <w:rsid w:val="00065EC0"/>
    <w:rsid w:val="00065F30"/>
    <w:rsid w:val="000660D9"/>
    <w:rsid w:val="000662C7"/>
    <w:rsid w:val="0006637E"/>
    <w:rsid w:val="0006661B"/>
    <w:rsid w:val="0006669A"/>
    <w:rsid w:val="00066D39"/>
    <w:rsid w:val="00067202"/>
    <w:rsid w:val="00067242"/>
    <w:rsid w:val="00067CD7"/>
    <w:rsid w:val="000700AD"/>
    <w:rsid w:val="000701FA"/>
    <w:rsid w:val="00070543"/>
    <w:rsid w:val="00070571"/>
    <w:rsid w:val="0007063C"/>
    <w:rsid w:val="000707DE"/>
    <w:rsid w:val="00070816"/>
    <w:rsid w:val="000708DB"/>
    <w:rsid w:val="00070A1B"/>
    <w:rsid w:val="00070E4F"/>
    <w:rsid w:val="0007148D"/>
    <w:rsid w:val="000717D5"/>
    <w:rsid w:val="00071AEC"/>
    <w:rsid w:val="00071EEC"/>
    <w:rsid w:val="00071FE3"/>
    <w:rsid w:val="0007210C"/>
    <w:rsid w:val="0007213A"/>
    <w:rsid w:val="000722E9"/>
    <w:rsid w:val="000725B5"/>
    <w:rsid w:val="000726C1"/>
    <w:rsid w:val="000729A4"/>
    <w:rsid w:val="0007307D"/>
    <w:rsid w:val="00073124"/>
    <w:rsid w:val="00073224"/>
    <w:rsid w:val="00073279"/>
    <w:rsid w:val="00073638"/>
    <w:rsid w:val="000737E7"/>
    <w:rsid w:val="00073A9E"/>
    <w:rsid w:val="00073D3E"/>
    <w:rsid w:val="00073E27"/>
    <w:rsid w:val="00073E9A"/>
    <w:rsid w:val="000742E7"/>
    <w:rsid w:val="000743A1"/>
    <w:rsid w:val="0007452F"/>
    <w:rsid w:val="0007492C"/>
    <w:rsid w:val="00074A46"/>
    <w:rsid w:val="00074B9B"/>
    <w:rsid w:val="00075002"/>
    <w:rsid w:val="00075166"/>
    <w:rsid w:val="0007554F"/>
    <w:rsid w:val="0007596F"/>
    <w:rsid w:val="00075B34"/>
    <w:rsid w:val="00075BEE"/>
    <w:rsid w:val="00075CDC"/>
    <w:rsid w:val="00075F3A"/>
    <w:rsid w:val="00075FE6"/>
    <w:rsid w:val="00076105"/>
    <w:rsid w:val="0007638D"/>
    <w:rsid w:val="0007650B"/>
    <w:rsid w:val="000766B7"/>
    <w:rsid w:val="00076CD5"/>
    <w:rsid w:val="00077062"/>
    <w:rsid w:val="000770E5"/>
    <w:rsid w:val="000776CD"/>
    <w:rsid w:val="0007774F"/>
    <w:rsid w:val="00077792"/>
    <w:rsid w:val="0008004D"/>
    <w:rsid w:val="00080072"/>
    <w:rsid w:val="0008007F"/>
    <w:rsid w:val="00080C86"/>
    <w:rsid w:val="000811CE"/>
    <w:rsid w:val="000811E3"/>
    <w:rsid w:val="00081542"/>
    <w:rsid w:val="000816E2"/>
    <w:rsid w:val="000821EA"/>
    <w:rsid w:val="000824B0"/>
    <w:rsid w:val="0008272C"/>
    <w:rsid w:val="0008280E"/>
    <w:rsid w:val="000830A0"/>
    <w:rsid w:val="00083348"/>
    <w:rsid w:val="000834B2"/>
    <w:rsid w:val="00083565"/>
    <w:rsid w:val="00083C7D"/>
    <w:rsid w:val="00083D81"/>
    <w:rsid w:val="00083E13"/>
    <w:rsid w:val="00083E3E"/>
    <w:rsid w:val="0008415D"/>
    <w:rsid w:val="000844B0"/>
    <w:rsid w:val="0008461B"/>
    <w:rsid w:val="00084677"/>
    <w:rsid w:val="00084C5F"/>
    <w:rsid w:val="00084FF5"/>
    <w:rsid w:val="00085019"/>
    <w:rsid w:val="000855F1"/>
    <w:rsid w:val="00085F4A"/>
    <w:rsid w:val="000862AB"/>
    <w:rsid w:val="00086EA5"/>
    <w:rsid w:val="000874B3"/>
    <w:rsid w:val="000874E8"/>
    <w:rsid w:val="00087D1E"/>
    <w:rsid w:val="000901B2"/>
    <w:rsid w:val="000901CD"/>
    <w:rsid w:val="00090208"/>
    <w:rsid w:val="00090267"/>
    <w:rsid w:val="00090C68"/>
    <w:rsid w:val="00090D14"/>
    <w:rsid w:val="00091111"/>
    <w:rsid w:val="00091202"/>
    <w:rsid w:val="0009172D"/>
    <w:rsid w:val="00091BD9"/>
    <w:rsid w:val="00091C27"/>
    <w:rsid w:val="00092217"/>
    <w:rsid w:val="00092809"/>
    <w:rsid w:val="000928EA"/>
    <w:rsid w:val="00092ACA"/>
    <w:rsid w:val="00092CD2"/>
    <w:rsid w:val="000932B8"/>
    <w:rsid w:val="0009352F"/>
    <w:rsid w:val="00093FE7"/>
    <w:rsid w:val="00094146"/>
    <w:rsid w:val="00094818"/>
    <w:rsid w:val="00094924"/>
    <w:rsid w:val="000949CB"/>
    <w:rsid w:val="00094E15"/>
    <w:rsid w:val="00094FB3"/>
    <w:rsid w:val="0009500F"/>
    <w:rsid w:val="000951C0"/>
    <w:rsid w:val="000952F1"/>
    <w:rsid w:val="000955F3"/>
    <w:rsid w:val="000956E6"/>
    <w:rsid w:val="00095A7F"/>
    <w:rsid w:val="00095D34"/>
    <w:rsid w:val="0009608D"/>
    <w:rsid w:val="0009641A"/>
    <w:rsid w:val="0009665E"/>
    <w:rsid w:val="00096822"/>
    <w:rsid w:val="000968DF"/>
    <w:rsid w:val="00096DB4"/>
    <w:rsid w:val="0009706E"/>
    <w:rsid w:val="0009739E"/>
    <w:rsid w:val="00097700"/>
    <w:rsid w:val="00097D80"/>
    <w:rsid w:val="00097E50"/>
    <w:rsid w:val="000A0466"/>
    <w:rsid w:val="000A046C"/>
    <w:rsid w:val="000A04F7"/>
    <w:rsid w:val="000A04FB"/>
    <w:rsid w:val="000A0549"/>
    <w:rsid w:val="000A0D95"/>
    <w:rsid w:val="000A11E7"/>
    <w:rsid w:val="000A1566"/>
    <w:rsid w:val="000A1872"/>
    <w:rsid w:val="000A1B41"/>
    <w:rsid w:val="000A1DB2"/>
    <w:rsid w:val="000A1E9E"/>
    <w:rsid w:val="000A205B"/>
    <w:rsid w:val="000A2111"/>
    <w:rsid w:val="000A248B"/>
    <w:rsid w:val="000A2838"/>
    <w:rsid w:val="000A2E53"/>
    <w:rsid w:val="000A2E67"/>
    <w:rsid w:val="000A2F57"/>
    <w:rsid w:val="000A303F"/>
    <w:rsid w:val="000A324A"/>
    <w:rsid w:val="000A366A"/>
    <w:rsid w:val="000A3EED"/>
    <w:rsid w:val="000A4848"/>
    <w:rsid w:val="000A4853"/>
    <w:rsid w:val="000A48D2"/>
    <w:rsid w:val="000A4A60"/>
    <w:rsid w:val="000A4D08"/>
    <w:rsid w:val="000A500F"/>
    <w:rsid w:val="000A5162"/>
    <w:rsid w:val="000A5531"/>
    <w:rsid w:val="000A5578"/>
    <w:rsid w:val="000A5976"/>
    <w:rsid w:val="000A5BEF"/>
    <w:rsid w:val="000A5C39"/>
    <w:rsid w:val="000A6074"/>
    <w:rsid w:val="000A6472"/>
    <w:rsid w:val="000A6D35"/>
    <w:rsid w:val="000A6D4C"/>
    <w:rsid w:val="000A6D5C"/>
    <w:rsid w:val="000A70E9"/>
    <w:rsid w:val="000A71CE"/>
    <w:rsid w:val="000A7291"/>
    <w:rsid w:val="000A72E9"/>
    <w:rsid w:val="000A75EE"/>
    <w:rsid w:val="000A77F8"/>
    <w:rsid w:val="000A7FC3"/>
    <w:rsid w:val="000B033B"/>
    <w:rsid w:val="000B0358"/>
    <w:rsid w:val="000B0676"/>
    <w:rsid w:val="000B06EA"/>
    <w:rsid w:val="000B07AE"/>
    <w:rsid w:val="000B0BAD"/>
    <w:rsid w:val="000B0D06"/>
    <w:rsid w:val="000B1085"/>
    <w:rsid w:val="000B10E1"/>
    <w:rsid w:val="000B11FE"/>
    <w:rsid w:val="000B1276"/>
    <w:rsid w:val="000B1433"/>
    <w:rsid w:val="000B148C"/>
    <w:rsid w:val="000B151C"/>
    <w:rsid w:val="000B1958"/>
    <w:rsid w:val="000B1965"/>
    <w:rsid w:val="000B1E7D"/>
    <w:rsid w:val="000B2047"/>
    <w:rsid w:val="000B2219"/>
    <w:rsid w:val="000B2228"/>
    <w:rsid w:val="000B2773"/>
    <w:rsid w:val="000B2EA7"/>
    <w:rsid w:val="000B32BC"/>
    <w:rsid w:val="000B32BD"/>
    <w:rsid w:val="000B3357"/>
    <w:rsid w:val="000B413D"/>
    <w:rsid w:val="000B42F9"/>
    <w:rsid w:val="000B43D5"/>
    <w:rsid w:val="000B484C"/>
    <w:rsid w:val="000B50F0"/>
    <w:rsid w:val="000B5980"/>
    <w:rsid w:val="000B5EB9"/>
    <w:rsid w:val="000B650A"/>
    <w:rsid w:val="000B664C"/>
    <w:rsid w:val="000B6B10"/>
    <w:rsid w:val="000B6B37"/>
    <w:rsid w:val="000B6BE9"/>
    <w:rsid w:val="000B7007"/>
    <w:rsid w:val="000B72FA"/>
    <w:rsid w:val="000B7888"/>
    <w:rsid w:val="000B78B8"/>
    <w:rsid w:val="000B7BBE"/>
    <w:rsid w:val="000B7C48"/>
    <w:rsid w:val="000B7F2D"/>
    <w:rsid w:val="000C0223"/>
    <w:rsid w:val="000C037F"/>
    <w:rsid w:val="000C03F6"/>
    <w:rsid w:val="000C042B"/>
    <w:rsid w:val="000C04B9"/>
    <w:rsid w:val="000C0638"/>
    <w:rsid w:val="000C074D"/>
    <w:rsid w:val="000C08D3"/>
    <w:rsid w:val="000C1000"/>
    <w:rsid w:val="000C10DA"/>
    <w:rsid w:val="000C130D"/>
    <w:rsid w:val="000C1403"/>
    <w:rsid w:val="000C14D8"/>
    <w:rsid w:val="000C160B"/>
    <w:rsid w:val="000C1AC9"/>
    <w:rsid w:val="000C1F6C"/>
    <w:rsid w:val="000C2456"/>
    <w:rsid w:val="000C2B93"/>
    <w:rsid w:val="000C2BA0"/>
    <w:rsid w:val="000C2BEE"/>
    <w:rsid w:val="000C2C24"/>
    <w:rsid w:val="000C2DBD"/>
    <w:rsid w:val="000C2EF4"/>
    <w:rsid w:val="000C2F22"/>
    <w:rsid w:val="000C3401"/>
    <w:rsid w:val="000C343D"/>
    <w:rsid w:val="000C34AF"/>
    <w:rsid w:val="000C353B"/>
    <w:rsid w:val="000C3611"/>
    <w:rsid w:val="000C3A25"/>
    <w:rsid w:val="000C3F26"/>
    <w:rsid w:val="000C416B"/>
    <w:rsid w:val="000C4794"/>
    <w:rsid w:val="000C48F1"/>
    <w:rsid w:val="000C4B3F"/>
    <w:rsid w:val="000C513F"/>
    <w:rsid w:val="000C5211"/>
    <w:rsid w:val="000C53D5"/>
    <w:rsid w:val="000C57F8"/>
    <w:rsid w:val="000C5886"/>
    <w:rsid w:val="000C5BDA"/>
    <w:rsid w:val="000C5D0E"/>
    <w:rsid w:val="000C6046"/>
    <w:rsid w:val="000C69B4"/>
    <w:rsid w:val="000C6A29"/>
    <w:rsid w:val="000C6BC2"/>
    <w:rsid w:val="000C6D40"/>
    <w:rsid w:val="000C6D41"/>
    <w:rsid w:val="000C7056"/>
    <w:rsid w:val="000C70A3"/>
    <w:rsid w:val="000C72A6"/>
    <w:rsid w:val="000C776C"/>
    <w:rsid w:val="000C7D36"/>
    <w:rsid w:val="000C7ECC"/>
    <w:rsid w:val="000D023F"/>
    <w:rsid w:val="000D0419"/>
    <w:rsid w:val="000D05F6"/>
    <w:rsid w:val="000D09AF"/>
    <w:rsid w:val="000D0BDA"/>
    <w:rsid w:val="000D0EB7"/>
    <w:rsid w:val="000D1091"/>
    <w:rsid w:val="000D133D"/>
    <w:rsid w:val="000D16AA"/>
    <w:rsid w:val="000D1989"/>
    <w:rsid w:val="000D1BC9"/>
    <w:rsid w:val="000D1DFF"/>
    <w:rsid w:val="000D2435"/>
    <w:rsid w:val="000D282C"/>
    <w:rsid w:val="000D293A"/>
    <w:rsid w:val="000D2A16"/>
    <w:rsid w:val="000D2A58"/>
    <w:rsid w:val="000D2ABD"/>
    <w:rsid w:val="000D2EAD"/>
    <w:rsid w:val="000D3185"/>
    <w:rsid w:val="000D3405"/>
    <w:rsid w:val="000D35D3"/>
    <w:rsid w:val="000D3769"/>
    <w:rsid w:val="000D3B72"/>
    <w:rsid w:val="000D3D5E"/>
    <w:rsid w:val="000D4325"/>
    <w:rsid w:val="000D44EA"/>
    <w:rsid w:val="000D45F5"/>
    <w:rsid w:val="000D49FC"/>
    <w:rsid w:val="000D4D62"/>
    <w:rsid w:val="000D4FC2"/>
    <w:rsid w:val="000D519F"/>
    <w:rsid w:val="000D545F"/>
    <w:rsid w:val="000D549F"/>
    <w:rsid w:val="000D5664"/>
    <w:rsid w:val="000D5784"/>
    <w:rsid w:val="000D5AC6"/>
    <w:rsid w:val="000D5DF2"/>
    <w:rsid w:val="000D61E9"/>
    <w:rsid w:val="000D63C2"/>
    <w:rsid w:val="000D65AD"/>
    <w:rsid w:val="000D67EC"/>
    <w:rsid w:val="000D6A07"/>
    <w:rsid w:val="000D6F16"/>
    <w:rsid w:val="000D7955"/>
    <w:rsid w:val="000D7C32"/>
    <w:rsid w:val="000D7D1A"/>
    <w:rsid w:val="000D7EB5"/>
    <w:rsid w:val="000D7ECF"/>
    <w:rsid w:val="000E030B"/>
    <w:rsid w:val="000E0420"/>
    <w:rsid w:val="000E0537"/>
    <w:rsid w:val="000E0744"/>
    <w:rsid w:val="000E0AC0"/>
    <w:rsid w:val="000E0BAA"/>
    <w:rsid w:val="000E0BB2"/>
    <w:rsid w:val="000E0CF6"/>
    <w:rsid w:val="000E0E1E"/>
    <w:rsid w:val="000E10CE"/>
    <w:rsid w:val="000E1614"/>
    <w:rsid w:val="000E1B10"/>
    <w:rsid w:val="000E1C72"/>
    <w:rsid w:val="000E1D70"/>
    <w:rsid w:val="000E1E78"/>
    <w:rsid w:val="000E2185"/>
    <w:rsid w:val="000E2219"/>
    <w:rsid w:val="000E26BB"/>
    <w:rsid w:val="000E28A5"/>
    <w:rsid w:val="000E290A"/>
    <w:rsid w:val="000E2B5D"/>
    <w:rsid w:val="000E2D78"/>
    <w:rsid w:val="000E3030"/>
    <w:rsid w:val="000E33B1"/>
    <w:rsid w:val="000E3569"/>
    <w:rsid w:val="000E3657"/>
    <w:rsid w:val="000E3811"/>
    <w:rsid w:val="000E38A8"/>
    <w:rsid w:val="000E3969"/>
    <w:rsid w:val="000E3B39"/>
    <w:rsid w:val="000E3D12"/>
    <w:rsid w:val="000E3E15"/>
    <w:rsid w:val="000E3FEF"/>
    <w:rsid w:val="000E419F"/>
    <w:rsid w:val="000E47CD"/>
    <w:rsid w:val="000E494A"/>
    <w:rsid w:val="000E4B0A"/>
    <w:rsid w:val="000E4B81"/>
    <w:rsid w:val="000E4DBF"/>
    <w:rsid w:val="000E5199"/>
    <w:rsid w:val="000E549C"/>
    <w:rsid w:val="000E5ECC"/>
    <w:rsid w:val="000E6268"/>
    <w:rsid w:val="000E653C"/>
    <w:rsid w:val="000E676C"/>
    <w:rsid w:val="000E67B1"/>
    <w:rsid w:val="000E69D4"/>
    <w:rsid w:val="000E6A6B"/>
    <w:rsid w:val="000E6B08"/>
    <w:rsid w:val="000E6DBF"/>
    <w:rsid w:val="000E72CB"/>
    <w:rsid w:val="000E73A4"/>
    <w:rsid w:val="000E7811"/>
    <w:rsid w:val="000E7ADA"/>
    <w:rsid w:val="000E7B1A"/>
    <w:rsid w:val="000E7DDE"/>
    <w:rsid w:val="000E7F08"/>
    <w:rsid w:val="000F0972"/>
    <w:rsid w:val="000F0982"/>
    <w:rsid w:val="000F09A4"/>
    <w:rsid w:val="000F09DA"/>
    <w:rsid w:val="000F0BD4"/>
    <w:rsid w:val="000F0CDA"/>
    <w:rsid w:val="000F1093"/>
    <w:rsid w:val="000F1211"/>
    <w:rsid w:val="000F188C"/>
    <w:rsid w:val="000F1940"/>
    <w:rsid w:val="000F19EB"/>
    <w:rsid w:val="000F1A19"/>
    <w:rsid w:val="000F1DA2"/>
    <w:rsid w:val="000F1E36"/>
    <w:rsid w:val="000F21F2"/>
    <w:rsid w:val="000F23BC"/>
    <w:rsid w:val="000F25A7"/>
    <w:rsid w:val="000F263B"/>
    <w:rsid w:val="000F2A1C"/>
    <w:rsid w:val="000F305E"/>
    <w:rsid w:val="000F32C2"/>
    <w:rsid w:val="000F3400"/>
    <w:rsid w:val="000F35AD"/>
    <w:rsid w:val="000F3ADE"/>
    <w:rsid w:val="000F3BB0"/>
    <w:rsid w:val="000F3D29"/>
    <w:rsid w:val="000F4251"/>
    <w:rsid w:val="000F432E"/>
    <w:rsid w:val="000F4666"/>
    <w:rsid w:val="000F48F9"/>
    <w:rsid w:val="000F4C18"/>
    <w:rsid w:val="000F4CBA"/>
    <w:rsid w:val="000F4EF6"/>
    <w:rsid w:val="000F5593"/>
    <w:rsid w:val="000F5658"/>
    <w:rsid w:val="000F5DF6"/>
    <w:rsid w:val="000F5F99"/>
    <w:rsid w:val="000F6255"/>
    <w:rsid w:val="000F6258"/>
    <w:rsid w:val="000F6648"/>
    <w:rsid w:val="000F66D9"/>
    <w:rsid w:val="000F6711"/>
    <w:rsid w:val="000F672E"/>
    <w:rsid w:val="000F69F0"/>
    <w:rsid w:val="000F6B9A"/>
    <w:rsid w:val="000F6D6B"/>
    <w:rsid w:val="000F6F36"/>
    <w:rsid w:val="000F7343"/>
    <w:rsid w:val="000F797D"/>
    <w:rsid w:val="000F7A8F"/>
    <w:rsid w:val="000F7C44"/>
    <w:rsid w:val="000F7FBD"/>
    <w:rsid w:val="000F7FCE"/>
    <w:rsid w:val="00100400"/>
    <w:rsid w:val="001005BB"/>
    <w:rsid w:val="0010096C"/>
    <w:rsid w:val="00100ADA"/>
    <w:rsid w:val="00101378"/>
    <w:rsid w:val="0010151E"/>
    <w:rsid w:val="0010197A"/>
    <w:rsid w:val="0010199F"/>
    <w:rsid w:val="00101D30"/>
    <w:rsid w:val="00101DAD"/>
    <w:rsid w:val="00101F59"/>
    <w:rsid w:val="00101FDB"/>
    <w:rsid w:val="0010226B"/>
    <w:rsid w:val="00102433"/>
    <w:rsid w:val="001025FA"/>
    <w:rsid w:val="001026A8"/>
    <w:rsid w:val="00102831"/>
    <w:rsid w:val="00102C48"/>
    <w:rsid w:val="00102DD4"/>
    <w:rsid w:val="00102E17"/>
    <w:rsid w:val="0010307F"/>
    <w:rsid w:val="001032E5"/>
    <w:rsid w:val="001033CA"/>
    <w:rsid w:val="001033DF"/>
    <w:rsid w:val="001035AA"/>
    <w:rsid w:val="001039EA"/>
    <w:rsid w:val="00103A00"/>
    <w:rsid w:val="00103DE8"/>
    <w:rsid w:val="00103E88"/>
    <w:rsid w:val="00103ED1"/>
    <w:rsid w:val="00104468"/>
    <w:rsid w:val="0010464D"/>
    <w:rsid w:val="001046BE"/>
    <w:rsid w:val="001047F7"/>
    <w:rsid w:val="00104864"/>
    <w:rsid w:val="00104A89"/>
    <w:rsid w:val="0010506B"/>
    <w:rsid w:val="0010511E"/>
    <w:rsid w:val="001052BD"/>
    <w:rsid w:val="001052C8"/>
    <w:rsid w:val="0010543F"/>
    <w:rsid w:val="00105527"/>
    <w:rsid w:val="00105608"/>
    <w:rsid w:val="00105619"/>
    <w:rsid w:val="00105D69"/>
    <w:rsid w:val="00105DED"/>
    <w:rsid w:val="00105EC3"/>
    <w:rsid w:val="001064C8"/>
    <w:rsid w:val="001071EB"/>
    <w:rsid w:val="0010746D"/>
    <w:rsid w:val="0010760B"/>
    <w:rsid w:val="001076EC"/>
    <w:rsid w:val="00107C45"/>
    <w:rsid w:val="00107D02"/>
    <w:rsid w:val="00110113"/>
    <w:rsid w:val="00110153"/>
    <w:rsid w:val="0011044B"/>
    <w:rsid w:val="00110516"/>
    <w:rsid w:val="00110A65"/>
    <w:rsid w:val="00110A6C"/>
    <w:rsid w:val="00110C97"/>
    <w:rsid w:val="00110C9D"/>
    <w:rsid w:val="00110CF5"/>
    <w:rsid w:val="00110D06"/>
    <w:rsid w:val="001112CB"/>
    <w:rsid w:val="001117A2"/>
    <w:rsid w:val="00111C18"/>
    <w:rsid w:val="00111CDD"/>
    <w:rsid w:val="00111DB6"/>
    <w:rsid w:val="00111DC9"/>
    <w:rsid w:val="00111DD6"/>
    <w:rsid w:val="00112025"/>
    <w:rsid w:val="001122BF"/>
    <w:rsid w:val="001123A7"/>
    <w:rsid w:val="00112540"/>
    <w:rsid w:val="00112A11"/>
    <w:rsid w:val="00112F7B"/>
    <w:rsid w:val="0011316B"/>
    <w:rsid w:val="0011358D"/>
    <w:rsid w:val="0011388E"/>
    <w:rsid w:val="00113EA8"/>
    <w:rsid w:val="00114085"/>
    <w:rsid w:val="00114338"/>
    <w:rsid w:val="00114506"/>
    <w:rsid w:val="00114547"/>
    <w:rsid w:val="001149DE"/>
    <w:rsid w:val="00114B23"/>
    <w:rsid w:val="00114C97"/>
    <w:rsid w:val="001152FA"/>
    <w:rsid w:val="00115E03"/>
    <w:rsid w:val="00115E20"/>
    <w:rsid w:val="0011659B"/>
    <w:rsid w:val="00116624"/>
    <w:rsid w:val="0011685F"/>
    <w:rsid w:val="00117107"/>
    <w:rsid w:val="00117730"/>
    <w:rsid w:val="00117840"/>
    <w:rsid w:val="00117B8A"/>
    <w:rsid w:val="00117BDC"/>
    <w:rsid w:val="00117C8A"/>
    <w:rsid w:val="00117DD6"/>
    <w:rsid w:val="00117E72"/>
    <w:rsid w:val="00120233"/>
    <w:rsid w:val="00120355"/>
    <w:rsid w:val="001203A5"/>
    <w:rsid w:val="00120D8F"/>
    <w:rsid w:val="00120DC6"/>
    <w:rsid w:val="00120E47"/>
    <w:rsid w:val="00121AE3"/>
    <w:rsid w:val="00122259"/>
    <w:rsid w:val="00122321"/>
    <w:rsid w:val="0012280A"/>
    <w:rsid w:val="00122B95"/>
    <w:rsid w:val="00122C3C"/>
    <w:rsid w:val="00122D58"/>
    <w:rsid w:val="00123087"/>
    <w:rsid w:val="001231C2"/>
    <w:rsid w:val="00123677"/>
    <w:rsid w:val="00123690"/>
    <w:rsid w:val="001239B4"/>
    <w:rsid w:val="00123FE8"/>
    <w:rsid w:val="001240DF"/>
    <w:rsid w:val="00124405"/>
    <w:rsid w:val="001244AF"/>
    <w:rsid w:val="00124661"/>
    <w:rsid w:val="00124B19"/>
    <w:rsid w:val="00124D08"/>
    <w:rsid w:val="00124E3D"/>
    <w:rsid w:val="00124EB3"/>
    <w:rsid w:val="00124FBC"/>
    <w:rsid w:val="001251B3"/>
    <w:rsid w:val="0012537F"/>
    <w:rsid w:val="001255F1"/>
    <w:rsid w:val="00125886"/>
    <w:rsid w:val="00125CF0"/>
    <w:rsid w:val="00125D9C"/>
    <w:rsid w:val="001261EA"/>
    <w:rsid w:val="00126ACC"/>
    <w:rsid w:val="00126FA8"/>
    <w:rsid w:val="001272ED"/>
    <w:rsid w:val="00127550"/>
    <w:rsid w:val="001276E7"/>
    <w:rsid w:val="0012781A"/>
    <w:rsid w:val="0012787F"/>
    <w:rsid w:val="00127F9F"/>
    <w:rsid w:val="00130094"/>
    <w:rsid w:val="0013024F"/>
    <w:rsid w:val="001302A7"/>
    <w:rsid w:val="001303D4"/>
    <w:rsid w:val="00130471"/>
    <w:rsid w:val="00130764"/>
    <w:rsid w:val="00130D02"/>
    <w:rsid w:val="00131275"/>
    <w:rsid w:val="001312E0"/>
    <w:rsid w:val="001313DD"/>
    <w:rsid w:val="001314FC"/>
    <w:rsid w:val="00131A20"/>
    <w:rsid w:val="00131F43"/>
    <w:rsid w:val="0013211D"/>
    <w:rsid w:val="00132761"/>
    <w:rsid w:val="00132AA7"/>
    <w:rsid w:val="00132E56"/>
    <w:rsid w:val="00133140"/>
    <w:rsid w:val="00133840"/>
    <w:rsid w:val="00133AA4"/>
    <w:rsid w:val="00133DD4"/>
    <w:rsid w:val="0013410A"/>
    <w:rsid w:val="0013432F"/>
    <w:rsid w:val="0013465E"/>
    <w:rsid w:val="001346A3"/>
    <w:rsid w:val="00134BC0"/>
    <w:rsid w:val="0013500C"/>
    <w:rsid w:val="0013560C"/>
    <w:rsid w:val="00135696"/>
    <w:rsid w:val="0013609A"/>
    <w:rsid w:val="0013634F"/>
    <w:rsid w:val="00136D41"/>
    <w:rsid w:val="001373A0"/>
    <w:rsid w:val="0013743A"/>
    <w:rsid w:val="001378A1"/>
    <w:rsid w:val="001379D3"/>
    <w:rsid w:val="0014004F"/>
    <w:rsid w:val="0014030E"/>
    <w:rsid w:val="00140843"/>
    <w:rsid w:val="00140A19"/>
    <w:rsid w:val="00140AC4"/>
    <w:rsid w:val="00140BFB"/>
    <w:rsid w:val="00140DB2"/>
    <w:rsid w:val="00140FDD"/>
    <w:rsid w:val="00141157"/>
    <w:rsid w:val="00141789"/>
    <w:rsid w:val="001419D0"/>
    <w:rsid w:val="00141CE6"/>
    <w:rsid w:val="00142015"/>
    <w:rsid w:val="00142279"/>
    <w:rsid w:val="00142318"/>
    <w:rsid w:val="00142B51"/>
    <w:rsid w:val="00142B5B"/>
    <w:rsid w:val="00142E55"/>
    <w:rsid w:val="0014323D"/>
    <w:rsid w:val="0014338B"/>
    <w:rsid w:val="00143553"/>
    <w:rsid w:val="001436EE"/>
    <w:rsid w:val="001436F6"/>
    <w:rsid w:val="00143B58"/>
    <w:rsid w:val="001441E8"/>
    <w:rsid w:val="00144F07"/>
    <w:rsid w:val="0014536B"/>
    <w:rsid w:val="0014541B"/>
    <w:rsid w:val="0014551E"/>
    <w:rsid w:val="00145A79"/>
    <w:rsid w:val="00145EE8"/>
    <w:rsid w:val="001460B0"/>
    <w:rsid w:val="001460F2"/>
    <w:rsid w:val="00146159"/>
    <w:rsid w:val="00146A9A"/>
    <w:rsid w:val="0014714A"/>
    <w:rsid w:val="001477E6"/>
    <w:rsid w:val="0014793A"/>
    <w:rsid w:val="00147A9F"/>
    <w:rsid w:val="00147B66"/>
    <w:rsid w:val="00147BE7"/>
    <w:rsid w:val="00147C7A"/>
    <w:rsid w:val="00147CAA"/>
    <w:rsid w:val="00147D49"/>
    <w:rsid w:val="00147D8C"/>
    <w:rsid w:val="00147E7B"/>
    <w:rsid w:val="00147EE3"/>
    <w:rsid w:val="00150100"/>
    <w:rsid w:val="0015058C"/>
    <w:rsid w:val="001505AE"/>
    <w:rsid w:val="00150610"/>
    <w:rsid w:val="001508F7"/>
    <w:rsid w:val="00150A1E"/>
    <w:rsid w:val="00150C2D"/>
    <w:rsid w:val="00150DB6"/>
    <w:rsid w:val="00150EDE"/>
    <w:rsid w:val="00151362"/>
    <w:rsid w:val="001514C9"/>
    <w:rsid w:val="001514CA"/>
    <w:rsid w:val="00151726"/>
    <w:rsid w:val="001518A4"/>
    <w:rsid w:val="00151D50"/>
    <w:rsid w:val="00151D85"/>
    <w:rsid w:val="00151FB7"/>
    <w:rsid w:val="001520EF"/>
    <w:rsid w:val="00152214"/>
    <w:rsid w:val="00152417"/>
    <w:rsid w:val="001527CE"/>
    <w:rsid w:val="00152EAE"/>
    <w:rsid w:val="001530E8"/>
    <w:rsid w:val="0015312A"/>
    <w:rsid w:val="00153247"/>
    <w:rsid w:val="0015324B"/>
    <w:rsid w:val="00153265"/>
    <w:rsid w:val="001533B8"/>
    <w:rsid w:val="001533F6"/>
    <w:rsid w:val="00153420"/>
    <w:rsid w:val="001535BC"/>
    <w:rsid w:val="00153982"/>
    <w:rsid w:val="00153BA7"/>
    <w:rsid w:val="001540C7"/>
    <w:rsid w:val="00154817"/>
    <w:rsid w:val="00154ADF"/>
    <w:rsid w:val="00154BE5"/>
    <w:rsid w:val="00154F12"/>
    <w:rsid w:val="001555CA"/>
    <w:rsid w:val="0015573E"/>
    <w:rsid w:val="00155757"/>
    <w:rsid w:val="00155A54"/>
    <w:rsid w:val="00155D04"/>
    <w:rsid w:val="00155DFE"/>
    <w:rsid w:val="00155F94"/>
    <w:rsid w:val="0015618E"/>
    <w:rsid w:val="001561F0"/>
    <w:rsid w:val="001562E8"/>
    <w:rsid w:val="00156681"/>
    <w:rsid w:val="00156935"/>
    <w:rsid w:val="001569C6"/>
    <w:rsid w:val="00156B71"/>
    <w:rsid w:val="00156C1D"/>
    <w:rsid w:val="00157184"/>
    <w:rsid w:val="001571B6"/>
    <w:rsid w:val="001576A9"/>
    <w:rsid w:val="001578BF"/>
    <w:rsid w:val="0015797E"/>
    <w:rsid w:val="00157E2E"/>
    <w:rsid w:val="00157E50"/>
    <w:rsid w:val="00160054"/>
    <w:rsid w:val="00160113"/>
    <w:rsid w:val="0016025C"/>
    <w:rsid w:val="00160979"/>
    <w:rsid w:val="001609B6"/>
    <w:rsid w:val="00160C3F"/>
    <w:rsid w:val="0016116A"/>
    <w:rsid w:val="0016139C"/>
    <w:rsid w:val="0016154F"/>
    <w:rsid w:val="00161579"/>
    <w:rsid w:val="00161746"/>
    <w:rsid w:val="00161A8D"/>
    <w:rsid w:val="00161EAB"/>
    <w:rsid w:val="00162252"/>
    <w:rsid w:val="001622E8"/>
    <w:rsid w:val="00162A69"/>
    <w:rsid w:val="00162BB4"/>
    <w:rsid w:val="00162F23"/>
    <w:rsid w:val="00162FD1"/>
    <w:rsid w:val="00163072"/>
    <w:rsid w:val="00163199"/>
    <w:rsid w:val="001637F4"/>
    <w:rsid w:val="00163D7F"/>
    <w:rsid w:val="00163EA1"/>
    <w:rsid w:val="00163F20"/>
    <w:rsid w:val="00164092"/>
    <w:rsid w:val="00164191"/>
    <w:rsid w:val="001641E9"/>
    <w:rsid w:val="00164243"/>
    <w:rsid w:val="00164320"/>
    <w:rsid w:val="0016441D"/>
    <w:rsid w:val="0016491C"/>
    <w:rsid w:val="00164D38"/>
    <w:rsid w:val="001650C4"/>
    <w:rsid w:val="0016512D"/>
    <w:rsid w:val="00165896"/>
    <w:rsid w:val="00165920"/>
    <w:rsid w:val="00165B23"/>
    <w:rsid w:val="00165C9D"/>
    <w:rsid w:val="00165D1B"/>
    <w:rsid w:val="00166068"/>
    <w:rsid w:val="0016646A"/>
    <w:rsid w:val="0016674A"/>
    <w:rsid w:val="00166999"/>
    <w:rsid w:val="00166E9F"/>
    <w:rsid w:val="00166FBE"/>
    <w:rsid w:val="00167235"/>
    <w:rsid w:val="001673D0"/>
    <w:rsid w:val="00167664"/>
    <w:rsid w:val="0016785D"/>
    <w:rsid w:val="001679AE"/>
    <w:rsid w:val="00167A63"/>
    <w:rsid w:val="00167C84"/>
    <w:rsid w:val="001701CF"/>
    <w:rsid w:val="001705A5"/>
    <w:rsid w:val="00171085"/>
    <w:rsid w:val="00171131"/>
    <w:rsid w:val="001711D1"/>
    <w:rsid w:val="00171702"/>
    <w:rsid w:val="0017174D"/>
    <w:rsid w:val="00172493"/>
    <w:rsid w:val="00172970"/>
    <w:rsid w:val="00172AE4"/>
    <w:rsid w:val="00172BC1"/>
    <w:rsid w:val="001734E7"/>
    <w:rsid w:val="001736B4"/>
    <w:rsid w:val="001736D4"/>
    <w:rsid w:val="00173953"/>
    <w:rsid w:val="00173A72"/>
    <w:rsid w:val="00173C91"/>
    <w:rsid w:val="00173FE0"/>
    <w:rsid w:val="00174155"/>
    <w:rsid w:val="00174A97"/>
    <w:rsid w:val="00174AF7"/>
    <w:rsid w:val="00174F52"/>
    <w:rsid w:val="00175407"/>
    <w:rsid w:val="00175795"/>
    <w:rsid w:val="00175858"/>
    <w:rsid w:val="00175A99"/>
    <w:rsid w:val="00175B6C"/>
    <w:rsid w:val="00175E90"/>
    <w:rsid w:val="001760D4"/>
    <w:rsid w:val="001762C5"/>
    <w:rsid w:val="00176599"/>
    <w:rsid w:val="00176678"/>
    <w:rsid w:val="001768D3"/>
    <w:rsid w:val="00176ACF"/>
    <w:rsid w:val="00176BAE"/>
    <w:rsid w:val="00176C54"/>
    <w:rsid w:val="00176C80"/>
    <w:rsid w:val="00176DF9"/>
    <w:rsid w:val="00176EBA"/>
    <w:rsid w:val="00177276"/>
    <w:rsid w:val="001772C5"/>
    <w:rsid w:val="001776ED"/>
    <w:rsid w:val="00177B4E"/>
    <w:rsid w:val="00180193"/>
    <w:rsid w:val="001806CB"/>
    <w:rsid w:val="00180D60"/>
    <w:rsid w:val="00180E99"/>
    <w:rsid w:val="00181028"/>
    <w:rsid w:val="00181187"/>
    <w:rsid w:val="001813D3"/>
    <w:rsid w:val="00181446"/>
    <w:rsid w:val="00181488"/>
    <w:rsid w:val="001816C7"/>
    <w:rsid w:val="00181BE6"/>
    <w:rsid w:val="00181CCF"/>
    <w:rsid w:val="00181F7A"/>
    <w:rsid w:val="00181FB8"/>
    <w:rsid w:val="00182273"/>
    <w:rsid w:val="00182572"/>
    <w:rsid w:val="00182940"/>
    <w:rsid w:val="00182A38"/>
    <w:rsid w:val="00182A5B"/>
    <w:rsid w:val="00182D27"/>
    <w:rsid w:val="00183971"/>
    <w:rsid w:val="00183BCE"/>
    <w:rsid w:val="00184B68"/>
    <w:rsid w:val="00184CA1"/>
    <w:rsid w:val="00184EEB"/>
    <w:rsid w:val="00184F98"/>
    <w:rsid w:val="001852BE"/>
    <w:rsid w:val="00185BAF"/>
    <w:rsid w:val="00185DA4"/>
    <w:rsid w:val="00185FB7"/>
    <w:rsid w:val="00186155"/>
    <w:rsid w:val="00186455"/>
    <w:rsid w:val="001865A4"/>
    <w:rsid w:val="00187297"/>
    <w:rsid w:val="0018766F"/>
    <w:rsid w:val="00187C93"/>
    <w:rsid w:val="001900FA"/>
    <w:rsid w:val="00190161"/>
    <w:rsid w:val="00190747"/>
    <w:rsid w:val="00190B91"/>
    <w:rsid w:val="0019102B"/>
    <w:rsid w:val="00191100"/>
    <w:rsid w:val="0019191E"/>
    <w:rsid w:val="00191D37"/>
    <w:rsid w:val="00191E5C"/>
    <w:rsid w:val="00191EE6"/>
    <w:rsid w:val="00192281"/>
    <w:rsid w:val="00192287"/>
    <w:rsid w:val="001924CB"/>
    <w:rsid w:val="001924CD"/>
    <w:rsid w:val="0019252E"/>
    <w:rsid w:val="001926F3"/>
    <w:rsid w:val="00192ABF"/>
    <w:rsid w:val="00192E0F"/>
    <w:rsid w:val="00192F89"/>
    <w:rsid w:val="00193579"/>
    <w:rsid w:val="001937C7"/>
    <w:rsid w:val="00193904"/>
    <w:rsid w:val="00193958"/>
    <w:rsid w:val="00193C4B"/>
    <w:rsid w:val="00193F5D"/>
    <w:rsid w:val="0019407F"/>
    <w:rsid w:val="00194172"/>
    <w:rsid w:val="00194209"/>
    <w:rsid w:val="00194D67"/>
    <w:rsid w:val="00194D88"/>
    <w:rsid w:val="00194E60"/>
    <w:rsid w:val="0019537B"/>
    <w:rsid w:val="00195628"/>
    <w:rsid w:val="00195A98"/>
    <w:rsid w:val="00195AB7"/>
    <w:rsid w:val="00195C7B"/>
    <w:rsid w:val="00195C8F"/>
    <w:rsid w:val="00196596"/>
    <w:rsid w:val="001973B2"/>
    <w:rsid w:val="0019759B"/>
    <w:rsid w:val="00197CEF"/>
    <w:rsid w:val="001A02CC"/>
    <w:rsid w:val="001A05CA"/>
    <w:rsid w:val="001A101F"/>
    <w:rsid w:val="001A12BD"/>
    <w:rsid w:val="001A1324"/>
    <w:rsid w:val="001A1496"/>
    <w:rsid w:val="001A168E"/>
    <w:rsid w:val="001A1765"/>
    <w:rsid w:val="001A1B33"/>
    <w:rsid w:val="001A1D42"/>
    <w:rsid w:val="001A1F91"/>
    <w:rsid w:val="001A200E"/>
    <w:rsid w:val="001A203A"/>
    <w:rsid w:val="001A223F"/>
    <w:rsid w:val="001A238C"/>
    <w:rsid w:val="001A2778"/>
    <w:rsid w:val="001A2AE1"/>
    <w:rsid w:val="001A2BF7"/>
    <w:rsid w:val="001A320C"/>
    <w:rsid w:val="001A3293"/>
    <w:rsid w:val="001A3759"/>
    <w:rsid w:val="001A3C90"/>
    <w:rsid w:val="001A4015"/>
    <w:rsid w:val="001A44AF"/>
    <w:rsid w:val="001A457C"/>
    <w:rsid w:val="001A47EA"/>
    <w:rsid w:val="001A49A8"/>
    <w:rsid w:val="001A49B6"/>
    <w:rsid w:val="001A4B0B"/>
    <w:rsid w:val="001A4CDD"/>
    <w:rsid w:val="001A4D20"/>
    <w:rsid w:val="001A4EE0"/>
    <w:rsid w:val="001A5374"/>
    <w:rsid w:val="001A54FE"/>
    <w:rsid w:val="001A558F"/>
    <w:rsid w:val="001A562C"/>
    <w:rsid w:val="001A57BA"/>
    <w:rsid w:val="001A581E"/>
    <w:rsid w:val="001A594D"/>
    <w:rsid w:val="001A5B74"/>
    <w:rsid w:val="001A60A6"/>
    <w:rsid w:val="001A61D3"/>
    <w:rsid w:val="001A6253"/>
    <w:rsid w:val="001A64BF"/>
    <w:rsid w:val="001A67E5"/>
    <w:rsid w:val="001A681B"/>
    <w:rsid w:val="001A6B5F"/>
    <w:rsid w:val="001A6C7F"/>
    <w:rsid w:val="001A6D3A"/>
    <w:rsid w:val="001A6EF8"/>
    <w:rsid w:val="001A7113"/>
    <w:rsid w:val="001A7319"/>
    <w:rsid w:val="001A7DBB"/>
    <w:rsid w:val="001B03DC"/>
    <w:rsid w:val="001B0967"/>
    <w:rsid w:val="001B0A42"/>
    <w:rsid w:val="001B1054"/>
    <w:rsid w:val="001B105A"/>
    <w:rsid w:val="001B1122"/>
    <w:rsid w:val="001B14A2"/>
    <w:rsid w:val="001B18EE"/>
    <w:rsid w:val="001B1B3B"/>
    <w:rsid w:val="001B217A"/>
    <w:rsid w:val="001B2470"/>
    <w:rsid w:val="001B2874"/>
    <w:rsid w:val="001B2C75"/>
    <w:rsid w:val="001B30A1"/>
    <w:rsid w:val="001B31C3"/>
    <w:rsid w:val="001B324B"/>
    <w:rsid w:val="001B3977"/>
    <w:rsid w:val="001B3C03"/>
    <w:rsid w:val="001B3E97"/>
    <w:rsid w:val="001B3F14"/>
    <w:rsid w:val="001B41DF"/>
    <w:rsid w:val="001B444F"/>
    <w:rsid w:val="001B46EE"/>
    <w:rsid w:val="001B4733"/>
    <w:rsid w:val="001B477B"/>
    <w:rsid w:val="001B4886"/>
    <w:rsid w:val="001B4BC6"/>
    <w:rsid w:val="001B4BE0"/>
    <w:rsid w:val="001B4CE4"/>
    <w:rsid w:val="001B4DD6"/>
    <w:rsid w:val="001B4F8E"/>
    <w:rsid w:val="001B53AF"/>
    <w:rsid w:val="001B5418"/>
    <w:rsid w:val="001B549F"/>
    <w:rsid w:val="001B5625"/>
    <w:rsid w:val="001B5650"/>
    <w:rsid w:val="001B572B"/>
    <w:rsid w:val="001B5769"/>
    <w:rsid w:val="001B6042"/>
    <w:rsid w:val="001B61C1"/>
    <w:rsid w:val="001B6308"/>
    <w:rsid w:val="001B6593"/>
    <w:rsid w:val="001B6940"/>
    <w:rsid w:val="001B69BF"/>
    <w:rsid w:val="001B6C0E"/>
    <w:rsid w:val="001B6CCC"/>
    <w:rsid w:val="001B6D03"/>
    <w:rsid w:val="001B7074"/>
    <w:rsid w:val="001B775E"/>
    <w:rsid w:val="001B7873"/>
    <w:rsid w:val="001B7BD3"/>
    <w:rsid w:val="001B7C08"/>
    <w:rsid w:val="001B7E7F"/>
    <w:rsid w:val="001C000F"/>
    <w:rsid w:val="001C021F"/>
    <w:rsid w:val="001C037B"/>
    <w:rsid w:val="001C07CD"/>
    <w:rsid w:val="001C07DD"/>
    <w:rsid w:val="001C0E0A"/>
    <w:rsid w:val="001C0E82"/>
    <w:rsid w:val="001C0F9F"/>
    <w:rsid w:val="001C1346"/>
    <w:rsid w:val="001C13D6"/>
    <w:rsid w:val="001C15CF"/>
    <w:rsid w:val="001C16A3"/>
    <w:rsid w:val="001C17B6"/>
    <w:rsid w:val="001C1BFA"/>
    <w:rsid w:val="001C1C1E"/>
    <w:rsid w:val="001C25FD"/>
    <w:rsid w:val="001C2AE6"/>
    <w:rsid w:val="001C2EB2"/>
    <w:rsid w:val="001C36DB"/>
    <w:rsid w:val="001C3929"/>
    <w:rsid w:val="001C3E3D"/>
    <w:rsid w:val="001C3E8E"/>
    <w:rsid w:val="001C3F01"/>
    <w:rsid w:val="001C4016"/>
    <w:rsid w:val="001C4682"/>
    <w:rsid w:val="001C4A80"/>
    <w:rsid w:val="001C4B2E"/>
    <w:rsid w:val="001C4E3D"/>
    <w:rsid w:val="001C4F91"/>
    <w:rsid w:val="001C4F9F"/>
    <w:rsid w:val="001C5142"/>
    <w:rsid w:val="001C56BE"/>
    <w:rsid w:val="001C5A22"/>
    <w:rsid w:val="001C5BFD"/>
    <w:rsid w:val="001C5C5A"/>
    <w:rsid w:val="001C60B3"/>
    <w:rsid w:val="001C6313"/>
    <w:rsid w:val="001C645B"/>
    <w:rsid w:val="001C65F6"/>
    <w:rsid w:val="001C6606"/>
    <w:rsid w:val="001C669E"/>
    <w:rsid w:val="001C6708"/>
    <w:rsid w:val="001C6EEC"/>
    <w:rsid w:val="001C6F6C"/>
    <w:rsid w:val="001C739C"/>
    <w:rsid w:val="001C7657"/>
    <w:rsid w:val="001C77A1"/>
    <w:rsid w:val="001C77F3"/>
    <w:rsid w:val="001C7859"/>
    <w:rsid w:val="001C7A1B"/>
    <w:rsid w:val="001C7D14"/>
    <w:rsid w:val="001C7E07"/>
    <w:rsid w:val="001D02E1"/>
    <w:rsid w:val="001D0361"/>
    <w:rsid w:val="001D0DA5"/>
    <w:rsid w:val="001D1D50"/>
    <w:rsid w:val="001D1E11"/>
    <w:rsid w:val="001D1F01"/>
    <w:rsid w:val="001D1F70"/>
    <w:rsid w:val="001D238C"/>
    <w:rsid w:val="001D2694"/>
    <w:rsid w:val="001D290D"/>
    <w:rsid w:val="001D2937"/>
    <w:rsid w:val="001D2B78"/>
    <w:rsid w:val="001D2E7B"/>
    <w:rsid w:val="001D3214"/>
    <w:rsid w:val="001D3258"/>
    <w:rsid w:val="001D395C"/>
    <w:rsid w:val="001D3B53"/>
    <w:rsid w:val="001D3D6E"/>
    <w:rsid w:val="001D423A"/>
    <w:rsid w:val="001D437D"/>
    <w:rsid w:val="001D4534"/>
    <w:rsid w:val="001D46BC"/>
    <w:rsid w:val="001D4D5D"/>
    <w:rsid w:val="001D5085"/>
    <w:rsid w:val="001D51DB"/>
    <w:rsid w:val="001D545E"/>
    <w:rsid w:val="001D5640"/>
    <w:rsid w:val="001D5B11"/>
    <w:rsid w:val="001D5BA5"/>
    <w:rsid w:val="001D5C1A"/>
    <w:rsid w:val="001D5CE9"/>
    <w:rsid w:val="001D6017"/>
    <w:rsid w:val="001D60C8"/>
    <w:rsid w:val="001D61BD"/>
    <w:rsid w:val="001D70FE"/>
    <w:rsid w:val="001D756C"/>
    <w:rsid w:val="001D76D5"/>
    <w:rsid w:val="001D78C1"/>
    <w:rsid w:val="001D7FB5"/>
    <w:rsid w:val="001E031A"/>
    <w:rsid w:val="001E07E9"/>
    <w:rsid w:val="001E0808"/>
    <w:rsid w:val="001E0A1A"/>
    <w:rsid w:val="001E0D37"/>
    <w:rsid w:val="001E0FA1"/>
    <w:rsid w:val="001E18DF"/>
    <w:rsid w:val="001E1B1A"/>
    <w:rsid w:val="001E1C8E"/>
    <w:rsid w:val="001E1CC8"/>
    <w:rsid w:val="001E211F"/>
    <w:rsid w:val="001E22F6"/>
    <w:rsid w:val="001E23E2"/>
    <w:rsid w:val="001E2B80"/>
    <w:rsid w:val="001E2EBC"/>
    <w:rsid w:val="001E3360"/>
    <w:rsid w:val="001E373D"/>
    <w:rsid w:val="001E37B8"/>
    <w:rsid w:val="001E39B3"/>
    <w:rsid w:val="001E3D49"/>
    <w:rsid w:val="001E3D8A"/>
    <w:rsid w:val="001E4649"/>
    <w:rsid w:val="001E494A"/>
    <w:rsid w:val="001E4A89"/>
    <w:rsid w:val="001E4CE7"/>
    <w:rsid w:val="001E4DAA"/>
    <w:rsid w:val="001E50B2"/>
    <w:rsid w:val="001E534B"/>
    <w:rsid w:val="001E5425"/>
    <w:rsid w:val="001E5A3E"/>
    <w:rsid w:val="001E5A89"/>
    <w:rsid w:val="001E5AB4"/>
    <w:rsid w:val="001E5CC8"/>
    <w:rsid w:val="001E5DA8"/>
    <w:rsid w:val="001E5F2B"/>
    <w:rsid w:val="001E60BE"/>
    <w:rsid w:val="001E672F"/>
    <w:rsid w:val="001E68DC"/>
    <w:rsid w:val="001E6C9F"/>
    <w:rsid w:val="001E7357"/>
    <w:rsid w:val="001E7DEE"/>
    <w:rsid w:val="001F00A7"/>
    <w:rsid w:val="001F016F"/>
    <w:rsid w:val="001F0724"/>
    <w:rsid w:val="001F0C37"/>
    <w:rsid w:val="001F0C42"/>
    <w:rsid w:val="001F0D47"/>
    <w:rsid w:val="001F10FF"/>
    <w:rsid w:val="001F144D"/>
    <w:rsid w:val="001F1455"/>
    <w:rsid w:val="001F17AC"/>
    <w:rsid w:val="001F1DE5"/>
    <w:rsid w:val="001F1E4D"/>
    <w:rsid w:val="001F1FF0"/>
    <w:rsid w:val="001F204C"/>
    <w:rsid w:val="001F2063"/>
    <w:rsid w:val="001F2248"/>
    <w:rsid w:val="001F229C"/>
    <w:rsid w:val="001F2625"/>
    <w:rsid w:val="001F29E1"/>
    <w:rsid w:val="001F2BF2"/>
    <w:rsid w:val="001F2DA1"/>
    <w:rsid w:val="001F2E82"/>
    <w:rsid w:val="001F3449"/>
    <w:rsid w:val="001F350D"/>
    <w:rsid w:val="001F36C3"/>
    <w:rsid w:val="001F376D"/>
    <w:rsid w:val="001F396F"/>
    <w:rsid w:val="001F39AE"/>
    <w:rsid w:val="001F3AED"/>
    <w:rsid w:val="001F3F13"/>
    <w:rsid w:val="001F494D"/>
    <w:rsid w:val="001F50E6"/>
    <w:rsid w:val="001F56E1"/>
    <w:rsid w:val="001F56F4"/>
    <w:rsid w:val="001F59D5"/>
    <w:rsid w:val="001F59E8"/>
    <w:rsid w:val="001F5A45"/>
    <w:rsid w:val="001F5A58"/>
    <w:rsid w:val="001F5D88"/>
    <w:rsid w:val="001F5E81"/>
    <w:rsid w:val="001F5FD8"/>
    <w:rsid w:val="001F693A"/>
    <w:rsid w:val="001F6C43"/>
    <w:rsid w:val="001F6D87"/>
    <w:rsid w:val="001F7236"/>
    <w:rsid w:val="001F73D8"/>
    <w:rsid w:val="001F7A23"/>
    <w:rsid w:val="001F7B12"/>
    <w:rsid w:val="001F7FF5"/>
    <w:rsid w:val="00200180"/>
    <w:rsid w:val="0020042D"/>
    <w:rsid w:val="002004BA"/>
    <w:rsid w:val="002004E9"/>
    <w:rsid w:val="002006AA"/>
    <w:rsid w:val="00200A22"/>
    <w:rsid w:val="00200A30"/>
    <w:rsid w:val="00201177"/>
    <w:rsid w:val="002011D9"/>
    <w:rsid w:val="00201288"/>
    <w:rsid w:val="002013EC"/>
    <w:rsid w:val="00201714"/>
    <w:rsid w:val="00201D2D"/>
    <w:rsid w:val="002022B5"/>
    <w:rsid w:val="00202505"/>
    <w:rsid w:val="00202B3C"/>
    <w:rsid w:val="00202C76"/>
    <w:rsid w:val="00202D0F"/>
    <w:rsid w:val="002032A7"/>
    <w:rsid w:val="00203492"/>
    <w:rsid w:val="002035AC"/>
    <w:rsid w:val="002036A7"/>
    <w:rsid w:val="00203C06"/>
    <w:rsid w:val="00204261"/>
    <w:rsid w:val="002044AF"/>
    <w:rsid w:val="002050CF"/>
    <w:rsid w:val="002052B3"/>
    <w:rsid w:val="002058CB"/>
    <w:rsid w:val="00205DAB"/>
    <w:rsid w:val="00205E81"/>
    <w:rsid w:val="00205EC3"/>
    <w:rsid w:val="002062D7"/>
    <w:rsid w:val="0020637A"/>
    <w:rsid w:val="002064F1"/>
    <w:rsid w:val="0020654B"/>
    <w:rsid w:val="00206570"/>
    <w:rsid w:val="00206618"/>
    <w:rsid w:val="00206AC5"/>
    <w:rsid w:val="00206E8F"/>
    <w:rsid w:val="0020724A"/>
    <w:rsid w:val="00207388"/>
    <w:rsid w:val="00207421"/>
    <w:rsid w:val="002074B1"/>
    <w:rsid w:val="002074E0"/>
    <w:rsid w:val="00207652"/>
    <w:rsid w:val="00207D49"/>
    <w:rsid w:val="0021007D"/>
    <w:rsid w:val="002102AC"/>
    <w:rsid w:val="0021030D"/>
    <w:rsid w:val="00210383"/>
    <w:rsid w:val="00210390"/>
    <w:rsid w:val="00210634"/>
    <w:rsid w:val="00210C6C"/>
    <w:rsid w:val="00210E0F"/>
    <w:rsid w:val="00210E35"/>
    <w:rsid w:val="00210FC5"/>
    <w:rsid w:val="002111CD"/>
    <w:rsid w:val="0021122B"/>
    <w:rsid w:val="0021129A"/>
    <w:rsid w:val="0021147B"/>
    <w:rsid w:val="0021176B"/>
    <w:rsid w:val="002117E4"/>
    <w:rsid w:val="00211C1D"/>
    <w:rsid w:val="0021295C"/>
    <w:rsid w:val="00212A07"/>
    <w:rsid w:val="00212E81"/>
    <w:rsid w:val="00212F55"/>
    <w:rsid w:val="002131AF"/>
    <w:rsid w:val="0021366F"/>
    <w:rsid w:val="0021379B"/>
    <w:rsid w:val="00213B39"/>
    <w:rsid w:val="00213D65"/>
    <w:rsid w:val="00213E93"/>
    <w:rsid w:val="00213F9B"/>
    <w:rsid w:val="00214518"/>
    <w:rsid w:val="002147CF"/>
    <w:rsid w:val="00214810"/>
    <w:rsid w:val="00214894"/>
    <w:rsid w:val="002154AE"/>
    <w:rsid w:val="002156FF"/>
    <w:rsid w:val="00215C4D"/>
    <w:rsid w:val="0021685F"/>
    <w:rsid w:val="00216862"/>
    <w:rsid w:val="00216EC9"/>
    <w:rsid w:val="002174A8"/>
    <w:rsid w:val="0021768C"/>
    <w:rsid w:val="00217767"/>
    <w:rsid w:val="00220035"/>
    <w:rsid w:val="0022006D"/>
    <w:rsid w:val="0022080D"/>
    <w:rsid w:val="0022092F"/>
    <w:rsid w:val="00220B2D"/>
    <w:rsid w:val="00221509"/>
    <w:rsid w:val="00221A01"/>
    <w:rsid w:val="002220AA"/>
    <w:rsid w:val="00222111"/>
    <w:rsid w:val="00222233"/>
    <w:rsid w:val="00222460"/>
    <w:rsid w:val="00222578"/>
    <w:rsid w:val="002225B7"/>
    <w:rsid w:val="00222819"/>
    <w:rsid w:val="00222938"/>
    <w:rsid w:val="00222C13"/>
    <w:rsid w:val="00222E1C"/>
    <w:rsid w:val="00223392"/>
    <w:rsid w:val="00223503"/>
    <w:rsid w:val="00223547"/>
    <w:rsid w:val="0022397D"/>
    <w:rsid w:val="00223F5E"/>
    <w:rsid w:val="00223F99"/>
    <w:rsid w:val="0022402C"/>
    <w:rsid w:val="002240B2"/>
    <w:rsid w:val="0022430D"/>
    <w:rsid w:val="0022456A"/>
    <w:rsid w:val="0022456E"/>
    <w:rsid w:val="00224E6D"/>
    <w:rsid w:val="00225399"/>
    <w:rsid w:val="002255AE"/>
    <w:rsid w:val="002255EA"/>
    <w:rsid w:val="00225F63"/>
    <w:rsid w:val="00225F6C"/>
    <w:rsid w:val="0022606D"/>
    <w:rsid w:val="0022615B"/>
    <w:rsid w:val="0022635C"/>
    <w:rsid w:val="0022653A"/>
    <w:rsid w:val="00226C63"/>
    <w:rsid w:val="00226DE5"/>
    <w:rsid w:val="00226FF5"/>
    <w:rsid w:val="00227220"/>
    <w:rsid w:val="00227263"/>
    <w:rsid w:val="00227DC9"/>
    <w:rsid w:val="00230000"/>
    <w:rsid w:val="0023010E"/>
    <w:rsid w:val="002301BC"/>
    <w:rsid w:val="00230C21"/>
    <w:rsid w:val="00230D52"/>
    <w:rsid w:val="002311FF"/>
    <w:rsid w:val="00231277"/>
    <w:rsid w:val="00231280"/>
    <w:rsid w:val="002312E4"/>
    <w:rsid w:val="00231378"/>
    <w:rsid w:val="002315BE"/>
    <w:rsid w:val="0023168F"/>
    <w:rsid w:val="002318E8"/>
    <w:rsid w:val="00231ECC"/>
    <w:rsid w:val="00231F50"/>
    <w:rsid w:val="0023242E"/>
    <w:rsid w:val="002327A0"/>
    <w:rsid w:val="00232BCE"/>
    <w:rsid w:val="00232D9C"/>
    <w:rsid w:val="00232FB5"/>
    <w:rsid w:val="002330B1"/>
    <w:rsid w:val="0023320A"/>
    <w:rsid w:val="0023340D"/>
    <w:rsid w:val="00233598"/>
    <w:rsid w:val="00233A81"/>
    <w:rsid w:val="00233AD7"/>
    <w:rsid w:val="00233B10"/>
    <w:rsid w:val="00233FB9"/>
    <w:rsid w:val="0023402F"/>
    <w:rsid w:val="00234375"/>
    <w:rsid w:val="0023447E"/>
    <w:rsid w:val="00234ACC"/>
    <w:rsid w:val="002351E4"/>
    <w:rsid w:val="0023580F"/>
    <w:rsid w:val="0023581C"/>
    <w:rsid w:val="00235B8C"/>
    <w:rsid w:val="00235BE2"/>
    <w:rsid w:val="00236320"/>
    <w:rsid w:val="00236B7C"/>
    <w:rsid w:val="00236C64"/>
    <w:rsid w:val="00236DA5"/>
    <w:rsid w:val="0023778C"/>
    <w:rsid w:val="00237797"/>
    <w:rsid w:val="00237807"/>
    <w:rsid w:val="00237C64"/>
    <w:rsid w:val="00237D8F"/>
    <w:rsid w:val="00237EA4"/>
    <w:rsid w:val="002400C2"/>
    <w:rsid w:val="0024021D"/>
    <w:rsid w:val="0024022E"/>
    <w:rsid w:val="0024027A"/>
    <w:rsid w:val="0024044C"/>
    <w:rsid w:val="00240673"/>
    <w:rsid w:val="0024074B"/>
    <w:rsid w:val="002409CC"/>
    <w:rsid w:val="00240B50"/>
    <w:rsid w:val="00240B8A"/>
    <w:rsid w:val="00240C4F"/>
    <w:rsid w:val="00240C5A"/>
    <w:rsid w:val="00240F76"/>
    <w:rsid w:val="00241403"/>
    <w:rsid w:val="00241A6B"/>
    <w:rsid w:val="00241B52"/>
    <w:rsid w:val="00241C71"/>
    <w:rsid w:val="00241D94"/>
    <w:rsid w:val="00241D9C"/>
    <w:rsid w:val="0024211B"/>
    <w:rsid w:val="0024247D"/>
    <w:rsid w:val="00242516"/>
    <w:rsid w:val="00242A28"/>
    <w:rsid w:val="00242C5E"/>
    <w:rsid w:val="00242D39"/>
    <w:rsid w:val="00243299"/>
    <w:rsid w:val="002434A5"/>
    <w:rsid w:val="002449E6"/>
    <w:rsid w:val="00244DA5"/>
    <w:rsid w:val="0024517F"/>
    <w:rsid w:val="0024535F"/>
    <w:rsid w:val="0024547E"/>
    <w:rsid w:val="00245547"/>
    <w:rsid w:val="0024588D"/>
    <w:rsid w:val="00245A0F"/>
    <w:rsid w:val="00245FC0"/>
    <w:rsid w:val="00246037"/>
    <w:rsid w:val="00246046"/>
    <w:rsid w:val="0024624A"/>
    <w:rsid w:val="0024638D"/>
    <w:rsid w:val="00246C4C"/>
    <w:rsid w:val="00246CBD"/>
    <w:rsid w:val="00246EA6"/>
    <w:rsid w:val="00246F19"/>
    <w:rsid w:val="00246FA7"/>
    <w:rsid w:val="00247649"/>
    <w:rsid w:val="00247AF2"/>
    <w:rsid w:val="00247FE7"/>
    <w:rsid w:val="002501E0"/>
    <w:rsid w:val="00250454"/>
    <w:rsid w:val="0025129B"/>
    <w:rsid w:val="00251342"/>
    <w:rsid w:val="002514E8"/>
    <w:rsid w:val="00251511"/>
    <w:rsid w:val="00251697"/>
    <w:rsid w:val="00251755"/>
    <w:rsid w:val="00251DC2"/>
    <w:rsid w:val="00251DDD"/>
    <w:rsid w:val="00251F23"/>
    <w:rsid w:val="002524D2"/>
    <w:rsid w:val="00252908"/>
    <w:rsid w:val="002529E9"/>
    <w:rsid w:val="00252E16"/>
    <w:rsid w:val="00253142"/>
    <w:rsid w:val="0025339F"/>
    <w:rsid w:val="002536F3"/>
    <w:rsid w:val="00253BD9"/>
    <w:rsid w:val="00253F4C"/>
    <w:rsid w:val="0025410A"/>
    <w:rsid w:val="002544FE"/>
    <w:rsid w:val="00255055"/>
    <w:rsid w:val="002554D4"/>
    <w:rsid w:val="00255B83"/>
    <w:rsid w:val="00256143"/>
    <w:rsid w:val="0025632E"/>
    <w:rsid w:val="002566F4"/>
    <w:rsid w:val="00257185"/>
    <w:rsid w:val="002575CC"/>
    <w:rsid w:val="0025784C"/>
    <w:rsid w:val="00257AF7"/>
    <w:rsid w:val="00257C26"/>
    <w:rsid w:val="00260B49"/>
    <w:rsid w:val="00260BA9"/>
    <w:rsid w:val="002612B7"/>
    <w:rsid w:val="002615E3"/>
    <w:rsid w:val="002617BF"/>
    <w:rsid w:val="00261990"/>
    <w:rsid w:val="00261E94"/>
    <w:rsid w:val="00262706"/>
    <w:rsid w:val="002629DD"/>
    <w:rsid w:val="00262B42"/>
    <w:rsid w:val="00262C09"/>
    <w:rsid w:val="00262D52"/>
    <w:rsid w:val="00262E99"/>
    <w:rsid w:val="00263211"/>
    <w:rsid w:val="0026322F"/>
    <w:rsid w:val="002635AC"/>
    <w:rsid w:val="002638E5"/>
    <w:rsid w:val="00263941"/>
    <w:rsid w:val="00263B32"/>
    <w:rsid w:val="00263DF6"/>
    <w:rsid w:val="00264435"/>
    <w:rsid w:val="00264495"/>
    <w:rsid w:val="002645C8"/>
    <w:rsid w:val="0026473D"/>
    <w:rsid w:val="00264765"/>
    <w:rsid w:val="0026486F"/>
    <w:rsid w:val="00264BBA"/>
    <w:rsid w:val="00265009"/>
    <w:rsid w:val="00265734"/>
    <w:rsid w:val="002657EF"/>
    <w:rsid w:val="002658D1"/>
    <w:rsid w:val="00265B51"/>
    <w:rsid w:val="002661D0"/>
    <w:rsid w:val="00266961"/>
    <w:rsid w:val="00266BAE"/>
    <w:rsid w:val="00267109"/>
    <w:rsid w:val="0026738D"/>
    <w:rsid w:val="002674C0"/>
    <w:rsid w:val="002679C7"/>
    <w:rsid w:val="00267E2A"/>
    <w:rsid w:val="0027035F"/>
    <w:rsid w:val="0027038B"/>
    <w:rsid w:val="00270528"/>
    <w:rsid w:val="00270582"/>
    <w:rsid w:val="002707F9"/>
    <w:rsid w:val="002708E6"/>
    <w:rsid w:val="00270959"/>
    <w:rsid w:val="002709BA"/>
    <w:rsid w:val="00270D6B"/>
    <w:rsid w:val="00271A82"/>
    <w:rsid w:val="00271B96"/>
    <w:rsid w:val="00271C4F"/>
    <w:rsid w:val="00271F81"/>
    <w:rsid w:val="00272082"/>
    <w:rsid w:val="0027245D"/>
    <w:rsid w:val="002727AC"/>
    <w:rsid w:val="00272A69"/>
    <w:rsid w:val="00272DA1"/>
    <w:rsid w:val="002730F7"/>
    <w:rsid w:val="0027312C"/>
    <w:rsid w:val="002738F1"/>
    <w:rsid w:val="002739DE"/>
    <w:rsid w:val="002740EF"/>
    <w:rsid w:val="0027416E"/>
    <w:rsid w:val="002741F7"/>
    <w:rsid w:val="00274654"/>
    <w:rsid w:val="00274798"/>
    <w:rsid w:val="00274C33"/>
    <w:rsid w:val="00274C74"/>
    <w:rsid w:val="00274DAF"/>
    <w:rsid w:val="00274F8D"/>
    <w:rsid w:val="0027568E"/>
    <w:rsid w:val="00275766"/>
    <w:rsid w:val="00275DA8"/>
    <w:rsid w:val="0027601D"/>
    <w:rsid w:val="002760DD"/>
    <w:rsid w:val="00276196"/>
    <w:rsid w:val="002762BB"/>
    <w:rsid w:val="002768FC"/>
    <w:rsid w:val="00276C16"/>
    <w:rsid w:val="00276D0D"/>
    <w:rsid w:val="00276E14"/>
    <w:rsid w:val="002772BE"/>
    <w:rsid w:val="00277400"/>
    <w:rsid w:val="002775AD"/>
    <w:rsid w:val="0028007D"/>
    <w:rsid w:val="002803B3"/>
    <w:rsid w:val="00280926"/>
    <w:rsid w:val="00280A91"/>
    <w:rsid w:val="00280DBE"/>
    <w:rsid w:val="00281195"/>
    <w:rsid w:val="00281300"/>
    <w:rsid w:val="00281573"/>
    <w:rsid w:val="00281ADA"/>
    <w:rsid w:val="00282211"/>
    <w:rsid w:val="002824AA"/>
    <w:rsid w:val="002827E4"/>
    <w:rsid w:val="00282C47"/>
    <w:rsid w:val="002830BD"/>
    <w:rsid w:val="002836D2"/>
    <w:rsid w:val="00283951"/>
    <w:rsid w:val="00283D0A"/>
    <w:rsid w:val="00284043"/>
    <w:rsid w:val="002840F9"/>
    <w:rsid w:val="00284319"/>
    <w:rsid w:val="002845B6"/>
    <w:rsid w:val="00284820"/>
    <w:rsid w:val="00284D55"/>
    <w:rsid w:val="00284EC2"/>
    <w:rsid w:val="00285183"/>
    <w:rsid w:val="00285A65"/>
    <w:rsid w:val="00285BA7"/>
    <w:rsid w:val="002860C7"/>
    <w:rsid w:val="00286500"/>
    <w:rsid w:val="00286845"/>
    <w:rsid w:val="00286CEB"/>
    <w:rsid w:val="00286E84"/>
    <w:rsid w:val="00287695"/>
    <w:rsid w:val="002876F6"/>
    <w:rsid w:val="002877FD"/>
    <w:rsid w:val="00287897"/>
    <w:rsid w:val="00287D70"/>
    <w:rsid w:val="00290186"/>
    <w:rsid w:val="0029088E"/>
    <w:rsid w:val="00290F26"/>
    <w:rsid w:val="0029100C"/>
    <w:rsid w:val="00291DD3"/>
    <w:rsid w:val="00291E3E"/>
    <w:rsid w:val="0029208E"/>
    <w:rsid w:val="002921C6"/>
    <w:rsid w:val="00292202"/>
    <w:rsid w:val="0029253E"/>
    <w:rsid w:val="00292598"/>
    <w:rsid w:val="002926F9"/>
    <w:rsid w:val="00292811"/>
    <w:rsid w:val="00292CB2"/>
    <w:rsid w:val="00292D7A"/>
    <w:rsid w:val="00292F06"/>
    <w:rsid w:val="002933C1"/>
    <w:rsid w:val="0029357B"/>
    <w:rsid w:val="00293649"/>
    <w:rsid w:val="00293861"/>
    <w:rsid w:val="00293A33"/>
    <w:rsid w:val="00293E9C"/>
    <w:rsid w:val="00293FDB"/>
    <w:rsid w:val="00294255"/>
    <w:rsid w:val="002942EB"/>
    <w:rsid w:val="00294345"/>
    <w:rsid w:val="00294546"/>
    <w:rsid w:val="00294582"/>
    <w:rsid w:val="00295090"/>
    <w:rsid w:val="0029531F"/>
    <w:rsid w:val="00295AA4"/>
    <w:rsid w:val="00295B18"/>
    <w:rsid w:val="00295BAA"/>
    <w:rsid w:val="00295C89"/>
    <w:rsid w:val="00295E89"/>
    <w:rsid w:val="00295FE6"/>
    <w:rsid w:val="002964B9"/>
    <w:rsid w:val="0029653B"/>
    <w:rsid w:val="0029688A"/>
    <w:rsid w:val="00296955"/>
    <w:rsid w:val="00296CE4"/>
    <w:rsid w:val="00297459"/>
    <w:rsid w:val="00297803"/>
    <w:rsid w:val="00297835"/>
    <w:rsid w:val="00297A41"/>
    <w:rsid w:val="00297C9B"/>
    <w:rsid w:val="002A01AB"/>
    <w:rsid w:val="002A0300"/>
    <w:rsid w:val="002A047A"/>
    <w:rsid w:val="002A129C"/>
    <w:rsid w:val="002A14D9"/>
    <w:rsid w:val="002A1A41"/>
    <w:rsid w:val="002A1BBC"/>
    <w:rsid w:val="002A1D40"/>
    <w:rsid w:val="002A1DB3"/>
    <w:rsid w:val="002A1E3F"/>
    <w:rsid w:val="002A1EB3"/>
    <w:rsid w:val="002A2140"/>
    <w:rsid w:val="002A233B"/>
    <w:rsid w:val="002A26A2"/>
    <w:rsid w:val="002A2ECB"/>
    <w:rsid w:val="002A2FFF"/>
    <w:rsid w:val="002A3380"/>
    <w:rsid w:val="002A3C50"/>
    <w:rsid w:val="002A3EF6"/>
    <w:rsid w:val="002A40A0"/>
    <w:rsid w:val="002A4618"/>
    <w:rsid w:val="002A4782"/>
    <w:rsid w:val="002A4857"/>
    <w:rsid w:val="002A4932"/>
    <w:rsid w:val="002A4BD1"/>
    <w:rsid w:val="002A4BFA"/>
    <w:rsid w:val="002A4C91"/>
    <w:rsid w:val="002A4CA1"/>
    <w:rsid w:val="002A4E7F"/>
    <w:rsid w:val="002A53E1"/>
    <w:rsid w:val="002A56E0"/>
    <w:rsid w:val="002A583F"/>
    <w:rsid w:val="002A58B8"/>
    <w:rsid w:val="002A5B97"/>
    <w:rsid w:val="002A5F23"/>
    <w:rsid w:val="002A5F4B"/>
    <w:rsid w:val="002A6021"/>
    <w:rsid w:val="002A61DA"/>
    <w:rsid w:val="002A63D8"/>
    <w:rsid w:val="002A6894"/>
    <w:rsid w:val="002A6A82"/>
    <w:rsid w:val="002A6C6A"/>
    <w:rsid w:val="002A6CF1"/>
    <w:rsid w:val="002A71E9"/>
    <w:rsid w:val="002A7668"/>
    <w:rsid w:val="002A7972"/>
    <w:rsid w:val="002A79E3"/>
    <w:rsid w:val="002A7DD0"/>
    <w:rsid w:val="002B08F5"/>
    <w:rsid w:val="002B0905"/>
    <w:rsid w:val="002B0B0B"/>
    <w:rsid w:val="002B0D5F"/>
    <w:rsid w:val="002B108E"/>
    <w:rsid w:val="002B11D2"/>
    <w:rsid w:val="002B1300"/>
    <w:rsid w:val="002B1406"/>
    <w:rsid w:val="002B14EE"/>
    <w:rsid w:val="002B1559"/>
    <w:rsid w:val="002B1C11"/>
    <w:rsid w:val="002B1E63"/>
    <w:rsid w:val="002B20B3"/>
    <w:rsid w:val="002B262F"/>
    <w:rsid w:val="002B29F5"/>
    <w:rsid w:val="002B2A31"/>
    <w:rsid w:val="002B2C73"/>
    <w:rsid w:val="002B36E4"/>
    <w:rsid w:val="002B38AC"/>
    <w:rsid w:val="002B3CD0"/>
    <w:rsid w:val="002B4424"/>
    <w:rsid w:val="002B4772"/>
    <w:rsid w:val="002B47B6"/>
    <w:rsid w:val="002B4BED"/>
    <w:rsid w:val="002B5AA7"/>
    <w:rsid w:val="002B5B04"/>
    <w:rsid w:val="002B6170"/>
    <w:rsid w:val="002B6282"/>
    <w:rsid w:val="002B642C"/>
    <w:rsid w:val="002B6666"/>
    <w:rsid w:val="002B66A3"/>
    <w:rsid w:val="002B66C8"/>
    <w:rsid w:val="002B6E82"/>
    <w:rsid w:val="002B6FB4"/>
    <w:rsid w:val="002C0051"/>
    <w:rsid w:val="002C012A"/>
    <w:rsid w:val="002C0817"/>
    <w:rsid w:val="002C0BB2"/>
    <w:rsid w:val="002C0D2B"/>
    <w:rsid w:val="002C0E36"/>
    <w:rsid w:val="002C0E5B"/>
    <w:rsid w:val="002C162C"/>
    <w:rsid w:val="002C1701"/>
    <w:rsid w:val="002C18E6"/>
    <w:rsid w:val="002C1EA6"/>
    <w:rsid w:val="002C1F54"/>
    <w:rsid w:val="002C2283"/>
    <w:rsid w:val="002C2642"/>
    <w:rsid w:val="002C26EF"/>
    <w:rsid w:val="002C2A23"/>
    <w:rsid w:val="002C2A45"/>
    <w:rsid w:val="002C2B8F"/>
    <w:rsid w:val="002C2C0C"/>
    <w:rsid w:val="002C2CFC"/>
    <w:rsid w:val="002C31C9"/>
    <w:rsid w:val="002C3211"/>
    <w:rsid w:val="002C35B8"/>
    <w:rsid w:val="002C3930"/>
    <w:rsid w:val="002C3967"/>
    <w:rsid w:val="002C3BF9"/>
    <w:rsid w:val="002C3F1B"/>
    <w:rsid w:val="002C4465"/>
    <w:rsid w:val="002C4BD0"/>
    <w:rsid w:val="002C4C3F"/>
    <w:rsid w:val="002C4EAB"/>
    <w:rsid w:val="002C50AE"/>
    <w:rsid w:val="002C5158"/>
    <w:rsid w:val="002C519E"/>
    <w:rsid w:val="002C5230"/>
    <w:rsid w:val="002C5488"/>
    <w:rsid w:val="002C598E"/>
    <w:rsid w:val="002C5AA8"/>
    <w:rsid w:val="002C5AAA"/>
    <w:rsid w:val="002C5C54"/>
    <w:rsid w:val="002C5D8F"/>
    <w:rsid w:val="002C5E0C"/>
    <w:rsid w:val="002C5F8B"/>
    <w:rsid w:val="002C62C4"/>
    <w:rsid w:val="002C64F4"/>
    <w:rsid w:val="002C668F"/>
    <w:rsid w:val="002C6758"/>
    <w:rsid w:val="002C6824"/>
    <w:rsid w:val="002C6A5B"/>
    <w:rsid w:val="002C6A85"/>
    <w:rsid w:val="002C6DC6"/>
    <w:rsid w:val="002C6E4F"/>
    <w:rsid w:val="002C7541"/>
    <w:rsid w:val="002C781C"/>
    <w:rsid w:val="002C7CBF"/>
    <w:rsid w:val="002D0243"/>
    <w:rsid w:val="002D0262"/>
    <w:rsid w:val="002D0E5F"/>
    <w:rsid w:val="002D0F69"/>
    <w:rsid w:val="002D12E6"/>
    <w:rsid w:val="002D1307"/>
    <w:rsid w:val="002D1423"/>
    <w:rsid w:val="002D161C"/>
    <w:rsid w:val="002D16AF"/>
    <w:rsid w:val="002D220C"/>
    <w:rsid w:val="002D2284"/>
    <w:rsid w:val="002D2472"/>
    <w:rsid w:val="002D2936"/>
    <w:rsid w:val="002D3308"/>
    <w:rsid w:val="002D3591"/>
    <w:rsid w:val="002D3E32"/>
    <w:rsid w:val="002D3FA7"/>
    <w:rsid w:val="002D41DF"/>
    <w:rsid w:val="002D44A7"/>
    <w:rsid w:val="002D47EB"/>
    <w:rsid w:val="002D4EA4"/>
    <w:rsid w:val="002D502E"/>
    <w:rsid w:val="002D54EA"/>
    <w:rsid w:val="002D5531"/>
    <w:rsid w:val="002D553B"/>
    <w:rsid w:val="002D5A90"/>
    <w:rsid w:val="002D5DEC"/>
    <w:rsid w:val="002D6240"/>
    <w:rsid w:val="002D6527"/>
    <w:rsid w:val="002D6572"/>
    <w:rsid w:val="002D6AFF"/>
    <w:rsid w:val="002D6C52"/>
    <w:rsid w:val="002D6D49"/>
    <w:rsid w:val="002D6D63"/>
    <w:rsid w:val="002D6FE9"/>
    <w:rsid w:val="002D70F6"/>
    <w:rsid w:val="002D7288"/>
    <w:rsid w:val="002D72B4"/>
    <w:rsid w:val="002D72EF"/>
    <w:rsid w:val="002D740E"/>
    <w:rsid w:val="002D7556"/>
    <w:rsid w:val="002D7D34"/>
    <w:rsid w:val="002D7E3B"/>
    <w:rsid w:val="002E00EA"/>
    <w:rsid w:val="002E030D"/>
    <w:rsid w:val="002E035C"/>
    <w:rsid w:val="002E036D"/>
    <w:rsid w:val="002E09DD"/>
    <w:rsid w:val="002E104D"/>
    <w:rsid w:val="002E1372"/>
    <w:rsid w:val="002E14E7"/>
    <w:rsid w:val="002E1742"/>
    <w:rsid w:val="002E187E"/>
    <w:rsid w:val="002E20D4"/>
    <w:rsid w:val="002E2352"/>
    <w:rsid w:val="002E25C6"/>
    <w:rsid w:val="002E33DF"/>
    <w:rsid w:val="002E36FC"/>
    <w:rsid w:val="002E376F"/>
    <w:rsid w:val="002E39C0"/>
    <w:rsid w:val="002E3E5A"/>
    <w:rsid w:val="002E44F8"/>
    <w:rsid w:val="002E4C47"/>
    <w:rsid w:val="002E4EC6"/>
    <w:rsid w:val="002E5060"/>
    <w:rsid w:val="002E50B8"/>
    <w:rsid w:val="002E51E9"/>
    <w:rsid w:val="002E5231"/>
    <w:rsid w:val="002E52C7"/>
    <w:rsid w:val="002E57D1"/>
    <w:rsid w:val="002E59A0"/>
    <w:rsid w:val="002E5E32"/>
    <w:rsid w:val="002E5FFC"/>
    <w:rsid w:val="002E6151"/>
    <w:rsid w:val="002E6231"/>
    <w:rsid w:val="002E65F8"/>
    <w:rsid w:val="002E68DC"/>
    <w:rsid w:val="002E690B"/>
    <w:rsid w:val="002E698C"/>
    <w:rsid w:val="002E69F3"/>
    <w:rsid w:val="002E6B9C"/>
    <w:rsid w:val="002E6C25"/>
    <w:rsid w:val="002E6C85"/>
    <w:rsid w:val="002E765E"/>
    <w:rsid w:val="002E784E"/>
    <w:rsid w:val="002E79E5"/>
    <w:rsid w:val="002E7BED"/>
    <w:rsid w:val="002E7C80"/>
    <w:rsid w:val="002E7DCC"/>
    <w:rsid w:val="002E7E52"/>
    <w:rsid w:val="002F0193"/>
    <w:rsid w:val="002F0E78"/>
    <w:rsid w:val="002F0F02"/>
    <w:rsid w:val="002F12A1"/>
    <w:rsid w:val="002F15AF"/>
    <w:rsid w:val="002F18FC"/>
    <w:rsid w:val="002F1A32"/>
    <w:rsid w:val="002F1CC0"/>
    <w:rsid w:val="002F1CEE"/>
    <w:rsid w:val="002F1D79"/>
    <w:rsid w:val="002F1D84"/>
    <w:rsid w:val="002F1EA6"/>
    <w:rsid w:val="002F1F29"/>
    <w:rsid w:val="002F23B7"/>
    <w:rsid w:val="002F2554"/>
    <w:rsid w:val="002F260F"/>
    <w:rsid w:val="002F2A45"/>
    <w:rsid w:val="002F2ABE"/>
    <w:rsid w:val="002F2AF1"/>
    <w:rsid w:val="002F2C6C"/>
    <w:rsid w:val="002F2EE7"/>
    <w:rsid w:val="002F31A2"/>
    <w:rsid w:val="002F329F"/>
    <w:rsid w:val="002F32A1"/>
    <w:rsid w:val="002F33E6"/>
    <w:rsid w:val="002F39E9"/>
    <w:rsid w:val="002F3C88"/>
    <w:rsid w:val="002F3E07"/>
    <w:rsid w:val="002F42E6"/>
    <w:rsid w:val="002F47AC"/>
    <w:rsid w:val="002F4919"/>
    <w:rsid w:val="002F4B65"/>
    <w:rsid w:val="002F5195"/>
    <w:rsid w:val="002F54B7"/>
    <w:rsid w:val="002F55F4"/>
    <w:rsid w:val="002F5619"/>
    <w:rsid w:val="002F5927"/>
    <w:rsid w:val="002F5970"/>
    <w:rsid w:val="002F5B3E"/>
    <w:rsid w:val="002F5DBB"/>
    <w:rsid w:val="002F5ED7"/>
    <w:rsid w:val="002F5FFF"/>
    <w:rsid w:val="002F6136"/>
    <w:rsid w:val="002F6236"/>
    <w:rsid w:val="002F6431"/>
    <w:rsid w:val="002F68C9"/>
    <w:rsid w:val="002F6A00"/>
    <w:rsid w:val="003000B3"/>
    <w:rsid w:val="00300D49"/>
    <w:rsid w:val="0030111E"/>
    <w:rsid w:val="003016EC"/>
    <w:rsid w:val="00301773"/>
    <w:rsid w:val="0030178C"/>
    <w:rsid w:val="00301797"/>
    <w:rsid w:val="003017EF"/>
    <w:rsid w:val="00301D17"/>
    <w:rsid w:val="00301D1B"/>
    <w:rsid w:val="0030211E"/>
    <w:rsid w:val="0030216A"/>
    <w:rsid w:val="003021AD"/>
    <w:rsid w:val="00302961"/>
    <w:rsid w:val="003029BA"/>
    <w:rsid w:val="00302A88"/>
    <w:rsid w:val="00302C17"/>
    <w:rsid w:val="00302CD4"/>
    <w:rsid w:val="00302EA1"/>
    <w:rsid w:val="00302F85"/>
    <w:rsid w:val="00303271"/>
    <w:rsid w:val="00303774"/>
    <w:rsid w:val="003038AD"/>
    <w:rsid w:val="003039C0"/>
    <w:rsid w:val="00303DF2"/>
    <w:rsid w:val="003041AE"/>
    <w:rsid w:val="0030433F"/>
    <w:rsid w:val="0030459B"/>
    <w:rsid w:val="00304B1D"/>
    <w:rsid w:val="00304BFA"/>
    <w:rsid w:val="00304D22"/>
    <w:rsid w:val="0030519D"/>
    <w:rsid w:val="00305266"/>
    <w:rsid w:val="0030560E"/>
    <w:rsid w:val="00305688"/>
    <w:rsid w:val="00305EF5"/>
    <w:rsid w:val="00306011"/>
    <w:rsid w:val="00306361"/>
    <w:rsid w:val="003063F1"/>
    <w:rsid w:val="00306478"/>
    <w:rsid w:val="00306685"/>
    <w:rsid w:val="003068BA"/>
    <w:rsid w:val="00306927"/>
    <w:rsid w:val="00306F45"/>
    <w:rsid w:val="00306FAC"/>
    <w:rsid w:val="00307087"/>
    <w:rsid w:val="003070D9"/>
    <w:rsid w:val="00307208"/>
    <w:rsid w:val="0030723A"/>
    <w:rsid w:val="00307269"/>
    <w:rsid w:val="0030732D"/>
    <w:rsid w:val="003075D8"/>
    <w:rsid w:val="003077BD"/>
    <w:rsid w:val="003077DC"/>
    <w:rsid w:val="003079D0"/>
    <w:rsid w:val="00307A88"/>
    <w:rsid w:val="00307D41"/>
    <w:rsid w:val="00307E1E"/>
    <w:rsid w:val="00310287"/>
    <w:rsid w:val="003103BB"/>
    <w:rsid w:val="0031100F"/>
    <w:rsid w:val="003113C0"/>
    <w:rsid w:val="003114E5"/>
    <w:rsid w:val="003116C2"/>
    <w:rsid w:val="00311974"/>
    <w:rsid w:val="00311AD3"/>
    <w:rsid w:val="00311FE2"/>
    <w:rsid w:val="00312474"/>
    <w:rsid w:val="00312536"/>
    <w:rsid w:val="00312B9F"/>
    <w:rsid w:val="00312BC6"/>
    <w:rsid w:val="00312DEB"/>
    <w:rsid w:val="00313817"/>
    <w:rsid w:val="00313CE2"/>
    <w:rsid w:val="00314017"/>
    <w:rsid w:val="0031461C"/>
    <w:rsid w:val="003151DC"/>
    <w:rsid w:val="0031533C"/>
    <w:rsid w:val="003158E3"/>
    <w:rsid w:val="00315973"/>
    <w:rsid w:val="00315A28"/>
    <w:rsid w:val="00315C09"/>
    <w:rsid w:val="0031610C"/>
    <w:rsid w:val="00316831"/>
    <w:rsid w:val="00316A08"/>
    <w:rsid w:val="00316F65"/>
    <w:rsid w:val="003171AF"/>
    <w:rsid w:val="0031740A"/>
    <w:rsid w:val="00317563"/>
    <w:rsid w:val="00317B48"/>
    <w:rsid w:val="00317C23"/>
    <w:rsid w:val="003203AD"/>
    <w:rsid w:val="003203FE"/>
    <w:rsid w:val="003205C3"/>
    <w:rsid w:val="00320655"/>
    <w:rsid w:val="0032071D"/>
    <w:rsid w:val="00320968"/>
    <w:rsid w:val="003209B7"/>
    <w:rsid w:val="003211D1"/>
    <w:rsid w:val="0032123B"/>
    <w:rsid w:val="00321358"/>
    <w:rsid w:val="003217FF"/>
    <w:rsid w:val="0032191A"/>
    <w:rsid w:val="00321C27"/>
    <w:rsid w:val="00322308"/>
    <w:rsid w:val="0032247F"/>
    <w:rsid w:val="00322503"/>
    <w:rsid w:val="00322572"/>
    <w:rsid w:val="003228FB"/>
    <w:rsid w:val="00322A65"/>
    <w:rsid w:val="00322ABE"/>
    <w:rsid w:val="00322FB8"/>
    <w:rsid w:val="00323570"/>
    <w:rsid w:val="003238CC"/>
    <w:rsid w:val="003239BF"/>
    <w:rsid w:val="003239EB"/>
    <w:rsid w:val="00323CEF"/>
    <w:rsid w:val="00324560"/>
    <w:rsid w:val="003245BF"/>
    <w:rsid w:val="0032480C"/>
    <w:rsid w:val="00324DFC"/>
    <w:rsid w:val="003251E1"/>
    <w:rsid w:val="003258FD"/>
    <w:rsid w:val="00325D52"/>
    <w:rsid w:val="00325D90"/>
    <w:rsid w:val="003262CC"/>
    <w:rsid w:val="00326748"/>
    <w:rsid w:val="00326892"/>
    <w:rsid w:val="00326D21"/>
    <w:rsid w:val="00326DE7"/>
    <w:rsid w:val="00326F2A"/>
    <w:rsid w:val="00327064"/>
    <w:rsid w:val="00327129"/>
    <w:rsid w:val="0032735D"/>
    <w:rsid w:val="00327A3C"/>
    <w:rsid w:val="00327B2E"/>
    <w:rsid w:val="00327B2F"/>
    <w:rsid w:val="00327B3B"/>
    <w:rsid w:val="00327F34"/>
    <w:rsid w:val="00327F5E"/>
    <w:rsid w:val="00330086"/>
    <w:rsid w:val="00330E11"/>
    <w:rsid w:val="00330E79"/>
    <w:rsid w:val="003313ED"/>
    <w:rsid w:val="00331647"/>
    <w:rsid w:val="00331F89"/>
    <w:rsid w:val="00332240"/>
    <w:rsid w:val="0033252C"/>
    <w:rsid w:val="00332969"/>
    <w:rsid w:val="00332D8C"/>
    <w:rsid w:val="00332E52"/>
    <w:rsid w:val="00332F13"/>
    <w:rsid w:val="00333321"/>
    <w:rsid w:val="0033347E"/>
    <w:rsid w:val="00333A3C"/>
    <w:rsid w:val="00334022"/>
    <w:rsid w:val="003341C8"/>
    <w:rsid w:val="003343A5"/>
    <w:rsid w:val="003346F8"/>
    <w:rsid w:val="003349F1"/>
    <w:rsid w:val="00334B68"/>
    <w:rsid w:val="00335319"/>
    <w:rsid w:val="00335582"/>
    <w:rsid w:val="00335A23"/>
    <w:rsid w:val="00335AFE"/>
    <w:rsid w:val="00335C0B"/>
    <w:rsid w:val="00335E8E"/>
    <w:rsid w:val="00335F60"/>
    <w:rsid w:val="003368C8"/>
    <w:rsid w:val="00336938"/>
    <w:rsid w:val="00336C08"/>
    <w:rsid w:val="00336F01"/>
    <w:rsid w:val="003374A8"/>
    <w:rsid w:val="00337608"/>
    <w:rsid w:val="00337D49"/>
    <w:rsid w:val="00337DF2"/>
    <w:rsid w:val="00337E29"/>
    <w:rsid w:val="003401A4"/>
    <w:rsid w:val="003404BD"/>
    <w:rsid w:val="00340634"/>
    <w:rsid w:val="003408E3"/>
    <w:rsid w:val="00340D25"/>
    <w:rsid w:val="00341054"/>
    <w:rsid w:val="003411BD"/>
    <w:rsid w:val="00341224"/>
    <w:rsid w:val="003415EF"/>
    <w:rsid w:val="003416C2"/>
    <w:rsid w:val="003417C3"/>
    <w:rsid w:val="00341966"/>
    <w:rsid w:val="00341A3F"/>
    <w:rsid w:val="00341E62"/>
    <w:rsid w:val="003422A2"/>
    <w:rsid w:val="00342381"/>
    <w:rsid w:val="003425DD"/>
    <w:rsid w:val="003428C8"/>
    <w:rsid w:val="00342BCE"/>
    <w:rsid w:val="00342BEA"/>
    <w:rsid w:val="00342F2F"/>
    <w:rsid w:val="00343039"/>
    <w:rsid w:val="00343438"/>
    <w:rsid w:val="003438CF"/>
    <w:rsid w:val="00343996"/>
    <w:rsid w:val="00343C01"/>
    <w:rsid w:val="00343DA4"/>
    <w:rsid w:val="003444BD"/>
    <w:rsid w:val="003445EA"/>
    <w:rsid w:val="003449BB"/>
    <w:rsid w:val="00345197"/>
    <w:rsid w:val="003453B5"/>
    <w:rsid w:val="00345697"/>
    <w:rsid w:val="003456E8"/>
    <w:rsid w:val="00345898"/>
    <w:rsid w:val="00345B80"/>
    <w:rsid w:val="00345DA0"/>
    <w:rsid w:val="00345E10"/>
    <w:rsid w:val="0034605B"/>
    <w:rsid w:val="00346141"/>
    <w:rsid w:val="0034636F"/>
    <w:rsid w:val="00346459"/>
    <w:rsid w:val="00346470"/>
    <w:rsid w:val="00346D19"/>
    <w:rsid w:val="00346DF5"/>
    <w:rsid w:val="00347562"/>
    <w:rsid w:val="003475B7"/>
    <w:rsid w:val="00347C26"/>
    <w:rsid w:val="00350119"/>
    <w:rsid w:val="003502B7"/>
    <w:rsid w:val="00350591"/>
    <w:rsid w:val="00350E8B"/>
    <w:rsid w:val="0035107D"/>
    <w:rsid w:val="00351217"/>
    <w:rsid w:val="0035145F"/>
    <w:rsid w:val="003515A2"/>
    <w:rsid w:val="003516D8"/>
    <w:rsid w:val="0035178A"/>
    <w:rsid w:val="0035182B"/>
    <w:rsid w:val="0035198F"/>
    <w:rsid w:val="003519B9"/>
    <w:rsid w:val="003519EF"/>
    <w:rsid w:val="00351AD7"/>
    <w:rsid w:val="00351F97"/>
    <w:rsid w:val="00352089"/>
    <w:rsid w:val="0035213C"/>
    <w:rsid w:val="003525C4"/>
    <w:rsid w:val="00353030"/>
    <w:rsid w:val="00353800"/>
    <w:rsid w:val="0035399C"/>
    <w:rsid w:val="00353EAD"/>
    <w:rsid w:val="00354225"/>
    <w:rsid w:val="00354819"/>
    <w:rsid w:val="003548EB"/>
    <w:rsid w:val="00354A1F"/>
    <w:rsid w:val="00354CC3"/>
    <w:rsid w:val="00354CF2"/>
    <w:rsid w:val="0035518D"/>
    <w:rsid w:val="0035526E"/>
    <w:rsid w:val="0035532D"/>
    <w:rsid w:val="0035540B"/>
    <w:rsid w:val="003555AD"/>
    <w:rsid w:val="00355797"/>
    <w:rsid w:val="00356125"/>
    <w:rsid w:val="003561BD"/>
    <w:rsid w:val="0035630A"/>
    <w:rsid w:val="00356480"/>
    <w:rsid w:val="003568C2"/>
    <w:rsid w:val="00356A0D"/>
    <w:rsid w:val="00356AE5"/>
    <w:rsid w:val="00356B20"/>
    <w:rsid w:val="00356C60"/>
    <w:rsid w:val="00356F6C"/>
    <w:rsid w:val="00357041"/>
    <w:rsid w:val="00357058"/>
    <w:rsid w:val="003571BF"/>
    <w:rsid w:val="00357463"/>
    <w:rsid w:val="00357507"/>
    <w:rsid w:val="00357676"/>
    <w:rsid w:val="00357C42"/>
    <w:rsid w:val="00357EB7"/>
    <w:rsid w:val="00360008"/>
    <w:rsid w:val="00360621"/>
    <w:rsid w:val="0036087E"/>
    <w:rsid w:val="00360A81"/>
    <w:rsid w:val="00361496"/>
    <w:rsid w:val="003617C5"/>
    <w:rsid w:val="003617F1"/>
    <w:rsid w:val="0036181E"/>
    <w:rsid w:val="00361C09"/>
    <w:rsid w:val="00361C18"/>
    <w:rsid w:val="003625E3"/>
    <w:rsid w:val="003626D1"/>
    <w:rsid w:val="003627E6"/>
    <w:rsid w:val="0036292B"/>
    <w:rsid w:val="003629EB"/>
    <w:rsid w:val="003635D6"/>
    <w:rsid w:val="00363D31"/>
    <w:rsid w:val="00363D68"/>
    <w:rsid w:val="0036408A"/>
    <w:rsid w:val="003640A8"/>
    <w:rsid w:val="003641DF"/>
    <w:rsid w:val="00364AB2"/>
    <w:rsid w:val="00364ACB"/>
    <w:rsid w:val="00364E83"/>
    <w:rsid w:val="00365415"/>
    <w:rsid w:val="003658E9"/>
    <w:rsid w:val="00365A0B"/>
    <w:rsid w:val="0036621A"/>
    <w:rsid w:val="0036625F"/>
    <w:rsid w:val="0036633B"/>
    <w:rsid w:val="003665F2"/>
    <w:rsid w:val="00366847"/>
    <w:rsid w:val="003669D3"/>
    <w:rsid w:val="00366BC0"/>
    <w:rsid w:val="00367038"/>
    <w:rsid w:val="003672FE"/>
    <w:rsid w:val="00367A13"/>
    <w:rsid w:val="00367ACC"/>
    <w:rsid w:val="003703B1"/>
    <w:rsid w:val="00370562"/>
    <w:rsid w:val="003708CF"/>
    <w:rsid w:val="00370B17"/>
    <w:rsid w:val="00370B58"/>
    <w:rsid w:val="003710D9"/>
    <w:rsid w:val="00371351"/>
    <w:rsid w:val="0037148B"/>
    <w:rsid w:val="003714D5"/>
    <w:rsid w:val="003715FC"/>
    <w:rsid w:val="00371680"/>
    <w:rsid w:val="003716FF"/>
    <w:rsid w:val="00371B8C"/>
    <w:rsid w:val="00371FFF"/>
    <w:rsid w:val="00372150"/>
    <w:rsid w:val="003721CC"/>
    <w:rsid w:val="003725B3"/>
    <w:rsid w:val="00372876"/>
    <w:rsid w:val="00372A63"/>
    <w:rsid w:val="00372ABA"/>
    <w:rsid w:val="00372DE3"/>
    <w:rsid w:val="00372FB0"/>
    <w:rsid w:val="00373324"/>
    <w:rsid w:val="00373876"/>
    <w:rsid w:val="00373892"/>
    <w:rsid w:val="00373DC9"/>
    <w:rsid w:val="00373E24"/>
    <w:rsid w:val="0037406B"/>
    <w:rsid w:val="003741AD"/>
    <w:rsid w:val="0037438C"/>
    <w:rsid w:val="0037447A"/>
    <w:rsid w:val="00374AA1"/>
    <w:rsid w:val="00374E48"/>
    <w:rsid w:val="003750A3"/>
    <w:rsid w:val="003752B4"/>
    <w:rsid w:val="003752FA"/>
    <w:rsid w:val="0037547C"/>
    <w:rsid w:val="003756E2"/>
    <w:rsid w:val="00376081"/>
    <w:rsid w:val="0037672F"/>
    <w:rsid w:val="0037685C"/>
    <w:rsid w:val="00376976"/>
    <w:rsid w:val="00376CD1"/>
    <w:rsid w:val="00376D0A"/>
    <w:rsid w:val="00376DC3"/>
    <w:rsid w:val="00376DCD"/>
    <w:rsid w:val="003771EA"/>
    <w:rsid w:val="00377390"/>
    <w:rsid w:val="0037749B"/>
    <w:rsid w:val="00377508"/>
    <w:rsid w:val="00377C11"/>
    <w:rsid w:val="00377CE5"/>
    <w:rsid w:val="00377F4D"/>
    <w:rsid w:val="003801B7"/>
    <w:rsid w:val="003802D9"/>
    <w:rsid w:val="003803FA"/>
    <w:rsid w:val="0038049F"/>
    <w:rsid w:val="00380AD0"/>
    <w:rsid w:val="00380ADD"/>
    <w:rsid w:val="00380CA6"/>
    <w:rsid w:val="00380D09"/>
    <w:rsid w:val="00380E5A"/>
    <w:rsid w:val="00380ED9"/>
    <w:rsid w:val="00381618"/>
    <w:rsid w:val="0038189B"/>
    <w:rsid w:val="003818C6"/>
    <w:rsid w:val="003818EE"/>
    <w:rsid w:val="00381BB8"/>
    <w:rsid w:val="00382011"/>
    <w:rsid w:val="0038231C"/>
    <w:rsid w:val="00382B06"/>
    <w:rsid w:val="00382DB5"/>
    <w:rsid w:val="00382DBE"/>
    <w:rsid w:val="0038303A"/>
    <w:rsid w:val="00383108"/>
    <w:rsid w:val="003832E0"/>
    <w:rsid w:val="00383385"/>
    <w:rsid w:val="00383461"/>
    <w:rsid w:val="00383554"/>
    <w:rsid w:val="00383C33"/>
    <w:rsid w:val="00383D25"/>
    <w:rsid w:val="003840F9"/>
    <w:rsid w:val="003847D0"/>
    <w:rsid w:val="00384C22"/>
    <w:rsid w:val="00384C2E"/>
    <w:rsid w:val="00384E35"/>
    <w:rsid w:val="00384F0F"/>
    <w:rsid w:val="00384F47"/>
    <w:rsid w:val="0038506A"/>
    <w:rsid w:val="003850C7"/>
    <w:rsid w:val="0038528A"/>
    <w:rsid w:val="00385331"/>
    <w:rsid w:val="003853EE"/>
    <w:rsid w:val="003858AE"/>
    <w:rsid w:val="00385928"/>
    <w:rsid w:val="00385A97"/>
    <w:rsid w:val="00385BDA"/>
    <w:rsid w:val="00386C5B"/>
    <w:rsid w:val="00386E87"/>
    <w:rsid w:val="003871AF"/>
    <w:rsid w:val="00387274"/>
    <w:rsid w:val="0038780B"/>
    <w:rsid w:val="00387862"/>
    <w:rsid w:val="00387AF9"/>
    <w:rsid w:val="00390006"/>
    <w:rsid w:val="003903ED"/>
    <w:rsid w:val="003904ED"/>
    <w:rsid w:val="00390598"/>
    <w:rsid w:val="003905AB"/>
    <w:rsid w:val="003911E4"/>
    <w:rsid w:val="003915E8"/>
    <w:rsid w:val="00391936"/>
    <w:rsid w:val="003919EE"/>
    <w:rsid w:val="00391FA3"/>
    <w:rsid w:val="003920C7"/>
    <w:rsid w:val="0039231F"/>
    <w:rsid w:val="003923EB"/>
    <w:rsid w:val="003926BD"/>
    <w:rsid w:val="003929E3"/>
    <w:rsid w:val="00392B1F"/>
    <w:rsid w:val="003931E0"/>
    <w:rsid w:val="00393304"/>
    <w:rsid w:val="0039331C"/>
    <w:rsid w:val="003934ED"/>
    <w:rsid w:val="003936CF"/>
    <w:rsid w:val="003939FA"/>
    <w:rsid w:val="00393A94"/>
    <w:rsid w:val="00393ABB"/>
    <w:rsid w:val="00393F9D"/>
    <w:rsid w:val="003943A4"/>
    <w:rsid w:val="00394475"/>
    <w:rsid w:val="003945D9"/>
    <w:rsid w:val="003947FF"/>
    <w:rsid w:val="00394F5B"/>
    <w:rsid w:val="0039546E"/>
    <w:rsid w:val="00395541"/>
    <w:rsid w:val="003958F5"/>
    <w:rsid w:val="003959D8"/>
    <w:rsid w:val="003959E4"/>
    <w:rsid w:val="00395D36"/>
    <w:rsid w:val="00395ECD"/>
    <w:rsid w:val="00396661"/>
    <w:rsid w:val="0039680A"/>
    <w:rsid w:val="0039682A"/>
    <w:rsid w:val="00396872"/>
    <w:rsid w:val="00396986"/>
    <w:rsid w:val="003969D3"/>
    <w:rsid w:val="00396BAA"/>
    <w:rsid w:val="003970B8"/>
    <w:rsid w:val="00397138"/>
    <w:rsid w:val="00397698"/>
    <w:rsid w:val="0039772B"/>
    <w:rsid w:val="00397961"/>
    <w:rsid w:val="003A060C"/>
    <w:rsid w:val="003A0697"/>
    <w:rsid w:val="003A09AA"/>
    <w:rsid w:val="003A0B0F"/>
    <w:rsid w:val="003A0FE9"/>
    <w:rsid w:val="003A114B"/>
    <w:rsid w:val="003A1248"/>
    <w:rsid w:val="003A1679"/>
    <w:rsid w:val="003A1A46"/>
    <w:rsid w:val="003A1CE1"/>
    <w:rsid w:val="003A1CE9"/>
    <w:rsid w:val="003A1CFE"/>
    <w:rsid w:val="003A1D35"/>
    <w:rsid w:val="003A2045"/>
    <w:rsid w:val="003A24CC"/>
    <w:rsid w:val="003A28B7"/>
    <w:rsid w:val="003A2C32"/>
    <w:rsid w:val="003A2CF6"/>
    <w:rsid w:val="003A3033"/>
    <w:rsid w:val="003A33D7"/>
    <w:rsid w:val="003A351E"/>
    <w:rsid w:val="003A410A"/>
    <w:rsid w:val="003A4296"/>
    <w:rsid w:val="003A4326"/>
    <w:rsid w:val="003A497C"/>
    <w:rsid w:val="003A4B16"/>
    <w:rsid w:val="003A4CD9"/>
    <w:rsid w:val="003A5085"/>
    <w:rsid w:val="003A51BF"/>
    <w:rsid w:val="003A533E"/>
    <w:rsid w:val="003A54F6"/>
    <w:rsid w:val="003A5766"/>
    <w:rsid w:val="003A5905"/>
    <w:rsid w:val="003A5B99"/>
    <w:rsid w:val="003A5CC7"/>
    <w:rsid w:val="003A654E"/>
    <w:rsid w:val="003A6D61"/>
    <w:rsid w:val="003A70BF"/>
    <w:rsid w:val="003A7CA4"/>
    <w:rsid w:val="003B051E"/>
    <w:rsid w:val="003B0529"/>
    <w:rsid w:val="003B0612"/>
    <w:rsid w:val="003B0655"/>
    <w:rsid w:val="003B0999"/>
    <w:rsid w:val="003B0B24"/>
    <w:rsid w:val="003B0CBC"/>
    <w:rsid w:val="003B0CFB"/>
    <w:rsid w:val="003B0DA7"/>
    <w:rsid w:val="003B0DAF"/>
    <w:rsid w:val="003B0F3E"/>
    <w:rsid w:val="003B0FE3"/>
    <w:rsid w:val="003B149F"/>
    <w:rsid w:val="003B1609"/>
    <w:rsid w:val="003B188C"/>
    <w:rsid w:val="003B18C2"/>
    <w:rsid w:val="003B1A22"/>
    <w:rsid w:val="003B1ACC"/>
    <w:rsid w:val="003B1B41"/>
    <w:rsid w:val="003B1D23"/>
    <w:rsid w:val="003B20D5"/>
    <w:rsid w:val="003B215A"/>
    <w:rsid w:val="003B22E2"/>
    <w:rsid w:val="003B27DE"/>
    <w:rsid w:val="003B2B92"/>
    <w:rsid w:val="003B2D2C"/>
    <w:rsid w:val="003B2D45"/>
    <w:rsid w:val="003B2ECC"/>
    <w:rsid w:val="003B30AF"/>
    <w:rsid w:val="003B3200"/>
    <w:rsid w:val="003B382E"/>
    <w:rsid w:val="003B3931"/>
    <w:rsid w:val="003B3A5C"/>
    <w:rsid w:val="003B3BD5"/>
    <w:rsid w:val="003B3D60"/>
    <w:rsid w:val="003B3F96"/>
    <w:rsid w:val="003B4588"/>
    <w:rsid w:val="003B4C3A"/>
    <w:rsid w:val="003B4F75"/>
    <w:rsid w:val="003B4FD8"/>
    <w:rsid w:val="003B5632"/>
    <w:rsid w:val="003B58C1"/>
    <w:rsid w:val="003B58D5"/>
    <w:rsid w:val="003B5F6D"/>
    <w:rsid w:val="003B6003"/>
    <w:rsid w:val="003B61F7"/>
    <w:rsid w:val="003B622C"/>
    <w:rsid w:val="003B67A4"/>
    <w:rsid w:val="003B67AA"/>
    <w:rsid w:val="003B6953"/>
    <w:rsid w:val="003B7455"/>
    <w:rsid w:val="003B7464"/>
    <w:rsid w:val="003B7683"/>
    <w:rsid w:val="003B7A64"/>
    <w:rsid w:val="003B7AD3"/>
    <w:rsid w:val="003B7C73"/>
    <w:rsid w:val="003B7EF7"/>
    <w:rsid w:val="003B7FDD"/>
    <w:rsid w:val="003C045A"/>
    <w:rsid w:val="003C0539"/>
    <w:rsid w:val="003C0545"/>
    <w:rsid w:val="003C0B91"/>
    <w:rsid w:val="003C0C27"/>
    <w:rsid w:val="003C0D09"/>
    <w:rsid w:val="003C105F"/>
    <w:rsid w:val="003C12F0"/>
    <w:rsid w:val="003C13AE"/>
    <w:rsid w:val="003C1EC2"/>
    <w:rsid w:val="003C1FDE"/>
    <w:rsid w:val="003C232C"/>
    <w:rsid w:val="003C2346"/>
    <w:rsid w:val="003C2757"/>
    <w:rsid w:val="003C2DE4"/>
    <w:rsid w:val="003C2E0D"/>
    <w:rsid w:val="003C2F8C"/>
    <w:rsid w:val="003C2FEF"/>
    <w:rsid w:val="003C325C"/>
    <w:rsid w:val="003C340F"/>
    <w:rsid w:val="003C389A"/>
    <w:rsid w:val="003C3AF0"/>
    <w:rsid w:val="003C3C6C"/>
    <w:rsid w:val="003C3D24"/>
    <w:rsid w:val="003C3F64"/>
    <w:rsid w:val="003C3F73"/>
    <w:rsid w:val="003C414E"/>
    <w:rsid w:val="003C41F4"/>
    <w:rsid w:val="003C42AE"/>
    <w:rsid w:val="003C4471"/>
    <w:rsid w:val="003C476E"/>
    <w:rsid w:val="003C49B4"/>
    <w:rsid w:val="003C4AB7"/>
    <w:rsid w:val="003C4D46"/>
    <w:rsid w:val="003C504E"/>
    <w:rsid w:val="003C5296"/>
    <w:rsid w:val="003C540C"/>
    <w:rsid w:val="003C5A83"/>
    <w:rsid w:val="003C5D77"/>
    <w:rsid w:val="003C5E8C"/>
    <w:rsid w:val="003C669C"/>
    <w:rsid w:val="003C6791"/>
    <w:rsid w:val="003C68F5"/>
    <w:rsid w:val="003C6981"/>
    <w:rsid w:val="003C6CE8"/>
    <w:rsid w:val="003C7355"/>
    <w:rsid w:val="003C7539"/>
    <w:rsid w:val="003C7FAF"/>
    <w:rsid w:val="003D0044"/>
    <w:rsid w:val="003D013E"/>
    <w:rsid w:val="003D043D"/>
    <w:rsid w:val="003D0E03"/>
    <w:rsid w:val="003D0E50"/>
    <w:rsid w:val="003D0F82"/>
    <w:rsid w:val="003D1072"/>
    <w:rsid w:val="003D12B9"/>
    <w:rsid w:val="003D134A"/>
    <w:rsid w:val="003D147A"/>
    <w:rsid w:val="003D16D3"/>
    <w:rsid w:val="003D1782"/>
    <w:rsid w:val="003D1813"/>
    <w:rsid w:val="003D1BEA"/>
    <w:rsid w:val="003D1DBF"/>
    <w:rsid w:val="003D1E0F"/>
    <w:rsid w:val="003D1EF2"/>
    <w:rsid w:val="003D25DC"/>
    <w:rsid w:val="003D310B"/>
    <w:rsid w:val="003D32FE"/>
    <w:rsid w:val="003D38C1"/>
    <w:rsid w:val="003D4096"/>
    <w:rsid w:val="003D45EC"/>
    <w:rsid w:val="003D4655"/>
    <w:rsid w:val="003D4FE7"/>
    <w:rsid w:val="003D5543"/>
    <w:rsid w:val="003D56C0"/>
    <w:rsid w:val="003D58DE"/>
    <w:rsid w:val="003D5E31"/>
    <w:rsid w:val="003D6563"/>
    <w:rsid w:val="003D6B9E"/>
    <w:rsid w:val="003D6BE8"/>
    <w:rsid w:val="003D6C5C"/>
    <w:rsid w:val="003D6DC1"/>
    <w:rsid w:val="003D6F68"/>
    <w:rsid w:val="003D7426"/>
    <w:rsid w:val="003D76AA"/>
    <w:rsid w:val="003D784E"/>
    <w:rsid w:val="003E0120"/>
    <w:rsid w:val="003E02B7"/>
    <w:rsid w:val="003E037C"/>
    <w:rsid w:val="003E0414"/>
    <w:rsid w:val="003E0734"/>
    <w:rsid w:val="003E0861"/>
    <w:rsid w:val="003E09C6"/>
    <w:rsid w:val="003E09E2"/>
    <w:rsid w:val="003E0C75"/>
    <w:rsid w:val="003E0D3E"/>
    <w:rsid w:val="003E1126"/>
    <w:rsid w:val="003E123C"/>
    <w:rsid w:val="003E1A03"/>
    <w:rsid w:val="003E1C14"/>
    <w:rsid w:val="003E208B"/>
    <w:rsid w:val="003E20B3"/>
    <w:rsid w:val="003E21F5"/>
    <w:rsid w:val="003E2619"/>
    <w:rsid w:val="003E274A"/>
    <w:rsid w:val="003E281A"/>
    <w:rsid w:val="003E2DEA"/>
    <w:rsid w:val="003E30EA"/>
    <w:rsid w:val="003E324E"/>
    <w:rsid w:val="003E337D"/>
    <w:rsid w:val="003E355D"/>
    <w:rsid w:val="003E3BED"/>
    <w:rsid w:val="003E3D2E"/>
    <w:rsid w:val="003E3DD7"/>
    <w:rsid w:val="003E3E94"/>
    <w:rsid w:val="003E4247"/>
    <w:rsid w:val="003E4312"/>
    <w:rsid w:val="003E4A43"/>
    <w:rsid w:val="003E4BD2"/>
    <w:rsid w:val="003E4E46"/>
    <w:rsid w:val="003E4E8B"/>
    <w:rsid w:val="003E5491"/>
    <w:rsid w:val="003E55EF"/>
    <w:rsid w:val="003E59EF"/>
    <w:rsid w:val="003E5A5C"/>
    <w:rsid w:val="003E5A85"/>
    <w:rsid w:val="003E5B7C"/>
    <w:rsid w:val="003E5D71"/>
    <w:rsid w:val="003E5E51"/>
    <w:rsid w:val="003E675A"/>
    <w:rsid w:val="003E6F9A"/>
    <w:rsid w:val="003E7930"/>
    <w:rsid w:val="003E7AE2"/>
    <w:rsid w:val="003E7DC5"/>
    <w:rsid w:val="003F01E6"/>
    <w:rsid w:val="003F023B"/>
    <w:rsid w:val="003F04F5"/>
    <w:rsid w:val="003F0521"/>
    <w:rsid w:val="003F0744"/>
    <w:rsid w:val="003F07FE"/>
    <w:rsid w:val="003F0ACD"/>
    <w:rsid w:val="003F0DBB"/>
    <w:rsid w:val="003F1040"/>
    <w:rsid w:val="003F11EE"/>
    <w:rsid w:val="003F12B4"/>
    <w:rsid w:val="003F14CB"/>
    <w:rsid w:val="003F1856"/>
    <w:rsid w:val="003F2407"/>
    <w:rsid w:val="003F2555"/>
    <w:rsid w:val="003F25B9"/>
    <w:rsid w:val="003F2763"/>
    <w:rsid w:val="003F296E"/>
    <w:rsid w:val="003F2973"/>
    <w:rsid w:val="003F356C"/>
    <w:rsid w:val="003F3B00"/>
    <w:rsid w:val="003F3B1A"/>
    <w:rsid w:val="003F3D58"/>
    <w:rsid w:val="003F43BC"/>
    <w:rsid w:val="003F4538"/>
    <w:rsid w:val="003F4BF1"/>
    <w:rsid w:val="003F4ED7"/>
    <w:rsid w:val="003F53CF"/>
    <w:rsid w:val="003F5411"/>
    <w:rsid w:val="003F5414"/>
    <w:rsid w:val="003F556A"/>
    <w:rsid w:val="003F57BC"/>
    <w:rsid w:val="003F587D"/>
    <w:rsid w:val="003F5A19"/>
    <w:rsid w:val="003F5B30"/>
    <w:rsid w:val="003F5C2F"/>
    <w:rsid w:val="003F5C72"/>
    <w:rsid w:val="003F6106"/>
    <w:rsid w:val="003F62F2"/>
    <w:rsid w:val="003F6624"/>
    <w:rsid w:val="003F6E79"/>
    <w:rsid w:val="003F6EB3"/>
    <w:rsid w:val="003F6ECB"/>
    <w:rsid w:val="003F72E9"/>
    <w:rsid w:val="003F76E9"/>
    <w:rsid w:val="003F7938"/>
    <w:rsid w:val="003F7AA6"/>
    <w:rsid w:val="003F7CB6"/>
    <w:rsid w:val="003F7D6C"/>
    <w:rsid w:val="003F7F40"/>
    <w:rsid w:val="003F7F8B"/>
    <w:rsid w:val="0040008D"/>
    <w:rsid w:val="00400225"/>
    <w:rsid w:val="004009A1"/>
    <w:rsid w:val="004012E1"/>
    <w:rsid w:val="00401400"/>
    <w:rsid w:val="00401465"/>
    <w:rsid w:val="00401D6F"/>
    <w:rsid w:val="00402170"/>
    <w:rsid w:val="004022D5"/>
    <w:rsid w:val="004022FA"/>
    <w:rsid w:val="00402318"/>
    <w:rsid w:val="004023A4"/>
    <w:rsid w:val="00402C65"/>
    <w:rsid w:val="00402DA0"/>
    <w:rsid w:val="0040330B"/>
    <w:rsid w:val="004034F4"/>
    <w:rsid w:val="00403772"/>
    <w:rsid w:val="00403A95"/>
    <w:rsid w:val="00403CD1"/>
    <w:rsid w:val="004040C9"/>
    <w:rsid w:val="00404256"/>
    <w:rsid w:val="00404BC2"/>
    <w:rsid w:val="00404EE8"/>
    <w:rsid w:val="004050A7"/>
    <w:rsid w:val="004050C3"/>
    <w:rsid w:val="00405643"/>
    <w:rsid w:val="00405C64"/>
    <w:rsid w:val="00406044"/>
    <w:rsid w:val="00406063"/>
    <w:rsid w:val="00406065"/>
    <w:rsid w:val="0040616F"/>
    <w:rsid w:val="004068B6"/>
    <w:rsid w:val="00406972"/>
    <w:rsid w:val="00407064"/>
    <w:rsid w:val="0040752E"/>
    <w:rsid w:val="00407881"/>
    <w:rsid w:val="004079B7"/>
    <w:rsid w:val="00407F20"/>
    <w:rsid w:val="00410008"/>
    <w:rsid w:val="004101A2"/>
    <w:rsid w:val="00410327"/>
    <w:rsid w:val="004105D0"/>
    <w:rsid w:val="00410A84"/>
    <w:rsid w:val="00411142"/>
    <w:rsid w:val="0041140A"/>
    <w:rsid w:val="0041182A"/>
    <w:rsid w:val="00411961"/>
    <w:rsid w:val="00411E2C"/>
    <w:rsid w:val="00412386"/>
    <w:rsid w:val="0041285F"/>
    <w:rsid w:val="00412F05"/>
    <w:rsid w:val="00412F12"/>
    <w:rsid w:val="004133FE"/>
    <w:rsid w:val="00413415"/>
    <w:rsid w:val="0041374C"/>
    <w:rsid w:val="004139AC"/>
    <w:rsid w:val="004139C1"/>
    <w:rsid w:val="00413EC5"/>
    <w:rsid w:val="004141AD"/>
    <w:rsid w:val="00414C9B"/>
    <w:rsid w:val="00414FEB"/>
    <w:rsid w:val="004152A1"/>
    <w:rsid w:val="00415407"/>
    <w:rsid w:val="00415FFB"/>
    <w:rsid w:val="00416253"/>
    <w:rsid w:val="00416452"/>
    <w:rsid w:val="00417003"/>
    <w:rsid w:val="00417039"/>
    <w:rsid w:val="004170E6"/>
    <w:rsid w:val="00417537"/>
    <w:rsid w:val="00417643"/>
    <w:rsid w:val="0041782C"/>
    <w:rsid w:val="00417A8C"/>
    <w:rsid w:val="00417BA6"/>
    <w:rsid w:val="00417EFC"/>
    <w:rsid w:val="004203FF"/>
    <w:rsid w:val="00420509"/>
    <w:rsid w:val="00420E1E"/>
    <w:rsid w:val="0042104C"/>
    <w:rsid w:val="00421307"/>
    <w:rsid w:val="00421363"/>
    <w:rsid w:val="0042160B"/>
    <w:rsid w:val="0042165B"/>
    <w:rsid w:val="00421665"/>
    <w:rsid w:val="00421AA2"/>
    <w:rsid w:val="00421B2A"/>
    <w:rsid w:val="00421E69"/>
    <w:rsid w:val="00422055"/>
    <w:rsid w:val="00422285"/>
    <w:rsid w:val="00422B83"/>
    <w:rsid w:val="00422B93"/>
    <w:rsid w:val="00423023"/>
    <w:rsid w:val="004231D3"/>
    <w:rsid w:val="00423376"/>
    <w:rsid w:val="00423395"/>
    <w:rsid w:val="004238A9"/>
    <w:rsid w:val="004238AD"/>
    <w:rsid w:val="00423980"/>
    <w:rsid w:val="00423A7F"/>
    <w:rsid w:val="00423CEB"/>
    <w:rsid w:val="00423E59"/>
    <w:rsid w:val="00423FBA"/>
    <w:rsid w:val="004240A9"/>
    <w:rsid w:val="00424177"/>
    <w:rsid w:val="00424738"/>
    <w:rsid w:val="00424923"/>
    <w:rsid w:val="00424A4C"/>
    <w:rsid w:val="00424B48"/>
    <w:rsid w:val="00424E71"/>
    <w:rsid w:val="0042515A"/>
    <w:rsid w:val="0042595A"/>
    <w:rsid w:val="004259A2"/>
    <w:rsid w:val="0042623F"/>
    <w:rsid w:val="00426375"/>
    <w:rsid w:val="004265A2"/>
    <w:rsid w:val="00426CF5"/>
    <w:rsid w:val="0042723E"/>
    <w:rsid w:val="00427619"/>
    <w:rsid w:val="00427ACB"/>
    <w:rsid w:val="00427BF5"/>
    <w:rsid w:val="00427CD8"/>
    <w:rsid w:val="00427ED2"/>
    <w:rsid w:val="00427F99"/>
    <w:rsid w:val="004304BD"/>
    <w:rsid w:val="0043056C"/>
    <w:rsid w:val="00430738"/>
    <w:rsid w:val="00430CDB"/>
    <w:rsid w:val="00430E1D"/>
    <w:rsid w:val="00430E54"/>
    <w:rsid w:val="00431214"/>
    <w:rsid w:val="004313F3"/>
    <w:rsid w:val="004315A4"/>
    <w:rsid w:val="00431940"/>
    <w:rsid w:val="00431A56"/>
    <w:rsid w:val="00431C8D"/>
    <w:rsid w:val="00432067"/>
    <w:rsid w:val="004328F8"/>
    <w:rsid w:val="00432C6F"/>
    <w:rsid w:val="00432E08"/>
    <w:rsid w:val="004334CC"/>
    <w:rsid w:val="004336D9"/>
    <w:rsid w:val="0043374E"/>
    <w:rsid w:val="004338F9"/>
    <w:rsid w:val="00433C59"/>
    <w:rsid w:val="00433D07"/>
    <w:rsid w:val="00434109"/>
    <w:rsid w:val="0043463C"/>
    <w:rsid w:val="00434702"/>
    <w:rsid w:val="00434994"/>
    <w:rsid w:val="0043512A"/>
    <w:rsid w:val="00435399"/>
    <w:rsid w:val="00435695"/>
    <w:rsid w:val="00435736"/>
    <w:rsid w:val="0043573D"/>
    <w:rsid w:val="00435785"/>
    <w:rsid w:val="00435ACD"/>
    <w:rsid w:val="00435B3C"/>
    <w:rsid w:val="00435C8B"/>
    <w:rsid w:val="00435E1D"/>
    <w:rsid w:val="00436ECB"/>
    <w:rsid w:val="0043707F"/>
    <w:rsid w:val="004370CA"/>
    <w:rsid w:val="004370DA"/>
    <w:rsid w:val="004374FF"/>
    <w:rsid w:val="00437FA6"/>
    <w:rsid w:val="0044029E"/>
    <w:rsid w:val="0044052D"/>
    <w:rsid w:val="00440963"/>
    <w:rsid w:val="00440A29"/>
    <w:rsid w:val="0044103E"/>
    <w:rsid w:val="00441106"/>
    <w:rsid w:val="004413E4"/>
    <w:rsid w:val="004419B8"/>
    <w:rsid w:val="00441AD3"/>
    <w:rsid w:val="00441E1B"/>
    <w:rsid w:val="00441F26"/>
    <w:rsid w:val="00442178"/>
    <w:rsid w:val="004421D5"/>
    <w:rsid w:val="004421E0"/>
    <w:rsid w:val="00442295"/>
    <w:rsid w:val="00443230"/>
    <w:rsid w:val="004434C6"/>
    <w:rsid w:val="00443862"/>
    <w:rsid w:val="0044507B"/>
    <w:rsid w:val="0044542D"/>
    <w:rsid w:val="004455C8"/>
    <w:rsid w:val="004455F1"/>
    <w:rsid w:val="00445667"/>
    <w:rsid w:val="00446273"/>
    <w:rsid w:val="00446613"/>
    <w:rsid w:val="00446EE7"/>
    <w:rsid w:val="004470EB"/>
    <w:rsid w:val="004471B9"/>
    <w:rsid w:val="0044752D"/>
    <w:rsid w:val="004475E0"/>
    <w:rsid w:val="00447629"/>
    <w:rsid w:val="004477AC"/>
    <w:rsid w:val="0044784D"/>
    <w:rsid w:val="00447AFE"/>
    <w:rsid w:val="00447D1E"/>
    <w:rsid w:val="00447DE5"/>
    <w:rsid w:val="00447F9E"/>
    <w:rsid w:val="0045042A"/>
    <w:rsid w:val="00450463"/>
    <w:rsid w:val="004505C7"/>
    <w:rsid w:val="00450CA0"/>
    <w:rsid w:val="00450F8B"/>
    <w:rsid w:val="004513FB"/>
    <w:rsid w:val="004516ED"/>
    <w:rsid w:val="0045189B"/>
    <w:rsid w:val="00451B96"/>
    <w:rsid w:val="00451FCA"/>
    <w:rsid w:val="00451FEF"/>
    <w:rsid w:val="00452113"/>
    <w:rsid w:val="0045245B"/>
    <w:rsid w:val="004524D8"/>
    <w:rsid w:val="004527D5"/>
    <w:rsid w:val="00452880"/>
    <w:rsid w:val="004528BA"/>
    <w:rsid w:val="00452D4A"/>
    <w:rsid w:val="0045304E"/>
    <w:rsid w:val="00453520"/>
    <w:rsid w:val="0045353A"/>
    <w:rsid w:val="00453968"/>
    <w:rsid w:val="00453A58"/>
    <w:rsid w:val="00453A7C"/>
    <w:rsid w:val="00453A8D"/>
    <w:rsid w:val="00453B9B"/>
    <w:rsid w:val="00453C3E"/>
    <w:rsid w:val="0045407A"/>
    <w:rsid w:val="00454214"/>
    <w:rsid w:val="004543BC"/>
    <w:rsid w:val="0045455A"/>
    <w:rsid w:val="0045471E"/>
    <w:rsid w:val="00454723"/>
    <w:rsid w:val="00454A15"/>
    <w:rsid w:val="00455028"/>
    <w:rsid w:val="004551C7"/>
    <w:rsid w:val="004555C0"/>
    <w:rsid w:val="004555FF"/>
    <w:rsid w:val="004558B1"/>
    <w:rsid w:val="00455BE0"/>
    <w:rsid w:val="00455DCE"/>
    <w:rsid w:val="004565FF"/>
    <w:rsid w:val="00456895"/>
    <w:rsid w:val="00456E39"/>
    <w:rsid w:val="00456F0A"/>
    <w:rsid w:val="004574C1"/>
    <w:rsid w:val="00457522"/>
    <w:rsid w:val="0045785E"/>
    <w:rsid w:val="004579A8"/>
    <w:rsid w:val="00457D24"/>
    <w:rsid w:val="0046078F"/>
    <w:rsid w:val="00460891"/>
    <w:rsid w:val="004608F9"/>
    <w:rsid w:val="00460A80"/>
    <w:rsid w:val="00460C0B"/>
    <w:rsid w:val="00460C3D"/>
    <w:rsid w:val="00460E16"/>
    <w:rsid w:val="00460F05"/>
    <w:rsid w:val="004610BC"/>
    <w:rsid w:val="0046151B"/>
    <w:rsid w:val="00461952"/>
    <w:rsid w:val="00461F28"/>
    <w:rsid w:val="004625D8"/>
    <w:rsid w:val="004627CF"/>
    <w:rsid w:val="00462E43"/>
    <w:rsid w:val="0046315F"/>
    <w:rsid w:val="004634F2"/>
    <w:rsid w:val="00463AFE"/>
    <w:rsid w:val="00463C89"/>
    <w:rsid w:val="00464057"/>
    <w:rsid w:val="00464760"/>
    <w:rsid w:val="00464937"/>
    <w:rsid w:val="00464B6B"/>
    <w:rsid w:val="00464D94"/>
    <w:rsid w:val="00464F96"/>
    <w:rsid w:val="00465024"/>
    <w:rsid w:val="0046540D"/>
    <w:rsid w:val="0046550F"/>
    <w:rsid w:val="00465726"/>
    <w:rsid w:val="00465805"/>
    <w:rsid w:val="00465967"/>
    <w:rsid w:val="00465F98"/>
    <w:rsid w:val="00466C52"/>
    <w:rsid w:val="00466D5D"/>
    <w:rsid w:val="00466EEC"/>
    <w:rsid w:val="00466F03"/>
    <w:rsid w:val="00466F7F"/>
    <w:rsid w:val="004670E5"/>
    <w:rsid w:val="004673F2"/>
    <w:rsid w:val="004678AF"/>
    <w:rsid w:val="00467ECA"/>
    <w:rsid w:val="00467ECE"/>
    <w:rsid w:val="0047030D"/>
    <w:rsid w:val="00470C91"/>
    <w:rsid w:val="00470D43"/>
    <w:rsid w:val="00470EEA"/>
    <w:rsid w:val="00470FE9"/>
    <w:rsid w:val="00471006"/>
    <w:rsid w:val="00471B6B"/>
    <w:rsid w:val="00471BC9"/>
    <w:rsid w:val="00471C40"/>
    <w:rsid w:val="00471D66"/>
    <w:rsid w:val="00471E0D"/>
    <w:rsid w:val="00471EA2"/>
    <w:rsid w:val="0047209A"/>
    <w:rsid w:val="004721F8"/>
    <w:rsid w:val="00472A75"/>
    <w:rsid w:val="0047305F"/>
    <w:rsid w:val="004730F4"/>
    <w:rsid w:val="0047373B"/>
    <w:rsid w:val="00473979"/>
    <w:rsid w:val="00473A15"/>
    <w:rsid w:val="00473A9B"/>
    <w:rsid w:val="00473B86"/>
    <w:rsid w:val="00473C2C"/>
    <w:rsid w:val="00473EC1"/>
    <w:rsid w:val="0047400A"/>
    <w:rsid w:val="004742F7"/>
    <w:rsid w:val="00474454"/>
    <w:rsid w:val="00474822"/>
    <w:rsid w:val="00474B38"/>
    <w:rsid w:val="00474C5B"/>
    <w:rsid w:val="00475246"/>
    <w:rsid w:val="00475256"/>
    <w:rsid w:val="004756FF"/>
    <w:rsid w:val="00475787"/>
    <w:rsid w:val="00475789"/>
    <w:rsid w:val="00475D9E"/>
    <w:rsid w:val="00475EF2"/>
    <w:rsid w:val="004766D8"/>
    <w:rsid w:val="004767B0"/>
    <w:rsid w:val="00476899"/>
    <w:rsid w:val="004768A6"/>
    <w:rsid w:val="00476A2E"/>
    <w:rsid w:val="00476A67"/>
    <w:rsid w:val="00476A74"/>
    <w:rsid w:val="00476E66"/>
    <w:rsid w:val="00477255"/>
    <w:rsid w:val="00477415"/>
    <w:rsid w:val="0047744C"/>
    <w:rsid w:val="00477A69"/>
    <w:rsid w:val="00480192"/>
    <w:rsid w:val="0048040E"/>
    <w:rsid w:val="00480760"/>
    <w:rsid w:val="00480789"/>
    <w:rsid w:val="00481221"/>
    <w:rsid w:val="0048129C"/>
    <w:rsid w:val="004816B0"/>
    <w:rsid w:val="00481984"/>
    <w:rsid w:val="00481B27"/>
    <w:rsid w:val="00481BA5"/>
    <w:rsid w:val="00481FFD"/>
    <w:rsid w:val="00482213"/>
    <w:rsid w:val="004822AD"/>
    <w:rsid w:val="004822D3"/>
    <w:rsid w:val="0048267B"/>
    <w:rsid w:val="00482DE4"/>
    <w:rsid w:val="004830AC"/>
    <w:rsid w:val="004830E0"/>
    <w:rsid w:val="004831B4"/>
    <w:rsid w:val="0048328B"/>
    <w:rsid w:val="00483495"/>
    <w:rsid w:val="004834FF"/>
    <w:rsid w:val="004835DB"/>
    <w:rsid w:val="00483E45"/>
    <w:rsid w:val="0048422D"/>
    <w:rsid w:val="00484292"/>
    <w:rsid w:val="00484CBC"/>
    <w:rsid w:val="004850F8"/>
    <w:rsid w:val="00485117"/>
    <w:rsid w:val="0048541A"/>
    <w:rsid w:val="004854E2"/>
    <w:rsid w:val="004858E9"/>
    <w:rsid w:val="00485ADA"/>
    <w:rsid w:val="00485B8D"/>
    <w:rsid w:val="00485BC2"/>
    <w:rsid w:val="00485E90"/>
    <w:rsid w:val="004865D1"/>
    <w:rsid w:val="00486771"/>
    <w:rsid w:val="00486EAB"/>
    <w:rsid w:val="00487130"/>
    <w:rsid w:val="004873C3"/>
    <w:rsid w:val="00487463"/>
    <w:rsid w:val="00487464"/>
    <w:rsid w:val="0048788D"/>
    <w:rsid w:val="00487C11"/>
    <w:rsid w:val="00490054"/>
    <w:rsid w:val="00490366"/>
    <w:rsid w:val="00490432"/>
    <w:rsid w:val="0049097E"/>
    <w:rsid w:val="00490AE0"/>
    <w:rsid w:val="0049140B"/>
    <w:rsid w:val="00491455"/>
    <w:rsid w:val="00491480"/>
    <w:rsid w:val="004916AB"/>
    <w:rsid w:val="00491D38"/>
    <w:rsid w:val="00491DBE"/>
    <w:rsid w:val="00491FB9"/>
    <w:rsid w:val="00491FF1"/>
    <w:rsid w:val="0049272C"/>
    <w:rsid w:val="00492BDD"/>
    <w:rsid w:val="00493325"/>
    <w:rsid w:val="004933F5"/>
    <w:rsid w:val="004938A1"/>
    <w:rsid w:val="00493EB6"/>
    <w:rsid w:val="00494158"/>
    <w:rsid w:val="004941BF"/>
    <w:rsid w:val="00494491"/>
    <w:rsid w:val="004945E8"/>
    <w:rsid w:val="00494655"/>
    <w:rsid w:val="00494798"/>
    <w:rsid w:val="0049484A"/>
    <w:rsid w:val="0049498F"/>
    <w:rsid w:val="00494B6F"/>
    <w:rsid w:val="00494E21"/>
    <w:rsid w:val="00494F5A"/>
    <w:rsid w:val="00495348"/>
    <w:rsid w:val="00495472"/>
    <w:rsid w:val="004954D5"/>
    <w:rsid w:val="0049569D"/>
    <w:rsid w:val="0049581C"/>
    <w:rsid w:val="00495E16"/>
    <w:rsid w:val="00496327"/>
    <w:rsid w:val="00496389"/>
    <w:rsid w:val="004963F7"/>
    <w:rsid w:val="00496A54"/>
    <w:rsid w:val="00496BB7"/>
    <w:rsid w:val="00496C01"/>
    <w:rsid w:val="00496CCB"/>
    <w:rsid w:val="00497295"/>
    <w:rsid w:val="00497642"/>
    <w:rsid w:val="00497C28"/>
    <w:rsid w:val="00497C70"/>
    <w:rsid w:val="004A0354"/>
    <w:rsid w:val="004A0376"/>
    <w:rsid w:val="004A04A4"/>
    <w:rsid w:val="004A04B4"/>
    <w:rsid w:val="004A0A98"/>
    <w:rsid w:val="004A0B6D"/>
    <w:rsid w:val="004A132D"/>
    <w:rsid w:val="004A161A"/>
    <w:rsid w:val="004A1A9C"/>
    <w:rsid w:val="004A1C05"/>
    <w:rsid w:val="004A1C7C"/>
    <w:rsid w:val="004A2111"/>
    <w:rsid w:val="004A221B"/>
    <w:rsid w:val="004A243B"/>
    <w:rsid w:val="004A244E"/>
    <w:rsid w:val="004A2744"/>
    <w:rsid w:val="004A2C5D"/>
    <w:rsid w:val="004A2E2C"/>
    <w:rsid w:val="004A2E94"/>
    <w:rsid w:val="004A30C1"/>
    <w:rsid w:val="004A3203"/>
    <w:rsid w:val="004A331A"/>
    <w:rsid w:val="004A37FD"/>
    <w:rsid w:val="004A3B6E"/>
    <w:rsid w:val="004A3BA3"/>
    <w:rsid w:val="004A3F5A"/>
    <w:rsid w:val="004A4195"/>
    <w:rsid w:val="004A47A1"/>
    <w:rsid w:val="004A4966"/>
    <w:rsid w:val="004A4C2D"/>
    <w:rsid w:val="004A4CCB"/>
    <w:rsid w:val="004A4CD4"/>
    <w:rsid w:val="004A4E5B"/>
    <w:rsid w:val="004A525A"/>
    <w:rsid w:val="004A540E"/>
    <w:rsid w:val="004A5833"/>
    <w:rsid w:val="004A5AF2"/>
    <w:rsid w:val="004A5F0B"/>
    <w:rsid w:val="004A6208"/>
    <w:rsid w:val="004A643F"/>
    <w:rsid w:val="004A6622"/>
    <w:rsid w:val="004A69F4"/>
    <w:rsid w:val="004A6A85"/>
    <w:rsid w:val="004A6AB9"/>
    <w:rsid w:val="004A6DC1"/>
    <w:rsid w:val="004A6FCD"/>
    <w:rsid w:val="004A7028"/>
    <w:rsid w:val="004A71AC"/>
    <w:rsid w:val="004A733C"/>
    <w:rsid w:val="004A740C"/>
    <w:rsid w:val="004A796C"/>
    <w:rsid w:val="004A7AB7"/>
    <w:rsid w:val="004A7F14"/>
    <w:rsid w:val="004B04E6"/>
    <w:rsid w:val="004B050E"/>
    <w:rsid w:val="004B0554"/>
    <w:rsid w:val="004B074D"/>
    <w:rsid w:val="004B0C4B"/>
    <w:rsid w:val="004B0FEB"/>
    <w:rsid w:val="004B118F"/>
    <w:rsid w:val="004B1615"/>
    <w:rsid w:val="004B19FA"/>
    <w:rsid w:val="004B1CFB"/>
    <w:rsid w:val="004B21B2"/>
    <w:rsid w:val="004B238D"/>
    <w:rsid w:val="004B249B"/>
    <w:rsid w:val="004B2519"/>
    <w:rsid w:val="004B2C51"/>
    <w:rsid w:val="004B359C"/>
    <w:rsid w:val="004B397C"/>
    <w:rsid w:val="004B3990"/>
    <w:rsid w:val="004B3A87"/>
    <w:rsid w:val="004B3CDA"/>
    <w:rsid w:val="004B43CA"/>
    <w:rsid w:val="004B43F3"/>
    <w:rsid w:val="004B480A"/>
    <w:rsid w:val="004B4C1A"/>
    <w:rsid w:val="004B5488"/>
    <w:rsid w:val="004B5745"/>
    <w:rsid w:val="004B5BEC"/>
    <w:rsid w:val="004B5CC8"/>
    <w:rsid w:val="004B5D63"/>
    <w:rsid w:val="004B5FEC"/>
    <w:rsid w:val="004B6824"/>
    <w:rsid w:val="004B687C"/>
    <w:rsid w:val="004B6AA7"/>
    <w:rsid w:val="004B6ED5"/>
    <w:rsid w:val="004B7290"/>
    <w:rsid w:val="004B7703"/>
    <w:rsid w:val="004B79B9"/>
    <w:rsid w:val="004B7BA7"/>
    <w:rsid w:val="004C064D"/>
    <w:rsid w:val="004C0EE2"/>
    <w:rsid w:val="004C1537"/>
    <w:rsid w:val="004C169D"/>
    <w:rsid w:val="004C1792"/>
    <w:rsid w:val="004C1BA8"/>
    <w:rsid w:val="004C1E48"/>
    <w:rsid w:val="004C1EFF"/>
    <w:rsid w:val="004C20D9"/>
    <w:rsid w:val="004C220B"/>
    <w:rsid w:val="004C22F2"/>
    <w:rsid w:val="004C26E4"/>
    <w:rsid w:val="004C2CE6"/>
    <w:rsid w:val="004C2D17"/>
    <w:rsid w:val="004C2F45"/>
    <w:rsid w:val="004C2FF1"/>
    <w:rsid w:val="004C3005"/>
    <w:rsid w:val="004C308E"/>
    <w:rsid w:val="004C3404"/>
    <w:rsid w:val="004C3631"/>
    <w:rsid w:val="004C42CF"/>
    <w:rsid w:val="004C4365"/>
    <w:rsid w:val="004C46D3"/>
    <w:rsid w:val="004C4CFA"/>
    <w:rsid w:val="004C4E1C"/>
    <w:rsid w:val="004C522E"/>
    <w:rsid w:val="004C5575"/>
    <w:rsid w:val="004C5838"/>
    <w:rsid w:val="004C5978"/>
    <w:rsid w:val="004C5C76"/>
    <w:rsid w:val="004C5F81"/>
    <w:rsid w:val="004C634E"/>
    <w:rsid w:val="004C69F3"/>
    <w:rsid w:val="004C6EBF"/>
    <w:rsid w:val="004C7128"/>
    <w:rsid w:val="004C7420"/>
    <w:rsid w:val="004C7B1D"/>
    <w:rsid w:val="004C7F9B"/>
    <w:rsid w:val="004D0452"/>
    <w:rsid w:val="004D0485"/>
    <w:rsid w:val="004D057F"/>
    <w:rsid w:val="004D05FA"/>
    <w:rsid w:val="004D0662"/>
    <w:rsid w:val="004D09D2"/>
    <w:rsid w:val="004D0AF7"/>
    <w:rsid w:val="004D0DB2"/>
    <w:rsid w:val="004D12FB"/>
    <w:rsid w:val="004D13B3"/>
    <w:rsid w:val="004D15D9"/>
    <w:rsid w:val="004D199C"/>
    <w:rsid w:val="004D20B2"/>
    <w:rsid w:val="004D2939"/>
    <w:rsid w:val="004D3BD8"/>
    <w:rsid w:val="004D3F46"/>
    <w:rsid w:val="004D46AD"/>
    <w:rsid w:val="004D4A60"/>
    <w:rsid w:val="004D4B14"/>
    <w:rsid w:val="004D4B53"/>
    <w:rsid w:val="004D4C8E"/>
    <w:rsid w:val="004D50F6"/>
    <w:rsid w:val="004D52FD"/>
    <w:rsid w:val="004D5E9F"/>
    <w:rsid w:val="004D5EEE"/>
    <w:rsid w:val="004D6146"/>
    <w:rsid w:val="004D6239"/>
    <w:rsid w:val="004D626C"/>
    <w:rsid w:val="004D6ED8"/>
    <w:rsid w:val="004D6FBE"/>
    <w:rsid w:val="004D7394"/>
    <w:rsid w:val="004D74E6"/>
    <w:rsid w:val="004D7735"/>
    <w:rsid w:val="004D7859"/>
    <w:rsid w:val="004D796C"/>
    <w:rsid w:val="004D7B58"/>
    <w:rsid w:val="004D7CE7"/>
    <w:rsid w:val="004D7D0A"/>
    <w:rsid w:val="004D7DC4"/>
    <w:rsid w:val="004E01AA"/>
    <w:rsid w:val="004E0319"/>
    <w:rsid w:val="004E0409"/>
    <w:rsid w:val="004E0423"/>
    <w:rsid w:val="004E0499"/>
    <w:rsid w:val="004E0568"/>
    <w:rsid w:val="004E0580"/>
    <w:rsid w:val="004E1031"/>
    <w:rsid w:val="004E158E"/>
    <w:rsid w:val="004E17D2"/>
    <w:rsid w:val="004E1CE5"/>
    <w:rsid w:val="004E1E90"/>
    <w:rsid w:val="004E2012"/>
    <w:rsid w:val="004E20AE"/>
    <w:rsid w:val="004E2163"/>
    <w:rsid w:val="004E2246"/>
    <w:rsid w:val="004E256F"/>
    <w:rsid w:val="004E291B"/>
    <w:rsid w:val="004E2D8D"/>
    <w:rsid w:val="004E2FE4"/>
    <w:rsid w:val="004E3682"/>
    <w:rsid w:val="004E3939"/>
    <w:rsid w:val="004E3A6E"/>
    <w:rsid w:val="004E44A5"/>
    <w:rsid w:val="004E47BA"/>
    <w:rsid w:val="004E4904"/>
    <w:rsid w:val="004E4B4F"/>
    <w:rsid w:val="004E4B54"/>
    <w:rsid w:val="004E4D45"/>
    <w:rsid w:val="004E589C"/>
    <w:rsid w:val="004E59B1"/>
    <w:rsid w:val="004E5CDC"/>
    <w:rsid w:val="004E5DE3"/>
    <w:rsid w:val="004E5E2D"/>
    <w:rsid w:val="004E5FD0"/>
    <w:rsid w:val="004E668D"/>
    <w:rsid w:val="004E6811"/>
    <w:rsid w:val="004E6F1A"/>
    <w:rsid w:val="004E6F58"/>
    <w:rsid w:val="004E72BF"/>
    <w:rsid w:val="004E7623"/>
    <w:rsid w:val="004E76C8"/>
    <w:rsid w:val="004E77CF"/>
    <w:rsid w:val="004E78A2"/>
    <w:rsid w:val="004E7D08"/>
    <w:rsid w:val="004E7F9E"/>
    <w:rsid w:val="004F0028"/>
    <w:rsid w:val="004F00F5"/>
    <w:rsid w:val="004F01EF"/>
    <w:rsid w:val="004F0595"/>
    <w:rsid w:val="004F0852"/>
    <w:rsid w:val="004F0A0B"/>
    <w:rsid w:val="004F0A40"/>
    <w:rsid w:val="004F0BF3"/>
    <w:rsid w:val="004F0EAD"/>
    <w:rsid w:val="004F1369"/>
    <w:rsid w:val="004F13B4"/>
    <w:rsid w:val="004F1539"/>
    <w:rsid w:val="004F1680"/>
    <w:rsid w:val="004F1752"/>
    <w:rsid w:val="004F1936"/>
    <w:rsid w:val="004F1A2F"/>
    <w:rsid w:val="004F1D93"/>
    <w:rsid w:val="004F2188"/>
    <w:rsid w:val="004F2379"/>
    <w:rsid w:val="004F2415"/>
    <w:rsid w:val="004F2440"/>
    <w:rsid w:val="004F266B"/>
    <w:rsid w:val="004F26DF"/>
    <w:rsid w:val="004F31E2"/>
    <w:rsid w:val="004F31F1"/>
    <w:rsid w:val="004F335E"/>
    <w:rsid w:val="004F34FE"/>
    <w:rsid w:val="004F373A"/>
    <w:rsid w:val="004F3966"/>
    <w:rsid w:val="004F3B3A"/>
    <w:rsid w:val="004F4071"/>
    <w:rsid w:val="004F4115"/>
    <w:rsid w:val="004F4663"/>
    <w:rsid w:val="004F4787"/>
    <w:rsid w:val="004F5949"/>
    <w:rsid w:val="004F5987"/>
    <w:rsid w:val="004F5E40"/>
    <w:rsid w:val="004F618C"/>
    <w:rsid w:val="004F62EE"/>
    <w:rsid w:val="004F65ED"/>
    <w:rsid w:val="004F661D"/>
    <w:rsid w:val="004F67DF"/>
    <w:rsid w:val="004F6F9E"/>
    <w:rsid w:val="004F70E0"/>
    <w:rsid w:val="004F7923"/>
    <w:rsid w:val="004F7A38"/>
    <w:rsid w:val="004F7B71"/>
    <w:rsid w:val="004F7CE1"/>
    <w:rsid w:val="005003F2"/>
    <w:rsid w:val="00500541"/>
    <w:rsid w:val="0050058C"/>
    <w:rsid w:val="0050095D"/>
    <w:rsid w:val="005009EC"/>
    <w:rsid w:val="00500A52"/>
    <w:rsid w:val="0050162C"/>
    <w:rsid w:val="00501748"/>
    <w:rsid w:val="00501897"/>
    <w:rsid w:val="005018F6"/>
    <w:rsid w:val="00501ACD"/>
    <w:rsid w:val="00501C5B"/>
    <w:rsid w:val="00501FF3"/>
    <w:rsid w:val="0050267F"/>
    <w:rsid w:val="0050281D"/>
    <w:rsid w:val="00502B0A"/>
    <w:rsid w:val="00502B7D"/>
    <w:rsid w:val="00502EB3"/>
    <w:rsid w:val="00502ED3"/>
    <w:rsid w:val="0050344B"/>
    <w:rsid w:val="005035B7"/>
    <w:rsid w:val="00503863"/>
    <w:rsid w:val="00503EB9"/>
    <w:rsid w:val="00503F38"/>
    <w:rsid w:val="00504844"/>
    <w:rsid w:val="00504BC8"/>
    <w:rsid w:val="0050508E"/>
    <w:rsid w:val="005051DC"/>
    <w:rsid w:val="00505A5B"/>
    <w:rsid w:val="00506157"/>
    <w:rsid w:val="005061C5"/>
    <w:rsid w:val="005061E2"/>
    <w:rsid w:val="00506579"/>
    <w:rsid w:val="00506930"/>
    <w:rsid w:val="00506AC2"/>
    <w:rsid w:val="00506D18"/>
    <w:rsid w:val="00506D7C"/>
    <w:rsid w:val="00506E86"/>
    <w:rsid w:val="00507249"/>
    <w:rsid w:val="00507306"/>
    <w:rsid w:val="005075A0"/>
    <w:rsid w:val="00507AC5"/>
    <w:rsid w:val="00507B66"/>
    <w:rsid w:val="00510179"/>
    <w:rsid w:val="00510473"/>
    <w:rsid w:val="00510763"/>
    <w:rsid w:val="00510AAC"/>
    <w:rsid w:val="00510CAF"/>
    <w:rsid w:val="00510EB4"/>
    <w:rsid w:val="005110FF"/>
    <w:rsid w:val="00511177"/>
    <w:rsid w:val="00511465"/>
    <w:rsid w:val="0051162E"/>
    <w:rsid w:val="00511D4C"/>
    <w:rsid w:val="00511DAA"/>
    <w:rsid w:val="00511F7E"/>
    <w:rsid w:val="005120ED"/>
    <w:rsid w:val="00512221"/>
    <w:rsid w:val="005122C8"/>
    <w:rsid w:val="00512444"/>
    <w:rsid w:val="0051252B"/>
    <w:rsid w:val="00512B82"/>
    <w:rsid w:val="00512CB8"/>
    <w:rsid w:val="00512CDC"/>
    <w:rsid w:val="00512FD5"/>
    <w:rsid w:val="00512FFC"/>
    <w:rsid w:val="00513779"/>
    <w:rsid w:val="00513AB0"/>
    <w:rsid w:val="005144A7"/>
    <w:rsid w:val="00514570"/>
    <w:rsid w:val="00514734"/>
    <w:rsid w:val="005147E3"/>
    <w:rsid w:val="00515511"/>
    <w:rsid w:val="00515AD3"/>
    <w:rsid w:val="00515C07"/>
    <w:rsid w:val="00515F73"/>
    <w:rsid w:val="0051607E"/>
    <w:rsid w:val="0051691F"/>
    <w:rsid w:val="00516A07"/>
    <w:rsid w:val="00516F21"/>
    <w:rsid w:val="00517C8E"/>
    <w:rsid w:val="00517F24"/>
    <w:rsid w:val="00517F81"/>
    <w:rsid w:val="0052020A"/>
    <w:rsid w:val="00520211"/>
    <w:rsid w:val="0052056A"/>
    <w:rsid w:val="005206D2"/>
    <w:rsid w:val="00520E49"/>
    <w:rsid w:val="00520F22"/>
    <w:rsid w:val="00520FBA"/>
    <w:rsid w:val="00521072"/>
    <w:rsid w:val="005216A8"/>
    <w:rsid w:val="00521E23"/>
    <w:rsid w:val="00521E2D"/>
    <w:rsid w:val="00521E61"/>
    <w:rsid w:val="00522311"/>
    <w:rsid w:val="00522527"/>
    <w:rsid w:val="0052282D"/>
    <w:rsid w:val="0052297C"/>
    <w:rsid w:val="00522E4A"/>
    <w:rsid w:val="0052309B"/>
    <w:rsid w:val="005235BF"/>
    <w:rsid w:val="005236A1"/>
    <w:rsid w:val="00523CA1"/>
    <w:rsid w:val="0052405A"/>
    <w:rsid w:val="005242D5"/>
    <w:rsid w:val="00524680"/>
    <w:rsid w:val="0052496B"/>
    <w:rsid w:val="00524B3A"/>
    <w:rsid w:val="00524BE3"/>
    <w:rsid w:val="00524CA4"/>
    <w:rsid w:val="005252CF"/>
    <w:rsid w:val="0052534D"/>
    <w:rsid w:val="00525584"/>
    <w:rsid w:val="0052570E"/>
    <w:rsid w:val="0052577B"/>
    <w:rsid w:val="00525930"/>
    <w:rsid w:val="00525A5C"/>
    <w:rsid w:val="00525B0F"/>
    <w:rsid w:val="005265E0"/>
    <w:rsid w:val="00526D75"/>
    <w:rsid w:val="005270EA"/>
    <w:rsid w:val="00527226"/>
    <w:rsid w:val="0052765D"/>
    <w:rsid w:val="00527759"/>
    <w:rsid w:val="00527A00"/>
    <w:rsid w:val="00527CDD"/>
    <w:rsid w:val="00527D6F"/>
    <w:rsid w:val="00527F3A"/>
    <w:rsid w:val="0053019E"/>
    <w:rsid w:val="005303D3"/>
    <w:rsid w:val="005304C5"/>
    <w:rsid w:val="0053054B"/>
    <w:rsid w:val="005305E1"/>
    <w:rsid w:val="00530816"/>
    <w:rsid w:val="00530D72"/>
    <w:rsid w:val="00530F92"/>
    <w:rsid w:val="00531356"/>
    <w:rsid w:val="00531462"/>
    <w:rsid w:val="0053178F"/>
    <w:rsid w:val="00531B90"/>
    <w:rsid w:val="00531C91"/>
    <w:rsid w:val="00531E55"/>
    <w:rsid w:val="005322BB"/>
    <w:rsid w:val="00532AA6"/>
    <w:rsid w:val="00532E27"/>
    <w:rsid w:val="00532FAA"/>
    <w:rsid w:val="00533325"/>
    <w:rsid w:val="0053339B"/>
    <w:rsid w:val="005334DD"/>
    <w:rsid w:val="00533B94"/>
    <w:rsid w:val="00533F80"/>
    <w:rsid w:val="00534012"/>
    <w:rsid w:val="005343C7"/>
    <w:rsid w:val="00534660"/>
    <w:rsid w:val="00534B79"/>
    <w:rsid w:val="00534CCC"/>
    <w:rsid w:val="00534EEC"/>
    <w:rsid w:val="00534FCE"/>
    <w:rsid w:val="005351FF"/>
    <w:rsid w:val="005352EE"/>
    <w:rsid w:val="00535602"/>
    <w:rsid w:val="00535691"/>
    <w:rsid w:val="00535785"/>
    <w:rsid w:val="005357B0"/>
    <w:rsid w:val="00535AF1"/>
    <w:rsid w:val="0053660F"/>
    <w:rsid w:val="00536728"/>
    <w:rsid w:val="0053697E"/>
    <w:rsid w:val="00536B81"/>
    <w:rsid w:val="00537C5E"/>
    <w:rsid w:val="00537D7F"/>
    <w:rsid w:val="00537F3D"/>
    <w:rsid w:val="00537F89"/>
    <w:rsid w:val="00540386"/>
    <w:rsid w:val="005406B4"/>
    <w:rsid w:val="0054070E"/>
    <w:rsid w:val="00540817"/>
    <w:rsid w:val="00540C4B"/>
    <w:rsid w:val="00540D11"/>
    <w:rsid w:val="00541140"/>
    <w:rsid w:val="00541363"/>
    <w:rsid w:val="005417F1"/>
    <w:rsid w:val="00541CDD"/>
    <w:rsid w:val="00541E4C"/>
    <w:rsid w:val="00541EC9"/>
    <w:rsid w:val="00541EEE"/>
    <w:rsid w:val="0054227E"/>
    <w:rsid w:val="0054247E"/>
    <w:rsid w:val="00542485"/>
    <w:rsid w:val="005426FA"/>
    <w:rsid w:val="00542BD0"/>
    <w:rsid w:val="00542C74"/>
    <w:rsid w:val="00543317"/>
    <w:rsid w:val="005435C8"/>
    <w:rsid w:val="005437AF"/>
    <w:rsid w:val="00543978"/>
    <w:rsid w:val="00543DA3"/>
    <w:rsid w:val="00543FAA"/>
    <w:rsid w:val="00543FAE"/>
    <w:rsid w:val="00544026"/>
    <w:rsid w:val="00544982"/>
    <w:rsid w:val="00544A66"/>
    <w:rsid w:val="00544C24"/>
    <w:rsid w:val="00544C7B"/>
    <w:rsid w:val="00544CCA"/>
    <w:rsid w:val="0054505B"/>
    <w:rsid w:val="005451A5"/>
    <w:rsid w:val="00545268"/>
    <w:rsid w:val="00545909"/>
    <w:rsid w:val="00545E17"/>
    <w:rsid w:val="005463CB"/>
    <w:rsid w:val="00546576"/>
    <w:rsid w:val="005465ED"/>
    <w:rsid w:val="0054690C"/>
    <w:rsid w:val="0054695D"/>
    <w:rsid w:val="00546EB0"/>
    <w:rsid w:val="00547111"/>
    <w:rsid w:val="0054788B"/>
    <w:rsid w:val="00547973"/>
    <w:rsid w:val="00547BA1"/>
    <w:rsid w:val="00547E82"/>
    <w:rsid w:val="00547F79"/>
    <w:rsid w:val="00550840"/>
    <w:rsid w:val="005508AE"/>
    <w:rsid w:val="005508B1"/>
    <w:rsid w:val="005510C3"/>
    <w:rsid w:val="00551342"/>
    <w:rsid w:val="005513D7"/>
    <w:rsid w:val="00551BA8"/>
    <w:rsid w:val="005520CB"/>
    <w:rsid w:val="005523F8"/>
    <w:rsid w:val="0055252D"/>
    <w:rsid w:val="0055253C"/>
    <w:rsid w:val="00552579"/>
    <w:rsid w:val="0055264E"/>
    <w:rsid w:val="00552655"/>
    <w:rsid w:val="00552899"/>
    <w:rsid w:val="005528BD"/>
    <w:rsid w:val="00552AD5"/>
    <w:rsid w:val="00552B36"/>
    <w:rsid w:val="00552CB5"/>
    <w:rsid w:val="00553035"/>
    <w:rsid w:val="0055308D"/>
    <w:rsid w:val="0055322E"/>
    <w:rsid w:val="005536B5"/>
    <w:rsid w:val="00553A37"/>
    <w:rsid w:val="00553A87"/>
    <w:rsid w:val="00553D4B"/>
    <w:rsid w:val="00553EE5"/>
    <w:rsid w:val="0055413D"/>
    <w:rsid w:val="00554549"/>
    <w:rsid w:val="005546E1"/>
    <w:rsid w:val="0055476E"/>
    <w:rsid w:val="00554873"/>
    <w:rsid w:val="00554AAC"/>
    <w:rsid w:val="00554AB3"/>
    <w:rsid w:val="00554B63"/>
    <w:rsid w:val="00554BB6"/>
    <w:rsid w:val="00554DD7"/>
    <w:rsid w:val="00554E46"/>
    <w:rsid w:val="005554E5"/>
    <w:rsid w:val="0055568D"/>
    <w:rsid w:val="00555730"/>
    <w:rsid w:val="005558FC"/>
    <w:rsid w:val="00555A7A"/>
    <w:rsid w:val="00555FEF"/>
    <w:rsid w:val="005560BF"/>
    <w:rsid w:val="005560E0"/>
    <w:rsid w:val="005566B1"/>
    <w:rsid w:val="005569B8"/>
    <w:rsid w:val="00556E81"/>
    <w:rsid w:val="00556EDA"/>
    <w:rsid w:val="0055736B"/>
    <w:rsid w:val="0055748E"/>
    <w:rsid w:val="0055789E"/>
    <w:rsid w:val="00557D1D"/>
    <w:rsid w:val="00560804"/>
    <w:rsid w:val="005608AD"/>
    <w:rsid w:val="005609EC"/>
    <w:rsid w:val="00560C63"/>
    <w:rsid w:val="00560FE8"/>
    <w:rsid w:val="005610A1"/>
    <w:rsid w:val="005610C7"/>
    <w:rsid w:val="005613B5"/>
    <w:rsid w:val="00561AC0"/>
    <w:rsid w:val="0056240C"/>
    <w:rsid w:val="0056243A"/>
    <w:rsid w:val="0056267C"/>
    <w:rsid w:val="0056279E"/>
    <w:rsid w:val="00562888"/>
    <w:rsid w:val="00562961"/>
    <w:rsid w:val="00562D8D"/>
    <w:rsid w:val="005635B0"/>
    <w:rsid w:val="0056370F"/>
    <w:rsid w:val="00563838"/>
    <w:rsid w:val="0056385F"/>
    <w:rsid w:val="00563C29"/>
    <w:rsid w:val="0056405B"/>
    <w:rsid w:val="00564074"/>
    <w:rsid w:val="005640DE"/>
    <w:rsid w:val="005643EA"/>
    <w:rsid w:val="005645B1"/>
    <w:rsid w:val="005647EB"/>
    <w:rsid w:val="005649D1"/>
    <w:rsid w:val="00564CA5"/>
    <w:rsid w:val="00564D3D"/>
    <w:rsid w:val="00564E17"/>
    <w:rsid w:val="0056510F"/>
    <w:rsid w:val="005653B9"/>
    <w:rsid w:val="005658B4"/>
    <w:rsid w:val="00565A9A"/>
    <w:rsid w:val="00565AAA"/>
    <w:rsid w:val="0056690D"/>
    <w:rsid w:val="00567443"/>
    <w:rsid w:val="0056777F"/>
    <w:rsid w:val="00567950"/>
    <w:rsid w:val="00567BB2"/>
    <w:rsid w:val="00567EFD"/>
    <w:rsid w:val="00570286"/>
    <w:rsid w:val="00570589"/>
    <w:rsid w:val="005709A6"/>
    <w:rsid w:val="005709DC"/>
    <w:rsid w:val="005709F9"/>
    <w:rsid w:val="00570CF2"/>
    <w:rsid w:val="00571C9D"/>
    <w:rsid w:val="00571E17"/>
    <w:rsid w:val="00571E37"/>
    <w:rsid w:val="00571F3E"/>
    <w:rsid w:val="00572106"/>
    <w:rsid w:val="00572134"/>
    <w:rsid w:val="00572FFC"/>
    <w:rsid w:val="00573034"/>
    <w:rsid w:val="0057316E"/>
    <w:rsid w:val="00573534"/>
    <w:rsid w:val="00573934"/>
    <w:rsid w:val="00573CAB"/>
    <w:rsid w:val="00573D3D"/>
    <w:rsid w:val="00573F20"/>
    <w:rsid w:val="005746AF"/>
    <w:rsid w:val="00574872"/>
    <w:rsid w:val="00574E48"/>
    <w:rsid w:val="00574FDD"/>
    <w:rsid w:val="005751F1"/>
    <w:rsid w:val="0057554A"/>
    <w:rsid w:val="0057560E"/>
    <w:rsid w:val="00575629"/>
    <w:rsid w:val="00576004"/>
    <w:rsid w:val="00576098"/>
    <w:rsid w:val="0057642D"/>
    <w:rsid w:val="00576527"/>
    <w:rsid w:val="00576859"/>
    <w:rsid w:val="00576E18"/>
    <w:rsid w:val="0057723D"/>
    <w:rsid w:val="0057755F"/>
    <w:rsid w:val="0057757D"/>
    <w:rsid w:val="00577CCC"/>
    <w:rsid w:val="00577ECE"/>
    <w:rsid w:val="00577F84"/>
    <w:rsid w:val="005804B1"/>
    <w:rsid w:val="005807DB"/>
    <w:rsid w:val="005808BD"/>
    <w:rsid w:val="00580BFD"/>
    <w:rsid w:val="00580E36"/>
    <w:rsid w:val="00581005"/>
    <w:rsid w:val="00581096"/>
    <w:rsid w:val="005811F0"/>
    <w:rsid w:val="0058120B"/>
    <w:rsid w:val="0058146F"/>
    <w:rsid w:val="00581503"/>
    <w:rsid w:val="00581561"/>
    <w:rsid w:val="00581915"/>
    <w:rsid w:val="00581C9B"/>
    <w:rsid w:val="00582064"/>
    <w:rsid w:val="0058260C"/>
    <w:rsid w:val="005826BB"/>
    <w:rsid w:val="005826CF"/>
    <w:rsid w:val="0058283C"/>
    <w:rsid w:val="00582873"/>
    <w:rsid w:val="00582D32"/>
    <w:rsid w:val="00582E75"/>
    <w:rsid w:val="005830E6"/>
    <w:rsid w:val="00583487"/>
    <w:rsid w:val="00583583"/>
    <w:rsid w:val="00583794"/>
    <w:rsid w:val="0058384C"/>
    <w:rsid w:val="00583908"/>
    <w:rsid w:val="0058394C"/>
    <w:rsid w:val="00583CD7"/>
    <w:rsid w:val="00583F13"/>
    <w:rsid w:val="0058477B"/>
    <w:rsid w:val="00584AEA"/>
    <w:rsid w:val="00584EE7"/>
    <w:rsid w:val="00584F4A"/>
    <w:rsid w:val="00585208"/>
    <w:rsid w:val="00585767"/>
    <w:rsid w:val="00585B27"/>
    <w:rsid w:val="00585C49"/>
    <w:rsid w:val="00586023"/>
    <w:rsid w:val="00586222"/>
    <w:rsid w:val="005863A4"/>
    <w:rsid w:val="005863F1"/>
    <w:rsid w:val="0058664A"/>
    <w:rsid w:val="0058668A"/>
    <w:rsid w:val="00586C64"/>
    <w:rsid w:val="00587173"/>
    <w:rsid w:val="00587184"/>
    <w:rsid w:val="005871D0"/>
    <w:rsid w:val="00587784"/>
    <w:rsid w:val="00587826"/>
    <w:rsid w:val="0058790E"/>
    <w:rsid w:val="00590182"/>
    <w:rsid w:val="0059035B"/>
    <w:rsid w:val="005903E1"/>
    <w:rsid w:val="0059058B"/>
    <w:rsid w:val="005906A1"/>
    <w:rsid w:val="005906D8"/>
    <w:rsid w:val="0059091D"/>
    <w:rsid w:val="00590977"/>
    <w:rsid w:val="00590BEA"/>
    <w:rsid w:val="00590C9A"/>
    <w:rsid w:val="00590CBF"/>
    <w:rsid w:val="00590D6F"/>
    <w:rsid w:val="00590DD1"/>
    <w:rsid w:val="005914F3"/>
    <w:rsid w:val="0059156B"/>
    <w:rsid w:val="005916D3"/>
    <w:rsid w:val="00591700"/>
    <w:rsid w:val="00591B9E"/>
    <w:rsid w:val="00591DF5"/>
    <w:rsid w:val="005923E8"/>
    <w:rsid w:val="0059281E"/>
    <w:rsid w:val="00592960"/>
    <w:rsid w:val="00592D52"/>
    <w:rsid w:val="00592EEE"/>
    <w:rsid w:val="00592F38"/>
    <w:rsid w:val="00592FE7"/>
    <w:rsid w:val="00593060"/>
    <w:rsid w:val="00593480"/>
    <w:rsid w:val="0059348F"/>
    <w:rsid w:val="005934E3"/>
    <w:rsid w:val="0059364F"/>
    <w:rsid w:val="005938BE"/>
    <w:rsid w:val="00593E2A"/>
    <w:rsid w:val="0059487D"/>
    <w:rsid w:val="005948EF"/>
    <w:rsid w:val="005949F5"/>
    <w:rsid w:val="00594AF1"/>
    <w:rsid w:val="00594DC1"/>
    <w:rsid w:val="0059504C"/>
    <w:rsid w:val="005950A3"/>
    <w:rsid w:val="005950D1"/>
    <w:rsid w:val="005950F4"/>
    <w:rsid w:val="00595286"/>
    <w:rsid w:val="005954AC"/>
    <w:rsid w:val="00595D6A"/>
    <w:rsid w:val="00596171"/>
    <w:rsid w:val="005963A4"/>
    <w:rsid w:val="00596569"/>
    <w:rsid w:val="0059659F"/>
    <w:rsid w:val="00596837"/>
    <w:rsid w:val="00596BA0"/>
    <w:rsid w:val="00596DC4"/>
    <w:rsid w:val="00596E23"/>
    <w:rsid w:val="00597044"/>
    <w:rsid w:val="005970D8"/>
    <w:rsid w:val="005973DE"/>
    <w:rsid w:val="00597467"/>
    <w:rsid w:val="005974B5"/>
    <w:rsid w:val="00597B24"/>
    <w:rsid w:val="00597E2C"/>
    <w:rsid w:val="005A02C4"/>
    <w:rsid w:val="005A04B1"/>
    <w:rsid w:val="005A0636"/>
    <w:rsid w:val="005A0CB9"/>
    <w:rsid w:val="005A0D4C"/>
    <w:rsid w:val="005A1501"/>
    <w:rsid w:val="005A1771"/>
    <w:rsid w:val="005A1C6E"/>
    <w:rsid w:val="005A2B57"/>
    <w:rsid w:val="005A30F2"/>
    <w:rsid w:val="005A38C4"/>
    <w:rsid w:val="005A3A2E"/>
    <w:rsid w:val="005A3AB7"/>
    <w:rsid w:val="005A3BE8"/>
    <w:rsid w:val="005A495B"/>
    <w:rsid w:val="005A49FB"/>
    <w:rsid w:val="005A4A03"/>
    <w:rsid w:val="005A4D8D"/>
    <w:rsid w:val="005A521C"/>
    <w:rsid w:val="005A5430"/>
    <w:rsid w:val="005A5501"/>
    <w:rsid w:val="005A5589"/>
    <w:rsid w:val="005A559B"/>
    <w:rsid w:val="005A5602"/>
    <w:rsid w:val="005A5A6B"/>
    <w:rsid w:val="005A5F27"/>
    <w:rsid w:val="005A5F45"/>
    <w:rsid w:val="005A644B"/>
    <w:rsid w:val="005A64B5"/>
    <w:rsid w:val="005A64B8"/>
    <w:rsid w:val="005A683F"/>
    <w:rsid w:val="005A6904"/>
    <w:rsid w:val="005A690D"/>
    <w:rsid w:val="005A6E55"/>
    <w:rsid w:val="005A6E97"/>
    <w:rsid w:val="005A6FB9"/>
    <w:rsid w:val="005A724D"/>
    <w:rsid w:val="005A73DE"/>
    <w:rsid w:val="005A7546"/>
    <w:rsid w:val="005A75F3"/>
    <w:rsid w:val="005A7880"/>
    <w:rsid w:val="005A7AAF"/>
    <w:rsid w:val="005B0475"/>
    <w:rsid w:val="005B0610"/>
    <w:rsid w:val="005B071C"/>
    <w:rsid w:val="005B07D0"/>
    <w:rsid w:val="005B0C57"/>
    <w:rsid w:val="005B0E1F"/>
    <w:rsid w:val="005B108F"/>
    <w:rsid w:val="005B1248"/>
    <w:rsid w:val="005B12B7"/>
    <w:rsid w:val="005B1711"/>
    <w:rsid w:val="005B1870"/>
    <w:rsid w:val="005B1E32"/>
    <w:rsid w:val="005B2163"/>
    <w:rsid w:val="005B23D4"/>
    <w:rsid w:val="005B2623"/>
    <w:rsid w:val="005B2E7B"/>
    <w:rsid w:val="005B33C8"/>
    <w:rsid w:val="005B33EC"/>
    <w:rsid w:val="005B34DE"/>
    <w:rsid w:val="005B3E04"/>
    <w:rsid w:val="005B40FC"/>
    <w:rsid w:val="005B44B7"/>
    <w:rsid w:val="005B4688"/>
    <w:rsid w:val="005B471E"/>
    <w:rsid w:val="005B4A36"/>
    <w:rsid w:val="005B4AA6"/>
    <w:rsid w:val="005B4AE4"/>
    <w:rsid w:val="005B4C48"/>
    <w:rsid w:val="005B4CEC"/>
    <w:rsid w:val="005B4E14"/>
    <w:rsid w:val="005B4FC7"/>
    <w:rsid w:val="005B5044"/>
    <w:rsid w:val="005B5071"/>
    <w:rsid w:val="005B531D"/>
    <w:rsid w:val="005B536B"/>
    <w:rsid w:val="005B53FB"/>
    <w:rsid w:val="005B5924"/>
    <w:rsid w:val="005B5AF3"/>
    <w:rsid w:val="005B5F17"/>
    <w:rsid w:val="005B5F38"/>
    <w:rsid w:val="005B5FC9"/>
    <w:rsid w:val="005B6239"/>
    <w:rsid w:val="005B62DA"/>
    <w:rsid w:val="005B656E"/>
    <w:rsid w:val="005B65E2"/>
    <w:rsid w:val="005B684E"/>
    <w:rsid w:val="005B6943"/>
    <w:rsid w:val="005B6D33"/>
    <w:rsid w:val="005B6DE3"/>
    <w:rsid w:val="005B7067"/>
    <w:rsid w:val="005B7621"/>
    <w:rsid w:val="005B7C94"/>
    <w:rsid w:val="005B7D9D"/>
    <w:rsid w:val="005C00D3"/>
    <w:rsid w:val="005C0335"/>
    <w:rsid w:val="005C03E4"/>
    <w:rsid w:val="005C0FA1"/>
    <w:rsid w:val="005C107C"/>
    <w:rsid w:val="005C15D1"/>
    <w:rsid w:val="005C188F"/>
    <w:rsid w:val="005C18A8"/>
    <w:rsid w:val="005C1AAC"/>
    <w:rsid w:val="005C1BD1"/>
    <w:rsid w:val="005C1C30"/>
    <w:rsid w:val="005C1FB6"/>
    <w:rsid w:val="005C214D"/>
    <w:rsid w:val="005C28DE"/>
    <w:rsid w:val="005C2D30"/>
    <w:rsid w:val="005C2EE2"/>
    <w:rsid w:val="005C3032"/>
    <w:rsid w:val="005C33B0"/>
    <w:rsid w:val="005C342A"/>
    <w:rsid w:val="005C3743"/>
    <w:rsid w:val="005C429C"/>
    <w:rsid w:val="005C42C8"/>
    <w:rsid w:val="005C4367"/>
    <w:rsid w:val="005C45D9"/>
    <w:rsid w:val="005C46BD"/>
    <w:rsid w:val="005C4751"/>
    <w:rsid w:val="005C47BE"/>
    <w:rsid w:val="005C4AB8"/>
    <w:rsid w:val="005C4CDC"/>
    <w:rsid w:val="005C4D5F"/>
    <w:rsid w:val="005C4D9C"/>
    <w:rsid w:val="005C4E43"/>
    <w:rsid w:val="005C4F4D"/>
    <w:rsid w:val="005C52A8"/>
    <w:rsid w:val="005C5898"/>
    <w:rsid w:val="005C5D2D"/>
    <w:rsid w:val="005C5F76"/>
    <w:rsid w:val="005C60E4"/>
    <w:rsid w:val="005C6715"/>
    <w:rsid w:val="005C692D"/>
    <w:rsid w:val="005C696E"/>
    <w:rsid w:val="005C6D90"/>
    <w:rsid w:val="005C6EDB"/>
    <w:rsid w:val="005C71E1"/>
    <w:rsid w:val="005C7280"/>
    <w:rsid w:val="005C735A"/>
    <w:rsid w:val="005C75EB"/>
    <w:rsid w:val="005C7976"/>
    <w:rsid w:val="005C7E6C"/>
    <w:rsid w:val="005D007F"/>
    <w:rsid w:val="005D077D"/>
    <w:rsid w:val="005D084C"/>
    <w:rsid w:val="005D0D95"/>
    <w:rsid w:val="005D100F"/>
    <w:rsid w:val="005D10D5"/>
    <w:rsid w:val="005D135C"/>
    <w:rsid w:val="005D16E9"/>
    <w:rsid w:val="005D182A"/>
    <w:rsid w:val="005D203D"/>
    <w:rsid w:val="005D2105"/>
    <w:rsid w:val="005D2128"/>
    <w:rsid w:val="005D212E"/>
    <w:rsid w:val="005D227F"/>
    <w:rsid w:val="005D2291"/>
    <w:rsid w:val="005D22E6"/>
    <w:rsid w:val="005D2370"/>
    <w:rsid w:val="005D23E3"/>
    <w:rsid w:val="005D25CA"/>
    <w:rsid w:val="005D2683"/>
    <w:rsid w:val="005D2C71"/>
    <w:rsid w:val="005D3032"/>
    <w:rsid w:val="005D3424"/>
    <w:rsid w:val="005D3785"/>
    <w:rsid w:val="005D3AE0"/>
    <w:rsid w:val="005D3F03"/>
    <w:rsid w:val="005D3F0B"/>
    <w:rsid w:val="005D40B9"/>
    <w:rsid w:val="005D4100"/>
    <w:rsid w:val="005D4103"/>
    <w:rsid w:val="005D429A"/>
    <w:rsid w:val="005D43F1"/>
    <w:rsid w:val="005D4538"/>
    <w:rsid w:val="005D46B0"/>
    <w:rsid w:val="005D4E6C"/>
    <w:rsid w:val="005D4F93"/>
    <w:rsid w:val="005D504B"/>
    <w:rsid w:val="005D53BD"/>
    <w:rsid w:val="005D53F6"/>
    <w:rsid w:val="005D54C7"/>
    <w:rsid w:val="005D5583"/>
    <w:rsid w:val="005D55A3"/>
    <w:rsid w:val="005D576F"/>
    <w:rsid w:val="005D582B"/>
    <w:rsid w:val="005D5C31"/>
    <w:rsid w:val="005D5DB2"/>
    <w:rsid w:val="005D5E12"/>
    <w:rsid w:val="005D5F16"/>
    <w:rsid w:val="005D5F52"/>
    <w:rsid w:val="005D6527"/>
    <w:rsid w:val="005D6532"/>
    <w:rsid w:val="005D6927"/>
    <w:rsid w:val="005D6DFD"/>
    <w:rsid w:val="005D6E8D"/>
    <w:rsid w:val="005D7012"/>
    <w:rsid w:val="005D7469"/>
    <w:rsid w:val="005D774A"/>
    <w:rsid w:val="005D7DE8"/>
    <w:rsid w:val="005E0200"/>
    <w:rsid w:val="005E05C2"/>
    <w:rsid w:val="005E084B"/>
    <w:rsid w:val="005E0874"/>
    <w:rsid w:val="005E0880"/>
    <w:rsid w:val="005E0BCD"/>
    <w:rsid w:val="005E0CF4"/>
    <w:rsid w:val="005E0E06"/>
    <w:rsid w:val="005E0E72"/>
    <w:rsid w:val="005E10DC"/>
    <w:rsid w:val="005E1BD7"/>
    <w:rsid w:val="005E1C17"/>
    <w:rsid w:val="005E1D44"/>
    <w:rsid w:val="005E22B0"/>
    <w:rsid w:val="005E29CC"/>
    <w:rsid w:val="005E29D3"/>
    <w:rsid w:val="005E2B28"/>
    <w:rsid w:val="005E2F63"/>
    <w:rsid w:val="005E306B"/>
    <w:rsid w:val="005E3127"/>
    <w:rsid w:val="005E3236"/>
    <w:rsid w:val="005E357A"/>
    <w:rsid w:val="005E3950"/>
    <w:rsid w:val="005E3A97"/>
    <w:rsid w:val="005E3D78"/>
    <w:rsid w:val="005E4466"/>
    <w:rsid w:val="005E46BF"/>
    <w:rsid w:val="005E490E"/>
    <w:rsid w:val="005E5134"/>
    <w:rsid w:val="005E525F"/>
    <w:rsid w:val="005E57AA"/>
    <w:rsid w:val="005E580B"/>
    <w:rsid w:val="005E5B4F"/>
    <w:rsid w:val="005E5E3A"/>
    <w:rsid w:val="005E5EE7"/>
    <w:rsid w:val="005E5FC1"/>
    <w:rsid w:val="005E6382"/>
    <w:rsid w:val="005E647E"/>
    <w:rsid w:val="005E671E"/>
    <w:rsid w:val="005E67B7"/>
    <w:rsid w:val="005E69D1"/>
    <w:rsid w:val="005E6C85"/>
    <w:rsid w:val="005E719D"/>
    <w:rsid w:val="005E72F6"/>
    <w:rsid w:val="005E7525"/>
    <w:rsid w:val="005E7591"/>
    <w:rsid w:val="005E781A"/>
    <w:rsid w:val="005E79F2"/>
    <w:rsid w:val="005F0362"/>
    <w:rsid w:val="005F0561"/>
    <w:rsid w:val="005F0961"/>
    <w:rsid w:val="005F0B7A"/>
    <w:rsid w:val="005F0E66"/>
    <w:rsid w:val="005F0FA0"/>
    <w:rsid w:val="005F117E"/>
    <w:rsid w:val="005F1186"/>
    <w:rsid w:val="005F1326"/>
    <w:rsid w:val="005F1637"/>
    <w:rsid w:val="005F183D"/>
    <w:rsid w:val="005F1CD4"/>
    <w:rsid w:val="005F1DAF"/>
    <w:rsid w:val="005F1E0C"/>
    <w:rsid w:val="005F1E31"/>
    <w:rsid w:val="005F20F2"/>
    <w:rsid w:val="005F2119"/>
    <w:rsid w:val="005F251F"/>
    <w:rsid w:val="005F2661"/>
    <w:rsid w:val="005F26AA"/>
    <w:rsid w:val="005F28B4"/>
    <w:rsid w:val="005F2E68"/>
    <w:rsid w:val="005F2FC4"/>
    <w:rsid w:val="005F3619"/>
    <w:rsid w:val="005F38C0"/>
    <w:rsid w:val="005F3AED"/>
    <w:rsid w:val="005F3BDE"/>
    <w:rsid w:val="005F4342"/>
    <w:rsid w:val="005F4759"/>
    <w:rsid w:val="005F4921"/>
    <w:rsid w:val="005F4CEA"/>
    <w:rsid w:val="005F4DC3"/>
    <w:rsid w:val="005F507D"/>
    <w:rsid w:val="005F53D4"/>
    <w:rsid w:val="005F5456"/>
    <w:rsid w:val="005F583E"/>
    <w:rsid w:val="005F5C9E"/>
    <w:rsid w:val="005F5E0A"/>
    <w:rsid w:val="005F63BB"/>
    <w:rsid w:val="005F6667"/>
    <w:rsid w:val="005F67EA"/>
    <w:rsid w:val="005F719C"/>
    <w:rsid w:val="005F72BE"/>
    <w:rsid w:val="005F7445"/>
    <w:rsid w:val="005F770B"/>
    <w:rsid w:val="005F77FA"/>
    <w:rsid w:val="005F7D40"/>
    <w:rsid w:val="00600128"/>
    <w:rsid w:val="006001C7"/>
    <w:rsid w:val="00600559"/>
    <w:rsid w:val="00600D3A"/>
    <w:rsid w:val="00600DC7"/>
    <w:rsid w:val="006011AF"/>
    <w:rsid w:val="00601374"/>
    <w:rsid w:val="00601484"/>
    <w:rsid w:val="0060149E"/>
    <w:rsid w:val="00601D0B"/>
    <w:rsid w:val="00602470"/>
    <w:rsid w:val="00602500"/>
    <w:rsid w:val="0060261D"/>
    <w:rsid w:val="00602A95"/>
    <w:rsid w:val="00602C0D"/>
    <w:rsid w:val="00602CB2"/>
    <w:rsid w:val="00602FA5"/>
    <w:rsid w:val="00602FF4"/>
    <w:rsid w:val="006035B8"/>
    <w:rsid w:val="006036C9"/>
    <w:rsid w:val="00603704"/>
    <w:rsid w:val="00603815"/>
    <w:rsid w:val="00604788"/>
    <w:rsid w:val="006049E3"/>
    <w:rsid w:val="00604A52"/>
    <w:rsid w:val="00604D86"/>
    <w:rsid w:val="00605215"/>
    <w:rsid w:val="0060528A"/>
    <w:rsid w:val="00605C6F"/>
    <w:rsid w:val="00605DDC"/>
    <w:rsid w:val="00605FDA"/>
    <w:rsid w:val="00606130"/>
    <w:rsid w:val="00606367"/>
    <w:rsid w:val="00606A2F"/>
    <w:rsid w:val="00606B5F"/>
    <w:rsid w:val="00606E1A"/>
    <w:rsid w:val="00606EEC"/>
    <w:rsid w:val="00607255"/>
    <w:rsid w:val="00607386"/>
    <w:rsid w:val="006074CF"/>
    <w:rsid w:val="0060764F"/>
    <w:rsid w:val="00607A05"/>
    <w:rsid w:val="00607C94"/>
    <w:rsid w:val="00607DA7"/>
    <w:rsid w:val="00607FBF"/>
    <w:rsid w:val="00610014"/>
    <w:rsid w:val="00610312"/>
    <w:rsid w:val="006104B2"/>
    <w:rsid w:val="00610792"/>
    <w:rsid w:val="00610C4A"/>
    <w:rsid w:val="00610D8D"/>
    <w:rsid w:val="006112D2"/>
    <w:rsid w:val="0061184E"/>
    <w:rsid w:val="00611D6A"/>
    <w:rsid w:val="00611D9E"/>
    <w:rsid w:val="00612857"/>
    <w:rsid w:val="00612891"/>
    <w:rsid w:val="00612C3F"/>
    <w:rsid w:val="0061304D"/>
    <w:rsid w:val="006136C6"/>
    <w:rsid w:val="006137E4"/>
    <w:rsid w:val="006138DE"/>
    <w:rsid w:val="00613B9A"/>
    <w:rsid w:val="00613CCA"/>
    <w:rsid w:val="00613E0A"/>
    <w:rsid w:val="00613E65"/>
    <w:rsid w:val="006140A1"/>
    <w:rsid w:val="0061429D"/>
    <w:rsid w:val="006143DB"/>
    <w:rsid w:val="0061479A"/>
    <w:rsid w:val="00614818"/>
    <w:rsid w:val="006148BC"/>
    <w:rsid w:val="00614CEE"/>
    <w:rsid w:val="00614CFA"/>
    <w:rsid w:val="00614E24"/>
    <w:rsid w:val="00614E27"/>
    <w:rsid w:val="00615195"/>
    <w:rsid w:val="00615288"/>
    <w:rsid w:val="006156AE"/>
    <w:rsid w:val="00615F5E"/>
    <w:rsid w:val="00616095"/>
    <w:rsid w:val="00616325"/>
    <w:rsid w:val="00616462"/>
    <w:rsid w:val="00616683"/>
    <w:rsid w:val="00616A86"/>
    <w:rsid w:val="00616BBC"/>
    <w:rsid w:val="00616E75"/>
    <w:rsid w:val="006171EC"/>
    <w:rsid w:val="00617779"/>
    <w:rsid w:val="00617B07"/>
    <w:rsid w:val="00617D1F"/>
    <w:rsid w:val="00617D30"/>
    <w:rsid w:val="00617D63"/>
    <w:rsid w:val="00617DC1"/>
    <w:rsid w:val="0062020D"/>
    <w:rsid w:val="00620748"/>
    <w:rsid w:val="00620754"/>
    <w:rsid w:val="006207FF"/>
    <w:rsid w:val="0062095C"/>
    <w:rsid w:val="00620B1C"/>
    <w:rsid w:val="00620E4C"/>
    <w:rsid w:val="006213AD"/>
    <w:rsid w:val="00621547"/>
    <w:rsid w:val="0062169A"/>
    <w:rsid w:val="006217E2"/>
    <w:rsid w:val="006217E9"/>
    <w:rsid w:val="00621979"/>
    <w:rsid w:val="006219BA"/>
    <w:rsid w:val="00621A0E"/>
    <w:rsid w:val="00621B47"/>
    <w:rsid w:val="00621D7C"/>
    <w:rsid w:val="00621ECE"/>
    <w:rsid w:val="00622119"/>
    <w:rsid w:val="00622303"/>
    <w:rsid w:val="006223AF"/>
    <w:rsid w:val="0062251B"/>
    <w:rsid w:val="0062278F"/>
    <w:rsid w:val="00622B9A"/>
    <w:rsid w:val="00622BFF"/>
    <w:rsid w:val="00622CEC"/>
    <w:rsid w:val="00622F4D"/>
    <w:rsid w:val="006234D0"/>
    <w:rsid w:val="00623DB2"/>
    <w:rsid w:val="00624262"/>
    <w:rsid w:val="006244CA"/>
    <w:rsid w:val="006244D6"/>
    <w:rsid w:val="006244E4"/>
    <w:rsid w:val="006249C5"/>
    <w:rsid w:val="00624A17"/>
    <w:rsid w:val="00624BB5"/>
    <w:rsid w:val="00625248"/>
    <w:rsid w:val="00625AF6"/>
    <w:rsid w:val="00625D84"/>
    <w:rsid w:val="00625F32"/>
    <w:rsid w:val="00625FB9"/>
    <w:rsid w:val="00626040"/>
    <w:rsid w:val="00626225"/>
    <w:rsid w:val="00626503"/>
    <w:rsid w:val="0062663B"/>
    <w:rsid w:val="006267EE"/>
    <w:rsid w:val="0062688D"/>
    <w:rsid w:val="00626C91"/>
    <w:rsid w:val="00626D48"/>
    <w:rsid w:val="0062740E"/>
    <w:rsid w:val="0062744D"/>
    <w:rsid w:val="00627529"/>
    <w:rsid w:val="006279FB"/>
    <w:rsid w:val="00630350"/>
    <w:rsid w:val="00630722"/>
    <w:rsid w:val="0063075C"/>
    <w:rsid w:val="006307B6"/>
    <w:rsid w:val="00630E0A"/>
    <w:rsid w:val="00631195"/>
    <w:rsid w:val="006315E7"/>
    <w:rsid w:val="006321DD"/>
    <w:rsid w:val="0063220F"/>
    <w:rsid w:val="00632866"/>
    <w:rsid w:val="00632B3A"/>
    <w:rsid w:val="00632D89"/>
    <w:rsid w:val="00632EA0"/>
    <w:rsid w:val="00633187"/>
    <w:rsid w:val="006333D3"/>
    <w:rsid w:val="00633530"/>
    <w:rsid w:val="00633746"/>
    <w:rsid w:val="00633816"/>
    <w:rsid w:val="00633B03"/>
    <w:rsid w:val="00633D10"/>
    <w:rsid w:val="00633EEF"/>
    <w:rsid w:val="0063426F"/>
    <w:rsid w:val="006344DB"/>
    <w:rsid w:val="00634D10"/>
    <w:rsid w:val="006350B2"/>
    <w:rsid w:val="006353E3"/>
    <w:rsid w:val="00635623"/>
    <w:rsid w:val="0063574D"/>
    <w:rsid w:val="0063657B"/>
    <w:rsid w:val="00636EB9"/>
    <w:rsid w:val="00636EF8"/>
    <w:rsid w:val="0063726D"/>
    <w:rsid w:val="0063735B"/>
    <w:rsid w:val="00637772"/>
    <w:rsid w:val="00637836"/>
    <w:rsid w:val="00637C82"/>
    <w:rsid w:val="0064070E"/>
    <w:rsid w:val="00640B7C"/>
    <w:rsid w:val="00640EB7"/>
    <w:rsid w:val="00640FAB"/>
    <w:rsid w:val="006414A1"/>
    <w:rsid w:val="0064151E"/>
    <w:rsid w:val="00641E7F"/>
    <w:rsid w:val="00642015"/>
    <w:rsid w:val="00642437"/>
    <w:rsid w:val="00642459"/>
    <w:rsid w:val="0064253F"/>
    <w:rsid w:val="006428EB"/>
    <w:rsid w:val="00642C2E"/>
    <w:rsid w:val="00642DB0"/>
    <w:rsid w:val="00642F8F"/>
    <w:rsid w:val="0064303A"/>
    <w:rsid w:val="006430B9"/>
    <w:rsid w:val="00643128"/>
    <w:rsid w:val="0064320F"/>
    <w:rsid w:val="00643478"/>
    <w:rsid w:val="006437FC"/>
    <w:rsid w:val="00643B6F"/>
    <w:rsid w:val="00644083"/>
    <w:rsid w:val="0064408C"/>
    <w:rsid w:val="0064565A"/>
    <w:rsid w:val="00645C41"/>
    <w:rsid w:val="00645E0C"/>
    <w:rsid w:val="00646045"/>
    <w:rsid w:val="006468A5"/>
    <w:rsid w:val="006468BF"/>
    <w:rsid w:val="006469B7"/>
    <w:rsid w:val="00646BD6"/>
    <w:rsid w:val="00647346"/>
    <w:rsid w:val="00647A4E"/>
    <w:rsid w:val="006505B5"/>
    <w:rsid w:val="00650741"/>
    <w:rsid w:val="00650CEE"/>
    <w:rsid w:val="0065162F"/>
    <w:rsid w:val="0065174E"/>
    <w:rsid w:val="006518BF"/>
    <w:rsid w:val="006519CD"/>
    <w:rsid w:val="00651CA2"/>
    <w:rsid w:val="00651CF4"/>
    <w:rsid w:val="00651EBF"/>
    <w:rsid w:val="00651F8B"/>
    <w:rsid w:val="0065214B"/>
    <w:rsid w:val="00652A88"/>
    <w:rsid w:val="00652F42"/>
    <w:rsid w:val="00653104"/>
    <w:rsid w:val="00653111"/>
    <w:rsid w:val="0065334D"/>
    <w:rsid w:val="00653C6A"/>
    <w:rsid w:val="00653F61"/>
    <w:rsid w:val="00654176"/>
    <w:rsid w:val="006547B1"/>
    <w:rsid w:val="00654A59"/>
    <w:rsid w:val="00654D13"/>
    <w:rsid w:val="00655311"/>
    <w:rsid w:val="006557B7"/>
    <w:rsid w:val="0065586E"/>
    <w:rsid w:val="00655A20"/>
    <w:rsid w:val="00656019"/>
    <w:rsid w:val="00656210"/>
    <w:rsid w:val="006562E0"/>
    <w:rsid w:val="006568BF"/>
    <w:rsid w:val="00656DC6"/>
    <w:rsid w:val="00656E0D"/>
    <w:rsid w:val="0065708D"/>
    <w:rsid w:val="006571EE"/>
    <w:rsid w:val="00657352"/>
    <w:rsid w:val="0065741E"/>
    <w:rsid w:val="006574E3"/>
    <w:rsid w:val="006575DE"/>
    <w:rsid w:val="0065766A"/>
    <w:rsid w:val="00657841"/>
    <w:rsid w:val="0066013A"/>
    <w:rsid w:val="006607BB"/>
    <w:rsid w:val="00660B5E"/>
    <w:rsid w:val="00660D90"/>
    <w:rsid w:val="006610DE"/>
    <w:rsid w:val="00661136"/>
    <w:rsid w:val="00661261"/>
    <w:rsid w:val="0066131B"/>
    <w:rsid w:val="00661771"/>
    <w:rsid w:val="006617A4"/>
    <w:rsid w:val="00661886"/>
    <w:rsid w:val="00661A50"/>
    <w:rsid w:val="00661C6E"/>
    <w:rsid w:val="00661E78"/>
    <w:rsid w:val="00662127"/>
    <w:rsid w:val="006627C5"/>
    <w:rsid w:val="00662A01"/>
    <w:rsid w:val="0066326D"/>
    <w:rsid w:val="00663303"/>
    <w:rsid w:val="00663434"/>
    <w:rsid w:val="00663601"/>
    <w:rsid w:val="00663B7F"/>
    <w:rsid w:val="006642E2"/>
    <w:rsid w:val="00664339"/>
    <w:rsid w:val="0066487D"/>
    <w:rsid w:val="00664BF2"/>
    <w:rsid w:val="00665179"/>
    <w:rsid w:val="00665659"/>
    <w:rsid w:val="00665711"/>
    <w:rsid w:val="00665A60"/>
    <w:rsid w:val="00665EF2"/>
    <w:rsid w:val="0066605A"/>
    <w:rsid w:val="0066644D"/>
    <w:rsid w:val="00666646"/>
    <w:rsid w:val="006666C9"/>
    <w:rsid w:val="006667E3"/>
    <w:rsid w:val="006667F1"/>
    <w:rsid w:val="006674C8"/>
    <w:rsid w:val="00667655"/>
    <w:rsid w:val="006676BE"/>
    <w:rsid w:val="006679F2"/>
    <w:rsid w:val="006679F3"/>
    <w:rsid w:val="00667D0C"/>
    <w:rsid w:val="006701FE"/>
    <w:rsid w:val="006709E4"/>
    <w:rsid w:val="00670ABF"/>
    <w:rsid w:val="00670B2D"/>
    <w:rsid w:val="00670FCB"/>
    <w:rsid w:val="006711A2"/>
    <w:rsid w:val="0067134D"/>
    <w:rsid w:val="006714B5"/>
    <w:rsid w:val="0067174D"/>
    <w:rsid w:val="00671B7B"/>
    <w:rsid w:val="00671DBC"/>
    <w:rsid w:val="0067232A"/>
    <w:rsid w:val="006732A8"/>
    <w:rsid w:val="0067348F"/>
    <w:rsid w:val="00673AA0"/>
    <w:rsid w:val="006743DA"/>
    <w:rsid w:val="00674C7F"/>
    <w:rsid w:val="0067509C"/>
    <w:rsid w:val="0067525E"/>
    <w:rsid w:val="0067556F"/>
    <w:rsid w:val="00675B21"/>
    <w:rsid w:val="00675F99"/>
    <w:rsid w:val="00676415"/>
    <w:rsid w:val="00676795"/>
    <w:rsid w:val="006768FA"/>
    <w:rsid w:val="00676E32"/>
    <w:rsid w:val="00677936"/>
    <w:rsid w:val="006805E0"/>
    <w:rsid w:val="0068072B"/>
    <w:rsid w:val="00680F4B"/>
    <w:rsid w:val="006811EC"/>
    <w:rsid w:val="006817C2"/>
    <w:rsid w:val="00681818"/>
    <w:rsid w:val="00681915"/>
    <w:rsid w:val="00681A47"/>
    <w:rsid w:val="00681D81"/>
    <w:rsid w:val="00681FC1"/>
    <w:rsid w:val="00682011"/>
    <w:rsid w:val="006825A2"/>
    <w:rsid w:val="00682B82"/>
    <w:rsid w:val="00682C84"/>
    <w:rsid w:val="00682E83"/>
    <w:rsid w:val="00683E0D"/>
    <w:rsid w:val="0068430A"/>
    <w:rsid w:val="00684534"/>
    <w:rsid w:val="00684617"/>
    <w:rsid w:val="006846D7"/>
    <w:rsid w:val="00684951"/>
    <w:rsid w:val="0068495E"/>
    <w:rsid w:val="00684F91"/>
    <w:rsid w:val="00685057"/>
    <w:rsid w:val="0068514D"/>
    <w:rsid w:val="006851E7"/>
    <w:rsid w:val="006851F2"/>
    <w:rsid w:val="00685289"/>
    <w:rsid w:val="00685662"/>
    <w:rsid w:val="00685D31"/>
    <w:rsid w:val="0068605B"/>
    <w:rsid w:val="00686240"/>
    <w:rsid w:val="00686AA0"/>
    <w:rsid w:val="00686DB9"/>
    <w:rsid w:val="00687390"/>
    <w:rsid w:val="0068745B"/>
    <w:rsid w:val="00687E02"/>
    <w:rsid w:val="00687E29"/>
    <w:rsid w:val="0069006A"/>
    <w:rsid w:val="0069041B"/>
    <w:rsid w:val="006904C3"/>
    <w:rsid w:val="00690565"/>
    <w:rsid w:val="0069071F"/>
    <w:rsid w:val="006908BE"/>
    <w:rsid w:val="00690AB1"/>
    <w:rsid w:val="0069197D"/>
    <w:rsid w:val="00691E4D"/>
    <w:rsid w:val="006928A7"/>
    <w:rsid w:val="006929D7"/>
    <w:rsid w:val="00692A0D"/>
    <w:rsid w:val="00692BD1"/>
    <w:rsid w:val="006930B8"/>
    <w:rsid w:val="00693388"/>
    <w:rsid w:val="006933D4"/>
    <w:rsid w:val="00693A1E"/>
    <w:rsid w:val="00693B3C"/>
    <w:rsid w:val="00693FEA"/>
    <w:rsid w:val="00694114"/>
    <w:rsid w:val="00694266"/>
    <w:rsid w:val="00694380"/>
    <w:rsid w:val="00694420"/>
    <w:rsid w:val="00694776"/>
    <w:rsid w:val="006949BE"/>
    <w:rsid w:val="006949DE"/>
    <w:rsid w:val="00694E9C"/>
    <w:rsid w:val="00694EC9"/>
    <w:rsid w:val="00695454"/>
    <w:rsid w:val="006957F4"/>
    <w:rsid w:val="00695929"/>
    <w:rsid w:val="00695DCC"/>
    <w:rsid w:val="00696781"/>
    <w:rsid w:val="00696CA6"/>
    <w:rsid w:val="00697769"/>
    <w:rsid w:val="006977C1"/>
    <w:rsid w:val="00697A8C"/>
    <w:rsid w:val="006A07F6"/>
    <w:rsid w:val="006A0D65"/>
    <w:rsid w:val="006A0EEA"/>
    <w:rsid w:val="006A177A"/>
    <w:rsid w:val="006A18F9"/>
    <w:rsid w:val="006A1C1F"/>
    <w:rsid w:val="006A1D1A"/>
    <w:rsid w:val="006A1D1D"/>
    <w:rsid w:val="006A1DB2"/>
    <w:rsid w:val="006A2023"/>
    <w:rsid w:val="006A2246"/>
    <w:rsid w:val="006A2CB2"/>
    <w:rsid w:val="006A3169"/>
    <w:rsid w:val="006A3171"/>
    <w:rsid w:val="006A3250"/>
    <w:rsid w:val="006A346B"/>
    <w:rsid w:val="006A37C8"/>
    <w:rsid w:val="006A3AF7"/>
    <w:rsid w:val="006A3F63"/>
    <w:rsid w:val="006A4095"/>
    <w:rsid w:val="006A409D"/>
    <w:rsid w:val="006A41AD"/>
    <w:rsid w:val="006A430A"/>
    <w:rsid w:val="006A432A"/>
    <w:rsid w:val="006A45FA"/>
    <w:rsid w:val="006A4604"/>
    <w:rsid w:val="006A48EE"/>
    <w:rsid w:val="006A4E41"/>
    <w:rsid w:val="006A4EC0"/>
    <w:rsid w:val="006A577D"/>
    <w:rsid w:val="006A5AE3"/>
    <w:rsid w:val="006A5CB1"/>
    <w:rsid w:val="006A5DA3"/>
    <w:rsid w:val="006A5DA8"/>
    <w:rsid w:val="006A5E2C"/>
    <w:rsid w:val="006A6393"/>
    <w:rsid w:val="006A63C6"/>
    <w:rsid w:val="006A6644"/>
    <w:rsid w:val="006A6759"/>
    <w:rsid w:val="006A7241"/>
    <w:rsid w:val="006A7717"/>
    <w:rsid w:val="006A77CF"/>
    <w:rsid w:val="006A7802"/>
    <w:rsid w:val="006B00B7"/>
    <w:rsid w:val="006B0210"/>
    <w:rsid w:val="006B137D"/>
    <w:rsid w:val="006B137F"/>
    <w:rsid w:val="006B1876"/>
    <w:rsid w:val="006B1C58"/>
    <w:rsid w:val="006B1D92"/>
    <w:rsid w:val="006B1F46"/>
    <w:rsid w:val="006B2022"/>
    <w:rsid w:val="006B235C"/>
    <w:rsid w:val="006B2778"/>
    <w:rsid w:val="006B27A6"/>
    <w:rsid w:val="006B2843"/>
    <w:rsid w:val="006B289D"/>
    <w:rsid w:val="006B2913"/>
    <w:rsid w:val="006B2B4E"/>
    <w:rsid w:val="006B2BA5"/>
    <w:rsid w:val="006B2DCB"/>
    <w:rsid w:val="006B331B"/>
    <w:rsid w:val="006B36F6"/>
    <w:rsid w:val="006B3A71"/>
    <w:rsid w:val="006B3F31"/>
    <w:rsid w:val="006B41FA"/>
    <w:rsid w:val="006B4240"/>
    <w:rsid w:val="006B43C1"/>
    <w:rsid w:val="006B489F"/>
    <w:rsid w:val="006B4AA4"/>
    <w:rsid w:val="006B4B96"/>
    <w:rsid w:val="006B4CE5"/>
    <w:rsid w:val="006B4D2B"/>
    <w:rsid w:val="006B5860"/>
    <w:rsid w:val="006B5A9C"/>
    <w:rsid w:val="006B6123"/>
    <w:rsid w:val="006B6143"/>
    <w:rsid w:val="006B637E"/>
    <w:rsid w:val="006B63A4"/>
    <w:rsid w:val="006B700E"/>
    <w:rsid w:val="006B7408"/>
    <w:rsid w:val="006B7784"/>
    <w:rsid w:val="006B7F93"/>
    <w:rsid w:val="006C0142"/>
    <w:rsid w:val="006C05A4"/>
    <w:rsid w:val="006C0613"/>
    <w:rsid w:val="006C07B1"/>
    <w:rsid w:val="006C07C7"/>
    <w:rsid w:val="006C07DE"/>
    <w:rsid w:val="006C09BD"/>
    <w:rsid w:val="006C0C12"/>
    <w:rsid w:val="006C0C23"/>
    <w:rsid w:val="006C11D1"/>
    <w:rsid w:val="006C12B1"/>
    <w:rsid w:val="006C1300"/>
    <w:rsid w:val="006C1689"/>
    <w:rsid w:val="006C17DA"/>
    <w:rsid w:val="006C1994"/>
    <w:rsid w:val="006C1BF3"/>
    <w:rsid w:val="006C1FA5"/>
    <w:rsid w:val="006C2065"/>
    <w:rsid w:val="006C2A09"/>
    <w:rsid w:val="006C2A83"/>
    <w:rsid w:val="006C2D67"/>
    <w:rsid w:val="006C30CE"/>
    <w:rsid w:val="006C3219"/>
    <w:rsid w:val="006C364A"/>
    <w:rsid w:val="006C383A"/>
    <w:rsid w:val="006C384B"/>
    <w:rsid w:val="006C3CA2"/>
    <w:rsid w:val="006C4605"/>
    <w:rsid w:val="006C4CA9"/>
    <w:rsid w:val="006C4F39"/>
    <w:rsid w:val="006C5127"/>
    <w:rsid w:val="006C5701"/>
    <w:rsid w:val="006C5AC0"/>
    <w:rsid w:val="006C5F89"/>
    <w:rsid w:val="006C6421"/>
    <w:rsid w:val="006C673A"/>
    <w:rsid w:val="006C6830"/>
    <w:rsid w:val="006C6C71"/>
    <w:rsid w:val="006C6CED"/>
    <w:rsid w:val="006C6D54"/>
    <w:rsid w:val="006C7368"/>
    <w:rsid w:val="006C756E"/>
    <w:rsid w:val="006C76CB"/>
    <w:rsid w:val="006C7703"/>
    <w:rsid w:val="006C7BC3"/>
    <w:rsid w:val="006C7E57"/>
    <w:rsid w:val="006C7F9E"/>
    <w:rsid w:val="006D04A7"/>
    <w:rsid w:val="006D0550"/>
    <w:rsid w:val="006D05B2"/>
    <w:rsid w:val="006D0907"/>
    <w:rsid w:val="006D0A86"/>
    <w:rsid w:val="006D0AAB"/>
    <w:rsid w:val="006D0C04"/>
    <w:rsid w:val="006D0C60"/>
    <w:rsid w:val="006D0EB8"/>
    <w:rsid w:val="006D1BAC"/>
    <w:rsid w:val="006D1E5D"/>
    <w:rsid w:val="006D208C"/>
    <w:rsid w:val="006D210F"/>
    <w:rsid w:val="006D23EC"/>
    <w:rsid w:val="006D246B"/>
    <w:rsid w:val="006D2B84"/>
    <w:rsid w:val="006D2C02"/>
    <w:rsid w:val="006D2CC9"/>
    <w:rsid w:val="006D2D0D"/>
    <w:rsid w:val="006D2F91"/>
    <w:rsid w:val="006D38AB"/>
    <w:rsid w:val="006D3BF8"/>
    <w:rsid w:val="006D40D1"/>
    <w:rsid w:val="006D4377"/>
    <w:rsid w:val="006D4808"/>
    <w:rsid w:val="006D4B94"/>
    <w:rsid w:val="006D4CFB"/>
    <w:rsid w:val="006D4E33"/>
    <w:rsid w:val="006D4F7D"/>
    <w:rsid w:val="006D53FD"/>
    <w:rsid w:val="006D5431"/>
    <w:rsid w:val="006D54B2"/>
    <w:rsid w:val="006D55D5"/>
    <w:rsid w:val="006D59F5"/>
    <w:rsid w:val="006D5A68"/>
    <w:rsid w:val="006D5BD9"/>
    <w:rsid w:val="006D5FB5"/>
    <w:rsid w:val="006D62FA"/>
    <w:rsid w:val="006D6D1C"/>
    <w:rsid w:val="006D6E20"/>
    <w:rsid w:val="006D72E2"/>
    <w:rsid w:val="006D731B"/>
    <w:rsid w:val="006D772F"/>
    <w:rsid w:val="006D7D5E"/>
    <w:rsid w:val="006E0319"/>
    <w:rsid w:val="006E0FF5"/>
    <w:rsid w:val="006E1499"/>
    <w:rsid w:val="006E15C1"/>
    <w:rsid w:val="006E16A8"/>
    <w:rsid w:val="006E2749"/>
    <w:rsid w:val="006E27BF"/>
    <w:rsid w:val="006E286E"/>
    <w:rsid w:val="006E318B"/>
    <w:rsid w:val="006E3258"/>
    <w:rsid w:val="006E338F"/>
    <w:rsid w:val="006E3478"/>
    <w:rsid w:val="006E3516"/>
    <w:rsid w:val="006E3668"/>
    <w:rsid w:val="006E3C27"/>
    <w:rsid w:val="006E3D03"/>
    <w:rsid w:val="006E4054"/>
    <w:rsid w:val="006E48AC"/>
    <w:rsid w:val="006E5637"/>
    <w:rsid w:val="006E5854"/>
    <w:rsid w:val="006E5BCF"/>
    <w:rsid w:val="006E6054"/>
    <w:rsid w:val="006E6202"/>
    <w:rsid w:val="006E658C"/>
    <w:rsid w:val="006E6608"/>
    <w:rsid w:val="006E6666"/>
    <w:rsid w:val="006E6819"/>
    <w:rsid w:val="006E698E"/>
    <w:rsid w:val="006E69AA"/>
    <w:rsid w:val="006E6AC7"/>
    <w:rsid w:val="006E6E48"/>
    <w:rsid w:val="006E703A"/>
    <w:rsid w:val="006E70E8"/>
    <w:rsid w:val="006E70F8"/>
    <w:rsid w:val="006E74DA"/>
    <w:rsid w:val="006E76A9"/>
    <w:rsid w:val="006E77BC"/>
    <w:rsid w:val="006E77CA"/>
    <w:rsid w:val="006E7851"/>
    <w:rsid w:val="006E7B8B"/>
    <w:rsid w:val="006E7EF4"/>
    <w:rsid w:val="006E7FF5"/>
    <w:rsid w:val="006F0040"/>
    <w:rsid w:val="006F0461"/>
    <w:rsid w:val="006F056D"/>
    <w:rsid w:val="006F0C61"/>
    <w:rsid w:val="006F134C"/>
    <w:rsid w:val="006F15D4"/>
    <w:rsid w:val="006F177B"/>
    <w:rsid w:val="006F1793"/>
    <w:rsid w:val="006F18A1"/>
    <w:rsid w:val="006F1A14"/>
    <w:rsid w:val="006F1CEA"/>
    <w:rsid w:val="006F1F95"/>
    <w:rsid w:val="006F206C"/>
    <w:rsid w:val="006F20FE"/>
    <w:rsid w:val="006F21F6"/>
    <w:rsid w:val="006F2280"/>
    <w:rsid w:val="006F2C89"/>
    <w:rsid w:val="006F363B"/>
    <w:rsid w:val="006F364E"/>
    <w:rsid w:val="006F385D"/>
    <w:rsid w:val="006F3888"/>
    <w:rsid w:val="006F3958"/>
    <w:rsid w:val="006F3A81"/>
    <w:rsid w:val="006F3C75"/>
    <w:rsid w:val="006F41EC"/>
    <w:rsid w:val="006F4693"/>
    <w:rsid w:val="006F4D90"/>
    <w:rsid w:val="006F4E4C"/>
    <w:rsid w:val="006F50C3"/>
    <w:rsid w:val="006F526D"/>
    <w:rsid w:val="006F558F"/>
    <w:rsid w:val="006F564C"/>
    <w:rsid w:val="006F5B1C"/>
    <w:rsid w:val="006F5B25"/>
    <w:rsid w:val="006F5F1B"/>
    <w:rsid w:val="006F63CB"/>
    <w:rsid w:val="006F6BA2"/>
    <w:rsid w:val="006F6F6C"/>
    <w:rsid w:val="006F7759"/>
    <w:rsid w:val="006F788F"/>
    <w:rsid w:val="006F7F0C"/>
    <w:rsid w:val="006F7FFA"/>
    <w:rsid w:val="0070034F"/>
    <w:rsid w:val="007003C8"/>
    <w:rsid w:val="0070048E"/>
    <w:rsid w:val="0070071C"/>
    <w:rsid w:val="00700722"/>
    <w:rsid w:val="00700831"/>
    <w:rsid w:val="00700872"/>
    <w:rsid w:val="007009EA"/>
    <w:rsid w:val="00700CE8"/>
    <w:rsid w:val="00700F76"/>
    <w:rsid w:val="0070103D"/>
    <w:rsid w:val="00701408"/>
    <w:rsid w:val="007015CD"/>
    <w:rsid w:val="00701DDA"/>
    <w:rsid w:val="00701F67"/>
    <w:rsid w:val="00702202"/>
    <w:rsid w:val="0070230C"/>
    <w:rsid w:val="007025DF"/>
    <w:rsid w:val="007026F2"/>
    <w:rsid w:val="00702B8E"/>
    <w:rsid w:val="00702C51"/>
    <w:rsid w:val="00702ED1"/>
    <w:rsid w:val="00703E13"/>
    <w:rsid w:val="00704031"/>
    <w:rsid w:val="007043FD"/>
    <w:rsid w:val="0070449E"/>
    <w:rsid w:val="00704520"/>
    <w:rsid w:val="007045FD"/>
    <w:rsid w:val="007047DA"/>
    <w:rsid w:val="00704926"/>
    <w:rsid w:val="00704C5C"/>
    <w:rsid w:val="00704CBE"/>
    <w:rsid w:val="00705168"/>
    <w:rsid w:val="007053FF"/>
    <w:rsid w:val="007054CF"/>
    <w:rsid w:val="0070562F"/>
    <w:rsid w:val="00705BDD"/>
    <w:rsid w:val="00705F36"/>
    <w:rsid w:val="00705FE7"/>
    <w:rsid w:val="007061AA"/>
    <w:rsid w:val="00706578"/>
    <w:rsid w:val="00706A20"/>
    <w:rsid w:val="00706F7D"/>
    <w:rsid w:val="00707054"/>
    <w:rsid w:val="00707354"/>
    <w:rsid w:val="00707E39"/>
    <w:rsid w:val="0071021B"/>
    <w:rsid w:val="007104A5"/>
    <w:rsid w:val="00710DB2"/>
    <w:rsid w:val="007110D1"/>
    <w:rsid w:val="0071151D"/>
    <w:rsid w:val="0071161B"/>
    <w:rsid w:val="00712184"/>
    <w:rsid w:val="00712383"/>
    <w:rsid w:val="00712407"/>
    <w:rsid w:val="0071259D"/>
    <w:rsid w:val="00712B60"/>
    <w:rsid w:val="00712C91"/>
    <w:rsid w:val="00712CE7"/>
    <w:rsid w:val="00712E14"/>
    <w:rsid w:val="00712E72"/>
    <w:rsid w:val="0071335E"/>
    <w:rsid w:val="007133AF"/>
    <w:rsid w:val="00713AB4"/>
    <w:rsid w:val="00713C54"/>
    <w:rsid w:val="0071417A"/>
    <w:rsid w:val="00714291"/>
    <w:rsid w:val="007146C6"/>
    <w:rsid w:val="0071479D"/>
    <w:rsid w:val="007149E1"/>
    <w:rsid w:val="00714A61"/>
    <w:rsid w:val="00715313"/>
    <w:rsid w:val="00715380"/>
    <w:rsid w:val="007157D1"/>
    <w:rsid w:val="007159BA"/>
    <w:rsid w:val="00715B34"/>
    <w:rsid w:val="007160A4"/>
    <w:rsid w:val="007161A2"/>
    <w:rsid w:val="007161AA"/>
    <w:rsid w:val="0071626C"/>
    <w:rsid w:val="00716785"/>
    <w:rsid w:val="007168D6"/>
    <w:rsid w:val="00716A68"/>
    <w:rsid w:val="00716B58"/>
    <w:rsid w:val="00716F4B"/>
    <w:rsid w:val="00717155"/>
    <w:rsid w:val="0071715F"/>
    <w:rsid w:val="00717367"/>
    <w:rsid w:val="00717625"/>
    <w:rsid w:val="00717D61"/>
    <w:rsid w:val="00717F81"/>
    <w:rsid w:val="00717FF8"/>
    <w:rsid w:val="00720068"/>
    <w:rsid w:val="00720175"/>
    <w:rsid w:val="00720479"/>
    <w:rsid w:val="0072061E"/>
    <w:rsid w:val="0072075A"/>
    <w:rsid w:val="0072093E"/>
    <w:rsid w:val="00720E2E"/>
    <w:rsid w:val="00720ED4"/>
    <w:rsid w:val="007211E4"/>
    <w:rsid w:val="0072124F"/>
    <w:rsid w:val="00721481"/>
    <w:rsid w:val="007216BC"/>
    <w:rsid w:val="0072186D"/>
    <w:rsid w:val="00721F87"/>
    <w:rsid w:val="007220B0"/>
    <w:rsid w:val="007223D0"/>
    <w:rsid w:val="00722650"/>
    <w:rsid w:val="00722C95"/>
    <w:rsid w:val="00722CD7"/>
    <w:rsid w:val="00722ECF"/>
    <w:rsid w:val="0072318B"/>
    <w:rsid w:val="00723251"/>
    <w:rsid w:val="00723763"/>
    <w:rsid w:val="00723B59"/>
    <w:rsid w:val="00723B80"/>
    <w:rsid w:val="007240EA"/>
    <w:rsid w:val="0072412E"/>
    <w:rsid w:val="007243B4"/>
    <w:rsid w:val="007244D9"/>
    <w:rsid w:val="007248F1"/>
    <w:rsid w:val="007250A0"/>
    <w:rsid w:val="00725642"/>
    <w:rsid w:val="00725FA0"/>
    <w:rsid w:val="00725FB4"/>
    <w:rsid w:val="00725FD9"/>
    <w:rsid w:val="007260A5"/>
    <w:rsid w:val="007264C3"/>
    <w:rsid w:val="0072665E"/>
    <w:rsid w:val="007269E7"/>
    <w:rsid w:val="00726A04"/>
    <w:rsid w:val="00726F0C"/>
    <w:rsid w:val="0072719A"/>
    <w:rsid w:val="0072778A"/>
    <w:rsid w:val="00727A8D"/>
    <w:rsid w:val="00727B7B"/>
    <w:rsid w:val="00727C50"/>
    <w:rsid w:val="00727D94"/>
    <w:rsid w:val="007300F4"/>
    <w:rsid w:val="00730106"/>
    <w:rsid w:val="0073015C"/>
    <w:rsid w:val="007302B2"/>
    <w:rsid w:val="0073057F"/>
    <w:rsid w:val="00730C49"/>
    <w:rsid w:val="007313CD"/>
    <w:rsid w:val="00731626"/>
    <w:rsid w:val="00731E78"/>
    <w:rsid w:val="00731FD0"/>
    <w:rsid w:val="00732361"/>
    <w:rsid w:val="0073284E"/>
    <w:rsid w:val="00732894"/>
    <w:rsid w:val="0073336C"/>
    <w:rsid w:val="0073337E"/>
    <w:rsid w:val="007334F9"/>
    <w:rsid w:val="0073355C"/>
    <w:rsid w:val="007337B2"/>
    <w:rsid w:val="007338CE"/>
    <w:rsid w:val="00733D55"/>
    <w:rsid w:val="00734250"/>
    <w:rsid w:val="0073432C"/>
    <w:rsid w:val="00734751"/>
    <w:rsid w:val="00734759"/>
    <w:rsid w:val="00734DF4"/>
    <w:rsid w:val="00734E86"/>
    <w:rsid w:val="007354A6"/>
    <w:rsid w:val="007354ED"/>
    <w:rsid w:val="00735677"/>
    <w:rsid w:val="0073582C"/>
    <w:rsid w:val="00735A2A"/>
    <w:rsid w:val="00735E27"/>
    <w:rsid w:val="00736428"/>
    <w:rsid w:val="0073670D"/>
    <w:rsid w:val="00736939"/>
    <w:rsid w:val="007369AB"/>
    <w:rsid w:val="00736A21"/>
    <w:rsid w:val="00736ACA"/>
    <w:rsid w:val="00736DF9"/>
    <w:rsid w:val="00736F72"/>
    <w:rsid w:val="00736F97"/>
    <w:rsid w:val="0073721A"/>
    <w:rsid w:val="007378A5"/>
    <w:rsid w:val="00737EC1"/>
    <w:rsid w:val="00737EE8"/>
    <w:rsid w:val="00737EFD"/>
    <w:rsid w:val="00737FB6"/>
    <w:rsid w:val="00740058"/>
    <w:rsid w:val="00740251"/>
    <w:rsid w:val="007403FD"/>
    <w:rsid w:val="00740664"/>
    <w:rsid w:val="007407A0"/>
    <w:rsid w:val="00740957"/>
    <w:rsid w:val="00740EA4"/>
    <w:rsid w:val="00740F83"/>
    <w:rsid w:val="00741327"/>
    <w:rsid w:val="00741650"/>
    <w:rsid w:val="00741BAF"/>
    <w:rsid w:val="00741DFC"/>
    <w:rsid w:val="007420CE"/>
    <w:rsid w:val="0074219A"/>
    <w:rsid w:val="0074224D"/>
    <w:rsid w:val="00742427"/>
    <w:rsid w:val="00742763"/>
    <w:rsid w:val="00742C33"/>
    <w:rsid w:val="00742D0D"/>
    <w:rsid w:val="00742D7A"/>
    <w:rsid w:val="00742F0C"/>
    <w:rsid w:val="00743064"/>
    <w:rsid w:val="00743969"/>
    <w:rsid w:val="00743A0B"/>
    <w:rsid w:val="00743A9E"/>
    <w:rsid w:val="00743C3D"/>
    <w:rsid w:val="00743CAB"/>
    <w:rsid w:val="00744368"/>
    <w:rsid w:val="007443FE"/>
    <w:rsid w:val="007444A8"/>
    <w:rsid w:val="00744557"/>
    <w:rsid w:val="00744AB0"/>
    <w:rsid w:val="00744BF2"/>
    <w:rsid w:val="00744C73"/>
    <w:rsid w:val="00744CE3"/>
    <w:rsid w:val="007451D2"/>
    <w:rsid w:val="007452D1"/>
    <w:rsid w:val="00745819"/>
    <w:rsid w:val="007458F9"/>
    <w:rsid w:val="00745979"/>
    <w:rsid w:val="00745C68"/>
    <w:rsid w:val="00745DCB"/>
    <w:rsid w:val="00745E3B"/>
    <w:rsid w:val="0074640A"/>
    <w:rsid w:val="0074652F"/>
    <w:rsid w:val="00746A63"/>
    <w:rsid w:val="00746A75"/>
    <w:rsid w:val="00746CFB"/>
    <w:rsid w:val="00746E6C"/>
    <w:rsid w:val="00746EBB"/>
    <w:rsid w:val="0074704A"/>
    <w:rsid w:val="007475A4"/>
    <w:rsid w:val="0074785D"/>
    <w:rsid w:val="00747D7B"/>
    <w:rsid w:val="007500A7"/>
    <w:rsid w:val="00750195"/>
    <w:rsid w:val="0075039D"/>
    <w:rsid w:val="00750852"/>
    <w:rsid w:val="0075093F"/>
    <w:rsid w:val="00750A9F"/>
    <w:rsid w:val="00750CD6"/>
    <w:rsid w:val="00750E59"/>
    <w:rsid w:val="00751224"/>
    <w:rsid w:val="0075172B"/>
    <w:rsid w:val="0075188D"/>
    <w:rsid w:val="00751B69"/>
    <w:rsid w:val="00751E08"/>
    <w:rsid w:val="00753573"/>
    <w:rsid w:val="007536D3"/>
    <w:rsid w:val="00753AB7"/>
    <w:rsid w:val="00753D57"/>
    <w:rsid w:val="00753E11"/>
    <w:rsid w:val="00753E39"/>
    <w:rsid w:val="00753F31"/>
    <w:rsid w:val="007540CE"/>
    <w:rsid w:val="00754546"/>
    <w:rsid w:val="007546F7"/>
    <w:rsid w:val="00754C5B"/>
    <w:rsid w:val="00755136"/>
    <w:rsid w:val="00755562"/>
    <w:rsid w:val="0075566D"/>
    <w:rsid w:val="007559F1"/>
    <w:rsid w:val="00755AA5"/>
    <w:rsid w:val="00755DC2"/>
    <w:rsid w:val="00756041"/>
    <w:rsid w:val="0075611C"/>
    <w:rsid w:val="007561DC"/>
    <w:rsid w:val="007563FD"/>
    <w:rsid w:val="00756533"/>
    <w:rsid w:val="007568A0"/>
    <w:rsid w:val="007569BB"/>
    <w:rsid w:val="00756C9A"/>
    <w:rsid w:val="00756F14"/>
    <w:rsid w:val="00756F95"/>
    <w:rsid w:val="00757153"/>
    <w:rsid w:val="00757212"/>
    <w:rsid w:val="00757421"/>
    <w:rsid w:val="0075778B"/>
    <w:rsid w:val="0075792B"/>
    <w:rsid w:val="00757B61"/>
    <w:rsid w:val="00757D38"/>
    <w:rsid w:val="00757DD9"/>
    <w:rsid w:val="00760022"/>
    <w:rsid w:val="00760CA5"/>
    <w:rsid w:val="00760D55"/>
    <w:rsid w:val="00760E94"/>
    <w:rsid w:val="00760EDC"/>
    <w:rsid w:val="007610A7"/>
    <w:rsid w:val="007613A1"/>
    <w:rsid w:val="00761525"/>
    <w:rsid w:val="00761714"/>
    <w:rsid w:val="00761771"/>
    <w:rsid w:val="00761876"/>
    <w:rsid w:val="00761B30"/>
    <w:rsid w:val="00761DBB"/>
    <w:rsid w:val="00761E04"/>
    <w:rsid w:val="00762088"/>
    <w:rsid w:val="00762171"/>
    <w:rsid w:val="007624D7"/>
    <w:rsid w:val="0076269C"/>
    <w:rsid w:val="007628C8"/>
    <w:rsid w:val="00762925"/>
    <w:rsid w:val="00762A57"/>
    <w:rsid w:val="00763C1C"/>
    <w:rsid w:val="00763CBC"/>
    <w:rsid w:val="00763D28"/>
    <w:rsid w:val="00763F8B"/>
    <w:rsid w:val="0076406E"/>
    <w:rsid w:val="00764289"/>
    <w:rsid w:val="0076440D"/>
    <w:rsid w:val="007644D2"/>
    <w:rsid w:val="00764783"/>
    <w:rsid w:val="00764BD7"/>
    <w:rsid w:val="00764CC5"/>
    <w:rsid w:val="007651CB"/>
    <w:rsid w:val="00765876"/>
    <w:rsid w:val="00765881"/>
    <w:rsid w:val="007658BA"/>
    <w:rsid w:val="007658BF"/>
    <w:rsid w:val="007658F8"/>
    <w:rsid w:val="00765B2F"/>
    <w:rsid w:val="00765B34"/>
    <w:rsid w:val="00765F18"/>
    <w:rsid w:val="00765F36"/>
    <w:rsid w:val="00766254"/>
    <w:rsid w:val="00766411"/>
    <w:rsid w:val="00766638"/>
    <w:rsid w:val="007668A9"/>
    <w:rsid w:val="00766962"/>
    <w:rsid w:val="00766C8D"/>
    <w:rsid w:val="00767013"/>
    <w:rsid w:val="0076715E"/>
    <w:rsid w:val="007673D3"/>
    <w:rsid w:val="007674FB"/>
    <w:rsid w:val="00767863"/>
    <w:rsid w:val="00767C72"/>
    <w:rsid w:val="00767D51"/>
    <w:rsid w:val="00770368"/>
    <w:rsid w:val="0077083F"/>
    <w:rsid w:val="00770A68"/>
    <w:rsid w:val="00770ACF"/>
    <w:rsid w:val="00770C85"/>
    <w:rsid w:val="00770D3A"/>
    <w:rsid w:val="00770D88"/>
    <w:rsid w:val="00770F70"/>
    <w:rsid w:val="00771170"/>
    <w:rsid w:val="00771255"/>
    <w:rsid w:val="007719E2"/>
    <w:rsid w:val="00771A88"/>
    <w:rsid w:val="00771CFF"/>
    <w:rsid w:val="00771D20"/>
    <w:rsid w:val="00772431"/>
    <w:rsid w:val="00772BF3"/>
    <w:rsid w:val="00772EEE"/>
    <w:rsid w:val="0077328A"/>
    <w:rsid w:val="007732A1"/>
    <w:rsid w:val="007733F2"/>
    <w:rsid w:val="007737C1"/>
    <w:rsid w:val="00773AAE"/>
    <w:rsid w:val="00774014"/>
    <w:rsid w:val="0077418B"/>
    <w:rsid w:val="0077483E"/>
    <w:rsid w:val="00774852"/>
    <w:rsid w:val="00774864"/>
    <w:rsid w:val="007748BF"/>
    <w:rsid w:val="00774B07"/>
    <w:rsid w:val="00774DDB"/>
    <w:rsid w:val="00774E5C"/>
    <w:rsid w:val="00774EA5"/>
    <w:rsid w:val="00774F59"/>
    <w:rsid w:val="0077516A"/>
    <w:rsid w:val="0077518D"/>
    <w:rsid w:val="007752EF"/>
    <w:rsid w:val="007754F2"/>
    <w:rsid w:val="007755AD"/>
    <w:rsid w:val="007757EC"/>
    <w:rsid w:val="007759A9"/>
    <w:rsid w:val="00775E76"/>
    <w:rsid w:val="00775FA6"/>
    <w:rsid w:val="007760A0"/>
    <w:rsid w:val="007760BD"/>
    <w:rsid w:val="007760EE"/>
    <w:rsid w:val="00776409"/>
    <w:rsid w:val="00776863"/>
    <w:rsid w:val="007769D9"/>
    <w:rsid w:val="00776CE3"/>
    <w:rsid w:val="00776E94"/>
    <w:rsid w:val="00776ED0"/>
    <w:rsid w:val="007773DD"/>
    <w:rsid w:val="00777709"/>
    <w:rsid w:val="00777887"/>
    <w:rsid w:val="00777BCC"/>
    <w:rsid w:val="00777DC4"/>
    <w:rsid w:val="00777E33"/>
    <w:rsid w:val="00777F85"/>
    <w:rsid w:val="00780339"/>
    <w:rsid w:val="00780354"/>
    <w:rsid w:val="0078063A"/>
    <w:rsid w:val="0078087C"/>
    <w:rsid w:val="00780A8D"/>
    <w:rsid w:val="00780C35"/>
    <w:rsid w:val="00780FD5"/>
    <w:rsid w:val="0078100B"/>
    <w:rsid w:val="00781511"/>
    <w:rsid w:val="0078169B"/>
    <w:rsid w:val="00781A24"/>
    <w:rsid w:val="00781CAC"/>
    <w:rsid w:val="0078210D"/>
    <w:rsid w:val="00782375"/>
    <w:rsid w:val="007823CB"/>
    <w:rsid w:val="00782DC2"/>
    <w:rsid w:val="007835E1"/>
    <w:rsid w:val="00783B60"/>
    <w:rsid w:val="00783BEC"/>
    <w:rsid w:val="00783CDF"/>
    <w:rsid w:val="00783D25"/>
    <w:rsid w:val="007840D3"/>
    <w:rsid w:val="007842C9"/>
    <w:rsid w:val="0078442C"/>
    <w:rsid w:val="00784447"/>
    <w:rsid w:val="0078489B"/>
    <w:rsid w:val="007849A1"/>
    <w:rsid w:val="00784B87"/>
    <w:rsid w:val="00784E89"/>
    <w:rsid w:val="00785159"/>
    <w:rsid w:val="0078518B"/>
    <w:rsid w:val="00785231"/>
    <w:rsid w:val="00785273"/>
    <w:rsid w:val="00785AC3"/>
    <w:rsid w:val="00785B97"/>
    <w:rsid w:val="0078616A"/>
    <w:rsid w:val="007864D3"/>
    <w:rsid w:val="007866BA"/>
    <w:rsid w:val="00786B52"/>
    <w:rsid w:val="00786F15"/>
    <w:rsid w:val="007871A2"/>
    <w:rsid w:val="007871BE"/>
    <w:rsid w:val="0078747A"/>
    <w:rsid w:val="007875FC"/>
    <w:rsid w:val="00787A62"/>
    <w:rsid w:val="00787B36"/>
    <w:rsid w:val="00790012"/>
    <w:rsid w:val="007903E1"/>
    <w:rsid w:val="00790507"/>
    <w:rsid w:val="00790772"/>
    <w:rsid w:val="00790A4E"/>
    <w:rsid w:val="00790D34"/>
    <w:rsid w:val="00791073"/>
    <w:rsid w:val="00791A07"/>
    <w:rsid w:val="00791DBF"/>
    <w:rsid w:val="007921D8"/>
    <w:rsid w:val="0079240E"/>
    <w:rsid w:val="007927C4"/>
    <w:rsid w:val="00792B4C"/>
    <w:rsid w:val="00792DC6"/>
    <w:rsid w:val="00792E6C"/>
    <w:rsid w:val="00793364"/>
    <w:rsid w:val="00793B6A"/>
    <w:rsid w:val="00793C7F"/>
    <w:rsid w:val="00793D3C"/>
    <w:rsid w:val="007943BA"/>
    <w:rsid w:val="007944D0"/>
    <w:rsid w:val="007944EF"/>
    <w:rsid w:val="0079463D"/>
    <w:rsid w:val="007946BF"/>
    <w:rsid w:val="00794745"/>
    <w:rsid w:val="00794761"/>
    <w:rsid w:val="0079478A"/>
    <w:rsid w:val="00794D93"/>
    <w:rsid w:val="00795157"/>
    <w:rsid w:val="0079544E"/>
    <w:rsid w:val="007954E8"/>
    <w:rsid w:val="007956D8"/>
    <w:rsid w:val="007956F0"/>
    <w:rsid w:val="00795E48"/>
    <w:rsid w:val="00795F22"/>
    <w:rsid w:val="00796297"/>
    <w:rsid w:val="00796410"/>
    <w:rsid w:val="00796418"/>
    <w:rsid w:val="00796474"/>
    <w:rsid w:val="007964A2"/>
    <w:rsid w:val="0079650B"/>
    <w:rsid w:val="00796758"/>
    <w:rsid w:val="00796B81"/>
    <w:rsid w:val="00797190"/>
    <w:rsid w:val="007971DE"/>
    <w:rsid w:val="007977BE"/>
    <w:rsid w:val="00797812"/>
    <w:rsid w:val="00797E7C"/>
    <w:rsid w:val="00797F7E"/>
    <w:rsid w:val="00797FD6"/>
    <w:rsid w:val="007A025D"/>
    <w:rsid w:val="007A03C6"/>
    <w:rsid w:val="007A03F3"/>
    <w:rsid w:val="007A09AA"/>
    <w:rsid w:val="007A0B49"/>
    <w:rsid w:val="007A0F7B"/>
    <w:rsid w:val="007A1C8A"/>
    <w:rsid w:val="007A1CF0"/>
    <w:rsid w:val="007A1D20"/>
    <w:rsid w:val="007A1E84"/>
    <w:rsid w:val="007A204A"/>
    <w:rsid w:val="007A23DC"/>
    <w:rsid w:val="007A2615"/>
    <w:rsid w:val="007A26A3"/>
    <w:rsid w:val="007A275C"/>
    <w:rsid w:val="007A2837"/>
    <w:rsid w:val="007A29BB"/>
    <w:rsid w:val="007A2CE1"/>
    <w:rsid w:val="007A2E3F"/>
    <w:rsid w:val="007A2EEE"/>
    <w:rsid w:val="007A3627"/>
    <w:rsid w:val="007A36E7"/>
    <w:rsid w:val="007A3730"/>
    <w:rsid w:val="007A3749"/>
    <w:rsid w:val="007A391E"/>
    <w:rsid w:val="007A3A27"/>
    <w:rsid w:val="007A3BBB"/>
    <w:rsid w:val="007A41C3"/>
    <w:rsid w:val="007A46B8"/>
    <w:rsid w:val="007A4894"/>
    <w:rsid w:val="007A4D89"/>
    <w:rsid w:val="007A507A"/>
    <w:rsid w:val="007A5102"/>
    <w:rsid w:val="007A5704"/>
    <w:rsid w:val="007A582D"/>
    <w:rsid w:val="007A5A0D"/>
    <w:rsid w:val="007A5D59"/>
    <w:rsid w:val="007A5E1C"/>
    <w:rsid w:val="007A605C"/>
    <w:rsid w:val="007A61DE"/>
    <w:rsid w:val="007A6373"/>
    <w:rsid w:val="007A6C00"/>
    <w:rsid w:val="007A6E79"/>
    <w:rsid w:val="007A7107"/>
    <w:rsid w:val="007A722C"/>
    <w:rsid w:val="007A72CC"/>
    <w:rsid w:val="007A783F"/>
    <w:rsid w:val="007B00DF"/>
    <w:rsid w:val="007B0380"/>
    <w:rsid w:val="007B0848"/>
    <w:rsid w:val="007B0952"/>
    <w:rsid w:val="007B09C5"/>
    <w:rsid w:val="007B09F1"/>
    <w:rsid w:val="007B0AA1"/>
    <w:rsid w:val="007B0B25"/>
    <w:rsid w:val="007B0F2B"/>
    <w:rsid w:val="007B104F"/>
    <w:rsid w:val="007B141E"/>
    <w:rsid w:val="007B1801"/>
    <w:rsid w:val="007B1A0D"/>
    <w:rsid w:val="007B1CB7"/>
    <w:rsid w:val="007B28E5"/>
    <w:rsid w:val="007B2998"/>
    <w:rsid w:val="007B2E7E"/>
    <w:rsid w:val="007B3372"/>
    <w:rsid w:val="007B3520"/>
    <w:rsid w:val="007B371B"/>
    <w:rsid w:val="007B3A93"/>
    <w:rsid w:val="007B496B"/>
    <w:rsid w:val="007B4A69"/>
    <w:rsid w:val="007B4C87"/>
    <w:rsid w:val="007B4DBA"/>
    <w:rsid w:val="007B51E5"/>
    <w:rsid w:val="007B5467"/>
    <w:rsid w:val="007B5568"/>
    <w:rsid w:val="007B59D9"/>
    <w:rsid w:val="007B5A28"/>
    <w:rsid w:val="007B5E75"/>
    <w:rsid w:val="007B6112"/>
    <w:rsid w:val="007B6203"/>
    <w:rsid w:val="007B6425"/>
    <w:rsid w:val="007B65F6"/>
    <w:rsid w:val="007B6B03"/>
    <w:rsid w:val="007B6B5E"/>
    <w:rsid w:val="007B6D22"/>
    <w:rsid w:val="007B6F51"/>
    <w:rsid w:val="007B751C"/>
    <w:rsid w:val="007B7B8E"/>
    <w:rsid w:val="007B7D61"/>
    <w:rsid w:val="007C0276"/>
    <w:rsid w:val="007C04C4"/>
    <w:rsid w:val="007C0525"/>
    <w:rsid w:val="007C054E"/>
    <w:rsid w:val="007C07FA"/>
    <w:rsid w:val="007C08DD"/>
    <w:rsid w:val="007C09C6"/>
    <w:rsid w:val="007C0AD4"/>
    <w:rsid w:val="007C0FAF"/>
    <w:rsid w:val="007C187C"/>
    <w:rsid w:val="007C1BF5"/>
    <w:rsid w:val="007C1D65"/>
    <w:rsid w:val="007C203E"/>
    <w:rsid w:val="007C2047"/>
    <w:rsid w:val="007C249A"/>
    <w:rsid w:val="007C25F8"/>
    <w:rsid w:val="007C326A"/>
    <w:rsid w:val="007C33B3"/>
    <w:rsid w:val="007C3541"/>
    <w:rsid w:val="007C354C"/>
    <w:rsid w:val="007C377A"/>
    <w:rsid w:val="007C3A93"/>
    <w:rsid w:val="007C3D60"/>
    <w:rsid w:val="007C3D64"/>
    <w:rsid w:val="007C4AD4"/>
    <w:rsid w:val="007C4E02"/>
    <w:rsid w:val="007C4E54"/>
    <w:rsid w:val="007C4FDC"/>
    <w:rsid w:val="007C50B8"/>
    <w:rsid w:val="007C5206"/>
    <w:rsid w:val="007C536E"/>
    <w:rsid w:val="007C54F3"/>
    <w:rsid w:val="007C5A1D"/>
    <w:rsid w:val="007C5C64"/>
    <w:rsid w:val="007C5DE6"/>
    <w:rsid w:val="007C5E69"/>
    <w:rsid w:val="007C5EA3"/>
    <w:rsid w:val="007C659E"/>
    <w:rsid w:val="007C6AC4"/>
    <w:rsid w:val="007C6BD2"/>
    <w:rsid w:val="007C6C31"/>
    <w:rsid w:val="007C6EDF"/>
    <w:rsid w:val="007C73A2"/>
    <w:rsid w:val="007C76D4"/>
    <w:rsid w:val="007C786A"/>
    <w:rsid w:val="007C7CD2"/>
    <w:rsid w:val="007C7DE0"/>
    <w:rsid w:val="007C7E65"/>
    <w:rsid w:val="007D0564"/>
    <w:rsid w:val="007D0589"/>
    <w:rsid w:val="007D05D2"/>
    <w:rsid w:val="007D08BE"/>
    <w:rsid w:val="007D0A12"/>
    <w:rsid w:val="007D0B62"/>
    <w:rsid w:val="007D1050"/>
    <w:rsid w:val="007D10DC"/>
    <w:rsid w:val="007D1245"/>
    <w:rsid w:val="007D1497"/>
    <w:rsid w:val="007D15FD"/>
    <w:rsid w:val="007D16F9"/>
    <w:rsid w:val="007D1724"/>
    <w:rsid w:val="007D18BE"/>
    <w:rsid w:val="007D1BFE"/>
    <w:rsid w:val="007D1FED"/>
    <w:rsid w:val="007D213E"/>
    <w:rsid w:val="007D232E"/>
    <w:rsid w:val="007D2391"/>
    <w:rsid w:val="007D279A"/>
    <w:rsid w:val="007D2C4C"/>
    <w:rsid w:val="007D2CF7"/>
    <w:rsid w:val="007D2F57"/>
    <w:rsid w:val="007D30C0"/>
    <w:rsid w:val="007D3620"/>
    <w:rsid w:val="007D3914"/>
    <w:rsid w:val="007D3CC7"/>
    <w:rsid w:val="007D415A"/>
    <w:rsid w:val="007D4517"/>
    <w:rsid w:val="007D47C9"/>
    <w:rsid w:val="007D481D"/>
    <w:rsid w:val="007D4846"/>
    <w:rsid w:val="007D4927"/>
    <w:rsid w:val="007D4A21"/>
    <w:rsid w:val="007D4CD1"/>
    <w:rsid w:val="007D4E8E"/>
    <w:rsid w:val="007D5730"/>
    <w:rsid w:val="007D59E7"/>
    <w:rsid w:val="007D5A0A"/>
    <w:rsid w:val="007D5A1D"/>
    <w:rsid w:val="007D5AD5"/>
    <w:rsid w:val="007D5BA6"/>
    <w:rsid w:val="007D5F3C"/>
    <w:rsid w:val="007D62A1"/>
    <w:rsid w:val="007D64C1"/>
    <w:rsid w:val="007D66FE"/>
    <w:rsid w:val="007D6A6E"/>
    <w:rsid w:val="007D6F7A"/>
    <w:rsid w:val="007D7300"/>
    <w:rsid w:val="007D7B98"/>
    <w:rsid w:val="007E025F"/>
    <w:rsid w:val="007E0665"/>
    <w:rsid w:val="007E0782"/>
    <w:rsid w:val="007E0976"/>
    <w:rsid w:val="007E0C9F"/>
    <w:rsid w:val="007E0F4E"/>
    <w:rsid w:val="007E0F6D"/>
    <w:rsid w:val="007E1099"/>
    <w:rsid w:val="007E174E"/>
    <w:rsid w:val="007E1D61"/>
    <w:rsid w:val="007E200D"/>
    <w:rsid w:val="007E2183"/>
    <w:rsid w:val="007E22F2"/>
    <w:rsid w:val="007E27C3"/>
    <w:rsid w:val="007E2C50"/>
    <w:rsid w:val="007E2D8D"/>
    <w:rsid w:val="007E4295"/>
    <w:rsid w:val="007E4460"/>
    <w:rsid w:val="007E4629"/>
    <w:rsid w:val="007E480D"/>
    <w:rsid w:val="007E48BF"/>
    <w:rsid w:val="007E509C"/>
    <w:rsid w:val="007E5115"/>
    <w:rsid w:val="007E52AB"/>
    <w:rsid w:val="007E5400"/>
    <w:rsid w:val="007E563B"/>
    <w:rsid w:val="007E56C4"/>
    <w:rsid w:val="007E6072"/>
    <w:rsid w:val="007E6167"/>
    <w:rsid w:val="007E61A7"/>
    <w:rsid w:val="007E63F0"/>
    <w:rsid w:val="007E6698"/>
    <w:rsid w:val="007E6890"/>
    <w:rsid w:val="007E6FF5"/>
    <w:rsid w:val="007E7213"/>
    <w:rsid w:val="007E73FC"/>
    <w:rsid w:val="007E769E"/>
    <w:rsid w:val="007E7878"/>
    <w:rsid w:val="007E7AFE"/>
    <w:rsid w:val="007E7C59"/>
    <w:rsid w:val="007E7C9B"/>
    <w:rsid w:val="007F0081"/>
    <w:rsid w:val="007F0901"/>
    <w:rsid w:val="007F0A3F"/>
    <w:rsid w:val="007F0C29"/>
    <w:rsid w:val="007F0C9F"/>
    <w:rsid w:val="007F0E91"/>
    <w:rsid w:val="007F0F4E"/>
    <w:rsid w:val="007F0F81"/>
    <w:rsid w:val="007F0FFB"/>
    <w:rsid w:val="007F1357"/>
    <w:rsid w:val="007F1A8C"/>
    <w:rsid w:val="007F1BC5"/>
    <w:rsid w:val="007F1DDE"/>
    <w:rsid w:val="007F1F0D"/>
    <w:rsid w:val="007F218A"/>
    <w:rsid w:val="007F2271"/>
    <w:rsid w:val="007F23FC"/>
    <w:rsid w:val="007F2957"/>
    <w:rsid w:val="007F2B01"/>
    <w:rsid w:val="007F2DCD"/>
    <w:rsid w:val="007F31D1"/>
    <w:rsid w:val="007F3459"/>
    <w:rsid w:val="007F3797"/>
    <w:rsid w:val="007F3898"/>
    <w:rsid w:val="007F3AE0"/>
    <w:rsid w:val="007F3B2E"/>
    <w:rsid w:val="007F3DF4"/>
    <w:rsid w:val="007F3EC8"/>
    <w:rsid w:val="007F3EDC"/>
    <w:rsid w:val="007F4187"/>
    <w:rsid w:val="007F4216"/>
    <w:rsid w:val="007F440A"/>
    <w:rsid w:val="007F46A9"/>
    <w:rsid w:val="007F4EC6"/>
    <w:rsid w:val="007F51E3"/>
    <w:rsid w:val="007F54DA"/>
    <w:rsid w:val="007F5517"/>
    <w:rsid w:val="007F5A84"/>
    <w:rsid w:val="007F5D53"/>
    <w:rsid w:val="007F5F25"/>
    <w:rsid w:val="007F5F64"/>
    <w:rsid w:val="007F633E"/>
    <w:rsid w:val="007F6CB8"/>
    <w:rsid w:val="007F6CDA"/>
    <w:rsid w:val="007F6FC1"/>
    <w:rsid w:val="007F7385"/>
    <w:rsid w:val="007F7401"/>
    <w:rsid w:val="007F7A76"/>
    <w:rsid w:val="007F7B33"/>
    <w:rsid w:val="007F7E31"/>
    <w:rsid w:val="00800416"/>
    <w:rsid w:val="00800852"/>
    <w:rsid w:val="008008BB"/>
    <w:rsid w:val="00800CE7"/>
    <w:rsid w:val="008012DC"/>
    <w:rsid w:val="0080147B"/>
    <w:rsid w:val="008014A5"/>
    <w:rsid w:val="008015E3"/>
    <w:rsid w:val="00801F69"/>
    <w:rsid w:val="008023A0"/>
    <w:rsid w:val="00802974"/>
    <w:rsid w:val="0080311F"/>
    <w:rsid w:val="008035AA"/>
    <w:rsid w:val="008036FD"/>
    <w:rsid w:val="00803781"/>
    <w:rsid w:val="0080393B"/>
    <w:rsid w:val="00803FBA"/>
    <w:rsid w:val="008040EA"/>
    <w:rsid w:val="0080438C"/>
    <w:rsid w:val="008049AE"/>
    <w:rsid w:val="00804ABF"/>
    <w:rsid w:val="00804CCE"/>
    <w:rsid w:val="00804D77"/>
    <w:rsid w:val="00804E8E"/>
    <w:rsid w:val="0080594D"/>
    <w:rsid w:val="008059DE"/>
    <w:rsid w:val="00805A6A"/>
    <w:rsid w:val="00805BC5"/>
    <w:rsid w:val="00805CBE"/>
    <w:rsid w:val="00805E6A"/>
    <w:rsid w:val="00805E92"/>
    <w:rsid w:val="0080628A"/>
    <w:rsid w:val="008066EF"/>
    <w:rsid w:val="00806A27"/>
    <w:rsid w:val="00806A4A"/>
    <w:rsid w:val="00807068"/>
    <w:rsid w:val="00807182"/>
    <w:rsid w:val="00807189"/>
    <w:rsid w:val="008079C8"/>
    <w:rsid w:val="00807B1A"/>
    <w:rsid w:val="00807CC5"/>
    <w:rsid w:val="00807E78"/>
    <w:rsid w:val="0081015A"/>
    <w:rsid w:val="00810401"/>
    <w:rsid w:val="0081095F"/>
    <w:rsid w:val="00810ABD"/>
    <w:rsid w:val="00810C1B"/>
    <w:rsid w:val="00810CA7"/>
    <w:rsid w:val="00810EF4"/>
    <w:rsid w:val="00810F4A"/>
    <w:rsid w:val="00811096"/>
    <w:rsid w:val="00811830"/>
    <w:rsid w:val="008119F9"/>
    <w:rsid w:val="00811A0D"/>
    <w:rsid w:val="00811B59"/>
    <w:rsid w:val="00811D32"/>
    <w:rsid w:val="00811D63"/>
    <w:rsid w:val="00811D85"/>
    <w:rsid w:val="0081216D"/>
    <w:rsid w:val="008121E1"/>
    <w:rsid w:val="0081220B"/>
    <w:rsid w:val="00813328"/>
    <w:rsid w:val="00813762"/>
    <w:rsid w:val="00813A0F"/>
    <w:rsid w:val="00813A72"/>
    <w:rsid w:val="00814074"/>
    <w:rsid w:val="008141FE"/>
    <w:rsid w:val="00814556"/>
    <w:rsid w:val="008145EE"/>
    <w:rsid w:val="00814615"/>
    <w:rsid w:val="00814821"/>
    <w:rsid w:val="00814D81"/>
    <w:rsid w:val="00814E02"/>
    <w:rsid w:val="00814F6F"/>
    <w:rsid w:val="008153A0"/>
    <w:rsid w:val="00815913"/>
    <w:rsid w:val="00815DF4"/>
    <w:rsid w:val="00815F59"/>
    <w:rsid w:val="00816687"/>
    <w:rsid w:val="008166A5"/>
    <w:rsid w:val="008166D3"/>
    <w:rsid w:val="00816AB3"/>
    <w:rsid w:val="00816D63"/>
    <w:rsid w:val="00816D6C"/>
    <w:rsid w:val="00816D74"/>
    <w:rsid w:val="0081788F"/>
    <w:rsid w:val="00817CBB"/>
    <w:rsid w:val="00817E41"/>
    <w:rsid w:val="00817F7B"/>
    <w:rsid w:val="00820003"/>
    <w:rsid w:val="00820C8D"/>
    <w:rsid w:val="00820F5E"/>
    <w:rsid w:val="008214B4"/>
    <w:rsid w:val="00821570"/>
    <w:rsid w:val="008217BD"/>
    <w:rsid w:val="008217E6"/>
    <w:rsid w:val="0082185B"/>
    <w:rsid w:val="0082197B"/>
    <w:rsid w:val="00821CCC"/>
    <w:rsid w:val="0082201C"/>
    <w:rsid w:val="0082209E"/>
    <w:rsid w:val="00822201"/>
    <w:rsid w:val="008225AB"/>
    <w:rsid w:val="008231D2"/>
    <w:rsid w:val="0082334A"/>
    <w:rsid w:val="0082365B"/>
    <w:rsid w:val="00823742"/>
    <w:rsid w:val="008237AD"/>
    <w:rsid w:val="008238E9"/>
    <w:rsid w:val="00823D62"/>
    <w:rsid w:val="00823E8D"/>
    <w:rsid w:val="0082433A"/>
    <w:rsid w:val="008244F2"/>
    <w:rsid w:val="008246BC"/>
    <w:rsid w:val="008247AE"/>
    <w:rsid w:val="00824982"/>
    <w:rsid w:val="008249CD"/>
    <w:rsid w:val="00824A48"/>
    <w:rsid w:val="00824AEB"/>
    <w:rsid w:val="00825192"/>
    <w:rsid w:val="008253A3"/>
    <w:rsid w:val="008254AD"/>
    <w:rsid w:val="00826146"/>
    <w:rsid w:val="008262C6"/>
    <w:rsid w:val="008263BA"/>
    <w:rsid w:val="008264CC"/>
    <w:rsid w:val="0082668F"/>
    <w:rsid w:val="0082674C"/>
    <w:rsid w:val="0082675E"/>
    <w:rsid w:val="008267D2"/>
    <w:rsid w:val="0082695B"/>
    <w:rsid w:val="00826B4C"/>
    <w:rsid w:val="00826B72"/>
    <w:rsid w:val="00826B83"/>
    <w:rsid w:val="008275CC"/>
    <w:rsid w:val="00827757"/>
    <w:rsid w:val="00827BA1"/>
    <w:rsid w:val="00827C6E"/>
    <w:rsid w:val="00827CA8"/>
    <w:rsid w:val="00827D1E"/>
    <w:rsid w:val="00827F3C"/>
    <w:rsid w:val="008301B1"/>
    <w:rsid w:val="0083041A"/>
    <w:rsid w:val="00830848"/>
    <w:rsid w:val="0083087F"/>
    <w:rsid w:val="00830DA4"/>
    <w:rsid w:val="008310F2"/>
    <w:rsid w:val="0083136C"/>
    <w:rsid w:val="00831370"/>
    <w:rsid w:val="00831423"/>
    <w:rsid w:val="00831785"/>
    <w:rsid w:val="00831891"/>
    <w:rsid w:val="00831EA3"/>
    <w:rsid w:val="0083225F"/>
    <w:rsid w:val="0083239E"/>
    <w:rsid w:val="008323A2"/>
    <w:rsid w:val="0083257E"/>
    <w:rsid w:val="00832724"/>
    <w:rsid w:val="008329D6"/>
    <w:rsid w:val="00832CE9"/>
    <w:rsid w:val="0083369B"/>
    <w:rsid w:val="008336B3"/>
    <w:rsid w:val="00833D25"/>
    <w:rsid w:val="0083412A"/>
    <w:rsid w:val="00834652"/>
    <w:rsid w:val="00834905"/>
    <w:rsid w:val="00834A8F"/>
    <w:rsid w:val="00834C24"/>
    <w:rsid w:val="00834CAF"/>
    <w:rsid w:val="0083539E"/>
    <w:rsid w:val="0083547C"/>
    <w:rsid w:val="00835482"/>
    <w:rsid w:val="008357D3"/>
    <w:rsid w:val="008359FB"/>
    <w:rsid w:val="00835C8C"/>
    <w:rsid w:val="00835CAA"/>
    <w:rsid w:val="00835F0E"/>
    <w:rsid w:val="008361C8"/>
    <w:rsid w:val="00836260"/>
    <w:rsid w:val="0083683E"/>
    <w:rsid w:val="0083696C"/>
    <w:rsid w:val="00836ECD"/>
    <w:rsid w:val="00837BDC"/>
    <w:rsid w:val="00837D76"/>
    <w:rsid w:val="00837E34"/>
    <w:rsid w:val="00837F1E"/>
    <w:rsid w:val="00837FF3"/>
    <w:rsid w:val="008400AF"/>
    <w:rsid w:val="00840716"/>
    <w:rsid w:val="00840D58"/>
    <w:rsid w:val="00840FEA"/>
    <w:rsid w:val="008414AC"/>
    <w:rsid w:val="008415F3"/>
    <w:rsid w:val="008419CF"/>
    <w:rsid w:val="008419FF"/>
    <w:rsid w:val="00841BCF"/>
    <w:rsid w:val="00841D23"/>
    <w:rsid w:val="00841E8E"/>
    <w:rsid w:val="00842CEC"/>
    <w:rsid w:val="00842E3D"/>
    <w:rsid w:val="00843113"/>
    <w:rsid w:val="0084316D"/>
    <w:rsid w:val="0084350E"/>
    <w:rsid w:val="00843C7F"/>
    <w:rsid w:val="00843C85"/>
    <w:rsid w:val="00843FC3"/>
    <w:rsid w:val="0084403C"/>
    <w:rsid w:val="0084421E"/>
    <w:rsid w:val="00844816"/>
    <w:rsid w:val="00844AEE"/>
    <w:rsid w:val="00844C91"/>
    <w:rsid w:val="00844D9C"/>
    <w:rsid w:val="00844E48"/>
    <w:rsid w:val="008450FE"/>
    <w:rsid w:val="0084515D"/>
    <w:rsid w:val="0084560C"/>
    <w:rsid w:val="0084563E"/>
    <w:rsid w:val="008456F3"/>
    <w:rsid w:val="0084595C"/>
    <w:rsid w:val="00845A9B"/>
    <w:rsid w:val="00845B29"/>
    <w:rsid w:val="00845CFA"/>
    <w:rsid w:val="00846014"/>
    <w:rsid w:val="0084636B"/>
    <w:rsid w:val="0084641D"/>
    <w:rsid w:val="0084647B"/>
    <w:rsid w:val="00846CAB"/>
    <w:rsid w:val="00846D58"/>
    <w:rsid w:val="00847212"/>
    <w:rsid w:val="0084729B"/>
    <w:rsid w:val="0084731D"/>
    <w:rsid w:val="008476A9"/>
    <w:rsid w:val="008476C6"/>
    <w:rsid w:val="00847A1C"/>
    <w:rsid w:val="00847AD6"/>
    <w:rsid w:val="00847BF1"/>
    <w:rsid w:val="0085026C"/>
    <w:rsid w:val="008503E3"/>
    <w:rsid w:val="00850582"/>
    <w:rsid w:val="0085058A"/>
    <w:rsid w:val="00850998"/>
    <w:rsid w:val="00850A43"/>
    <w:rsid w:val="00850B24"/>
    <w:rsid w:val="00850BF5"/>
    <w:rsid w:val="0085194C"/>
    <w:rsid w:val="00851C54"/>
    <w:rsid w:val="008521C5"/>
    <w:rsid w:val="008521CD"/>
    <w:rsid w:val="008523DC"/>
    <w:rsid w:val="0085252D"/>
    <w:rsid w:val="00852530"/>
    <w:rsid w:val="00852BC1"/>
    <w:rsid w:val="00852CFF"/>
    <w:rsid w:val="00852DD5"/>
    <w:rsid w:val="008530A9"/>
    <w:rsid w:val="0085311F"/>
    <w:rsid w:val="00853154"/>
    <w:rsid w:val="00853370"/>
    <w:rsid w:val="008533CF"/>
    <w:rsid w:val="0085363B"/>
    <w:rsid w:val="00853CBC"/>
    <w:rsid w:val="008541A1"/>
    <w:rsid w:val="008543A4"/>
    <w:rsid w:val="00854552"/>
    <w:rsid w:val="008547CA"/>
    <w:rsid w:val="00854F22"/>
    <w:rsid w:val="008551A4"/>
    <w:rsid w:val="008551AA"/>
    <w:rsid w:val="0085523B"/>
    <w:rsid w:val="00855693"/>
    <w:rsid w:val="00855786"/>
    <w:rsid w:val="0085597C"/>
    <w:rsid w:val="00855C45"/>
    <w:rsid w:val="00855E47"/>
    <w:rsid w:val="00856814"/>
    <w:rsid w:val="00856A5F"/>
    <w:rsid w:val="00856C26"/>
    <w:rsid w:val="00856CBF"/>
    <w:rsid w:val="00856D20"/>
    <w:rsid w:val="008574C0"/>
    <w:rsid w:val="008574F3"/>
    <w:rsid w:val="0085756E"/>
    <w:rsid w:val="00857BA6"/>
    <w:rsid w:val="00860200"/>
    <w:rsid w:val="008609F7"/>
    <w:rsid w:val="00861519"/>
    <w:rsid w:val="008616CC"/>
    <w:rsid w:val="00861841"/>
    <w:rsid w:val="00861B82"/>
    <w:rsid w:val="0086262C"/>
    <w:rsid w:val="00862968"/>
    <w:rsid w:val="00862E02"/>
    <w:rsid w:val="00862FE0"/>
    <w:rsid w:val="00863433"/>
    <w:rsid w:val="0086348C"/>
    <w:rsid w:val="0086354A"/>
    <w:rsid w:val="008635CC"/>
    <w:rsid w:val="00863BA4"/>
    <w:rsid w:val="00863D96"/>
    <w:rsid w:val="00863EC6"/>
    <w:rsid w:val="008641A9"/>
    <w:rsid w:val="0086473F"/>
    <w:rsid w:val="00864845"/>
    <w:rsid w:val="0086513C"/>
    <w:rsid w:val="008656D7"/>
    <w:rsid w:val="00865A63"/>
    <w:rsid w:val="00866603"/>
    <w:rsid w:val="00866890"/>
    <w:rsid w:val="00866900"/>
    <w:rsid w:val="00866E62"/>
    <w:rsid w:val="00866F21"/>
    <w:rsid w:val="008670DF"/>
    <w:rsid w:val="008670FA"/>
    <w:rsid w:val="0086710B"/>
    <w:rsid w:val="0086716F"/>
    <w:rsid w:val="008672E7"/>
    <w:rsid w:val="0086739C"/>
    <w:rsid w:val="0086769E"/>
    <w:rsid w:val="008676E5"/>
    <w:rsid w:val="00867768"/>
    <w:rsid w:val="00867886"/>
    <w:rsid w:val="00867F93"/>
    <w:rsid w:val="00870722"/>
    <w:rsid w:val="00870777"/>
    <w:rsid w:val="008707CD"/>
    <w:rsid w:val="00870C1B"/>
    <w:rsid w:val="00870DB1"/>
    <w:rsid w:val="00870F2D"/>
    <w:rsid w:val="00871449"/>
    <w:rsid w:val="00871BD5"/>
    <w:rsid w:val="00871DAB"/>
    <w:rsid w:val="0087234B"/>
    <w:rsid w:val="00872795"/>
    <w:rsid w:val="00872DAE"/>
    <w:rsid w:val="00872EAC"/>
    <w:rsid w:val="00873241"/>
    <w:rsid w:val="00873465"/>
    <w:rsid w:val="00873573"/>
    <w:rsid w:val="00873619"/>
    <w:rsid w:val="0087368B"/>
    <w:rsid w:val="0087392A"/>
    <w:rsid w:val="00873AED"/>
    <w:rsid w:val="0087422A"/>
    <w:rsid w:val="00874411"/>
    <w:rsid w:val="0087484D"/>
    <w:rsid w:val="008748BF"/>
    <w:rsid w:val="00874B0B"/>
    <w:rsid w:val="00874BEE"/>
    <w:rsid w:val="00874EEE"/>
    <w:rsid w:val="00875102"/>
    <w:rsid w:val="00875467"/>
    <w:rsid w:val="0087569F"/>
    <w:rsid w:val="00875750"/>
    <w:rsid w:val="00875D35"/>
    <w:rsid w:val="00875FA4"/>
    <w:rsid w:val="00875FCE"/>
    <w:rsid w:val="008760B3"/>
    <w:rsid w:val="0087663D"/>
    <w:rsid w:val="00876675"/>
    <w:rsid w:val="00876D04"/>
    <w:rsid w:val="0087702A"/>
    <w:rsid w:val="008770AA"/>
    <w:rsid w:val="00877183"/>
    <w:rsid w:val="0087722A"/>
    <w:rsid w:val="008773DB"/>
    <w:rsid w:val="0087747E"/>
    <w:rsid w:val="00877534"/>
    <w:rsid w:val="0087755F"/>
    <w:rsid w:val="00877F53"/>
    <w:rsid w:val="00877F61"/>
    <w:rsid w:val="00877FCC"/>
    <w:rsid w:val="008801C8"/>
    <w:rsid w:val="00880270"/>
    <w:rsid w:val="00881214"/>
    <w:rsid w:val="00881531"/>
    <w:rsid w:val="0088171A"/>
    <w:rsid w:val="008817BF"/>
    <w:rsid w:val="008818AB"/>
    <w:rsid w:val="0088199E"/>
    <w:rsid w:val="008819E5"/>
    <w:rsid w:val="00881BEB"/>
    <w:rsid w:val="00881EE3"/>
    <w:rsid w:val="00882203"/>
    <w:rsid w:val="008826CA"/>
    <w:rsid w:val="0088271A"/>
    <w:rsid w:val="00882CC6"/>
    <w:rsid w:val="008833AB"/>
    <w:rsid w:val="00883560"/>
    <w:rsid w:val="00883706"/>
    <w:rsid w:val="00883906"/>
    <w:rsid w:val="00883922"/>
    <w:rsid w:val="00883A34"/>
    <w:rsid w:val="00883F46"/>
    <w:rsid w:val="00883F60"/>
    <w:rsid w:val="00884480"/>
    <w:rsid w:val="00884790"/>
    <w:rsid w:val="00884D35"/>
    <w:rsid w:val="00884DBF"/>
    <w:rsid w:val="0088526C"/>
    <w:rsid w:val="00885358"/>
    <w:rsid w:val="008856B6"/>
    <w:rsid w:val="0088593F"/>
    <w:rsid w:val="00885D61"/>
    <w:rsid w:val="00885E19"/>
    <w:rsid w:val="008863D8"/>
    <w:rsid w:val="008866B1"/>
    <w:rsid w:val="00886AF2"/>
    <w:rsid w:val="00886B43"/>
    <w:rsid w:val="00886F31"/>
    <w:rsid w:val="0088705C"/>
    <w:rsid w:val="00887210"/>
    <w:rsid w:val="00887347"/>
    <w:rsid w:val="00887632"/>
    <w:rsid w:val="0088773A"/>
    <w:rsid w:val="0088775D"/>
    <w:rsid w:val="00887A8E"/>
    <w:rsid w:val="00887E1A"/>
    <w:rsid w:val="008901B3"/>
    <w:rsid w:val="0089020E"/>
    <w:rsid w:val="00890286"/>
    <w:rsid w:val="0089040F"/>
    <w:rsid w:val="0089075D"/>
    <w:rsid w:val="00890D5D"/>
    <w:rsid w:val="008913A7"/>
    <w:rsid w:val="00891580"/>
    <w:rsid w:val="00891C34"/>
    <w:rsid w:val="00891CF0"/>
    <w:rsid w:val="00891D94"/>
    <w:rsid w:val="0089265F"/>
    <w:rsid w:val="0089269F"/>
    <w:rsid w:val="0089279F"/>
    <w:rsid w:val="00892D02"/>
    <w:rsid w:val="0089304B"/>
    <w:rsid w:val="0089305D"/>
    <w:rsid w:val="00893451"/>
    <w:rsid w:val="008934C0"/>
    <w:rsid w:val="008936B8"/>
    <w:rsid w:val="0089375B"/>
    <w:rsid w:val="008937F4"/>
    <w:rsid w:val="00893D91"/>
    <w:rsid w:val="00893F7B"/>
    <w:rsid w:val="00894045"/>
    <w:rsid w:val="008940F4"/>
    <w:rsid w:val="0089412F"/>
    <w:rsid w:val="008947EB"/>
    <w:rsid w:val="00894980"/>
    <w:rsid w:val="0089498D"/>
    <w:rsid w:val="00894AC8"/>
    <w:rsid w:val="00894D6F"/>
    <w:rsid w:val="00894F1D"/>
    <w:rsid w:val="00895037"/>
    <w:rsid w:val="00895102"/>
    <w:rsid w:val="008951E5"/>
    <w:rsid w:val="00895380"/>
    <w:rsid w:val="00895965"/>
    <w:rsid w:val="00895B35"/>
    <w:rsid w:val="00895BD6"/>
    <w:rsid w:val="00895D42"/>
    <w:rsid w:val="00895E64"/>
    <w:rsid w:val="00896B42"/>
    <w:rsid w:val="00896BA9"/>
    <w:rsid w:val="008970D7"/>
    <w:rsid w:val="00897838"/>
    <w:rsid w:val="00897ACD"/>
    <w:rsid w:val="00897BB6"/>
    <w:rsid w:val="008A022A"/>
    <w:rsid w:val="008A0622"/>
    <w:rsid w:val="008A06C7"/>
    <w:rsid w:val="008A07AD"/>
    <w:rsid w:val="008A10E8"/>
    <w:rsid w:val="008A10E9"/>
    <w:rsid w:val="008A11F1"/>
    <w:rsid w:val="008A140D"/>
    <w:rsid w:val="008A1602"/>
    <w:rsid w:val="008A1BC2"/>
    <w:rsid w:val="008A1C8C"/>
    <w:rsid w:val="008A1F06"/>
    <w:rsid w:val="008A237A"/>
    <w:rsid w:val="008A24FA"/>
    <w:rsid w:val="008A2592"/>
    <w:rsid w:val="008A2B0E"/>
    <w:rsid w:val="008A2E47"/>
    <w:rsid w:val="008A2F0A"/>
    <w:rsid w:val="008A30A4"/>
    <w:rsid w:val="008A3441"/>
    <w:rsid w:val="008A3504"/>
    <w:rsid w:val="008A3668"/>
    <w:rsid w:val="008A393E"/>
    <w:rsid w:val="008A3EDC"/>
    <w:rsid w:val="008A488B"/>
    <w:rsid w:val="008A4FA9"/>
    <w:rsid w:val="008A505A"/>
    <w:rsid w:val="008A52EB"/>
    <w:rsid w:val="008A59D1"/>
    <w:rsid w:val="008A5A1C"/>
    <w:rsid w:val="008A5C8F"/>
    <w:rsid w:val="008A60A1"/>
    <w:rsid w:val="008A60EA"/>
    <w:rsid w:val="008A60FF"/>
    <w:rsid w:val="008A61DA"/>
    <w:rsid w:val="008A6479"/>
    <w:rsid w:val="008A658B"/>
    <w:rsid w:val="008A670E"/>
    <w:rsid w:val="008A67A5"/>
    <w:rsid w:val="008A6885"/>
    <w:rsid w:val="008A6938"/>
    <w:rsid w:val="008A6B4C"/>
    <w:rsid w:val="008A6D24"/>
    <w:rsid w:val="008A7024"/>
    <w:rsid w:val="008A706B"/>
    <w:rsid w:val="008A70C3"/>
    <w:rsid w:val="008A78CF"/>
    <w:rsid w:val="008A7D14"/>
    <w:rsid w:val="008A7DC7"/>
    <w:rsid w:val="008B003B"/>
    <w:rsid w:val="008B01BD"/>
    <w:rsid w:val="008B048A"/>
    <w:rsid w:val="008B057B"/>
    <w:rsid w:val="008B05E9"/>
    <w:rsid w:val="008B076E"/>
    <w:rsid w:val="008B0841"/>
    <w:rsid w:val="008B088A"/>
    <w:rsid w:val="008B0DDF"/>
    <w:rsid w:val="008B12FD"/>
    <w:rsid w:val="008B1512"/>
    <w:rsid w:val="008B1A67"/>
    <w:rsid w:val="008B1A87"/>
    <w:rsid w:val="008B1B39"/>
    <w:rsid w:val="008B214F"/>
    <w:rsid w:val="008B2BB8"/>
    <w:rsid w:val="008B2FBA"/>
    <w:rsid w:val="008B2FF1"/>
    <w:rsid w:val="008B3103"/>
    <w:rsid w:val="008B32C6"/>
    <w:rsid w:val="008B3586"/>
    <w:rsid w:val="008B36F9"/>
    <w:rsid w:val="008B3936"/>
    <w:rsid w:val="008B39FB"/>
    <w:rsid w:val="008B3B8A"/>
    <w:rsid w:val="008B40C8"/>
    <w:rsid w:val="008B4139"/>
    <w:rsid w:val="008B42A6"/>
    <w:rsid w:val="008B4BC1"/>
    <w:rsid w:val="008B52F3"/>
    <w:rsid w:val="008B5324"/>
    <w:rsid w:val="008B549D"/>
    <w:rsid w:val="008B5764"/>
    <w:rsid w:val="008B59A4"/>
    <w:rsid w:val="008B59E1"/>
    <w:rsid w:val="008B5B02"/>
    <w:rsid w:val="008B5B0E"/>
    <w:rsid w:val="008B5D3A"/>
    <w:rsid w:val="008B662D"/>
    <w:rsid w:val="008B68D5"/>
    <w:rsid w:val="008B68FA"/>
    <w:rsid w:val="008B6D82"/>
    <w:rsid w:val="008B714C"/>
    <w:rsid w:val="008B7261"/>
    <w:rsid w:val="008B7B47"/>
    <w:rsid w:val="008B7E92"/>
    <w:rsid w:val="008B7EF9"/>
    <w:rsid w:val="008C0031"/>
    <w:rsid w:val="008C0163"/>
    <w:rsid w:val="008C0576"/>
    <w:rsid w:val="008C058C"/>
    <w:rsid w:val="008C05AA"/>
    <w:rsid w:val="008C07FF"/>
    <w:rsid w:val="008C0841"/>
    <w:rsid w:val="008C099A"/>
    <w:rsid w:val="008C09E6"/>
    <w:rsid w:val="008C0A79"/>
    <w:rsid w:val="008C0C0F"/>
    <w:rsid w:val="008C0FF4"/>
    <w:rsid w:val="008C11B5"/>
    <w:rsid w:val="008C12CE"/>
    <w:rsid w:val="008C13E4"/>
    <w:rsid w:val="008C14D4"/>
    <w:rsid w:val="008C1684"/>
    <w:rsid w:val="008C1D15"/>
    <w:rsid w:val="008C1E1C"/>
    <w:rsid w:val="008C20C8"/>
    <w:rsid w:val="008C26FA"/>
    <w:rsid w:val="008C2C17"/>
    <w:rsid w:val="008C31A5"/>
    <w:rsid w:val="008C346A"/>
    <w:rsid w:val="008C376F"/>
    <w:rsid w:val="008C3AF1"/>
    <w:rsid w:val="008C3EF6"/>
    <w:rsid w:val="008C3F86"/>
    <w:rsid w:val="008C4949"/>
    <w:rsid w:val="008C4B93"/>
    <w:rsid w:val="008C4BA1"/>
    <w:rsid w:val="008C4F4B"/>
    <w:rsid w:val="008C54D8"/>
    <w:rsid w:val="008C54FB"/>
    <w:rsid w:val="008C5A78"/>
    <w:rsid w:val="008C6727"/>
    <w:rsid w:val="008C67C3"/>
    <w:rsid w:val="008C681C"/>
    <w:rsid w:val="008C69C0"/>
    <w:rsid w:val="008C6A84"/>
    <w:rsid w:val="008C6B43"/>
    <w:rsid w:val="008C6B4F"/>
    <w:rsid w:val="008C6BCD"/>
    <w:rsid w:val="008C6E4B"/>
    <w:rsid w:val="008C6FA9"/>
    <w:rsid w:val="008C7B22"/>
    <w:rsid w:val="008C7D2F"/>
    <w:rsid w:val="008C7F52"/>
    <w:rsid w:val="008D018A"/>
    <w:rsid w:val="008D051E"/>
    <w:rsid w:val="008D0E24"/>
    <w:rsid w:val="008D0FAF"/>
    <w:rsid w:val="008D0FB7"/>
    <w:rsid w:val="008D1092"/>
    <w:rsid w:val="008D1130"/>
    <w:rsid w:val="008D14F7"/>
    <w:rsid w:val="008D1856"/>
    <w:rsid w:val="008D1974"/>
    <w:rsid w:val="008D1C3F"/>
    <w:rsid w:val="008D21AD"/>
    <w:rsid w:val="008D2458"/>
    <w:rsid w:val="008D2676"/>
    <w:rsid w:val="008D276D"/>
    <w:rsid w:val="008D28A4"/>
    <w:rsid w:val="008D2919"/>
    <w:rsid w:val="008D2A8D"/>
    <w:rsid w:val="008D2AE7"/>
    <w:rsid w:val="008D2C9C"/>
    <w:rsid w:val="008D2D1C"/>
    <w:rsid w:val="008D2DC1"/>
    <w:rsid w:val="008D2DC2"/>
    <w:rsid w:val="008D2E75"/>
    <w:rsid w:val="008D30B9"/>
    <w:rsid w:val="008D3184"/>
    <w:rsid w:val="008D327E"/>
    <w:rsid w:val="008D32AA"/>
    <w:rsid w:val="008D33A7"/>
    <w:rsid w:val="008D36BA"/>
    <w:rsid w:val="008D39A3"/>
    <w:rsid w:val="008D3B84"/>
    <w:rsid w:val="008D3D07"/>
    <w:rsid w:val="008D3DDE"/>
    <w:rsid w:val="008D3FA1"/>
    <w:rsid w:val="008D4119"/>
    <w:rsid w:val="008D4436"/>
    <w:rsid w:val="008D4468"/>
    <w:rsid w:val="008D473E"/>
    <w:rsid w:val="008D4872"/>
    <w:rsid w:val="008D53B7"/>
    <w:rsid w:val="008D5525"/>
    <w:rsid w:val="008D5C4F"/>
    <w:rsid w:val="008D5E1B"/>
    <w:rsid w:val="008D60E5"/>
    <w:rsid w:val="008D64D0"/>
    <w:rsid w:val="008D65B0"/>
    <w:rsid w:val="008D66A7"/>
    <w:rsid w:val="008D67EF"/>
    <w:rsid w:val="008D6F20"/>
    <w:rsid w:val="008D749C"/>
    <w:rsid w:val="008D7B8D"/>
    <w:rsid w:val="008D7DA5"/>
    <w:rsid w:val="008E0129"/>
    <w:rsid w:val="008E0201"/>
    <w:rsid w:val="008E0348"/>
    <w:rsid w:val="008E05EF"/>
    <w:rsid w:val="008E067F"/>
    <w:rsid w:val="008E07F5"/>
    <w:rsid w:val="008E117F"/>
    <w:rsid w:val="008E12D1"/>
    <w:rsid w:val="008E1526"/>
    <w:rsid w:val="008E156B"/>
    <w:rsid w:val="008E17CE"/>
    <w:rsid w:val="008E1CBE"/>
    <w:rsid w:val="008E1FDD"/>
    <w:rsid w:val="008E2706"/>
    <w:rsid w:val="008E272D"/>
    <w:rsid w:val="008E299C"/>
    <w:rsid w:val="008E2BEB"/>
    <w:rsid w:val="008E30F2"/>
    <w:rsid w:val="008E33EC"/>
    <w:rsid w:val="008E344A"/>
    <w:rsid w:val="008E34FC"/>
    <w:rsid w:val="008E3BFE"/>
    <w:rsid w:val="008E3CF4"/>
    <w:rsid w:val="008E3E95"/>
    <w:rsid w:val="008E4491"/>
    <w:rsid w:val="008E46DD"/>
    <w:rsid w:val="008E4B85"/>
    <w:rsid w:val="008E4CBA"/>
    <w:rsid w:val="008E4CC9"/>
    <w:rsid w:val="008E4D2F"/>
    <w:rsid w:val="008E4E7B"/>
    <w:rsid w:val="008E4ECD"/>
    <w:rsid w:val="008E4ED6"/>
    <w:rsid w:val="008E5A61"/>
    <w:rsid w:val="008E5F6D"/>
    <w:rsid w:val="008E5FB6"/>
    <w:rsid w:val="008E5FE5"/>
    <w:rsid w:val="008E60FF"/>
    <w:rsid w:val="008E6154"/>
    <w:rsid w:val="008E61C9"/>
    <w:rsid w:val="008E629F"/>
    <w:rsid w:val="008E6351"/>
    <w:rsid w:val="008E659F"/>
    <w:rsid w:val="008E6C03"/>
    <w:rsid w:val="008E6E70"/>
    <w:rsid w:val="008E7085"/>
    <w:rsid w:val="008E72AB"/>
    <w:rsid w:val="008E7543"/>
    <w:rsid w:val="008E7ABC"/>
    <w:rsid w:val="008E7D5F"/>
    <w:rsid w:val="008F02BC"/>
    <w:rsid w:val="008F076F"/>
    <w:rsid w:val="008F094B"/>
    <w:rsid w:val="008F0D75"/>
    <w:rsid w:val="008F0E46"/>
    <w:rsid w:val="008F0E8D"/>
    <w:rsid w:val="008F1240"/>
    <w:rsid w:val="008F1245"/>
    <w:rsid w:val="008F1341"/>
    <w:rsid w:val="008F164A"/>
    <w:rsid w:val="008F172E"/>
    <w:rsid w:val="008F19FF"/>
    <w:rsid w:val="008F1AFF"/>
    <w:rsid w:val="008F1DF1"/>
    <w:rsid w:val="008F21D4"/>
    <w:rsid w:val="008F2280"/>
    <w:rsid w:val="008F234C"/>
    <w:rsid w:val="008F2AA9"/>
    <w:rsid w:val="008F2F5A"/>
    <w:rsid w:val="008F30DA"/>
    <w:rsid w:val="008F3390"/>
    <w:rsid w:val="008F34B6"/>
    <w:rsid w:val="008F35B6"/>
    <w:rsid w:val="008F3CA0"/>
    <w:rsid w:val="008F3F20"/>
    <w:rsid w:val="008F402F"/>
    <w:rsid w:val="008F41C9"/>
    <w:rsid w:val="008F4212"/>
    <w:rsid w:val="008F4542"/>
    <w:rsid w:val="008F464F"/>
    <w:rsid w:val="008F47C5"/>
    <w:rsid w:val="008F4810"/>
    <w:rsid w:val="008F4B5B"/>
    <w:rsid w:val="008F4ECF"/>
    <w:rsid w:val="008F5255"/>
    <w:rsid w:val="008F5450"/>
    <w:rsid w:val="008F55F5"/>
    <w:rsid w:val="008F5DA7"/>
    <w:rsid w:val="008F5E36"/>
    <w:rsid w:val="008F5FC5"/>
    <w:rsid w:val="008F622B"/>
    <w:rsid w:val="008F64D5"/>
    <w:rsid w:val="008F66A1"/>
    <w:rsid w:val="008F7087"/>
    <w:rsid w:val="008F7616"/>
    <w:rsid w:val="008F793D"/>
    <w:rsid w:val="00900629"/>
    <w:rsid w:val="009007CC"/>
    <w:rsid w:val="009008F0"/>
    <w:rsid w:val="00900A1B"/>
    <w:rsid w:val="00900BCD"/>
    <w:rsid w:val="00900E64"/>
    <w:rsid w:val="009013EB"/>
    <w:rsid w:val="009017C2"/>
    <w:rsid w:val="00901C98"/>
    <w:rsid w:val="00901DF8"/>
    <w:rsid w:val="009021DF"/>
    <w:rsid w:val="00902206"/>
    <w:rsid w:val="009023AA"/>
    <w:rsid w:val="009025A9"/>
    <w:rsid w:val="009025BF"/>
    <w:rsid w:val="00902626"/>
    <w:rsid w:val="0090264E"/>
    <w:rsid w:val="00902653"/>
    <w:rsid w:val="00902930"/>
    <w:rsid w:val="00903050"/>
    <w:rsid w:val="009032F5"/>
    <w:rsid w:val="00903491"/>
    <w:rsid w:val="00903B10"/>
    <w:rsid w:val="00903B9A"/>
    <w:rsid w:val="00903C69"/>
    <w:rsid w:val="00904147"/>
    <w:rsid w:val="0090449A"/>
    <w:rsid w:val="00904511"/>
    <w:rsid w:val="00904D59"/>
    <w:rsid w:val="00904D87"/>
    <w:rsid w:val="009051CA"/>
    <w:rsid w:val="009058B3"/>
    <w:rsid w:val="009059DB"/>
    <w:rsid w:val="00905C1B"/>
    <w:rsid w:val="00905E9C"/>
    <w:rsid w:val="00906C0D"/>
    <w:rsid w:val="00906C14"/>
    <w:rsid w:val="00906DD3"/>
    <w:rsid w:val="0090706A"/>
    <w:rsid w:val="009070E6"/>
    <w:rsid w:val="009079EA"/>
    <w:rsid w:val="00907A3C"/>
    <w:rsid w:val="00907CDD"/>
    <w:rsid w:val="00907D65"/>
    <w:rsid w:val="00910018"/>
    <w:rsid w:val="009100FC"/>
    <w:rsid w:val="0091012F"/>
    <w:rsid w:val="00910309"/>
    <w:rsid w:val="009108CC"/>
    <w:rsid w:val="00910EEB"/>
    <w:rsid w:val="00911008"/>
    <w:rsid w:val="00911E5C"/>
    <w:rsid w:val="00912026"/>
    <w:rsid w:val="00912547"/>
    <w:rsid w:val="009128E8"/>
    <w:rsid w:val="00912BBC"/>
    <w:rsid w:val="009134C0"/>
    <w:rsid w:val="00913685"/>
    <w:rsid w:val="009136F1"/>
    <w:rsid w:val="00914652"/>
    <w:rsid w:val="0091466B"/>
    <w:rsid w:val="00914B09"/>
    <w:rsid w:val="00914ED1"/>
    <w:rsid w:val="00914F5B"/>
    <w:rsid w:val="0091545E"/>
    <w:rsid w:val="009155AD"/>
    <w:rsid w:val="00915A53"/>
    <w:rsid w:val="00915B04"/>
    <w:rsid w:val="00915BD6"/>
    <w:rsid w:val="00915D76"/>
    <w:rsid w:val="00915ED4"/>
    <w:rsid w:val="009160D3"/>
    <w:rsid w:val="009161B9"/>
    <w:rsid w:val="009162CD"/>
    <w:rsid w:val="009162DB"/>
    <w:rsid w:val="00916776"/>
    <w:rsid w:val="009167BC"/>
    <w:rsid w:val="009168AE"/>
    <w:rsid w:val="00916BC4"/>
    <w:rsid w:val="00916C19"/>
    <w:rsid w:val="00916E27"/>
    <w:rsid w:val="00916EC6"/>
    <w:rsid w:val="009170C6"/>
    <w:rsid w:val="00917523"/>
    <w:rsid w:val="009175CB"/>
    <w:rsid w:val="00917965"/>
    <w:rsid w:val="00917B61"/>
    <w:rsid w:val="00917C68"/>
    <w:rsid w:val="00917CC1"/>
    <w:rsid w:val="00920209"/>
    <w:rsid w:val="009202ED"/>
    <w:rsid w:val="0092084D"/>
    <w:rsid w:val="00920A27"/>
    <w:rsid w:val="00920A90"/>
    <w:rsid w:val="00920B71"/>
    <w:rsid w:val="00921045"/>
    <w:rsid w:val="00921259"/>
    <w:rsid w:val="009213A7"/>
    <w:rsid w:val="00921907"/>
    <w:rsid w:val="00921D9B"/>
    <w:rsid w:val="00921E04"/>
    <w:rsid w:val="00921F67"/>
    <w:rsid w:val="00922544"/>
    <w:rsid w:val="00922647"/>
    <w:rsid w:val="009237BB"/>
    <w:rsid w:val="00923A7C"/>
    <w:rsid w:val="00923AE4"/>
    <w:rsid w:val="00923B51"/>
    <w:rsid w:val="00923CDC"/>
    <w:rsid w:val="00923E78"/>
    <w:rsid w:val="00923F55"/>
    <w:rsid w:val="009241F0"/>
    <w:rsid w:val="009245C6"/>
    <w:rsid w:val="00924B17"/>
    <w:rsid w:val="00924F20"/>
    <w:rsid w:val="00925042"/>
    <w:rsid w:val="00925539"/>
    <w:rsid w:val="00925594"/>
    <w:rsid w:val="00925B1B"/>
    <w:rsid w:val="00925BAC"/>
    <w:rsid w:val="00925CC4"/>
    <w:rsid w:val="00925D6D"/>
    <w:rsid w:val="00925DA4"/>
    <w:rsid w:val="00926054"/>
    <w:rsid w:val="00926097"/>
    <w:rsid w:val="0092613F"/>
    <w:rsid w:val="00926255"/>
    <w:rsid w:val="00926445"/>
    <w:rsid w:val="009264F7"/>
    <w:rsid w:val="00926585"/>
    <w:rsid w:val="0092682E"/>
    <w:rsid w:val="00926866"/>
    <w:rsid w:val="00926E3F"/>
    <w:rsid w:val="009270F6"/>
    <w:rsid w:val="0092751B"/>
    <w:rsid w:val="0092774C"/>
    <w:rsid w:val="0092798F"/>
    <w:rsid w:val="009279B0"/>
    <w:rsid w:val="00927C09"/>
    <w:rsid w:val="00930A59"/>
    <w:rsid w:val="00930AEC"/>
    <w:rsid w:val="00930B1B"/>
    <w:rsid w:val="00930C90"/>
    <w:rsid w:val="00930CC1"/>
    <w:rsid w:val="0093157D"/>
    <w:rsid w:val="009316C0"/>
    <w:rsid w:val="0093178C"/>
    <w:rsid w:val="00931A11"/>
    <w:rsid w:val="00931CD0"/>
    <w:rsid w:val="00932125"/>
    <w:rsid w:val="0093231C"/>
    <w:rsid w:val="00932324"/>
    <w:rsid w:val="0093234F"/>
    <w:rsid w:val="0093250E"/>
    <w:rsid w:val="009325A9"/>
    <w:rsid w:val="0093277B"/>
    <w:rsid w:val="009327D0"/>
    <w:rsid w:val="00932CBE"/>
    <w:rsid w:val="00932D8D"/>
    <w:rsid w:val="00932F92"/>
    <w:rsid w:val="00932FE4"/>
    <w:rsid w:val="009330DD"/>
    <w:rsid w:val="009331B9"/>
    <w:rsid w:val="00933531"/>
    <w:rsid w:val="00933B2B"/>
    <w:rsid w:val="00933C79"/>
    <w:rsid w:val="00933DD7"/>
    <w:rsid w:val="0093443F"/>
    <w:rsid w:val="0093480A"/>
    <w:rsid w:val="00934988"/>
    <w:rsid w:val="00934C97"/>
    <w:rsid w:val="00934EF2"/>
    <w:rsid w:val="0093594C"/>
    <w:rsid w:val="00935A42"/>
    <w:rsid w:val="00935AA4"/>
    <w:rsid w:val="00935AAA"/>
    <w:rsid w:val="00935AFC"/>
    <w:rsid w:val="00935C5D"/>
    <w:rsid w:val="00935E11"/>
    <w:rsid w:val="00935F81"/>
    <w:rsid w:val="00935FC3"/>
    <w:rsid w:val="00936409"/>
    <w:rsid w:val="009366CA"/>
    <w:rsid w:val="00936799"/>
    <w:rsid w:val="00936ABF"/>
    <w:rsid w:val="00936B00"/>
    <w:rsid w:val="00936C64"/>
    <w:rsid w:val="00936F74"/>
    <w:rsid w:val="009371EA"/>
    <w:rsid w:val="00937378"/>
    <w:rsid w:val="009373F6"/>
    <w:rsid w:val="009377BC"/>
    <w:rsid w:val="00937C92"/>
    <w:rsid w:val="00940949"/>
    <w:rsid w:val="00940C9C"/>
    <w:rsid w:val="009411BD"/>
    <w:rsid w:val="0094151F"/>
    <w:rsid w:val="009419AF"/>
    <w:rsid w:val="00941A07"/>
    <w:rsid w:val="00941F99"/>
    <w:rsid w:val="009421C2"/>
    <w:rsid w:val="0094220E"/>
    <w:rsid w:val="00942527"/>
    <w:rsid w:val="00942853"/>
    <w:rsid w:val="00942EAF"/>
    <w:rsid w:val="0094305E"/>
    <w:rsid w:val="009430EC"/>
    <w:rsid w:val="00943338"/>
    <w:rsid w:val="00943551"/>
    <w:rsid w:val="0094365D"/>
    <w:rsid w:val="009437D0"/>
    <w:rsid w:val="00943A8A"/>
    <w:rsid w:val="00943F1B"/>
    <w:rsid w:val="00943F4A"/>
    <w:rsid w:val="00944095"/>
    <w:rsid w:val="0094418A"/>
    <w:rsid w:val="009443EA"/>
    <w:rsid w:val="00944A4E"/>
    <w:rsid w:val="00944CD1"/>
    <w:rsid w:val="009452FB"/>
    <w:rsid w:val="0094554A"/>
    <w:rsid w:val="009459DA"/>
    <w:rsid w:val="00945C25"/>
    <w:rsid w:val="00945F4B"/>
    <w:rsid w:val="0094630F"/>
    <w:rsid w:val="009465CC"/>
    <w:rsid w:val="00946837"/>
    <w:rsid w:val="00946CD8"/>
    <w:rsid w:val="00946EBB"/>
    <w:rsid w:val="00947554"/>
    <w:rsid w:val="00947718"/>
    <w:rsid w:val="009477B0"/>
    <w:rsid w:val="0094783C"/>
    <w:rsid w:val="00947877"/>
    <w:rsid w:val="00947958"/>
    <w:rsid w:val="00947BD6"/>
    <w:rsid w:val="00947C74"/>
    <w:rsid w:val="00947D14"/>
    <w:rsid w:val="00950307"/>
    <w:rsid w:val="00950364"/>
    <w:rsid w:val="00950843"/>
    <w:rsid w:val="00950CA9"/>
    <w:rsid w:val="00950EDC"/>
    <w:rsid w:val="0095108F"/>
    <w:rsid w:val="009510F0"/>
    <w:rsid w:val="0095145E"/>
    <w:rsid w:val="00951480"/>
    <w:rsid w:val="00951978"/>
    <w:rsid w:val="00951B79"/>
    <w:rsid w:val="00951CAA"/>
    <w:rsid w:val="00951DDD"/>
    <w:rsid w:val="00951F4E"/>
    <w:rsid w:val="00952257"/>
    <w:rsid w:val="00952597"/>
    <w:rsid w:val="00952735"/>
    <w:rsid w:val="009527C9"/>
    <w:rsid w:val="00952AF0"/>
    <w:rsid w:val="00952DC1"/>
    <w:rsid w:val="00953065"/>
    <w:rsid w:val="00953124"/>
    <w:rsid w:val="00953218"/>
    <w:rsid w:val="00953237"/>
    <w:rsid w:val="00953257"/>
    <w:rsid w:val="0095345E"/>
    <w:rsid w:val="009534DB"/>
    <w:rsid w:val="00953655"/>
    <w:rsid w:val="00953703"/>
    <w:rsid w:val="00953784"/>
    <w:rsid w:val="009538D0"/>
    <w:rsid w:val="00953931"/>
    <w:rsid w:val="00953EE3"/>
    <w:rsid w:val="00953F07"/>
    <w:rsid w:val="0095442A"/>
    <w:rsid w:val="009548FB"/>
    <w:rsid w:val="009549EC"/>
    <w:rsid w:val="009549FA"/>
    <w:rsid w:val="00954ACE"/>
    <w:rsid w:val="00954C11"/>
    <w:rsid w:val="00954E2E"/>
    <w:rsid w:val="00954E78"/>
    <w:rsid w:val="009553F8"/>
    <w:rsid w:val="00955485"/>
    <w:rsid w:val="009558A2"/>
    <w:rsid w:val="00955AC1"/>
    <w:rsid w:val="00955AC2"/>
    <w:rsid w:val="00955BD7"/>
    <w:rsid w:val="009560E1"/>
    <w:rsid w:val="009561BB"/>
    <w:rsid w:val="0095635D"/>
    <w:rsid w:val="009565CA"/>
    <w:rsid w:val="00956811"/>
    <w:rsid w:val="00956BD3"/>
    <w:rsid w:val="00956F66"/>
    <w:rsid w:val="009572F5"/>
    <w:rsid w:val="00957469"/>
    <w:rsid w:val="009577FF"/>
    <w:rsid w:val="009578AC"/>
    <w:rsid w:val="00957B54"/>
    <w:rsid w:val="00960461"/>
    <w:rsid w:val="009605BA"/>
    <w:rsid w:val="009605D7"/>
    <w:rsid w:val="00960810"/>
    <w:rsid w:val="009609EC"/>
    <w:rsid w:val="00960B06"/>
    <w:rsid w:val="00960D7F"/>
    <w:rsid w:val="00960E0A"/>
    <w:rsid w:val="0096129D"/>
    <w:rsid w:val="00961484"/>
    <w:rsid w:val="00961658"/>
    <w:rsid w:val="009616CB"/>
    <w:rsid w:val="009618BF"/>
    <w:rsid w:val="009618CF"/>
    <w:rsid w:val="00962588"/>
    <w:rsid w:val="00962731"/>
    <w:rsid w:val="009629D1"/>
    <w:rsid w:val="00962A54"/>
    <w:rsid w:val="00962C2A"/>
    <w:rsid w:val="00962E3C"/>
    <w:rsid w:val="0096313C"/>
    <w:rsid w:val="00963852"/>
    <w:rsid w:val="00963A3E"/>
    <w:rsid w:val="00963C52"/>
    <w:rsid w:val="0096442C"/>
    <w:rsid w:val="0096445C"/>
    <w:rsid w:val="00964AE8"/>
    <w:rsid w:val="00964CAA"/>
    <w:rsid w:val="0096549D"/>
    <w:rsid w:val="0096576E"/>
    <w:rsid w:val="00965823"/>
    <w:rsid w:val="00965CB9"/>
    <w:rsid w:val="009668CC"/>
    <w:rsid w:val="0096692E"/>
    <w:rsid w:val="00966DAE"/>
    <w:rsid w:val="0096739C"/>
    <w:rsid w:val="0096742D"/>
    <w:rsid w:val="009674F6"/>
    <w:rsid w:val="00967600"/>
    <w:rsid w:val="0096792B"/>
    <w:rsid w:val="00967EB2"/>
    <w:rsid w:val="0097005B"/>
    <w:rsid w:val="00970121"/>
    <w:rsid w:val="009708FB"/>
    <w:rsid w:val="00970B99"/>
    <w:rsid w:val="00970D3D"/>
    <w:rsid w:val="00970D51"/>
    <w:rsid w:val="00970E29"/>
    <w:rsid w:val="0097191E"/>
    <w:rsid w:val="00971A0E"/>
    <w:rsid w:val="00971D31"/>
    <w:rsid w:val="00971DBE"/>
    <w:rsid w:val="00972114"/>
    <w:rsid w:val="00972119"/>
    <w:rsid w:val="00972156"/>
    <w:rsid w:val="0097256D"/>
    <w:rsid w:val="009725A3"/>
    <w:rsid w:val="009729F6"/>
    <w:rsid w:val="00972DA4"/>
    <w:rsid w:val="00972E7A"/>
    <w:rsid w:val="009733B5"/>
    <w:rsid w:val="009734EE"/>
    <w:rsid w:val="009734FF"/>
    <w:rsid w:val="00973573"/>
    <w:rsid w:val="00973575"/>
    <w:rsid w:val="00973B79"/>
    <w:rsid w:val="00973CF1"/>
    <w:rsid w:val="00973FBD"/>
    <w:rsid w:val="009741A5"/>
    <w:rsid w:val="00974352"/>
    <w:rsid w:val="00974760"/>
    <w:rsid w:val="009748B9"/>
    <w:rsid w:val="00974BBB"/>
    <w:rsid w:val="00974D59"/>
    <w:rsid w:val="00975417"/>
    <w:rsid w:val="00975431"/>
    <w:rsid w:val="0097546F"/>
    <w:rsid w:val="009755DB"/>
    <w:rsid w:val="009755F9"/>
    <w:rsid w:val="00975677"/>
    <w:rsid w:val="009756CF"/>
    <w:rsid w:val="0097586E"/>
    <w:rsid w:val="00975A4D"/>
    <w:rsid w:val="00975DB2"/>
    <w:rsid w:val="00976319"/>
    <w:rsid w:val="0097673F"/>
    <w:rsid w:val="009768DC"/>
    <w:rsid w:val="00976C6A"/>
    <w:rsid w:val="00976EA8"/>
    <w:rsid w:val="00976ECC"/>
    <w:rsid w:val="00977129"/>
    <w:rsid w:val="0097718B"/>
    <w:rsid w:val="00977330"/>
    <w:rsid w:val="0097783D"/>
    <w:rsid w:val="00977DCC"/>
    <w:rsid w:val="00977E7D"/>
    <w:rsid w:val="0098002E"/>
    <w:rsid w:val="009802C2"/>
    <w:rsid w:val="00980351"/>
    <w:rsid w:val="0098084F"/>
    <w:rsid w:val="00980CB5"/>
    <w:rsid w:val="009811A1"/>
    <w:rsid w:val="0098147F"/>
    <w:rsid w:val="00981571"/>
    <w:rsid w:val="00981ABB"/>
    <w:rsid w:val="009820E6"/>
    <w:rsid w:val="00982B80"/>
    <w:rsid w:val="00982F30"/>
    <w:rsid w:val="009834BA"/>
    <w:rsid w:val="00983988"/>
    <w:rsid w:val="00983E29"/>
    <w:rsid w:val="00983F6F"/>
    <w:rsid w:val="0098400B"/>
    <w:rsid w:val="0098477F"/>
    <w:rsid w:val="009847DE"/>
    <w:rsid w:val="00984A40"/>
    <w:rsid w:val="00984C78"/>
    <w:rsid w:val="00984CED"/>
    <w:rsid w:val="00984FF0"/>
    <w:rsid w:val="0098508B"/>
    <w:rsid w:val="0098509D"/>
    <w:rsid w:val="00985208"/>
    <w:rsid w:val="009858D0"/>
    <w:rsid w:val="00985B3D"/>
    <w:rsid w:val="00985BDD"/>
    <w:rsid w:val="00985C13"/>
    <w:rsid w:val="0098681D"/>
    <w:rsid w:val="00986952"/>
    <w:rsid w:val="009870E9"/>
    <w:rsid w:val="0098761F"/>
    <w:rsid w:val="009876A0"/>
    <w:rsid w:val="0098792B"/>
    <w:rsid w:val="00987EEF"/>
    <w:rsid w:val="00990023"/>
    <w:rsid w:val="009905B8"/>
    <w:rsid w:val="0099063E"/>
    <w:rsid w:val="00990A2A"/>
    <w:rsid w:val="00990A37"/>
    <w:rsid w:val="00990E97"/>
    <w:rsid w:val="00990F59"/>
    <w:rsid w:val="009911B1"/>
    <w:rsid w:val="00991275"/>
    <w:rsid w:val="009913D9"/>
    <w:rsid w:val="0099167A"/>
    <w:rsid w:val="00991970"/>
    <w:rsid w:val="00991CDA"/>
    <w:rsid w:val="00991ECA"/>
    <w:rsid w:val="00992246"/>
    <w:rsid w:val="0099225C"/>
    <w:rsid w:val="00992916"/>
    <w:rsid w:val="00992F52"/>
    <w:rsid w:val="00993307"/>
    <w:rsid w:val="00993BD7"/>
    <w:rsid w:val="00993CA9"/>
    <w:rsid w:val="00993DD3"/>
    <w:rsid w:val="00994883"/>
    <w:rsid w:val="009948D5"/>
    <w:rsid w:val="009948DC"/>
    <w:rsid w:val="00994BA9"/>
    <w:rsid w:val="00994DA2"/>
    <w:rsid w:val="009953A0"/>
    <w:rsid w:val="00995570"/>
    <w:rsid w:val="0099567E"/>
    <w:rsid w:val="00995A68"/>
    <w:rsid w:val="00995AD4"/>
    <w:rsid w:val="0099648F"/>
    <w:rsid w:val="0099664A"/>
    <w:rsid w:val="009966EB"/>
    <w:rsid w:val="0099671B"/>
    <w:rsid w:val="00996A04"/>
    <w:rsid w:val="00996B83"/>
    <w:rsid w:val="00996B93"/>
    <w:rsid w:val="00996BAD"/>
    <w:rsid w:val="00996D10"/>
    <w:rsid w:val="00996F9F"/>
    <w:rsid w:val="0099760E"/>
    <w:rsid w:val="00997A4F"/>
    <w:rsid w:val="009A00EA"/>
    <w:rsid w:val="009A0304"/>
    <w:rsid w:val="009A03E5"/>
    <w:rsid w:val="009A0472"/>
    <w:rsid w:val="009A07BD"/>
    <w:rsid w:val="009A0960"/>
    <w:rsid w:val="009A0E75"/>
    <w:rsid w:val="009A0F7E"/>
    <w:rsid w:val="009A12EF"/>
    <w:rsid w:val="009A177A"/>
    <w:rsid w:val="009A19AE"/>
    <w:rsid w:val="009A1B4D"/>
    <w:rsid w:val="009A1BD1"/>
    <w:rsid w:val="009A1CB1"/>
    <w:rsid w:val="009A1DAD"/>
    <w:rsid w:val="009A1E64"/>
    <w:rsid w:val="009A23A2"/>
    <w:rsid w:val="009A266E"/>
    <w:rsid w:val="009A2B16"/>
    <w:rsid w:val="009A2BDC"/>
    <w:rsid w:val="009A2CCF"/>
    <w:rsid w:val="009A2DF4"/>
    <w:rsid w:val="009A3151"/>
    <w:rsid w:val="009A33C5"/>
    <w:rsid w:val="009A367B"/>
    <w:rsid w:val="009A3C3A"/>
    <w:rsid w:val="009A3DD8"/>
    <w:rsid w:val="009A40A8"/>
    <w:rsid w:val="009A41EB"/>
    <w:rsid w:val="009A45B1"/>
    <w:rsid w:val="009A4A0F"/>
    <w:rsid w:val="009A4A4B"/>
    <w:rsid w:val="009A4B11"/>
    <w:rsid w:val="009A4D72"/>
    <w:rsid w:val="009A5090"/>
    <w:rsid w:val="009A50C4"/>
    <w:rsid w:val="009A5827"/>
    <w:rsid w:val="009A5CB3"/>
    <w:rsid w:val="009A5E2B"/>
    <w:rsid w:val="009A6079"/>
    <w:rsid w:val="009A60FA"/>
    <w:rsid w:val="009A619F"/>
    <w:rsid w:val="009A6769"/>
    <w:rsid w:val="009A67F0"/>
    <w:rsid w:val="009A6C48"/>
    <w:rsid w:val="009A6D47"/>
    <w:rsid w:val="009A6DD2"/>
    <w:rsid w:val="009A70CE"/>
    <w:rsid w:val="009A73A2"/>
    <w:rsid w:val="009A761F"/>
    <w:rsid w:val="009A7721"/>
    <w:rsid w:val="009A77A5"/>
    <w:rsid w:val="009A7917"/>
    <w:rsid w:val="009A7A55"/>
    <w:rsid w:val="009A7D5D"/>
    <w:rsid w:val="009B0129"/>
    <w:rsid w:val="009B0797"/>
    <w:rsid w:val="009B0BE4"/>
    <w:rsid w:val="009B0CE4"/>
    <w:rsid w:val="009B0DC7"/>
    <w:rsid w:val="009B0E2D"/>
    <w:rsid w:val="009B0F28"/>
    <w:rsid w:val="009B10D2"/>
    <w:rsid w:val="009B11EB"/>
    <w:rsid w:val="009B1664"/>
    <w:rsid w:val="009B181B"/>
    <w:rsid w:val="009B1BC1"/>
    <w:rsid w:val="009B1EBF"/>
    <w:rsid w:val="009B1F85"/>
    <w:rsid w:val="009B25C8"/>
    <w:rsid w:val="009B2EC0"/>
    <w:rsid w:val="009B3123"/>
    <w:rsid w:val="009B321E"/>
    <w:rsid w:val="009B347F"/>
    <w:rsid w:val="009B35EA"/>
    <w:rsid w:val="009B3AD3"/>
    <w:rsid w:val="009B3F54"/>
    <w:rsid w:val="009B3FE8"/>
    <w:rsid w:val="009B4554"/>
    <w:rsid w:val="009B4A32"/>
    <w:rsid w:val="009B4CA7"/>
    <w:rsid w:val="009B4EDF"/>
    <w:rsid w:val="009B50EA"/>
    <w:rsid w:val="009B548C"/>
    <w:rsid w:val="009B5AB2"/>
    <w:rsid w:val="009B5C27"/>
    <w:rsid w:val="009B6016"/>
    <w:rsid w:val="009B66CE"/>
    <w:rsid w:val="009B6785"/>
    <w:rsid w:val="009B6DBC"/>
    <w:rsid w:val="009B71D9"/>
    <w:rsid w:val="009B7209"/>
    <w:rsid w:val="009B770E"/>
    <w:rsid w:val="009B7CB0"/>
    <w:rsid w:val="009C01F0"/>
    <w:rsid w:val="009C0310"/>
    <w:rsid w:val="009C0390"/>
    <w:rsid w:val="009C058C"/>
    <w:rsid w:val="009C0AAF"/>
    <w:rsid w:val="009C0AED"/>
    <w:rsid w:val="009C0B24"/>
    <w:rsid w:val="009C0B51"/>
    <w:rsid w:val="009C0BD2"/>
    <w:rsid w:val="009C0C6F"/>
    <w:rsid w:val="009C0E09"/>
    <w:rsid w:val="009C0E31"/>
    <w:rsid w:val="009C0EFB"/>
    <w:rsid w:val="009C0F75"/>
    <w:rsid w:val="009C0FCB"/>
    <w:rsid w:val="009C15E2"/>
    <w:rsid w:val="009C16FB"/>
    <w:rsid w:val="009C1878"/>
    <w:rsid w:val="009C1967"/>
    <w:rsid w:val="009C1A7A"/>
    <w:rsid w:val="009C2496"/>
    <w:rsid w:val="009C259D"/>
    <w:rsid w:val="009C2A24"/>
    <w:rsid w:val="009C2EC4"/>
    <w:rsid w:val="009C2ECF"/>
    <w:rsid w:val="009C33BE"/>
    <w:rsid w:val="009C36F3"/>
    <w:rsid w:val="009C381B"/>
    <w:rsid w:val="009C3971"/>
    <w:rsid w:val="009C3E02"/>
    <w:rsid w:val="009C403B"/>
    <w:rsid w:val="009C4069"/>
    <w:rsid w:val="009C4480"/>
    <w:rsid w:val="009C4569"/>
    <w:rsid w:val="009C4ABB"/>
    <w:rsid w:val="009C4CA4"/>
    <w:rsid w:val="009C4D4B"/>
    <w:rsid w:val="009C4E93"/>
    <w:rsid w:val="009C4F6D"/>
    <w:rsid w:val="009C5319"/>
    <w:rsid w:val="009C5435"/>
    <w:rsid w:val="009C5B2A"/>
    <w:rsid w:val="009C5C92"/>
    <w:rsid w:val="009C6946"/>
    <w:rsid w:val="009C70A5"/>
    <w:rsid w:val="009C72A2"/>
    <w:rsid w:val="009C762D"/>
    <w:rsid w:val="009D0212"/>
    <w:rsid w:val="009D04A1"/>
    <w:rsid w:val="009D0942"/>
    <w:rsid w:val="009D0CDC"/>
    <w:rsid w:val="009D0E05"/>
    <w:rsid w:val="009D0E1A"/>
    <w:rsid w:val="009D1844"/>
    <w:rsid w:val="009D2083"/>
    <w:rsid w:val="009D2101"/>
    <w:rsid w:val="009D254E"/>
    <w:rsid w:val="009D2B14"/>
    <w:rsid w:val="009D3025"/>
    <w:rsid w:val="009D3650"/>
    <w:rsid w:val="009D399D"/>
    <w:rsid w:val="009D3C93"/>
    <w:rsid w:val="009D3F1E"/>
    <w:rsid w:val="009D3F5E"/>
    <w:rsid w:val="009D4201"/>
    <w:rsid w:val="009D420A"/>
    <w:rsid w:val="009D4374"/>
    <w:rsid w:val="009D4475"/>
    <w:rsid w:val="009D4E29"/>
    <w:rsid w:val="009D5008"/>
    <w:rsid w:val="009D500E"/>
    <w:rsid w:val="009D51D5"/>
    <w:rsid w:val="009D521D"/>
    <w:rsid w:val="009D5385"/>
    <w:rsid w:val="009D576B"/>
    <w:rsid w:val="009D5B64"/>
    <w:rsid w:val="009D5F80"/>
    <w:rsid w:val="009D6217"/>
    <w:rsid w:val="009D66B5"/>
    <w:rsid w:val="009D675C"/>
    <w:rsid w:val="009D6867"/>
    <w:rsid w:val="009D6A02"/>
    <w:rsid w:val="009D6A0C"/>
    <w:rsid w:val="009D6C99"/>
    <w:rsid w:val="009D7032"/>
    <w:rsid w:val="009D71C5"/>
    <w:rsid w:val="009D7239"/>
    <w:rsid w:val="009D78DE"/>
    <w:rsid w:val="009D7C0B"/>
    <w:rsid w:val="009D7E45"/>
    <w:rsid w:val="009E009B"/>
    <w:rsid w:val="009E048E"/>
    <w:rsid w:val="009E05A0"/>
    <w:rsid w:val="009E0882"/>
    <w:rsid w:val="009E0B0C"/>
    <w:rsid w:val="009E0B3E"/>
    <w:rsid w:val="009E0C4A"/>
    <w:rsid w:val="009E0C52"/>
    <w:rsid w:val="009E0E68"/>
    <w:rsid w:val="009E11B7"/>
    <w:rsid w:val="009E173C"/>
    <w:rsid w:val="009E1936"/>
    <w:rsid w:val="009E1A4E"/>
    <w:rsid w:val="009E1BF9"/>
    <w:rsid w:val="009E2333"/>
    <w:rsid w:val="009E267A"/>
    <w:rsid w:val="009E2B63"/>
    <w:rsid w:val="009E2CE1"/>
    <w:rsid w:val="009E2EEC"/>
    <w:rsid w:val="009E2F78"/>
    <w:rsid w:val="009E36F3"/>
    <w:rsid w:val="009E37A5"/>
    <w:rsid w:val="009E37EB"/>
    <w:rsid w:val="009E385E"/>
    <w:rsid w:val="009E42E9"/>
    <w:rsid w:val="009E4402"/>
    <w:rsid w:val="009E469A"/>
    <w:rsid w:val="009E4A6C"/>
    <w:rsid w:val="009E4F14"/>
    <w:rsid w:val="009E6007"/>
    <w:rsid w:val="009E6244"/>
    <w:rsid w:val="009E656A"/>
    <w:rsid w:val="009E671E"/>
    <w:rsid w:val="009E69B0"/>
    <w:rsid w:val="009E6C16"/>
    <w:rsid w:val="009E6E6D"/>
    <w:rsid w:val="009E6E81"/>
    <w:rsid w:val="009E71E3"/>
    <w:rsid w:val="009E7294"/>
    <w:rsid w:val="009E72C4"/>
    <w:rsid w:val="009E73E8"/>
    <w:rsid w:val="009E7472"/>
    <w:rsid w:val="009E75F0"/>
    <w:rsid w:val="009E7819"/>
    <w:rsid w:val="009E7BC9"/>
    <w:rsid w:val="009E7C3D"/>
    <w:rsid w:val="009E7DB0"/>
    <w:rsid w:val="009F00F0"/>
    <w:rsid w:val="009F0429"/>
    <w:rsid w:val="009F043C"/>
    <w:rsid w:val="009F0699"/>
    <w:rsid w:val="009F0B79"/>
    <w:rsid w:val="009F0F88"/>
    <w:rsid w:val="009F1362"/>
    <w:rsid w:val="009F1E99"/>
    <w:rsid w:val="009F1FD1"/>
    <w:rsid w:val="009F20B7"/>
    <w:rsid w:val="009F23FC"/>
    <w:rsid w:val="009F2522"/>
    <w:rsid w:val="009F262D"/>
    <w:rsid w:val="009F262E"/>
    <w:rsid w:val="009F27A0"/>
    <w:rsid w:val="009F2989"/>
    <w:rsid w:val="009F2D91"/>
    <w:rsid w:val="009F2DCC"/>
    <w:rsid w:val="009F341B"/>
    <w:rsid w:val="009F35AB"/>
    <w:rsid w:val="009F3797"/>
    <w:rsid w:val="009F3C2B"/>
    <w:rsid w:val="009F3DBF"/>
    <w:rsid w:val="009F4211"/>
    <w:rsid w:val="009F52C7"/>
    <w:rsid w:val="009F568A"/>
    <w:rsid w:val="009F56C4"/>
    <w:rsid w:val="009F5AB3"/>
    <w:rsid w:val="009F6100"/>
    <w:rsid w:val="009F6155"/>
    <w:rsid w:val="009F684D"/>
    <w:rsid w:val="009F69FE"/>
    <w:rsid w:val="009F6BF0"/>
    <w:rsid w:val="009F6C33"/>
    <w:rsid w:val="009F6F00"/>
    <w:rsid w:val="009F7001"/>
    <w:rsid w:val="009F71A3"/>
    <w:rsid w:val="009F71BB"/>
    <w:rsid w:val="009F73E6"/>
    <w:rsid w:val="009F7796"/>
    <w:rsid w:val="009F78A4"/>
    <w:rsid w:val="009F7F48"/>
    <w:rsid w:val="00A003DE"/>
    <w:rsid w:val="00A006A8"/>
    <w:rsid w:val="00A0073F"/>
    <w:rsid w:val="00A00B15"/>
    <w:rsid w:val="00A01120"/>
    <w:rsid w:val="00A0112A"/>
    <w:rsid w:val="00A01703"/>
    <w:rsid w:val="00A0179F"/>
    <w:rsid w:val="00A02CCB"/>
    <w:rsid w:val="00A02F3C"/>
    <w:rsid w:val="00A03033"/>
    <w:rsid w:val="00A0311C"/>
    <w:rsid w:val="00A03372"/>
    <w:rsid w:val="00A03711"/>
    <w:rsid w:val="00A03767"/>
    <w:rsid w:val="00A04035"/>
    <w:rsid w:val="00A0441C"/>
    <w:rsid w:val="00A04529"/>
    <w:rsid w:val="00A04ABF"/>
    <w:rsid w:val="00A05298"/>
    <w:rsid w:val="00A052C5"/>
    <w:rsid w:val="00A06441"/>
    <w:rsid w:val="00A06547"/>
    <w:rsid w:val="00A065C2"/>
    <w:rsid w:val="00A06633"/>
    <w:rsid w:val="00A066C1"/>
    <w:rsid w:val="00A067F0"/>
    <w:rsid w:val="00A06B58"/>
    <w:rsid w:val="00A06DA4"/>
    <w:rsid w:val="00A072E8"/>
    <w:rsid w:val="00A07413"/>
    <w:rsid w:val="00A07C32"/>
    <w:rsid w:val="00A100B7"/>
    <w:rsid w:val="00A102B5"/>
    <w:rsid w:val="00A103C5"/>
    <w:rsid w:val="00A103CE"/>
    <w:rsid w:val="00A1041E"/>
    <w:rsid w:val="00A10456"/>
    <w:rsid w:val="00A10495"/>
    <w:rsid w:val="00A10B22"/>
    <w:rsid w:val="00A10DAB"/>
    <w:rsid w:val="00A10FCA"/>
    <w:rsid w:val="00A1128C"/>
    <w:rsid w:val="00A1179E"/>
    <w:rsid w:val="00A11868"/>
    <w:rsid w:val="00A11AE5"/>
    <w:rsid w:val="00A11C4C"/>
    <w:rsid w:val="00A11C69"/>
    <w:rsid w:val="00A11CC3"/>
    <w:rsid w:val="00A120DD"/>
    <w:rsid w:val="00A12104"/>
    <w:rsid w:val="00A121E6"/>
    <w:rsid w:val="00A123A8"/>
    <w:rsid w:val="00A1241A"/>
    <w:rsid w:val="00A124E7"/>
    <w:rsid w:val="00A12B1C"/>
    <w:rsid w:val="00A12C98"/>
    <w:rsid w:val="00A12CC9"/>
    <w:rsid w:val="00A12E0D"/>
    <w:rsid w:val="00A12EEE"/>
    <w:rsid w:val="00A1324C"/>
    <w:rsid w:val="00A138F3"/>
    <w:rsid w:val="00A13A60"/>
    <w:rsid w:val="00A13E5C"/>
    <w:rsid w:val="00A13F1B"/>
    <w:rsid w:val="00A14039"/>
    <w:rsid w:val="00A14376"/>
    <w:rsid w:val="00A14402"/>
    <w:rsid w:val="00A1480C"/>
    <w:rsid w:val="00A14C70"/>
    <w:rsid w:val="00A1596A"/>
    <w:rsid w:val="00A159C8"/>
    <w:rsid w:val="00A15A24"/>
    <w:rsid w:val="00A15AA3"/>
    <w:rsid w:val="00A15B7D"/>
    <w:rsid w:val="00A15C1A"/>
    <w:rsid w:val="00A15C6A"/>
    <w:rsid w:val="00A15EFF"/>
    <w:rsid w:val="00A164C5"/>
    <w:rsid w:val="00A1680B"/>
    <w:rsid w:val="00A169EA"/>
    <w:rsid w:val="00A16A3A"/>
    <w:rsid w:val="00A16C1C"/>
    <w:rsid w:val="00A16DE1"/>
    <w:rsid w:val="00A16FD7"/>
    <w:rsid w:val="00A178F0"/>
    <w:rsid w:val="00A17958"/>
    <w:rsid w:val="00A17E86"/>
    <w:rsid w:val="00A17F3D"/>
    <w:rsid w:val="00A17FD3"/>
    <w:rsid w:val="00A20544"/>
    <w:rsid w:val="00A206E8"/>
    <w:rsid w:val="00A20991"/>
    <w:rsid w:val="00A20D0C"/>
    <w:rsid w:val="00A2149A"/>
    <w:rsid w:val="00A2161D"/>
    <w:rsid w:val="00A21649"/>
    <w:rsid w:val="00A216DE"/>
    <w:rsid w:val="00A21737"/>
    <w:rsid w:val="00A21E07"/>
    <w:rsid w:val="00A21E49"/>
    <w:rsid w:val="00A21E9B"/>
    <w:rsid w:val="00A221CE"/>
    <w:rsid w:val="00A22716"/>
    <w:rsid w:val="00A22736"/>
    <w:rsid w:val="00A22974"/>
    <w:rsid w:val="00A22A7E"/>
    <w:rsid w:val="00A22B12"/>
    <w:rsid w:val="00A22CD9"/>
    <w:rsid w:val="00A22DD6"/>
    <w:rsid w:val="00A22EA9"/>
    <w:rsid w:val="00A231BF"/>
    <w:rsid w:val="00A231E1"/>
    <w:rsid w:val="00A2346B"/>
    <w:rsid w:val="00A234DF"/>
    <w:rsid w:val="00A23BE9"/>
    <w:rsid w:val="00A23E7B"/>
    <w:rsid w:val="00A2419B"/>
    <w:rsid w:val="00A241B6"/>
    <w:rsid w:val="00A24466"/>
    <w:rsid w:val="00A244CE"/>
    <w:rsid w:val="00A24502"/>
    <w:rsid w:val="00A24AD5"/>
    <w:rsid w:val="00A24E18"/>
    <w:rsid w:val="00A25087"/>
    <w:rsid w:val="00A25121"/>
    <w:rsid w:val="00A251D7"/>
    <w:rsid w:val="00A252E0"/>
    <w:rsid w:val="00A255D4"/>
    <w:rsid w:val="00A25B4F"/>
    <w:rsid w:val="00A25B72"/>
    <w:rsid w:val="00A25EBA"/>
    <w:rsid w:val="00A263DA"/>
    <w:rsid w:val="00A26F9C"/>
    <w:rsid w:val="00A27263"/>
    <w:rsid w:val="00A30062"/>
    <w:rsid w:val="00A30078"/>
    <w:rsid w:val="00A30253"/>
    <w:rsid w:val="00A30327"/>
    <w:rsid w:val="00A304DB"/>
    <w:rsid w:val="00A305AC"/>
    <w:rsid w:val="00A30866"/>
    <w:rsid w:val="00A30A2C"/>
    <w:rsid w:val="00A30FC1"/>
    <w:rsid w:val="00A31196"/>
    <w:rsid w:val="00A316BB"/>
    <w:rsid w:val="00A31CF9"/>
    <w:rsid w:val="00A3241C"/>
    <w:rsid w:val="00A32787"/>
    <w:rsid w:val="00A32A1D"/>
    <w:rsid w:val="00A32A64"/>
    <w:rsid w:val="00A32D0C"/>
    <w:rsid w:val="00A32D61"/>
    <w:rsid w:val="00A33017"/>
    <w:rsid w:val="00A330C6"/>
    <w:rsid w:val="00A332AB"/>
    <w:rsid w:val="00A337AF"/>
    <w:rsid w:val="00A33893"/>
    <w:rsid w:val="00A33C98"/>
    <w:rsid w:val="00A345FC"/>
    <w:rsid w:val="00A34789"/>
    <w:rsid w:val="00A348C3"/>
    <w:rsid w:val="00A34D53"/>
    <w:rsid w:val="00A34DC6"/>
    <w:rsid w:val="00A352B6"/>
    <w:rsid w:val="00A35403"/>
    <w:rsid w:val="00A35580"/>
    <w:rsid w:val="00A3606E"/>
    <w:rsid w:val="00A3609F"/>
    <w:rsid w:val="00A364EC"/>
    <w:rsid w:val="00A36B89"/>
    <w:rsid w:val="00A36BF2"/>
    <w:rsid w:val="00A36DCC"/>
    <w:rsid w:val="00A36ECD"/>
    <w:rsid w:val="00A36F0A"/>
    <w:rsid w:val="00A370A5"/>
    <w:rsid w:val="00A37314"/>
    <w:rsid w:val="00A373DA"/>
    <w:rsid w:val="00A379A6"/>
    <w:rsid w:val="00A37A8B"/>
    <w:rsid w:val="00A37FA9"/>
    <w:rsid w:val="00A404C9"/>
    <w:rsid w:val="00A40799"/>
    <w:rsid w:val="00A408E9"/>
    <w:rsid w:val="00A4092C"/>
    <w:rsid w:val="00A4099D"/>
    <w:rsid w:val="00A409C9"/>
    <w:rsid w:val="00A40E7B"/>
    <w:rsid w:val="00A414C9"/>
    <w:rsid w:val="00A41636"/>
    <w:rsid w:val="00A41AC0"/>
    <w:rsid w:val="00A41ACA"/>
    <w:rsid w:val="00A41BA4"/>
    <w:rsid w:val="00A41F47"/>
    <w:rsid w:val="00A4275D"/>
    <w:rsid w:val="00A428E7"/>
    <w:rsid w:val="00A42A78"/>
    <w:rsid w:val="00A42CE6"/>
    <w:rsid w:val="00A4351D"/>
    <w:rsid w:val="00A43591"/>
    <w:rsid w:val="00A436C4"/>
    <w:rsid w:val="00A438EA"/>
    <w:rsid w:val="00A43F26"/>
    <w:rsid w:val="00A4418A"/>
    <w:rsid w:val="00A4418D"/>
    <w:rsid w:val="00A44283"/>
    <w:rsid w:val="00A4481E"/>
    <w:rsid w:val="00A448BC"/>
    <w:rsid w:val="00A44909"/>
    <w:rsid w:val="00A44973"/>
    <w:rsid w:val="00A44996"/>
    <w:rsid w:val="00A44A10"/>
    <w:rsid w:val="00A44D66"/>
    <w:rsid w:val="00A44D79"/>
    <w:rsid w:val="00A44E47"/>
    <w:rsid w:val="00A4537A"/>
    <w:rsid w:val="00A4549F"/>
    <w:rsid w:val="00A45634"/>
    <w:rsid w:val="00A45878"/>
    <w:rsid w:val="00A45920"/>
    <w:rsid w:val="00A45AF5"/>
    <w:rsid w:val="00A45BCC"/>
    <w:rsid w:val="00A45C87"/>
    <w:rsid w:val="00A45D56"/>
    <w:rsid w:val="00A46302"/>
    <w:rsid w:val="00A46D28"/>
    <w:rsid w:val="00A46E70"/>
    <w:rsid w:val="00A46FA5"/>
    <w:rsid w:val="00A47169"/>
    <w:rsid w:val="00A47668"/>
    <w:rsid w:val="00A4769A"/>
    <w:rsid w:val="00A476AB"/>
    <w:rsid w:val="00A47E58"/>
    <w:rsid w:val="00A47E99"/>
    <w:rsid w:val="00A500C3"/>
    <w:rsid w:val="00A50563"/>
    <w:rsid w:val="00A50D98"/>
    <w:rsid w:val="00A50E47"/>
    <w:rsid w:val="00A512F7"/>
    <w:rsid w:val="00A517D5"/>
    <w:rsid w:val="00A51E7A"/>
    <w:rsid w:val="00A5200C"/>
    <w:rsid w:val="00A52555"/>
    <w:rsid w:val="00A528F0"/>
    <w:rsid w:val="00A529AF"/>
    <w:rsid w:val="00A52D26"/>
    <w:rsid w:val="00A52DEF"/>
    <w:rsid w:val="00A52E30"/>
    <w:rsid w:val="00A5305E"/>
    <w:rsid w:val="00A531BE"/>
    <w:rsid w:val="00A533FE"/>
    <w:rsid w:val="00A53430"/>
    <w:rsid w:val="00A53552"/>
    <w:rsid w:val="00A535A4"/>
    <w:rsid w:val="00A53722"/>
    <w:rsid w:val="00A5372E"/>
    <w:rsid w:val="00A53773"/>
    <w:rsid w:val="00A538F1"/>
    <w:rsid w:val="00A53A79"/>
    <w:rsid w:val="00A53CDF"/>
    <w:rsid w:val="00A5403F"/>
    <w:rsid w:val="00A541A6"/>
    <w:rsid w:val="00A5453B"/>
    <w:rsid w:val="00A548DF"/>
    <w:rsid w:val="00A54BF2"/>
    <w:rsid w:val="00A54C97"/>
    <w:rsid w:val="00A54D48"/>
    <w:rsid w:val="00A55170"/>
    <w:rsid w:val="00A558AB"/>
    <w:rsid w:val="00A55CF1"/>
    <w:rsid w:val="00A55EE8"/>
    <w:rsid w:val="00A55FE6"/>
    <w:rsid w:val="00A56623"/>
    <w:rsid w:val="00A5691E"/>
    <w:rsid w:val="00A56EF6"/>
    <w:rsid w:val="00A57833"/>
    <w:rsid w:val="00A57CFA"/>
    <w:rsid w:val="00A60653"/>
    <w:rsid w:val="00A608CA"/>
    <w:rsid w:val="00A6090E"/>
    <w:rsid w:val="00A609E9"/>
    <w:rsid w:val="00A61187"/>
    <w:rsid w:val="00A61355"/>
    <w:rsid w:val="00A616E3"/>
    <w:rsid w:val="00A617EB"/>
    <w:rsid w:val="00A61E2C"/>
    <w:rsid w:val="00A627D0"/>
    <w:rsid w:val="00A629A6"/>
    <w:rsid w:val="00A62A06"/>
    <w:rsid w:val="00A62C56"/>
    <w:rsid w:val="00A634AC"/>
    <w:rsid w:val="00A634BB"/>
    <w:rsid w:val="00A63DF4"/>
    <w:rsid w:val="00A641E6"/>
    <w:rsid w:val="00A641EE"/>
    <w:rsid w:val="00A6448E"/>
    <w:rsid w:val="00A64763"/>
    <w:rsid w:val="00A6484E"/>
    <w:rsid w:val="00A64DCD"/>
    <w:rsid w:val="00A651FF"/>
    <w:rsid w:val="00A656A4"/>
    <w:rsid w:val="00A65A09"/>
    <w:rsid w:val="00A65BA2"/>
    <w:rsid w:val="00A65CE0"/>
    <w:rsid w:val="00A664FC"/>
    <w:rsid w:val="00A66FD0"/>
    <w:rsid w:val="00A67052"/>
    <w:rsid w:val="00A6707E"/>
    <w:rsid w:val="00A671C1"/>
    <w:rsid w:val="00A67391"/>
    <w:rsid w:val="00A67695"/>
    <w:rsid w:val="00A70ACB"/>
    <w:rsid w:val="00A71262"/>
    <w:rsid w:val="00A7155E"/>
    <w:rsid w:val="00A71ADE"/>
    <w:rsid w:val="00A71B2A"/>
    <w:rsid w:val="00A720AC"/>
    <w:rsid w:val="00A72178"/>
    <w:rsid w:val="00A7245D"/>
    <w:rsid w:val="00A7278C"/>
    <w:rsid w:val="00A72D56"/>
    <w:rsid w:val="00A73599"/>
    <w:rsid w:val="00A735A8"/>
    <w:rsid w:val="00A73718"/>
    <w:rsid w:val="00A738D6"/>
    <w:rsid w:val="00A73ABD"/>
    <w:rsid w:val="00A7410A"/>
    <w:rsid w:val="00A744C4"/>
    <w:rsid w:val="00A74827"/>
    <w:rsid w:val="00A74845"/>
    <w:rsid w:val="00A74853"/>
    <w:rsid w:val="00A74C31"/>
    <w:rsid w:val="00A74CF6"/>
    <w:rsid w:val="00A74DF0"/>
    <w:rsid w:val="00A74F1F"/>
    <w:rsid w:val="00A751AA"/>
    <w:rsid w:val="00A7558B"/>
    <w:rsid w:val="00A7561F"/>
    <w:rsid w:val="00A75885"/>
    <w:rsid w:val="00A7593F"/>
    <w:rsid w:val="00A76390"/>
    <w:rsid w:val="00A76928"/>
    <w:rsid w:val="00A76B3A"/>
    <w:rsid w:val="00A76C08"/>
    <w:rsid w:val="00A76DB7"/>
    <w:rsid w:val="00A76E07"/>
    <w:rsid w:val="00A76FFB"/>
    <w:rsid w:val="00A770C0"/>
    <w:rsid w:val="00A77126"/>
    <w:rsid w:val="00A77769"/>
    <w:rsid w:val="00A77921"/>
    <w:rsid w:val="00A800B6"/>
    <w:rsid w:val="00A80218"/>
    <w:rsid w:val="00A802F0"/>
    <w:rsid w:val="00A80555"/>
    <w:rsid w:val="00A80AAB"/>
    <w:rsid w:val="00A80C86"/>
    <w:rsid w:val="00A80C94"/>
    <w:rsid w:val="00A80CB5"/>
    <w:rsid w:val="00A80EB8"/>
    <w:rsid w:val="00A81258"/>
    <w:rsid w:val="00A81517"/>
    <w:rsid w:val="00A8154A"/>
    <w:rsid w:val="00A815E4"/>
    <w:rsid w:val="00A8164A"/>
    <w:rsid w:val="00A8187D"/>
    <w:rsid w:val="00A81901"/>
    <w:rsid w:val="00A819D5"/>
    <w:rsid w:val="00A81AC0"/>
    <w:rsid w:val="00A81B64"/>
    <w:rsid w:val="00A81E7D"/>
    <w:rsid w:val="00A82390"/>
    <w:rsid w:val="00A8246A"/>
    <w:rsid w:val="00A82E92"/>
    <w:rsid w:val="00A82EAF"/>
    <w:rsid w:val="00A83293"/>
    <w:rsid w:val="00A83712"/>
    <w:rsid w:val="00A837D9"/>
    <w:rsid w:val="00A83841"/>
    <w:rsid w:val="00A83862"/>
    <w:rsid w:val="00A83B52"/>
    <w:rsid w:val="00A83B85"/>
    <w:rsid w:val="00A83FEA"/>
    <w:rsid w:val="00A8428F"/>
    <w:rsid w:val="00A842D2"/>
    <w:rsid w:val="00A849A5"/>
    <w:rsid w:val="00A84ADE"/>
    <w:rsid w:val="00A84E21"/>
    <w:rsid w:val="00A84E3B"/>
    <w:rsid w:val="00A84E77"/>
    <w:rsid w:val="00A85173"/>
    <w:rsid w:val="00A8521E"/>
    <w:rsid w:val="00A85339"/>
    <w:rsid w:val="00A85401"/>
    <w:rsid w:val="00A85587"/>
    <w:rsid w:val="00A855F2"/>
    <w:rsid w:val="00A856E1"/>
    <w:rsid w:val="00A863C0"/>
    <w:rsid w:val="00A86888"/>
    <w:rsid w:val="00A86D6F"/>
    <w:rsid w:val="00A86EB1"/>
    <w:rsid w:val="00A87033"/>
    <w:rsid w:val="00A87297"/>
    <w:rsid w:val="00A874C7"/>
    <w:rsid w:val="00A87DD3"/>
    <w:rsid w:val="00A87F2B"/>
    <w:rsid w:val="00A90769"/>
    <w:rsid w:val="00A908A7"/>
    <w:rsid w:val="00A909E7"/>
    <w:rsid w:val="00A90CC1"/>
    <w:rsid w:val="00A90DC1"/>
    <w:rsid w:val="00A90F96"/>
    <w:rsid w:val="00A91069"/>
    <w:rsid w:val="00A916B5"/>
    <w:rsid w:val="00A91725"/>
    <w:rsid w:val="00A91C85"/>
    <w:rsid w:val="00A91D81"/>
    <w:rsid w:val="00A9213A"/>
    <w:rsid w:val="00A92174"/>
    <w:rsid w:val="00A924C4"/>
    <w:rsid w:val="00A92565"/>
    <w:rsid w:val="00A92582"/>
    <w:rsid w:val="00A92592"/>
    <w:rsid w:val="00A92713"/>
    <w:rsid w:val="00A93128"/>
    <w:rsid w:val="00A938B2"/>
    <w:rsid w:val="00A93B74"/>
    <w:rsid w:val="00A949B2"/>
    <w:rsid w:val="00A94B04"/>
    <w:rsid w:val="00A94B61"/>
    <w:rsid w:val="00A94F8D"/>
    <w:rsid w:val="00A9525B"/>
    <w:rsid w:val="00A956AA"/>
    <w:rsid w:val="00A956DD"/>
    <w:rsid w:val="00A95A12"/>
    <w:rsid w:val="00A96139"/>
    <w:rsid w:val="00A969DE"/>
    <w:rsid w:val="00A96C31"/>
    <w:rsid w:val="00A96CAE"/>
    <w:rsid w:val="00A96CB1"/>
    <w:rsid w:val="00A96D5B"/>
    <w:rsid w:val="00A9709A"/>
    <w:rsid w:val="00A975BB"/>
    <w:rsid w:val="00AA001B"/>
    <w:rsid w:val="00AA06A5"/>
    <w:rsid w:val="00AA1657"/>
    <w:rsid w:val="00AA1720"/>
    <w:rsid w:val="00AA1743"/>
    <w:rsid w:val="00AA177C"/>
    <w:rsid w:val="00AA1986"/>
    <w:rsid w:val="00AA19F0"/>
    <w:rsid w:val="00AA1CDA"/>
    <w:rsid w:val="00AA1D25"/>
    <w:rsid w:val="00AA1D9B"/>
    <w:rsid w:val="00AA1E7B"/>
    <w:rsid w:val="00AA26ED"/>
    <w:rsid w:val="00AA2CD6"/>
    <w:rsid w:val="00AA2FDE"/>
    <w:rsid w:val="00AA32B6"/>
    <w:rsid w:val="00AA3314"/>
    <w:rsid w:val="00AA3350"/>
    <w:rsid w:val="00AA3509"/>
    <w:rsid w:val="00AA35CB"/>
    <w:rsid w:val="00AA361D"/>
    <w:rsid w:val="00AA3722"/>
    <w:rsid w:val="00AA385C"/>
    <w:rsid w:val="00AA39CD"/>
    <w:rsid w:val="00AA3AF9"/>
    <w:rsid w:val="00AA3E41"/>
    <w:rsid w:val="00AA404D"/>
    <w:rsid w:val="00AA4200"/>
    <w:rsid w:val="00AA478D"/>
    <w:rsid w:val="00AA4865"/>
    <w:rsid w:val="00AA4E63"/>
    <w:rsid w:val="00AA4FCC"/>
    <w:rsid w:val="00AA5285"/>
    <w:rsid w:val="00AA57B6"/>
    <w:rsid w:val="00AA58FE"/>
    <w:rsid w:val="00AA62B1"/>
    <w:rsid w:val="00AA6326"/>
    <w:rsid w:val="00AA6613"/>
    <w:rsid w:val="00AA668E"/>
    <w:rsid w:val="00AA6895"/>
    <w:rsid w:val="00AA6A4C"/>
    <w:rsid w:val="00AA6AA0"/>
    <w:rsid w:val="00AA6BAB"/>
    <w:rsid w:val="00AA6BBE"/>
    <w:rsid w:val="00AA7072"/>
    <w:rsid w:val="00AA70CA"/>
    <w:rsid w:val="00AA7134"/>
    <w:rsid w:val="00AA739B"/>
    <w:rsid w:val="00AA743E"/>
    <w:rsid w:val="00AA75DD"/>
    <w:rsid w:val="00AA7A48"/>
    <w:rsid w:val="00AA7FE8"/>
    <w:rsid w:val="00AB03D0"/>
    <w:rsid w:val="00AB0A12"/>
    <w:rsid w:val="00AB0C55"/>
    <w:rsid w:val="00AB10A4"/>
    <w:rsid w:val="00AB1377"/>
    <w:rsid w:val="00AB13B2"/>
    <w:rsid w:val="00AB16CA"/>
    <w:rsid w:val="00AB1B72"/>
    <w:rsid w:val="00AB1D20"/>
    <w:rsid w:val="00AB1D71"/>
    <w:rsid w:val="00AB1E2B"/>
    <w:rsid w:val="00AB1EA0"/>
    <w:rsid w:val="00AB21F8"/>
    <w:rsid w:val="00AB266C"/>
    <w:rsid w:val="00AB2BB6"/>
    <w:rsid w:val="00AB2DD8"/>
    <w:rsid w:val="00AB3275"/>
    <w:rsid w:val="00AB3353"/>
    <w:rsid w:val="00AB33E1"/>
    <w:rsid w:val="00AB36DB"/>
    <w:rsid w:val="00AB38F5"/>
    <w:rsid w:val="00AB3B25"/>
    <w:rsid w:val="00AB3ECC"/>
    <w:rsid w:val="00AB401C"/>
    <w:rsid w:val="00AB40EC"/>
    <w:rsid w:val="00AB41BE"/>
    <w:rsid w:val="00AB42FF"/>
    <w:rsid w:val="00AB446B"/>
    <w:rsid w:val="00AB45FD"/>
    <w:rsid w:val="00AB494F"/>
    <w:rsid w:val="00AB4D16"/>
    <w:rsid w:val="00AB4D54"/>
    <w:rsid w:val="00AB4E9E"/>
    <w:rsid w:val="00AB5173"/>
    <w:rsid w:val="00AB56C8"/>
    <w:rsid w:val="00AB5751"/>
    <w:rsid w:val="00AB5BB1"/>
    <w:rsid w:val="00AB5E88"/>
    <w:rsid w:val="00AB5F11"/>
    <w:rsid w:val="00AB6597"/>
    <w:rsid w:val="00AB6CFD"/>
    <w:rsid w:val="00AB6DA3"/>
    <w:rsid w:val="00AB7CA9"/>
    <w:rsid w:val="00AC06C2"/>
    <w:rsid w:val="00AC0759"/>
    <w:rsid w:val="00AC07F4"/>
    <w:rsid w:val="00AC0A0D"/>
    <w:rsid w:val="00AC0ABE"/>
    <w:rsid w:val="00AC0BD6"/>
    <w:rsid w:val="00AC0D15"/>
    <w:rsid w:val="00AC0D5E"/>
    <w:rsid w:val="00AC0DB5"/>
    <w:rsid w:val="00AC0EFC"/>
    <w:rsid w:val="00AC101B"/>
    <w:rsid w:val="00AC11DF"/>
    <w:rsid w:val="00AC145B"/>
    <w:rsid w:val="00AC15CD"/>
    <w:rsid w:val="00AC1974"/>
    <w:rsid w:val="00AC19BE"/>
    <w:rsid w:val="00AC1D7E"/>
    <w:rsid w:val="00AC30FC"/>
    <w:rsid w:val="00AC31F2"/>
    <w:rsid w:val="00AC3317"/>
    <w:rsid w:val="00AC3778"/>
    <w:rsid w:val="00AC3843"/>
    <w:rsid w:val="00AC3946"/>
    <w:rsid w:val="00AC3EA5"/>
    <w:rsid w:val="00AC3F81"/>
    <w:rsid w:val="00AC4061"/>
    <w:rsid w:val="00AC406D"/>
    <w:rsid w:val="00AC421A"/>
    <w:rsid w:val="00AC426A"/>
    <w:rsid w:val="00AC4333"/>
    <w:rsid w:val="00AC453B"/>
    <w:rsid w:val="00AC473D"/>
    <w:rsid w:val="00AC4CC0"/>
    <w:rsid w:val="00AC4DCE"/>
    <w:rsid w:val="00AC4FB6"/>
    <w:rsid w:val="00AC5845"/>
    <w:rsid w:val="00AC5876"/>
    <w:rsid w:val="00AC629C"/>
    <w:rsid w:val="00AC6952"/>
    <w:rsid w:val="00AC6CFD"/>
    <w:rsid w:val="00AC6D19"/>
    <w:rsid w:val="00AC705D"/>
    <w:rsid w:val="00AC7260"/>
    <w:rsid w:val="00AC7263"/>
    <w:rsid w:val="00AC72C1"/>
    <w:rsid w:val="00AC737B"/>
    <w:rsid w:val="00AC7618"/>
    <w:rsid w:val="00AC7900"/>
    <w:rsid w:val="00AC7C07"/>
    <w:rsid w:val="00AC7E21"/>
    <w:rsid w:val="00AC7EA6"/>
    <w:rsid w:val="00AD042E"/>
    <w:rsid w:val="00AD0B13"/>
    <w:rsid w:val="00AD0B89"/>
    <w:rsid w:val="00AD0BC9"/>
    <w:rsid w:val="00AD147F"/>
    <w:rsid w:val="00AD150D"/>
    <w:rsid w:val="00AD1543"/>
    <w:rsid w:val="00AD1A16"/>
    <w:rsid w:val="00AD1E31"/>
    <w:rsid w:val="00AD2141"/>
    <w:rsid w:val="00AD229F"/>
    <w:rsid w:val="00AD244E"/>
    <w:rsid w:val="00AD248E"/>
    <w:rsid w:val="00AD30D9"/>
    <w:rsid w:val="00AD3379"/>
    <w:rsid w:val="00AD3796"/>
    <w:rsid w:val="00AD3C14"/>
    <w:rsid w:val="00AD3F3F"/>
    <w:rsid w:val="00AD3FAD"/>
    <w:rsid w:val="00AD47AD"/>
    <w:rsid w:val="00AD491E"/>
    <w:rsid w:val="00AD4A4F"/>
    <w:rsid w:val="00AD4E83"/>
    <w:rsid w:val="00AD4FC0"/>
    <w:rsid w:val="00AD517D"/>
    <w:rsid w:val="00AD5A3E"/>
    <w:rsid w:val="00AD5AE2"/>
    <w:rsid w:val="00AD5CAE"/>
    <w:rsid w:val="00AD5D41"/>
    <w:rsid w:val="00AD5F84"/>
    <w:rsid w:val="00AD6820"/>
    <w:rsid w:val="00AD69D2"/>
    <w:rsid w:val="00AD6BD5"/>
    <w:rsid w:val="00AD7140"/>
    <w:rsid w:val="00AD7276"/>
    <w:rsid w:val="00AD7313"/>
    <w:rsid w:val="00AD738C"/>
    <w:rsid w:val="00AE0258"/>
    <w:rsid w:val="00AE0303"/>
    <w:rsid w:val="00AE04B1"/>
    <w:rsid w:val="00AE0619"/>
    <w:rsid w:val="00AE0925"/>
    <w:rsid w:val="00AE0953"/>
    <w:rsid w:val="00AE0D91"/>
    <w:rsid w:val="00AE107D"/>
    <w:rsid w:val="00AE1129"/>
    <w:rsid w:val="00AE13C1"/>
    <w:rsid w:val="00AE152D"/>
    <w:rsid w:val="00AE1F13"/>
    <w:rsid w:val="00AE2150"/>
    <w:rsid w:val="00AE2326"/>
    <w:rsid w:val="00AE2A0E"/>
    <w:rsid w:val="00AE2BCE"/>
    <w:rsid w:val="00AE2BD9"/>
    <w:rsid w:val="00AE2C8D"/>
    <w:rsid w:val="00AE30D7"/>
    <w:rsid w:val="00AE32B4"/>
    <w:rsid w:val="00AE33D1"/>
    <w:rsid w:val="00AE3FF5"/>
    <w:rsid w:val="00AE45A3"/>
    <w:rsid w:val="00AE4950"/>
    <w:rsid w:val="00AE4A87"/>
    <w:rsid w:val="00AE4B2A"/>
    <w:rsid w:val="00AE4EA0"/>
    <w:rsid w:val="00AE5526"/>
    <w:rsid w:val="00AE55E2"/>
    <w:rsid w:val="00AE5685"/>
    <w:rsid w:val="00AE5856"/>
    <w:rsid w:val="00AE5A9E"/>
    <w:rsid w:val="00AE5D36"/>
    <w:rsid w:val="00AE5E0E"/>
    <w:rsid w:val="00AE5F56"/>
    <w:rsid w:val="00AE6292"/>
    <w:rsid w:val="00AE6888"/>
    <w:rsid w:val="00AE69B6"/>
    <w:rsid w:val="00AE744B"/>
    <w:rsid w:val="00AE76CD"/>
    <w:rsid w:val="00AE781C"/>
    <w:rsid w:val="00AE7D7D"/>
    <w:rsid w:val="00AE7F7C"/>
    <w:rsid w:val="00AE7F8E"/>
    <w:rsid w:val="00AE7F9B"/>
    <w:rsid w:val="00AF06B1"/>
    <w:rsid w:val="00AF0B16"/>
    <w:rsid w:val="00AF0D18"/>
    <w:rsid w:val="00AF0D49"/>
    <w:rsid w:val="00AF0E6B"/>
    <w:rsid w:val="00AF1039"/>
    <w:rsid w:val="00AF11D8"/>
    <w:rsid w:val="00AF129F"/>
    <w:rsid w:val="00AF1407"/>
    <w:rsid w:val="00AF15B6"/>
    <w:rsid w:val="00AF1913"/>
    <w:rsid w:val="00AF1B1F"/>
    <w:rsid w:val="00AF1C82"/>
    <w:rsid w:val="00AF1EAA"/>
    <w:rsid w:val="00AF223C"/>
    <w:rsid w:val="00AF23F3"/>
    <w:rsid w:val="00AF25E3"/>
    <w:rsid w:val="00AF29D0"/>
    <w:rsid w:val="00AF35A6"/>
    <w:rsid w:val="00AF35B6"/>
    <w:rsid w:val="00AF3647"/>
    <w:rsid w:val="00AF373E"/>
    <w:rsid w:val="00AF3966"/>
    <w:rsid w:val="00AF3D09"/>
    <w:rsid w:val="00AF40C3"/>
    <w:rsid w:val="00AF423D"/>
    <w:rsid w:val="00AF4328"/>
    <w:rsid w:val="00AF46ED"/>
    <w:rsid w:val="00AF49CF"/>
    <w:rsid w:val="00AF4DA4"/>
    <w:rsid w:val="00AF56EC"/>
    <w:rsid w:val="00AF5725"/>
    <w:rsid w:val="00AF5933"/>
    <w:rsid w:val="00AF5934"/>
    <w:rsid w:val="00AF5BAC"/>
    <w:rsid w:val="00AF606D"/>
    <w:rsid w:val="00AF628F"/>
    <w:rsid w:val="00AF6485"/>
    <w:rsid w:val="00AF64A7"/>
    <w:rsid w:val="00AF64AD"/>
    <w:rsid w:val="00AF65B6"/>
    <w:rsid w:val="00AF674D"/>
    <w:rsid w:val="00AF678C"/>
    <w:rsid w:val="00AF69F8"/>
    <w:rsid w:val="00AF7245"/>
    <w:rsid w:val="00AF738B"/>
    <w:rsid w:val="00AF74B4"/>
    <w:rsid w:val="00AF77AD"/>
    <w:rsid w:val="00AF7A14"/>
    <w:rsid w:val="00AF7B08"/>
    <w:rsid w:val="00AF7CB5"/>
    <w:rsid w:val="00AF7DF9"/>
    <w:rsid w:val="00AF7FE3"/>
    <w:rsid w:val="00B00142"/>
    <w:rsid w:val="00B00527"/>
    <w:rsid w:val="00B00613"/>
    <w:rsid w:val="00B00814"/>
    <w:rsid w:val="00B00AB6"/>
    <w:rsid w:val="00B01019"/>
    <w:rsid w:val="00B014BF"/>
    <w:rsid w:val="00B0166D"/>
    <w:rsid w:val="00B0183A"/>
    <w:rsid w:val="00B01884"/>
    <w:rsid w:val="00B019C0"/>
    <w:rsid w:val="00B01C8C"/>
    <w:rsid w:val="00B0234D"/>
    <w:rsid w:val="00B0251A"/>
    <w:rsid w:val="00B02882"/>
    <w:rsid w:val="00B02B24"/>
    <w:rsid w:val="00B02D6A"/>
    <w:rsid w:val="00B02F05"/>
    <w:rsid w:val="00B0301D"/>
    <w:rsid w:val="00B032B9"/>
    <w:rsid w:val="00B0354E"/>
    <w:rsid w:val="00B0358F"/>
    <w:rsid w:val="00B03630"/>
    <w:rsid w:val="00B036E0"/>
    <w:rsid w:val="00B037F4"/>
    <w:rsid w:val="00B038F8"/>
    <w:rsid w:val="00B04056"/>
    <w:rsid w:val="00B0430C"/>
    <w:rsid w:val="00B04310"/>
    <w:rsid w:val="00B04418"/>
    <w:rsid w:val="00B0443D"/>
    <w:rsid w:val="00B04452"/>
    <w:rsid w:val="00B04697"/>
    <w:rsid w:val="00B04978"/>
    <w:rsid w:val="00B04E69"/>
    <w:rsid w:val="00B052D1"/>
    <w:rsid w:val="00B0536E"/>
    <w:rsid w:val="00B055CC"/>
    <w:rsid w:val="00B05834"/>
    <w:rsid w:val="00B05B1F"/>
    <w:rsid w:val="00B05DDA"/>
    <w:rsid w:val="00B0603F"/>
    <w:rsid w:val="00B061B4"/>
    <w:rsid w:val="00B061DC"/>
    <w:rsid w:val="00B062AC"/>
    <w:rsid w:val="00B0664D"/>
    <w:rsid w:val="00B06E59"/>
    <w:rsid w:val="00B07385"/>
    <w:rsid w:val="00B07AAD"/>
    <w:rsid w:val="00B07C13"/>
    <w:rsid w:val="00B07C1B"/>
    <w:rsid w:val="00B07C42"/>
    <w:rsid w:val="00B07EE0"/>
    <w:rsid w:val="00B10577"/>
    <w:rsid w:val="00B10B95"/>
    <w:rsid w:val="00B11196"/>
    <w:rsid w:val="00B111F3"/>
    <w:rsid w:val="00B11222"/>
    <w:rsid w:val="00B1132F"/>
    <w:rsid w:val="00B11507"/>
    <w:rsid w:val="00B11656"/>
    <w:rsid w:val="00B11AA0"/>
    <w:rsid w:val="00B11AE3"/>
    <w:rsid w:val="00B11D12"/>
    <w:rsid w:val="00B1219A"/>
    <w:rsid w:val="00B121F0"/>
    <w:rsid w:val="00B122AE"/>
    <w:rsid w:val="00B1243A"/>
    <w:rsid w:val="00B12476"/>
    <w:rsid w:val="00B12691"/>
    <w:rsid w:val="00B12E0B"/>
    <w:rsid w:val="00B12F27"/>
    <w:rsid w:val="00B132E4"/>
    <w:rsid w:val="00B13639"/>
    <w:rsid w:val="00B13664"/>
    <w:rsid w:val="00B13B2E"/>
    <w:rsid w:val="00B13BCB"/>
    <w:rsid w:val="00B13C2D"/>
    <w:rsid w:val="00B13CD9"/>
    <w:rsid w:val="00B13F1B"/>
    <w:rsid w:val="00B1403D"/>
    <w:rsid w:val="00B14804"/>
    <w:rsid w:val="00B14D6C"/>
    <w:rsid w:val="00B1505A"/>
    <w:rsid w:val="00B15565"/>
    <w:rsid w:val="00B15BCF"/>
    <w:rsid w:val="00B15C9D"/>
    <w:rsid w:val="00B1620B"/>
    <w:rsid w:val="00B16694"/>
    <w:rsid w:val="00B16696"/>
    <w:rsid w:val="00B1673E"/>
    <w:rsid w:val="00B16B97"/>
    <w:rsid w:val="00B16FA8"/>
    <w:rsid w:val="00B171DA"/>
    <w:rsid w:val="00B172D6"/>
    <w:rsid w:val="00B176EE"/>
    <w:rsid w:val="00B178F6"/>
    <w:rsid w:val="00B17910"/>
    <w:rsid w:val="00B17AB2"/>
    <w:rsid w:val="00B17AF2"/>
    <w:rsid w:val="00B17C80"/>
    <w:rsid w:val="00B17F3D"/>
    <w:rsid w:val="00B20316"/>
    <w:rsid w:val="00B20564"/>
    <w:rsid w:val="00B20E5A"/>
    <w:rsid w:val="00B21067"/>
    <w:rsid w:val="00B210A0"/>
    <w:rsid w:val="00B212E1"/>
    <w:rsid w:val="00B215F3"/>
    <w:rsid w:val="00B216EE"/>
    <w:rsid w:val="00B21CEA"/>
    <w:rsid w:val="00B21CFC"/>
    <w:rsid w:val="00B21E27"/>
    <w:rsid w:val="00B220AE"/>
    <w:rsid w:val="00B2225F"/>
    <w:rsid w:val="00B2274D"/>
    <w:rsid w:val="00B228F0"/>
    <w:rsid w:val="00B22DC5"/>
    <w:rsid w:val="00B22EA5"/>
    <w:rsid w:val="00B233F9"/>
    <w:rsid w:val="00B23838"/>
    <w:rsid w:val="00B23FA3"/>
    <w:rsid w:val="00B2409A"/>
    <w:rsid w:val="00B24257"/>
    <w:rsid w:val="00B247FF"/>
    <w:rsid w:val="00B249D3"/>
    <w:rsid w:val="00B24B79"/>
    <w:rsid w:val="00B24D65"/>
    <w:rsid w:val="00B24FE3"/>
    <w:rsid w:val="00B250DF"/>
    <w:rsid w:val="00B25205"/>
    <w:rsid w:val="00B25264"/>
    <w:rsid w:val="00B252E4"/>
    <w:rsid w:val="00B2531D"/>
    <w:rsid w:val="00B25E62"/>
    <w:rsid w:val="00B2632E"/>
    <w:rsid w:val="00B26381"/>
    <w:rsid w:val="00B26410"/>
    <w:rsid w:val="00B2653C"/>
    <w:rsid w:val="00B2660D"/>
    <w:rsid w:val="00B268D4"/>
    <w:rsid w:val="00B2695D"/>
    <w:rsid w:val="00B26CB7"/>
    <w:rsid w:val="00B2740E"/>
    <w:rsid w:val="00B2773A"/>
    <w:rsid w:val="00B27812"/>
    <w:rsid w:val="00B279BA"/>
    <w:rsid w:val="00B27A3B"/>
    <w:rsid w:val="00B27B52"/>
    <w:rsid w:val="00B27F7F"/>
    <w:rsid w:val="00B302D1"/>
    <w:rsid w:val="00B303F0"/>
    <w:rsid w:val="00B304E0"/>
    <w:rsid w:val="00B30AF1"/>
    <w:rsid w:val="00B30B89"/>
    <w:rsid w:val="00B3248C"/>
    <w:rsid w:val="00B32727"/>
    <w:rsid w:val="00B32C24"/>
    <w:rsid w:val="00B32D29"/>
    <w:rsid w:val="00B33101"/>
    <w:rsid w:val="00B331BF"/>
    <w:rsid w:val="00B332A7"/>
    <w:rsid w:val="00B333AB"/>
    <w:rsid w:val="00B33795"/>
    <w:rsid w:val="00B33CEE"/>
    <w:rsid w:val="00B33D3E"/>
    <w:rsid w:val="00B33E56"/>
    <w:rsid w:val="00B33F1D"/>
    <w:rsid w:val="00B33F9F"/>
    <w:rsid w:val="00B34788"/>
    <w:rsid w:val="00B34A50"/>
    <w:rsid w:val="00B34E7E"/>
    <w:rsid w:val="00B34ED9"/>
    <w:rsid w:val="00B351B2"/>
    <w:rsid w:val="00B35366"/>
    <w:rsid w:val="00B35590"/>
    <w:rsid w:val="00B35AED"/>
    <w:rsid w:val="00B35CF3"/>
    <w:rsid w:val="00B35E6C"/>
    <w:rsid w:val="00B36050"/>
    <w:rsid w:val="00B3623D"/>
    <w:rsid w:val="00B3697B"/>
    <w:rsid w:val="00B36A7F"/>
    <w:rsid w:val="00B36AA0"/>
    <w:rsid w:val="00B36B3D"/>
    <w:rsid w:val="00B36B84"/>
    <w:rsid w:val="00B36E61"/>
    <w:rsid w:val="00B36F15"/>
    <w:rsid w:val="00B370EF"/>
    <w:rsid w:val="00B371A8"/>
    <w:rsid w:val="00B37843"/>
    <w:rsid w:val="00B3786B"/>
    <w:rsid w:val="00B37951"/>
    <w:rsid w:val="00B37A2A"/>
    <w:rsid w:val="00B37DD4"/>
    <w:rsid w:val="00B40454"/>
    <w:rsid w:val="00B40726"/>
    <w:rsid w:val="00B40A6A"/>
    <w:rsid w:val="00B40AB5"/>
    <w:rsid w:val="00B40AEB"/>
    <w:rsid w:val="00B40DE8"/>
    <w:rsid w:val="00B4159D"/>
    <w:rsid w:val="00B415CC"/>
    <w:rsid w:val="00B41988"/>
    <w:rsid w:val="00B41CE3"/>
    <w:rsid w:val="00B41F0C"/>
    <w:rsid w:val="00B423E3"/>
    <w:rsid w:val="00B4247F"/>
    <w:rsid w:val="00B429B8"/>
    <w:rsid w:val="00B42DA1"/>
    <w:rsid w:val="00B4316E"/>
    <w:rsid w:val="00B43487"/>
    <w:rsid w:val="00B43861"/>
    <w:rsid w:val="00B43C42"/>
    <w:rsid w:val="00B43CD2"/>
    <w:rsid w:val="00B445D1"/>
    <w:rsid w:val="00B446D5"/>
    <w:rsid w:val="00B4485F"/>
    <w:rsid w:val="00B448C8"/>
    <w:rsid w:val="00B44E6F"/>
    <w:rsid w:val="00B44F8F"/>
    <w:rsid w:val="00B45C22"/>
    <w:rsid w:val="00B45CC9"/>
    <w:rsid w:val="00B4605F"/>
    <w:rsid w:val="00B46518"/>
    <w:rsid w:val="00B46771"/>
    <w:rsid w:val="00B467C2"/>
    <w:rsid w:val="00B467FF"/>
    <w:rsid w:val="00B46996"/>
    <w:rsid w:val="00B472A8"/>
    <w:rsid w:val="00B4732C"/>
    <w:rsid w:val="00B47687"/>
    <w:rsid w:val="00B476AE"/>
    <w:rsid w:val="00B477F9"/>
    <w:rsid w:val="00B479B1"/>
    <w:rsid w:val="00B47CA6"/>
    <w:rsid w:val="00B5031C"/>
    <w:rsid w:val="00B5033C"/>
    <w:rsid w:val="00B5035B"/>
    <w:rsid w:val="00B5050F"/>
    <w:rsid w:val="00B505A8"/>
    <w:rsid w:val="00B505DB"/>
    <w:rsid w:val="00B506EE"/>
    <w:rsid w:val="00B506F2"/>
    <w:rsid w:val="00B5088E"/>
    <w:rsid w:val="00B509E4"/>
    <w:rsid w:val="00B50B3D"/>
    <w:rsid w:val="00B50D22"/>
    <w:rsid w:val="00B50EF4"/>
    <w:rsid w:val="00B512FE"/>
    <w:rsid w:val="00B5147C"/>
    <w:rsid w:val="00B516A4"/>
    <w:rsid w:val="00B51DFA"/>
    <w:rsid w:val="00B51E4A"/>
    <w:rsid w:val="00B5240C"/>
    <w:rsid w:val="00B52807"/>
    <w:rsid w:val="00B529D1"/>
    <w:rsid w:val="00B535A0"/>
    <w:rsid w:val="00B537C8"/>
    <w:rsid w:val="00B5381A"/>
    <w:rsid w:val="00B538E8"/>
    <w:rsid w:val="00B53949"/>
    <w:rsid w:val="00B53AC5"/>
    <w:rsid w:val="00B54127"/>
    <w:rsid w:val="00B541A9"/>
    <w:rsid w:val="00B541DC"/>
    <w:rsid w:val="00B54424"/>
    <w:rsid w:val="00B54530"/>
    <w:rsid w:val="00B54A3F"/>
    <w:rsid w:val="00B54B26"/>
    <w:rsid w:val="00B54C5B"/>
    <w:rsid w:val="00B54DA8"/>
    <w:rsid w:val="00B552AD"/>
    <w:rsid w:val="00B55783"/>
    <w:rsid w:val="00B5591A"/>
    <w:rsid w:val="00B55C45"/>
    <w:rsid w:val="00B55FD0"/>
    <w:rsid w:val="00B55FEB"/>
    <w:rsid w:val="00B5641E"/>
    <w:rsid w:val="00B5658B"/>
    <w:rsid w:val="00B5662E"/>
    <w:rsid w:val="00B56765"/>
    <w:rsid w:val="00B568D3"/>
    <w:rsid w:val="00B56BED"/>
    <w:rsid w:val="00B56C6C"/>
    <w:rsid w:val="00B57255"/>
    <w:rsid w:val="00B57D1D"/>
    <w:rsid w:val="00B60023"/>
    <w:rsid w:val="00B606D9"/>
    <w:rsid w:val="00B607D5"/>
    <w:rsid w:val="00B60910"/>
    <w:rsid w:val="00B60BE0"/>
    <w:rsid w:val="00B60CF4"/>
    <w:rsid w:val="00B614D0"/>
    <w:rsid w:val="00B61690"/>
    <w:rsid w:val="00B618D2"/>
    <w:rsid w:val="00B61ACD"/>
    <w:rsid w:val="00B61DC2"/>
    <w:rsid w:val="00B61F0E"/>
    <w:rsid w:val="00B62629"/>
    <w:rsid w:val="00B628F4"/>
    <w:rsid w:val="00B629A3"/>
    <w:rsid w:val="00B62B8A"/>
    <w:rsid w:val="00B636EA"/>
    <w:rsid w:val="00B639AF"/>
    <w:rsid w:val="00B63F48"/>
    <w:rsid w:val="00B641E6"/>
    <w:rsid w:val="00B644E5"/>
    <w:rsid w:val="00B64585"/>
    <w:rsid w:val="00B64766"/>
    <w:rsid w:val="00B64904"/>
    <w:rsid w:val="00B64E4E"/>
    <w:rsid w:val="00B65054"/>
    <w:rsid w:val="00B652F8"/>
    <w:rsid w:val="00B657FA"/>
    <w:rsid w:val="00B658C6"/>
    <w:rsid w:val="00B65A9F"/>
    <w:rsid w:val="00B660BF"/>
    <w:rsid w:val="00B66444"/>
    <w:rsid w:val="00B66CB8"/>
    <w:rsid w:val="00B67319"/>
    <w:rsid w:val="00B67348"/>
    <w:rsid w:val="00B678B9"/>
    <w:rsid w:val="00B67CE4"/>
    <w:rsid w:val="00B67D46"/>
    <w:rsid w:val="00B700DB"/>
    <w:rsid w:val="00B7047D"/>
    <w:rsid w:val="00B707A7"/>
    <w:rsid w:val="00B70969"/>
    <w:rsid w:val="00B70B89"/>
    <w:rsid w:val="00B70C2D"/>
    <w:rsid w:val="00B7120A"/>
    <w:rsid w:val="00B713C9"/>
    <w:rsid w:val="00B7160A"/>
    <w:rsid w:val="00B716B0"/>
    <w:rsid w:val="00B71714"/>
    <w:rsid w:val="00B7171B"/>
    <w:rsid w:val="00B7201E"/>
    <w:rsid w:val="00B723AA"/>
    <w:rsid w:val="00B72741"/>
    <w:rsid w:val="00B727A4"/>
    <w:rsid w:val="00B727DE"/>
    <w:rsid w:val="00B72A66"/>
    <w:rsid w:val="00B72AA9"/>
    <w:rsid w:val="00B72BB5"/>
    <w:rsid w:val="00B72DCE"/>
    <w:rsid w:val="00B7329D"/>
    <w:rsid w:val="00B7342B"/>
    <w:rsid w:val="00B735EF"/>
    <w:rsid w:val="00B737AA"/>
    <w:rsid w:val="00B73D61"/>
    <w:rsid w:val="00B73F27"/>
    <w:rsid w:val="00B7428C"/>
    <w:rsid w:val="00B750E3"/>
    <w:rsid w:val="00B75519"/>
    <w:rsid w:val="00B7575A"/>
    <w:rsid w:val="00B759C0"/>
    <w:rsid w:val="00B75C7A"/>
    <w:rsid w:val="00B75D46"/>
    <w:rsid w:val="00B75DA3"/>
    <w:rsid w:val="00B7601B"/>
    <w:rsid w:val="00B7613F"/>
    <w:rsid w:val="00B765B8"/>
    <w:rsid w:val="00B76641"/>
    <w:rsid w:val="00B766C1"/>
    <w:rsid w:val="00B767E2"/>
    <w:rsid w:val="00B76BCE"/>
    <w:rsid w:val="00B774EF"/>
    <w:rsid w:val="00B7783F"/>
    <w:rsid w:val="00B77C3E"/>
    <w:rsid w:val="00B77D32"/>
    <w:rsid w:val="00B80206"/>
    <w:rsid w:val="00B80800"/>
    <w:rsid w:val="00B80A0C"/>
    <w:rsid w:val="00B80B22"/>
    <w:rsid w:val="00B80B89"/>
    <w:rsid w:val="00B80F21"/>
    <w:rsid w:val="00B80FFA"/>
    <w:rsid w:val="00B8128D"/>
    <w:rsid w:val="00B812D3"/>
    <w:rsid w:val="00B81423"/>
    <w:rsid w:val="00B81D4B"/>
    <w:rsid w:val="00B81F7E"/>
    <w:rsid w:val="00B822E1"/>
    <w:rsid w:val="00B82320"/>
    <w:rsid w:val="00B823E4"/>
    <w:rsid w:val="00B824EB"/>
    <w:rsid w:val="00B828D0"/>
    <w:rsid w:val="00B82CBF"/>
    <w:rsid w:val="00B830D3"/>
    <w:rsid w:val="00B830DB"/>
    <w:rsid w:val="00B832E0"/>
    <w:rsid w:val="00B83355"/>
    <w:rsid w:val="00B83AD8"/>
    <w:rsid w:val="00B840F3"/>
    <w:rsid w:val="00B842DA"/>
    <w:rsid w:val="00B842EB"/>
    <w:rsid w:val="00B847F5"/>
    <w:rsid w:val="00B848C3"/>
    <w:rsid w:val="00B84E45"/>
    <w:rsid w:val="00B852C4"/>
    <w:rsid w:val="00B85449"/>
    <w:rsid w:val="00B855EF"/>
    <w:rsid w:val="00B85688"/>
    <w:rsid w:val="00B8585F"/>
    <w:rsid w:val="00B85CD8"/>
    <w:rsid w:val="00B85D01"/>
    <w:rsid w:val="00B85D85"/>
    <w:rsid w:val="00B85F54"/>
    <w:rsid w:val="00B86315"/>
    <w:rsid w:val="00B86608"/>
    <w:rsid w:val="00B8691D"/>
    <w:rsid w:val="00B86990"/>
    <w:rsid w:val="00B86B9F"/>
    <w:rsid w:val="00B86C16"/>
    <w:rsid w:val="00B86C2A"/>
    <w:rsid w:val="00B86E17"/>
    <w:rsid w:val="00B86E95"/>
    <w:rsid w:val="00B87241"/>
    <w:rsid w:val="00B8742A"/>
    <w:rsid w:val="00B875DE"/>
    <w:rsid w:val="00B87655"/>
    <w:rsid w:val="00B87661"/>
    <w:rsid w:val="00B876A1"/>
    <w:rsid w:val="00B87777"/>
    <w:rsid w:val="00B9009A"/>
    <w:rsid w:val="00B901E9"/>
    <w:rsid w:val="00B9036F"/>
    <w:rsid w:val="00B90443"/>
    <w:rsid w:val="00B906A3"/>
    <w:rsid w:val="00B913BC"/>
    <w:rsid w:val="00B914DD"/>
    <w:rsid w:val="00B915E4"/>
    <w:rsid w:val="00B9191F"/>
    <w:rsid w:val="00B91A08"/>
    <w:rsid w:val="00B91B7A"/>
    <w:rsid w:val="00B91BCD"/>
    <w:rsid w:val="00B91C17"/>
    <w:rsid w:val="00B91EE6"/>
    <w:rsid w:val="00B92559"/>
    <w:rsid w:val="00B9261D"/>
    <w:rsid w:val="00B92C14"/>
    <w:rsid w:val="00B92CE2"/>
    <w:rsid w:val="00B9300F"/>
    <w:rsid w:val="00B93115"/>
    <w:rsid w:val="00B931A9"/>
    <w:rsid w:val="00B93426"/>
    <w:rsid w:val="00B93672"/>
    <w:rsid w:val="00B9392D"/>
    <w:rsid w:val="00B93970"/>
    <w:rsid w:val="00B939BA"/>
    <w:rsid w:val="00B93B4E"/>
    <w:rsid w:val="00B93D5C"/>
    <w:rsid w:val="00B93DA4"/>
    <w:rsid w:val="00B94011"/>
    <w:rsid w:val="00B942E7"/>
    <w:rsid w:val="00B9451E"/>
    <w:rsid w:val="00B9481A"/>
    <w:rsid w:val="00B94923"/>
    <w:rsid w:val="00B94D64"/>
    <w:rsid w:val="00B951EA"/>
    <w:rsid w:val="00B95414"/>
    <w:rsid w:val="00B957C3"/>
    <w:rsid w:val="00B95B0D"/>
    <w:rsid w:val="00B95D9E"/>
    <w:rsid w:val="00B9600B"/>
    <w:rsid w:val="00B96255"/>
    <w:rsid w:val="00B96400"/>
    <w:rsid w:val="00B965A7"/>
    <w:rsid w:val="00B96B87"/>
    <w:rsid w:val="00B96F50"/>
    <w:rsid w:val="00B971F7"/>
    <w:rsid w:val="00B97403"/>
    <w:rsid w:val="00B979C9"/>
    <w:rsid w:val="00B979F9"/>
    <w:rsid w:val="00BA032E"/>
    <w:rsid w:val="00BA0E3C"/>
    <w:rsid w:val="00BA0F34"/>
    <w:rsid w:val="00BA0FD5"/>
    <w:rsid w:val="00BA10BE"/>
    <w:rsid w:val="00BA1381"/>
    <w:rsid w:val="00BA18A8"/>
    <w:rsid w:val="00BA1CD2"/>
    <w:rsid w:val="00BA1EA0"/>
    <w:rsid w:val="00BA281C"/>
    <w:rsid w:val="00BA2DC5"/>
    <w:rsid w:val="00BA2F83"/>
    <w:rsid w:val="00BA3159"/>
    <w:rsid w:val="00BA31DF"/>
    <w:rsid w:val="00BA38F0"/>
    <w:rsid w:val="00BA3912"/>
    <w:rsid w:val="00BA3B19"/>
    <w:rsid w:val="00BA4143"/>
    <w:rsid w:val="00BA46B4"/>
    <w:rsid w:val="00BA4EB5"/>
    <w:rsid w:val="00BA524D"/>
    <w:rsid w:val="00BA5305"/>
    <w:rsid w:val="00BA5336"/>
    <w:rsid w:val="00BA54E5"/>
    <w:rsid w:val="00BA5781"/>
    <w:rsid w:val="00BA57EC"/>
    <w:rsid w:val="00BA58BF"/>
    <w:rsid w:val="00BA5A3E"/>
    <w:rsid w:val="00BA5CD2"/>
    <w:rsid w:val="00BA5E9B"/>
    <w:rsid w:val="00BA610B"/>
    <w:rsid w:val="00BA6324"/>
    <w:rsid w:val="00BA64F7"/>
    <w:rsid w:val="00BA6D62"/>
    <w:rsid w:val="00BA6E9F"/>
    <w:rsid w:val="00BA71CB"/>
    <w:rsid w:val="00BA74A8"/>
    <w:rsid w:val="00BA7CB4"/>
    <w:rsid w:val="00BB0039"/>
    <w:rsid w:val="00BB01EF"/>
    <w:rsid w:val="00BB026A"/>
    <w:rsid w:val="00BB0921"/>
    <w:rsid w:val="00BB0A38"/>
    <w:rsid w:val="00BB0B9F"/>
    <w:rsid w:val="00BB116A"/>
    <w:rsid w:val="00BB147C"/>
    <w:rsid w:val="00BB158E"/>
    <w:rsid w:val="00BB1B8A"/>
    <w:rsid w:val="00BB1E28"/>
    <w:rsid w:val="00BB1E9B"/>
    <w:rsid w:val="00BB1F07"/>
    <w:rsid w:val="00BB22A5"/>
    <w:rsid w:val="00BB2675"/>
    <w:rsid w:val="00BB2731"/>
    <w:rsid w:val="00BB27FF"/>
    <w:rsid w:val="00BB288E"/>
    <w:rsid w:val="00BB28B0"/>
    <w:rsid w:val="00BB28BB"/>
    <w:rsid w:val="00BB2EAD"/>
    <w:rsid w:val="00BB356B"/>
    <w:rsid w:val="00BB35B4"/>
    <w:rsid w:val="00BB3C0D"/>
    <w:rsid w:val="00BB3CFB"/>
    <w:rsid w:val="00BB3D89"/>
    <w:rsid w:val="00BB409C"/>
    <w:rsid w:val="00BB4826"/>
    <w:rsid w:val="00BB49CF"/>
    <w:rsid w:val="00BB4A7B"/>
    <w:rsid w:val="00BB4D98"/>
    <w:rsid w:val="00BB4DA0"/>
    <w:rsid w:val="00BB5343"/>
    <w:rsid w:val="00BB53A9"/>
    <w:rsid w:val="00BB5431"/>
    <w:rsid w:val="00BB58AF"/>
    <w:rsid w:val="00BB5A57"/>
    <w:rsid w:val="00BB5BAC"/>
    <w:rsid w:val="00BB660E"/>
    <w:rsid w:val="00BB6F94"/>
    <w:rsid w:val="00BB71D3"/>
    <w:rsid w:val="00BB774C"/>
    <w:rsid w:val="00BB77BA"/>
    <w:rsid w:val="00BB78DF"/>
    <w:rsid w:val="00BB793F"/>
    <w:rsid w:val="00BB7D67"/>
    <w:rsid w:val="00BB7EDF"/>
    <w:rsid w:val="00BB7F82"/>
    <w:rsid w:val="00BC014D"/>
    <w:rsid w:val="00BC0311"/>
    <w:rsid w:val="00BC083B"/>
    <w:rsid w:val="00BC0908"/>
    <w:rsid w:val="00BC0FAB"/>
    <w:rsid w:val="00BC133B"/>
    <w:rsid w:val="00BC14F1"/>
    <w:rsid w:val="00BC1614"/>
    <w:rsid w:val="00BC161F"/>
    <w:rsid w:val="00BC1692"/>
    <w:rsid w:val="00BC1767"/>
    <w:rsid w:val="00BC1838"/>
    <w:rsid w:val="00BC1B88"/>
    <w:rsid w:val="00BC1C93"/>
    <w:rsid w:val="00BC204D"/>
    <w:rsid w:val="00BC221F"/>
    <w:rsid w:val="00BC26E5"/>
    <w:rsid w:val="00BC283C"/>
    <w:rsid w:val="00BC2884"/>
    <w:rsid w:val="00BC28B4"/>
    <w:rsid w:val="00BC29BB"/>
    <w:rsid w:val="00BC2A92"/>
    <w:rsid w:val="00BC2B4A"/>
    <w:rsid w:val="00BC2B7C"/>
    <w:rsid w:val="00BC2D42"/>
    <w:rsid w:val="00BC33E0"/>
    <w:rsid w:val="00BC3AF4"/>
    <w:rsid w:val="00BC42E8"/>
    <w:rsid w:val="00BC44AE"/>
    <w:rsid w:val="00BC4A5C"/>
    <w:rsid w:val="00BC4ADE"/>
    <w:rsid w:val="00BC4D5F"/>
    <w:rsid w:val="00BC546A"/>
    <w:rsid w:val="00BC5506"/>
    <w:rsid w:val="00BC56F8"/>
    <w:rsid w:val="00BC6013"/>
    <w:rsid w:val="00BC620B"/>
    <w:rsid w:val="00BC62A5"/>
    <w:rsid w:val="00BC6444"/>
    <w:rsid w:val="00BC650B"/>
    <w:rsid w:val="00BC6722"/>
    <w:rsid w:val="00BC6834"/>
    <w:rsid w:val="00BC6922"/>
    <w:rsid w:val="00BC6930"/>
    <w:rsid w:val="00BC6A85"/>
    <w:rsid w:val="00BC72AA"/>
    <w:rsid w:val="00BD0076"/>
    <w:rsid w:val="00BD04F2"/>
    <w:rsid w:val="00BD08E7"/>
    <w:rsid w:val="00BD0970"/>
    <w:rsid w:val="00BD0DD1"/>
    <w:rsid w:val="00BD0F6A"/>
    <w:rsid w:val="00BD1212"/>
    <w:rsid w:val="00BD1855"/>
    <w:rsid w:val="00BD1A9B"/>
    <w:rsid w:val="00BD1FFE"/>
    <w:rsid w:val="00BD204B"/>
    <w:rsid w:val="00BD23AC"/>
    <w:rsid w:val="00BD286E"/>
    <w:rsid w:val="00BD29F2"/>
    <w:rsid w:val="00BD2CC7"/>
    <w:rsid w:val="00BD2D03"/>
    <w:rsid w:val="00BD33E7"/>
    <w:rsid w:val="00BD35B1"/>
    <w:rsid w:val="00BD36F5"/>
    <w:rsid w:val="00BD3904"/>
    <w:rsid w:val="00BD3CAE"/>
    <w:rsid w:val="00BD4274"/>
    <w:rsid w:val="00BD45EF"/>
    <w:rsid w:val="00BD4ACB"/>
    <w:rsid w:val="00BD4B8E"/>
    <w:rsid w:val="00BD4C9E"/>
    <w:rsid w:val="00BD52F9"/>
    <w:rsid w:val="00BD537C"/>
    <w:rsid w:val="00BD57A6"/>
    <w:rsid w:val="00BD5D35"/>
    <w:rsid w:val="00BD622E"/>
    <w:rsid w:val="00BD6230"/>
    <w:rsid w:val="00BD66DF"/>
    <w:rsid w:val="00BD68C5"/>
    <w:rsid w:val="00BD6AFC"/>
    <w:rsid w:val="00BD6BD5"/>
    <w:rsid w:val="00BD6C8B"/>
    <w:rsid w:val="00BD6D1F"/>
    <w:rsid w:val="00BD6D35"/>
    <w:rsid w:val="00BD6F33"/>
    <w:rsid w:val="00BD6FB2"/>
    <w:rsid w:val="00BD7065"/>
    <w:rsid w:val="00BD76FD"/>
    <w:rsid w:val="00BD794C"/>
    <w:rsid w:val="00BD7FBC"/>
    <w:rsid w:val="00BE00B1"/>
    <w:rsid w:val="00BE02C8"/>
    <w:rsid w:val="00BE047D"/>
    <w:rsid w:val="00BE06FB"/>
    <w:rsid w:val="00BE0EDD"/>
    <w:rsid w:val="00BE0EF1"/>
    <w:rsid w:val="00BE1258"/>
    <w:rsid w:val="00BE14C3"/>
    <w:rsid w:val="00BE1715"/>
    <w:rsid w:val="00BE1772"/>
    <w:rsid w:val="00BE1805"/>
    <w:rsid w:val="00BE1AAF"/>
    <w:rsid w:val="00BE1BC8"/>
    <w:rsid w:val="00BE212B"/>
    <w:rsid w:val="00BE2375"/>
    <w:rsid w:val="00BE2D9C"/>
    <w:rsid w:val="00BE31DA"/>
    <w:rsid w:val="00BE3478"/>
    <w:rsid w:val="00BE34D8"/>
    <w:rsid w:val="00BE363F"/>
    <w:rsid w:val="00BE377E"/>
    <w:rsid w:val="00BE3854"/>
    <w:rsid w:val="00BE38EE"/>
    <w:rsid w:val="00BE3CDD"/>
    <w:rsid w:val="00BE3EE0"/>
    <w:rsid w:val="00BE3FD6"/>
    <w:rsid w:val="00BE409B"/>
    <w:rsid w:val="00BE446A"/>
    <w:rsid w:val="00BE4A6A"/>
    <w:rsid w:val="00BE4EAC"/>
    <w:rsid w:val="00BE4F89"/>
    <w:rsid w:val="00BE5A3E"/>
    <w:rsid w:val="00BE5EAD"/>
    <w:rsid w:val="00BE60BD"/>
    <w:rsid w:val="00BE6204"/>
    <w:rsid w:val="00BE6337"/>
    <w:rsid w:val="00BE6A84"/>
    <w:rsid w:val="00BE6EC3"/>
    <w:rsid w:val="00BE6F2A"/>
    <w:rsid w:val="00BE72E3"/>
    <w:rsid w:val="00BE7618"/>
    <w:rsid w:val="00BE7D2A"/>
    <w:rsid w:val="00BE7DD5"/>
    <w:rsid w:val="00BE7E4B"/>
    <w:rsid w:val="00BE7EBD"/>
    <w:rsid w:val="00BF0335"/>
    <w:rsid w:val="00BF0A20"/>
    <w:rsid w:val="00BF0C8C"/>
    <w:rsid w:val="00BF112D"/>
    <w:rsid w:val="00BF1526"/>
    <w:rsid w:val="00BF1903"/>
    <w:rsid w:val="00BF1ABF"/>
    <w:rsid w:val="00BF1C09"/>
    <w:rsid w:val="00BF1CB9"/>
    <w:rsid w:val="00BF2425"/>
    <w:rsid w:val="00BF2481"/>
    <w:rsid w:val="00BF2706"/>
    <w:rsid w:val="00BF27F9"/>
    <w:rsid w:val="00BF2830"/>
    <w:rsid w:val="00BF2A3A"/>
    <w:rsid w:val="00BF2EFC"/>
    <w:rsid w:val="00BF34EC"/>
    <w:rsid w:val="00BF37B6"/>
    <w:rsid w:val="00BF3A08"/>
    <w:rsid w:val="00BF3B10"/>
    <w:rsid w:val="00BF3B44"/>
    <w:rsid w:val="00BF3F95"/>
    <w:rsid w:val="00BF4005"/>
    <w:rsid w:val="00BF4145"/>
    <w:rsid w:val="00BF43BD"/>
    <w:rsid w:val="00BF442E"/>
    <w:rsid w:val="00BF46D8"/>
    <w:rsid w:val="00BF4D48"/>
    <w:rsid w:val="00BF4F6F"/>
    <w:rsid w:val="00BF59B3"/>
    <w:rsid w:val="00BF5EDF"/>
    <w:rsid w:val="00BF5F0F"/>
    <w:rsid w:val="00BF6017"/>
    <w:rsid w:val="00BF66A1"/>
    <w:rsid w:val="00BF687F"/>
    <w:rsid w:val="00BF68D8"/>
    <w:rsid w:val="00BF69F1"/>
    <w:rsid w:val="00BF6FB4"/>
    <w:rsid w:val="00BF734F"/>
    <w:rsid w:val="00BF749A"/>
    <w:rsid w:val="00BF78F6"/>
    <w:rsid w:val="00BF7924"/>
    <w:rsid w:val="00BF7BD1"/>
    <w:rsid w:val="00C00062"/>
    <w:rsid w:val="00C0022F"/>
    <w:rsid w:val="00C00530"/>
    <w:rsid w:val="00C006F7"/>
    <w:rsid w:val="00C00EE2"/>
    <w:rsid w:val="00C0169C"/>
    <w:rsid w:val="00C01807"/>
    <w:rsid w:val="00C01AE7"/>
    <w:rsid w:val="00C01BC9"/>
    <w:rsid w:val="00C01E36"/>
    <w:rsid w:val="00C02020"/>
    <w:rsid w:val="00C020FB"/>
    <w:rsid w:val="00C022AC"/>
    <w:rsid w:val="00C0291E"/>
    <w:rsid w:val="00C02BF7"/>
    <w:rsid w:val="00C02D25"/>
    <w:rsid w:val="00C02DC8"/>
    <w:rsid w:val="00C032EC"/>
    <w:rsid w:val="00C035F3"/>
    <w:rsid w:val="00C03937"/>
    <w:rsid w:val="00C03950"/>
    <w:rsid w:val="00C03B62"/>
    <w:rsid w:val="00C03BC2"/>
    <w:rsid w:val="00C03CCA"/>
    <w:rsid w:val="00C03E66"/>
    <w:rsid w:val="00C04413"/>
    <w:rsid w:val="00C04A9B"/>
    <w:rsid w:val="00C04D95"/>
    <w:rsid w:val="00C050FB"/>
    <w:rsid w:val="00C05465"/>
    <w:rsid w:val="00C05E57"/>
    <w:rsid w:val="00C06388"/>
    <w:rsid w:val="00C065EF"/>
    <w:rsid w:val="00C06D66"/>
    <w:rsid w:val="00C06F8F"/>
    <w:rsid w:val="00C06FC9"/>
    <w:rsid w:val="00C071DD"/>
    <w:rsid w:val="00C07288"/>
    <w:rsid w:val="00C07336"/>
    <w:rsid w:val="00C0746F"/>
    <w:rsid w:val="00C074EE"/>
    <w:rsid w:val="00C077B1"/>
    <w:rsid w:val="00C100FA"/>
    <w:rsid w:val="00C10390"/>
    <w:rsid w:val="00C105C8"/>
    <w:rsid w:val="00C106A1"/>
    <w:rsid w:val="00C108A6"/>
    <w:rsid w:val="00C10CCF"/>
    <w:rsid w:val="00C10D43"/>
    <w:rsid w:val="00C10DAF"/>
    <w:rsid w:val="00C11609"/>
    <w:rsid w:val="00C11777"/>
    <w:rsid w:val="00C117D6"/>
    <w:rsid w:val="00C117EE"/>
    <w:rsid w:val="00C11C8C"/>
    <w:rsid w:val="00C1247E"/>
    <w:rsid w:val="00C1278E"/>
    <w:rsid w:val="00C12802"/>
    <w:rsid w:val="00C128A1"/>
    <w:rsid w:val="00C12A7A"/>
    <w:rsid w:val="00C12D3F"/>
    <w:rsid w:val="00C13556"/>
    <w:rsid w:val="00C1355C"/>
    <w:rsid w:val="00C1394B"/>
    <w:rsid w:val="00C13A26"/>
    <w:rsid w:val="00C13A57"/>
    <w:rsid w:val="00C13EDD"/>
    <w:rsid w:val="00C14D56"/>
    <w:rsid w:val="00C151F3"/>
    <w:rsid w:val="00C154AD"/>
    <w:rsid w:val="00C1580C"/>
    <w:rsid w:val="00C15945"/>
    <w:rsid w:val="00C15B6C"/>
    <w:rsid w:val="00C166BD"/>
    <w:rsid w:val="00C168E4"/>
    <w:rsid w:val="00C16D3D"/>
    <w:rsid w:val="00C16D64"/>
    <w:rsid w:val="00C16DF9"/>
    <w:rsid w:val="00C16F8D"/>
    <w:rsid w:val="00C173F2"/>
    <w:rsid w:val="00C17449"/>
    <w:rsid w:val="00C17497"/>
    <w:rsid w:val="00C176CF"/>
    <w:rsid w:val="00C17A7A"/>
    <w:rsid w:val="00C17AF7"/>
    <w:rsid w:val="00C17B7A"/>
    <w:rsid w:val="00C17BA3"/>
    <w:rsid w:val="00C17DB7"/>
    <w:rsid w:val="00C202BA"/>
    <w:rsid w:val="00C20AD0"/>
    <w:rsid w:val="00C20AD9"/>
    <w:rsid w:val="00C20C65"/>
    <w:rsid w:val="00C2102F"/>
    <w:rsid w:val="00C2147E"/>
    <w:rsid w:val="00C21647"/>
    <w:rsid w:val="00C217E5"/>
    <w:rsid w:val="00C21CD6"/>
    <w:rsid w:val="00C21DDF"/>
    <w:rsid w:val="00C224A2"/>
    <w:rsid w:val="00C22E5A"/>
    <w:rsid w:val="00C22F69"/>
    <w:rsid w:val="00C230AB"/>
    <w:rsid w:val="00C23985"/>
    <w:rsid w:val="00C24057"/>
    <w:rsid w:val="00C2406F"/>
    <w:rsid w:val="00C243A2"/>
    <w:rsid w:val="00C24690"/>
    <w:rsid w:val="00C2470A"/>
    <w:rsid w:val="00C24879"/>
    <w:rsid w:val="00C25252"/>
    <w:rsid w:val="00C25295"/>
    <w:rsid w:val="00C259B8"/>
    <w:rsid w:val="00C25A29"/>
    <w:rsid w:val="00C25E41"/>
    <w:rsid w:val="00C25EF0"/>
    <w:rsid w:val="00C26240"/>
    <w:rsid w:val="00C2624D"/>
    <w:rsid w:val="00C26366"/>
    <w:rsid w:val="00C2646B"/>
    <w:rsid w:val="00C270D3"/>
    <w:rsid w:val="00C2736C"/>
    <w:rsid w:val="00C27690"/>
    <w:rsid w:val="00C27719"/>
    <w:rsid w:val="00C278FE"/>
    <w:rsid w:val="00C27A89"/>
    <w:rsid w:val="00C27F94"/>
    <w:rsid w:val="00C3022E"/>
    <w:rsid w:val="00C307C7"/>
    <w:rsid w:val="00C30911"/>
    <w:rsid w:val="00C309B4"/>
    <w:rsid w:val="00C31248"/>
    <w:rsid w:val="00C314EB"/>
    <w:rsid w:val="00C3190B"/>
    <w:rsid w:val="00C31C37"/>
    <w:rsid w:val="00C31D1B"/>
    <w:rsid w:val="00C32110"/>
    <w:rsid w:val="00C3221C"/>
    <w:rsid w:val="00C32327"/>
    <w:rsid w:val="00C323AB"/>
    <w:rsid w:val="00C3270C"/>
    <w:rsid w:val="00C32A6E"/>
    <w:rsid w:val="00C32C1E"/>
    <w:rsid w:val="00C3326A"/>
    <w:rsid w:val="00C33306"/>
    <w:rsid w:val="00C33416"/>
    <w:rsid w:val="00C33995"/>
    <w:rsid w:val="00C339CA"/>
    <w:rsid w:val="00C33F29"/>
    <w:rsid w:val="00C3417D"/>
    <w:rsid w:val="00C3450D"/>
    <w:rsid w:val="00C3452E"/>
    <w:rsid w:val="00C34A8F"/>
    <w:rsid w:val="00C34B80"/>
    <w:rsid w:val="00C34DF5"/>
    <w:rsid w:val="00C34F4E"/>
    <w:rsid w:val="00C35003"/>
    <w:rsid w:val="00C3510E"/>
    <w:rsid w:val="00C35529"/>
    <w:rsid w:val="00C3579D"/>
    <w:rsid w:val="00C35C13"/>
    <w:rsid w:val="00C35CC0"/>
    <w:rsid w:val="00C35D9A"/>
    <w:rsid w:val="00C35E12"/>
    <w:rsid w:val="00C3608A"/>
    <w:rsid w:val="00C36159"/>
    <w:rsid w:val="00C363FA"/>
    <w:rsid w:val="00C3728F"/>
    <w:rsid w:val="00C3735F"/>
    <w:rsid w:val="00C376B9"/>
    <w:rsid w:val="00C37DAC"/>
    <w:rsid w:val="00C402BC"/>
    <w:rsid w:val="00C403BE"/>
    <w:rsid w:val="00C4067B"/>
    <w:rsid w:val="00C406ED"/>
    <w:rsid w:val="00C40C19"/>
    <w:rsid w:val="00C40CE7"/>
    <w:rsid w:val="00C4117F"/>
    <w:rsid w:val="00C41503"/>
    <w:rsid w:val="00C4162A"/>
    <w:rsid w:val="00C41701"/>
    <w:rsid w:val="00C42114"/>
    <w:rsid w:val="00C4214F"/>
    <w:rsid w:val="00C422B3"/>
    <w:rsid w:val="00C423CD"/>
    <w:rsid w:val="00C4273D"/>
    <w:rsid w:val="00C42E5F"/>
    <w:rsid w:val="00C42F39"/>
    <w:rsid w:val="00C42F46"/>
    <w:rsid w:val="00C43ACE"/>
    <w:rsid w:val="00C43C79"/>
    <w:rsid w:val="00C43D39"/>
    <w:rsid w:val="00C44082"/>
    <w:rsid w:val="00C4417B"/>
    <w:rsid w:val="00C442E2"/>
    <w:rsid w:val="00C44434"/>
    <w:rsid w:val="00C445F1"/>
    <w:rsid w:val="00C449CE"/>
    <w:rsid w:val="00C44B68"/>
    <w:rsid w:val="00C44D55"/>
    <w:rsid w:val="00C456A5"/>
    <w:rsid w:val="00C457A7"/>
    <w:rsid w:val="00C4593E"/>
    <w:rsid w:val="00C45B78"/>
    <w:rsid w:val="00C45CE6"/>
    <w:rsid w:val="00C45F0B"/>
    <w:rsid w:val="00C45F35"/>
    <w:rsid w:val="00C46141"/>
    <w:rsid w:val="00C46238"/>
    <w:rsid w:val="00C4692D"/>
    <w:rsid w:val="00C46A66"/>
    <w:rsid w:val="00C46D74"/>
    <w:rsid w:val="00C47118"/>
    <w:rsid w:val="00C47529"/>
    <w:rsid w:val="00C4759B"/>
    <w:rsid w:val="00C47A1C"/>
    <w:rsid w:val="00C47CC5"/>
    <w:rsid w:val="00C50031"/>
    <w:rsid w:val="00C504BB"/>
    <w:rsid w:val="00C5051A"/>
    <w:rsid w:val="00C5051B"/>
    <w:rsid w:val="00C5061A"/>
    <w:rsid w:val="00C50FB6"/>
    <w:rsid w:val="00C5138B"/>
    <w:rsid w:val="00C51458"/>
    <w:rsid w:val="00C51823"/>
    <w:rsid w:val="00C51A83"/>
    <w:rsid w:val="00C51D1B"/>
    <w:rsid w:val="00C51D54"/>
    <w:rsid w:val="00C51DDD"/>
    <w:rsid w:val="00C51E28"/>
    <w:rsid w:val="00C51FA8"/>
    <w:rsid w:val="00C5203D"/>
    <w:rsid w:val="00C5271D"/>
    <w:rsid w:val="00C52B2C"/>
    <w:rsid w:val="00C52CF1"/>
    <w:rsid w:val="00C52DE5"/>
    <w:rsid w:val="00C52FF7"/>
    <w:rsid w:val="00C5338B"/>
    <w:rsid w:val="00C53626"/>
    <w:rsid w:val="00C53759"/>
    <w:rsid w:val="00C53BDC"/>
    <w:rsid w:val="00C53D07"/>
    <w:rsid w:val="00C53E5C"/>
    <w:rsid w:val="00C54271"/>
    <w:rsid w:val="00C546E0"/>
    <w:rsid w:val="00C547E9"/>
    <w:rsid w:val="00C54876"/>
    <w:rsid w:val="00C54E34"/>
    <w:rsid w:val="00C54EBC"/>
    <w:rsid w:val="00C54EEB"/>
    <w:rsid w:val="00C5566C"/>
    <w:rsid w:val="00C55677"/>
    <w:rsid w:val="00C5576B"/>
    <w:rsid w:val="00C55958"/>
    <w:rsid w:val="00C55DE3"/>
    <w:rsid w:val="00C55EDB"/>
    <w:rsid w:val="00C55F46"/>
    <w:rsid w:val="00C56174"/>
    <w:rsid w:val="00C562F0"/>
    <w:rsid w:val="00C5696A"/>
    <w:rsid w:val="00C575C3"/>
    <w:rsid w:val="00C57946"/>
    <w:rsid w:val="00C604E6"/>
    <w:rsid w:val="00C604FC"/>
    <w:rsid w:val="00C606B5"/>
    <w:rsid w:val="00C6081E"/>
    <w:rsid w:val="00C60BB3"/>
    <w:rsid w:val="00C60DB8"/>
    <w:rsid w:val="00C60DBE"/>
    <w:rsid w:val="00C60FB2"/>
    <w:rsid w:val="00C60FD4"/>
    <w:rsid w:val="00C61203"/>
    <w:rsid w:val="00C61314"/>
    <w:rsid w:val="00C61544"/>
    <w:rsid w:val="00C615E3"/>
    <w:rsid w:val="00C6192A"/>
    <w:rsid w:val="00C61970"/>
    <w:rsid w:val="00C61D18"/>
    <w:rsid w:val="00C61D4C"/>
    <w:rsid w:val="00C6222A"/>
    <w:rsid w:val="00C62253"/>
    <w:rsid w:val="00C624EE"/>
    <w:rsid w:val="00C626FA"/>
    <w:rsid w:val="00C62A5B"/>
    <w:rsid w:val="00C62B74"/>
    <w:rsid w:val="00C62B80"/>
    <w:rsid w:val="00C62D61"/>
    <w:rsid w:val="00C62EE1"/>
    <w:rsid w:val="00C62FF0"/>
    <w:rsid w:val="00C631F5"/>
    <w:rsid w:val="00C63460"/>
    <w:rsid w:val="00C63560"/>
    <w:rsid w:val="00C6436A"/>
    <w:rsid w:val="00C6438E"/>
    <w:rsid w:val="00C646F6"/>
    <w:rsid w:val="00C647B7"/>
    <w:rsid w:val="00C64851"/>
    <w:rsid w:val="00C64C48"/>
    <w:rsid w:val="00C64C58"/>
    <w:rsid w:val="00C64F5F"/>
    <w:rsid w:val="00C64F81"/>
    <w:rsid w:val="00C64FEE"/>
    <w:rsid w:val="00C6523D"/>
    <w:rsid w:val="00C655DB"/>
    <w:rsid w:val="00C65627"/>
    <w:rsid w:val="00C6564D"/>
    <w:rsid w:val="00C65757"/>
    <w:rsid w:val="00C65F53"/>
    <w:rsid w:val="00C66386"/>
    <w:rsid w:val="00C6673C"/>
    <w:rsid w:val="00C66BBF"/>
    <w:rsid w:val="00C66C91"/>
    <w:rsid w:val="00C67258"/>
    <w:rsid w:val="00C67303"/>
    <w:rsid w:val="00C67311"/>
    <w:rsid w:val="00C67811"/>
    <w:rsid w:val="00C6790D"/>
    <w:rsid w:val="00C67956"/>
    <w:rsid w:val="00C67B75"/>
    <w:rsid w:val="00C67EF8"/>
    <w:rsid w:val="00C704C6"/>
    <w:rsid w:val="00C709A8"/>
    <w:rsid w:val="00C70B02"/>
    <w:rsid w:val="00C71267"/>
    <w:rsid w:val="00C7159A"/>
    <w:rsid w:val="00C7191D"/>
    <w:rsid w:val="00C7192E"/>
    <w:rsid w:val="00C71979"/>
    <w:rsid w:val="00C71985"/>
    <w:rsid w:val="00C719C9"/>
    <w:rsid w:val="00C71B73"/>
    <w:rsid w:val="00C71E1E"/>
    <w:rsid w:val="00C7246D"/>
    <w:rsid w:val="00C7251E"/>
    <w:rsid w:val="00C72935"/>
    <w:rsid w:val="00C72AA3"/>
    <w:rsid w:val="00C72C93"/>
    <w:rsid w:val="00C72E79"/>
    <w:rsid w:val="00C73011"/>
    <w:rsid w:val="00C7309D"/>
    <w:rsid w:val="00C735AC"/>
    <w:rsid w:val="00C73B90"/>
    <w:rsid w:val="00C73C7A"/>
    <w:rsid w:val="00C73EE3"/>
    <w:rsid w:val="00C74392"/>
    <w:rsid w:val="00C7445E"/>
    <w:rsid w:val="00C74638"/>
    <w:rsid w:val="00C74866"/>
    <w:rsid w:val="00C74DAA"/>
    <w:rsid w:val="00C750D1"/>
    <w:rsid w:val="00C75299"/>
    <w:rsid w:val="00C75452"/>
    <w:rsid w:val="00C757E4"/>
    <w:rsid w:val="00C75A4B"/>
    <w:rsid w:val="00C75A73"/>
    <w:rsid w:val="00C75B0E"/>
    <w:rsid w:val="00C75D5A"/>
    <w:rsid w:val="00C75FEC"/>
    <w:rsid w:val="00C7601C"/>
    <w:rsid w:val="00C7635F"/>
    <w:rsid w:val="00C764B6"/>
    <w:rsid w:val="00C76C22"/>
    <w:rsid w:val="00C76C27"/>
    <w:rsid w:val="00C770D3"/>
    <w:rsid w:val="00C770F5"/>
    <w:rsid w:val="00C77274"/>
    <w:rsid w:val="00C7734B"/>
    <w:rsid w:val="00C7776B"/>
    <w:rsid w:val="00C777C7"/>
    <w:rsid w:val="00C77C22"/>
    <w:rsid w:val="00C77C80"/>
    <w:rsid w:val="00C77D35"/>
    <w:rsid w:val="00C80272"/>
    <w:rsid w:val="00C8031D"/>
    <w:rsid w:val="00C8050B"/>
    <w:rsid w:val="00C8055C"/>
    <w:rsid w:val="00C8080E"/>
    <w:rsid w:val="00C80AFF"/>
    <w:rsid w:val="00C80C0D"/>
    <w:rsid w:val="00C80FA3"/>
    <w:rsid w:val="00C8114B"/>
    <w:rsid w:val="00C81326"/>
    <w:rsid w:val="00C81887"/>
    <w:rsid w:val="00C81D15"/>
    <w:rsid w:val="00C8205D"/>
    <w:rsid w:val="00C82208"/>
    <w:rsid w:val="00C82341"/>
    <w:rsid w:val="00C82555"/>
    <w:rsid w:val="00C82599"/>
    <w:rsid w:val="00C82733"/>
    <w:rsid w:val="00C828C8"/>
    <w:rsid w:val="00C8290A"/>
    <w:rsid w:val="00C82B8F"/>
    <w:rsid w:val="00C838CA"/>
    <w:rsid w:val="00C83C1A"/>
    <w:rsid w:val="00C83F64"/>
    <w:rsid w:val="00C83F75"/>
    <w:rsid w:val="00C8402C"/>
    <w:rsid w:val="00C843BE"/>
    <w:rsid w:val="00C843F9"/>
    <w:rsid w:val="00C84622"/>
    <w:rsid w:val="00C8481E"/>
    <w:rsid w:val="00C849AE"/>
    <w:rsid w:val="00C84A2F"/>
    <w:rsid w:val="00C84D73"/>
    <w:rsid w:val="00C851C1"/>
    <w:rsid w:val="00C8549D"/>
    <w:rsid w:val="00C855FB"/>
    <w:rsid w:val="00C858DE"/>
    <w:rsid w:val="00C859B7"/>
    <w:rsid w:val="00C85E81"/>
    <w:rsid w:val="00C85F3B"/>
    <w:rsid w:val="00C86397"/>
    <w:rsid w:val="00C8685C"/>
    <w:rsid w:val="00C86892"/>
    <w:rsid w:val="00C868A6"/>
    <w:rsid w:val="00C86AF8"/>
    <w:rsid w:val="00C86C9C"/>
    <w:rsid w:val="00C86EEC"/>
    <w:rsid w:val="00C86F60"/>
    <w:rsid w:val="00C870C0"/>
    <w:rsid w:val="00C8730B"/>
    <w:rsid w:val="00C8778F"/>
    <w:rsid w:val="00C877C1"/>
    <w:rsid w:val="00C87ED4"/>
    <w:rsid w:val="00C90302"/>
    <w:rsid w:val="00C903D0"/>
    <w:rsid w:val="00C90413"/>
    <w:rsid w:val="00C90583"/>
    <w:rsid w:val="00C9068F"/>
    <w:rsid w:val="00C90848"/>
    <w:rsid w:val="00C90973"/>
    <w:rsid w:val="00C90A30"/>
    <w:rsid w:val="00C90C53"/>
    <w:rsid w:val="00C90E36"/>
    <w:rsid w:val="00C90E84"/>
    <w:rsid w:val="00C90EFF"/>
    <w:rsid w:val="00C90F46"/>
    <w:rsid w:val="00C914E7"/>
    <w:rsid w:val="00C91CC8"/>
    <w:rsid w:val="00C91D33"/>
    <w:rsid w:val="00C91DE4"/>
    <w:rsid w:val="00C91E0F"/>
    <w:rsid w:val="00C9258D"/>
    <w:rsid w:val="00C92691"/>
    <w:rsid w:val="00C92A88"/>
    <w:rsid w:val="00C92CC4"/>
    <w:rsid w:val="00C93440"/>
    <w:rsid w:val="00C9364F"/>
    <w:rsid w:val="00C9365F"/>
    <w:rsid w:val="00C93A3F"/>
    <w:rsid w:val="00C9445F"/>
    <w:rsid w:val="00C9446D"/>
    <w:rsid w:val="00C9475B"/>
    <w:rsid w:val="00C94BDE"/>
    <w:rsid w:val="00C94C31"/>
    <w:rsid w:val="00C95221"/>
    <w:rsid w:val="00C95336"/>
    <w:rsid w:val="00C953C8"/>
    <w:rsid w:val="00C95657"/>
    <w:rsid w:val="00C95BC5"/>
    <w:rsid w:val="00C95DB1"/>
    <w:rsid w:val="00C95DE9"/>
    <w:rsid w:val="00C9622A"/>
    <w:rsid w:val="00C9634D"/>
    <w:rsid w:val="00C967F6"/>
    <w:rsid w:val="00C96A88"/>
    <w:rsid w:val="00C96DC4"/>
    <w:rsid w:val="00C96E34"/>
    <w:rsid w:val="00C96E39"/>
    <w:rsid w:val="00C96EA4"/>
    <w:rsid w:val="00C96EDE"/>
    <w:rsid w:val="00C96F76"/>
    <w:rsid w:val="00C96FD6"/>
    <w:rsid w:val="00C973E1"/>
    <w:rsid w:val="00C9771D"/>
    <w:rsid w:val="00CA02D1"/>
    <w:rsid w:val="00CA0706"/>
    <w:rsid w:val="00CA074A"/>
    <w:rsid w:val="00CA085D"/>
    <w:rsid w:val="00CA0AD9"/>
    <w:rsid w:val="00CA0ADF"/>
    <w:rsid w:val="00CA0B8E"/>
    <w:rsid w:val="00CA0CBA"/>
    <w:rsid w:val="00CA0E86"/>
    <w:rsid w:val="00CA1160"/>
    <w:rsid w:val="00CA15FC"/>
    <w:rsid w:val="00CA1738"/>
    <w:rsid w:val="00CA19E0"/>
    <w:rsid w:val="00CA1BBE"/>
    <w:rsid w:val="00CA1D01"/>
    <w:rsid w:val="00CA1E4A"/>
    <w:rsid w:val="00CA1FF5"/>
    <w:rsid w:val="00CA2001"/>
    <w:rsid w:val="00CA2858"/>
    <w:rsid w:val="00CA2CD1"/>
    <w:rsid w:val="00CA2EFE"/>
    <w:rsid w:val="00CA33FF"/>
    <w:rsid w:val="00CA399A"/>
    <w:rsid w:val="00CA3A59"/>
    <w:rsid w:val="00CA3DB0"/>
    <w:rsid w:val="00CA40E0"/>
    <w:rsid w:val="00CA4290"/>
    <w:rsid w:val="00CA42EE"/>
    <w:rsid w:val="00CA47C2"/>
    <w:rsid w:val="00CA4B18"/>
    <w:rsid w:val="00CA4DC4"/>
    <w:rsid w:val="00CA5407"/>
    <w:rsid w:val="00CA57E6"/>
    <w:rsid w:val="00CA5C7C"/>
    <w:rsid w:val="00CA5E16"/>
    <w:rsid w:val="00CA5E49"/>
    <w:rsid w:val="00CA5F92"/>
    <w:rsid w:val="00CA6489"/>
    <w:rsid w:val="00CA648A"/>
    <w:rsid w:val="00CA67CB"/>
    <w:rsid w:val="00CA71CA"/>
    <w:rsid w:val="00CA7498"/>
    <w:rsid w:val="00CA779B"/>
    <w:rsid w:val="00CA78C6"/>
    <w:rsid w:val="00CA7B01"/>
    <w:rsid w:val="00CB0112"/>
    <w:rsid w:val="00CB02BF"/>
    <w:rsid w:val="00CB095D"/>
    <w:rsid w:val="00CB0A6D"/>
    <w:rsid w:val="00CB0C6C"/>
    <w:rsid w:val="00CB0D56"/>
    <w:rsid w:val="00CB0D8C"/>
    <w:rsid w:val="00CB0EE8"/>
    <w:rsid w:val="00CB14F4"/>
    <w:rsid w:val="00CB1C78"/>
    <w:rsid w:val="00CB1E5E"/>
    <w:rsid w:val="00CB1F39"/>
    <w:rsid w:val="00CB1F41"/>
    <w:rsid w:val="00CB2179"/>
    <w:rsid w:val="00CB22BF"/>
    <w:rsid w:val="00CB28C5"/>
    <w:rsid w:val="00CB2B05"/>
    <w:rsid w:val="00CB2CD0"/>
    <w:rsid w:val="00CB2D6A"/>
    <w:rsid w:val="00CB370B"/>
    <w:rsid w:val="00CB38EC"/>
    <w:rsid w:val="00CB3A32"/>
    <w:rsid w:val="00CB3F06"/>
    <w:rsid w:val="00CB4111"/>
    <w:rsid w:val="00CB416F"/>
    <w:rsid w:val="00CB42C8"/>
    <w:rsid w:val="00CB4725"/>
    <w:rsid w:val="00CB4753"/>
    <w:rsid w:val="00CB48F3"/>
    <w:rsid w:val="00CB4D9E"/>
    <w:rsid w:val="00CB4F99"/>
    <w:rsid w:val="00CB50D0"/>
    <w:rsid w:val="00CB5323"/>
    <w:rsid w:val="00CB5520"/>
    <w:rsid w:val="00CB570A"/>
    <w:rsid w:val="00CB573E"/>
    <w:rsid w:val="00CB5AC4"/>
    <w:rsid w:val="00CB5E61"/>
    <w:rsid w:val="00CB5FC1"/>
    <w:rsid w:val="00CB6064"/>
    <w:rsid w:val="00CB616A"/>
    <w:rsid w:val="00CB6420"/>
    <w:rsid w:val="00CB652A"/>
    <w:rsid w:val="00CB6737"/>
    <w:rsid w:val="00CB6826"/>
    <w:rsid w:val="00CB688D"/>
    <w:rsid w:val="00CB6EA2"/>
    <w:rsid w:val="00CB7327"/>
    <w:rsid w:val="00CB73ED"/>
    <w:rsid w:val="00CB7447"/>
    <w:rsid w:val="00CB7630"/>
    <w:rsid w:val="00CB77CC"/>
    <w:rsid w:val="00CB7A4A"/>
    <w:rsid w:val="00CB7A9C"/>
    <w:rsid w:val="00CC0037"/>
    <w:rsid w:val="00CC0215"/>
    <w:rsid w:val="00CC0735"/>
    <w:rsid w:val="00CC08C1"/>
    <w:rsid w:val="00CC0D32"/>
    <w:rsid w:val="00CC0E0E"/>
    <w:rsid w:val="00CC1014"/>
    <w:rsid w:val="00CC101C"/>
    <w:rsid w:val="00CC123A"/>
    <w:rsid w:val="00CC1571"/>
    <w:rsid w:val="00CC15E9"/>
    <w:rsid w:val="00CC1881"/>
    <w:rsid w:val="00CC19B0"/>
    <w:rsid w:val="00CC1A4D"/>
    <w:rsid w:val="00CC1C1C"/>
    <w:rsid w:val="00CC246D"/>
    <w:rsid w:val="00CC27BB"/>
    <w:rsid w:val="00CC2EAE"/>
    <w:rsid w:val="00CC2EC5"/>
    <w:rsid w:val="00CC31E4"/>
    <w:rsid w:val="00CC3240"/>
    <w:rsid w:val="00CC33B0"/>
    <w:rsid w:val="00CC3443"/>
    <w:rsid w:val="00CC382E"/>
    <w:rsid w:val="00CC3C70"/>
    <w:rsid w:val="00CC4404"/>
    <w:rsid w:val="00CC4723"/>
    <w:rsid w:val="00CC5896"/>
    <w:rsid w:val="00CC5EBE"/>
    <w:rsid w:val="00CC609E"/>
    <w:rsid w:val="00CC6208"/>
    <w:rsid w:val="00CC6549"/>
    <w:rsid w:val="00CC7016"/>
    <w:rsid w:val="00CC72F9"/>
    <w:rsid w:val="00CC7308"/>
    <w:rsid w:val="00CC732C"/>
    <w:rsid w:val="00CC74A3"/>
    <w:rsid w:val="00CC74CA"/>
    <w:rsid w:val="00CC75EC"/>
    <w:rsid w:val="00CC77F5"/>
    <w:rsid w:val="00CC79D2"/>
    <w:rsid w:val="00CC7D81"/>
    <w:rsid w:val="00CC7D9E"/>
    <w:rsid w:val="00CC7E9A"/>
    <w:rsid w:val="00CC7F4C"/>
    <w:rsid w:val="00CD0A2A"/>
    <w:rsid w:val="00CD108D"/>
    <w:rsid w:val="00CD1296"/>
    <w:rsid w:val="00CD14B2"/>
    <w:rsid w:val="00CD1672"/>
    <w:rsid w:val="00CD16FE"/>
    <w:rsid w:val="00CD18E6"/>
    <w:rsid w:val="00CD1EC4"/>
    <w:rsid w:val="00CD23F9"/>
    <w:rsid w:val="00CD24C8"/>
    <w:rsid w:val="00CD2639"/>
    <w:rsid w:val="00CD2721"/>
    <w:rsid w:val="00CD28D7"/>
    <w:rsid w:val="00CD29D9"/>
    <w:rsid w:val="00CD3BA5"/>
    <w:rsid w:val="00CD3E49"/>
    <w:rsid w:val="00CD4B5F"/>
    <w:rsid w:val="00CD4B63"/>
    <w:rsid w:val="00CD5127"/>
    <w:rsid w:val="00CD52C2"/>
    <w:rsid w:val="00CD537E"/>
    <w:rsid w:val="00CD55C7"/>
    <w:rsid w:val="00CD5A98"/>
    <w:rsid w:val="00CD5C15"/>
    <w:rsid w:val="00CD612D"/>
    <w:rsid w:val="00CD6194"/>
    <w:rsid w:val="00CD6297"/>
    <w:rsid w:val="00CD6304"/>
    <w:rsid w:val="00CD6317"/>
    <w:rsid w:val="00CD63E6"/>
    <w:rsid w:val="00CD642C"/>
    <w:rsid w:val="00CD646C"/>
    <w:rsid w:val="00CD6541"/>
    <w:rsid w:val="00CD6688"/>
    <w:rsid w:val="00CD681E"/>
    <w:rsid w:val="00CD68D6"/>
    <w:rsid w:val="00CD6ECD"/>
    <w:rsid w:val="00CD7095"/>
    <w:rsid w:val="00CD70D8"/>
    <w:rsid w:val="00CD76B7"/>
    <w:rsid w:val="00CD79D8"/>
    <w:rsid w:val="00CD7A72"/>
    <w:rsid w:val="00CD7A90"/>
    <w:rsid w:val="00CD7CFA"/>
    <w:rsid w:val="00CD7EF3"/>
    <w:rsid w:val="00CE0143"/>
    <w:rsid w:val="00CE0326"/>
    <w:rsid w:val="00CE0722"/>
    <w:rsid w:val="00CE0A92"/>
    <w:rsid w:val="00CE10B4"/>
    <w:rsid w:val="00CE10CE"/>
    <w:rsid w:val="00CE112B"/>
    <w:rsid w:val="00CE1283"/>
    <w:rsid w:val="00CE1411"/>
    <w:rsid w:val="00CE15D9"/>
    <w:rsid w:val="00CE1D6E"/>
    <w:rsid w:val="00CE1D81"/>
    <w:rsid w:val="00CE2962"/>
    <w:rsid w:val="00CE2C77"/>
    <w:rsid w:val="00CE2ED3"/>
    <w:rsid w:val="00CE2F4C"/>
    <w:rsid w:val="00CE305D"/>
    <w:rsid w:val="00CE314B"/>
    <w:rsid w:val="00CE318C"/>
    <w:rsid w:val="00CE33E6"/>
    <w:rsid w:val="00CE36F4"/>
    <w:rsid w:val="00CE3837"/>
    <w:rsid w:val="00CE3ADE"/>
    <w:rsid w:val="00CE3D01"/>
    <w:rsid w:val="00CE3D93"/>
    <w:rsid w:val="00CE404C"/>
    <w:rsid w:val="00CE41B2"/>
    <w:rsid w:val="00CE52E5"/>
    <w:rsid w:val="00CE5326"/>
    <w:rsid w:val="00CE53CB"/>
    <w:rsid w:val="00CE5534"/>
    <w:rsid w:val="00CE5A42"/>
    <w:rsid w:val="00CE5BB7"/>
    <w:rsid w:val="00CE5E4B"/>
    <w:rsid w:val="00CE5F08"/>
    <w:rsid w:val="00CE5F10"/>
    <w:rsid w:val="00CE60F9"/>
    <w:rsid w:val="00CE643C"/>
    <w:rsid w:val="00CE6BA5"/>
    <w:rsid w:val="00CE6C4D"/>
    <w:rsid w:val="00CE6CF1"/>
    <w:rsid w:val="00CE6E73"/>
    <w:rsid w:val="00CE706C"/>
    <w:rsid w:val="00CE7072"/>
    <w:rsid w:val="00CE7525"/>
    <w:rsid w:val="00CE7828"/>
    <w:rsid w:val="00CE7C63"/>
    <w:rsid w:val="00CE7E1C"/>
    <w:rsid w:val="00CF02D3"/>
    <w:rsid w:val="00CF0388"/>
    <w:rsid w:val="00CF0D7A"/>
    <w:rsid w:val="00CF1029"/>
    <w:rsid w:val="00CF10C6"/>
    <w:rsid w:val="00CF1937"/>
    <w:rsid w:val="00CF1A5D"/>
    <w:rsid w:val="00CF1B10"/>
    <w:rsid w:val="00CF1C12"/>
    <w:rsid w:val="00CF1FC7"/>
    <w:rsid w:val="00CF296D"/>
    <w:rsid w:val="00CF2BA8"/>
    <w:rsid w:val="00CF2EAA"/>
    <w:rsid w:val="00CF2F3C"/>
    <w:rsid w:val="00CF3788"/>
    <w:rsid w:val="00CF3949"/>
    <w:rsid w:val="00CF3B11"/>
    <w:rsid w:val="00CF3B43"/>
    <w:rsid w:val="00CF3DE4"/>
    <w:rsid w:val="00CF3E47"/>
    <w:rsid w:val="00CF4156"/>
    <w:rsid w:val="00CF42B0"/>
    <w:rsid w:val="00CF48CD"/>
    <w:rsid w:val="00CF4917"/>
    <w:rsid w:val="00CF49C1"/>
    <w:rsid w:val="00CF4C66"/>
    <w:rsid w:val="00CF4EF9"/>
    <w:rsid w:val="00CF4F46"/>
    <w:rsid w:val="00CF508B"/>
    <w:rsid w:val="00CF5242"/>
    <w:rsid w:val="00CF548C"/>
    <w:rsid w:val="00CF57E1"/>
    <w:rsid w:val="00CF5993"/>
    <w:rsid w:val="00CF5CF4"/>
    <w:rsid w:val="00CF5CFB"/>
    <w:rsid w:val="00CF5D4F"/>
    <w:rsid w:val="00CF6130"/>
    <w:rsid w:val="00CF62BD"/>
    <w:rsid w:val="00CF64AC"/>
    <w:rsid w:val="00CF66C8"/>
    <w:rsid w:val="00CF6810"/>
    <w:rsid w:val="00CF6AA7"/>
    <w:rsid w:val="00CF6DE2"/>
    <w:rsid w:val="00CF7076"/>
    <w:rsid w:val="00CF71AC"/>
    <w:rsid w:val="00CF7588"/>
    <w:rsid w:val="00CF7B26"/>
    <w:rsid w:val="00CF7F17"/>
    <w:rsid w:val="00D00361"/>
    <w:rsid w:val="00D00728"/>
    <w:rsid w:val="00D0081C"/>
    <w:rsid w:val="00D00AE6"/>
    <w:rsid w:val="00D00B5A"/>
    <w:rsid w:val="00D00EDE"/>
    <w:rsid w:val="00D00F58"/>
    <w:rsid w:val="00D01486"/>
    <w:rsid w:val="00D0163D"/>
    <w:rsid w:val="00D0197E"/>
    <w:rsid w:val="00D01AE5"/>
    <w:rsid w:val="00D0232D"/>
    <w:rsid w:val="00D0290E"/>
    <w:rsid w:val="00D0306B"/>
    <w:rsid w:val="00D034F2"/>
    <w:rsid w:val="00D037C6"/>
    <w:rsid w:val="00D039C7"/>
    <w:rsid w:val="00D03AD3"/>
    <w:rsid w:val="00D03BAB"/>
    <w:rsid w:val="00D03BAE"/>
    <w:rsid w:val="00D03E26"/>
    <w:rsid w:val="00D03F55"/>
    <w:rsid w:val="00D03F57"/>
    <w:rsid w:val="00D04AF5"/>
    <w:rsid w:val="00D04F85"/>
    <w:rsid w:val="00D050F6"/>
    <w:rsid w:val="00D051A8"/>
    <w:rsid w:val="00D055CA"/>
    <w:rsid w:val="00D059AA"/>
    <w:rsid w:val="00D05BD8"/>
    <w:rsid w:val="00D05E32"/>
    <w:rsid w:val="00D0614B"/>
    <w:rsid w:val="00D067A8"/>
    <w:rsid w:val="00D06D48"/>
    <w:rsid w:val="00D06E63"/>
    <w:rsid w:val="00D07060"/>
    <w:rsid w:val="00D070B5"/>
    <w:rsid w:val="00D07567"/>
    <w:rsid w:val="00D07651"/>
    <w:rsid w:val="00D07682"/>
    <w:rsid w:val="00D076AD"/>
    <w:rsid w:val="00D077A5"/>
    <w:rsid w:val="00D07C43"/>
    <w:rsid w:val="00D07C6B"/>
    <w:rsid w:val="00D1001E"/>
    <w:rsid w:val="00D1005C"/>
    <w:rsid w:val="00D101F2"/>
    <w:rsid w:val="00D10378"/>
    <w:rsid w:val="00D10681"/>
    <w:rsid w:val="00D10791"/>
    <w:rsid w:val="00D108C0"/>
    <w:rsid w:val="00D10B71"/>
    <w:rsid w:val="00D10C48"/>
    <w:rsid w:val="00D10D0C"/>
    <w:rsid w:val="00D10E9D"/>
    <w:rsid w:val="00D10F3F"/>
    <w:rsid w:val="00D11701"/>
    <w:rsid w:val="00D11B08"/>
    <w:rsid w:val="00D11FBF"/>
    <w:rsid w:val="00D12604"/>
    <w:rsid w:val="00D12609"/>
    <w:rsid w:val="00D12A6D"/>
    <w:rsid w:val="00D12B56"/>
    <w:rsid w:val="00D12D40"/>
    <w:rsid w:val="00D12E05"/>
    <w:rsid w:val="00D12F0C"/>
    <w:rsid w:val="00D133CA"/>
    <w:rsid w:val="00D13703"/>
    <w:rsid w:val="00D13D46"/>
    <w:rsid w:val="00D13FDC"/>
    <w:rsid w:val="00D142E1"/>
    <w:rsid w:val="00D142E6"/>
    <w:rsid w:val="00D14642"/>
    <w:rsid w:val="00D14B4E"/>
    <w:rsid w:val="00D14B6E"/>
    <w:rsid w:val="00D14F0B"/>
    <w:rsid w:val="00D150B1"/>
    <w:rsid w:val="00D15320"/>
    <w:rsid w:val="00D15505"/>
    <w:rsid w:val="00D15E42"/>
    <w:rsid w:val="00D15F40"/>
    <w:rsid w:val="00D16D44"/>
    <w:rsid w:val="00D17666"/>
    <w:rsid w:val="00D17B0B"/>
    <w:rsid w:val="00D17E08"/>
    <w:rsid w:val="00D17E90"/>
    <w:rsid w:val="00D17EC2"/>
    <w:rsid w:val="00D20098"/>
    <w:rsid w:val="00D20196"/>
    <w:rsid w:val="00D205B2"/>
    <w:rsid w:val="00D20965"/>
    <w:rsid w:val="00D20E47"/>
    <w:rsid w:val="00D21118"/>
    <w:rsid w:val="00D211AB"/>
    <w:rsid w:val="00D211CF"/>
    <w:rsid w:val="00D21416"/>
    <w:rsid w:val="00D2154D"/>
    <w:rsid w:val="00D21712"/>
    <w:rsid w:val="00D217B0"/>
    <w:rsid w:val="00D2182B"/>
    <w:rsid w:val="00D21A24"/>
    <w:rsid w:val="00D21AB3"/>
    <w:rsid w:val="00D21B15"/>
    <w:rsid w:val="00D21BDA"/>
    <w:rsid w:val="00D21E68"/>
    <w:rsid w:val="00D22206"/>
    <w:rsid w:val="00D22232"/>
    <w:rsid w:val="00D222E6"/>
    <w:rsid w:val="00D22333"/>
    <w:rsid w:val="00D22360"/>
    <w:rsid w:val="00D225C2"/>
    <w:rsid w:val="00D22B22"/>
    <w:rsid w:val="00D22CFF"/>
    <w:rsid w:val="00D2359C"/>
    <w:rsid w:val="00D23962"/>
    <w:rsid w:val="00D242BA"/>
    <w:rsid w:val="00D24B96"/>
    <w:rsid w:val="00D253C4"/>
    <w:rsid w:val="00D255E5"/>
    <w:rsid w:val="00D25896"/>
    <w:rsid w:val="00D25B64"/>
    <w:rsid w:val="00D25CE1"/>
    <w:rsid w:val="00D25E5A"/>
    <w:rsid w:val="00D25FF4"/>
    <w:rsid w:val="00D260FF"/>
    <w:rsid w:val="00D267C2"/>
    <w:rsid w:val="00D268BD"/>
    <w:rsid w:val="00D26CF0"/>
    <w:rsid w:val="00D27397"/>
    <w:rsid w:val="00D279C9"/>
    <w:rsid w:val="00D27CC3"/>
    <w:rsid w:val="00D27D37"/>
    <w:rsid w:val="00D27D41"/>
    <w:rsid w:val="00D30181"/>
    <w:rsid w:val="00D302CE"/>
    <w:rsid w:val="00D3053A"/>
    <w:rsid w:val="00D30722"/>
    <w:rsid w:val="00D30821"/>
    <w:rsid w:val="00D30F06"/>
    <w:rsid w:val="00D31010"/>
    <w:rsid w:val="00D3113D"/>
    <w:rsid w:val="00D3164D"/>
    <w:rsid w:val="00D318BB"/>
    <w:rsid w:val="00D31EDA"/>
    <w:rsid w:val="00D322B9"/>
    <w:rsid w:val="00D326D3"/>
    <w:rsid w:val="00D32DBE"/>
    <w:rsid w:val="00D33124"/>
    <w:rsid w:val="00D3337C"/>
    <w:rsid w:val="00D33474"/>
    <w:rsid w:val="00D3348B"/>
    <w:rsid w:val="00D334C3"/>
    <w:rsid w:val="00D33736"/>
    <w:rsid w:val="00D3397B"/>
    <w:rsid w:val="00D33C85"/>
    <w:rsid w:val="00D34066"/>
    <w:rsid w:val="00D3417A"/>
    <w:rsid w:val="00D3470C"/>
    <w:rsid w:val="00D34D92"/>
    <w:rsid w:val="00D3548F"/>
    <w:rsid w:val="00D3597F"/>
    <w:rsid w:val="00D359E8"/>
    <w:rsid w:val="00D35A4A"/>
    <w:rsid w:val="00D35A95"/>
    <w:rsid w:val="00D35D54"/>
    <w:rsid w:val="00D3602D"/>
    <w:rsid w:val="00D360D0"/>
    <w:rsid w:val="00D367CC"/>
    <w:rsid w:val="00D367ED"/>
    <w:rsid w:val="00D36A72"/>
    <w:rsid w:val="00D37148"/>
    <w:rsid w:val="00D372D1"/>
    <w:rsid w:val="00D37406"/>
    <w:rsid w:val="00D37930"/>
    <w:rsid w:val="00D40128"/>
    <w:rsid w:val="00D40152"/>
    <w:rsid w:val="00D4027E"/>
    <w:rsid w:val="00D40435"/>
    <w:rsid w:val="00D409DB"/>
    <w:rsid w:val="00D40F0F"/>
    <w:rsid w:val="00D41016"/>
    <w:rsid w:val="00D4137D"/>
    <w:rsid w:val="00D417D8"/>
    <w:rsid w:val="00D418E4"/>
    <w:rsid w:val="00D41A27"/>
    <w:rsid w:val="00D41C2D"/>
    <w:rsid w:val="00D42040"/>
    <w:rsid w:val="00D422FB"/>
    <w:rsid w:val="00D427A1"/>
    <w:rsid w:val="00D42CD4"/>
    <w:rsid w:val="00D42D0D"/>
    <w:rsid w:val="00D437C1"/>
    <w:rsid w:val="00D438DC"/>
    <w:rsid w:val="00D43A4F"/>
    <w:rsid w:val="00D43C34"/>
    <w:rsid w:val="00D43E37"/>
    <w:rsid w:val="00D43F12"/>
    <w:rsid w:val="00D43F27"/>
    <w:rsid w:val="00D43FA7"/>
    <w:rsid w:val="00D4401A"/>
    <w:rsid w:val="00D44114"/>
    <w:rsid w:val="00D4416E"/>
    <w:rsid w:val="00D4437E"/>
    <w:rsid w:val="00D44617"/>
    <w:rsid w:val="00D4463A"/>
    <w:rsid w:val="00D44689"/>
    <w:rsid w:val="00D4479D"/>
    <w:rsid w:val="00D449B7"/>
    <w:rsid w:val="00D44BA2"/>
    <w:rsid w:val="00D44C7F"/>
    <w:rsid w:val="00D44C9B"/>
    <w:rsid w:val="00D44E71"/>
    <w:rsid w:val="00D44ECB"/>
    <w:rsid w:val="00D44F68"/>
    <w:rsid w:val="00D45170"/>
    <w:rsid w:val="00D452A0"/>
    <w:rsid w:val="00D452D7"/>
    <w:rsid w:val="00D4554F"/>
    <w:rsid w:val="00D45E1F"/>
    <w:rsid w:val="00D45F49"/>
    <w:rsid w:val="00D465A1"/>
    <w:rsid w:val="00D466C3"/>
    <w:rsid w:val="00D46770"/>
    <w:rsid w:val="00D46A77"/>
    <w:rsid w:val="00D46ACD"/>
    <w:rsid w:val="00D47041"/>
    <w:rsid w:val="00D4767F"/>
    <w:rsid w:val="00D477BA"/>
    <w:rsid w:val="00D479BD"/>
    <w:rsid w:val="00D479F5"/>
    <w:rsid w:val="00D47AA3"/>
    <w:rsid w:val="00D47D8D"/>
    <w:rsid w:val="00D50000"/>
    <w:rsid w:val="00D50078"/>
    <w:rsid w:val="00D5052C"/>
    <w:rsid w:val="00D5083B"/>
    <w:rsid w:val="00D509C0"/>
    <w:rsid w:val="00D50A56"/>
    <w:rsid w:val="00D50DDA"/>
    <w:rsid w:val="00D51340"/>
    <w:rsid w:val="00D518CF"/>
    <w:rsid w:val="00D5198D"/>
    <w:rsid w:val="00D51A68"/>
    <w:rsid w:val="00D51C7F"/>
    <w:rsid w:val="00D51E85"/>
    <w:rsid w:val="00D51FAD"/>
    <w:rsid w:val="00D52501"/>
    <w:rsid w:val="00D52A1D"/>
    <w:rsid w:val="00D52CE2"/>
    <w:rsid w:val="00D530DD"/>
    <w:rsid w:val="00D5316A"/>
    <w:rsid w:val="00D53422"/>
    <w:rsid w:val="00D537B9"/>
    <w:rsid w:val="00D53B8C"/>
    <w:rsid w:val="00D53C77"/>
    <w:rsid w:val="00D53E9D"/>
    <w:rsid w:val="00D53EDD"/>
    <w:rsid w:val="00D54335"/>
    <w:rsid w:val="00D54512"/>
    <w:rsid w:val="00D546D6"/>
    <w:rsid w:val="00D54760"/>
    <w:rsid w:val="00D54B19"/>
    <w:rsid w:val="00D54C00"/>
    <w:rsid w:val="00D54EE9"/>
    <w:rsid w:val="00D54F9D"/>
    <w:rsid w:val="00D54FAB"/>
    <w:rsid w:val="00D55049"/>
    <w:rsid w:val="00D5513F"/>
    <w:rsid w:val="00D55169"/>
    <w:rsid w:val="00D55316"/>
    <w:rsid w:val="00D555FE"/>
    <w:rsid w:val="00D556E6"/>
    <w:rsid w:val="00D557BE"/>
    <w:rsid w:val="00D55BCA"/>
    <w:rsid w:val="00D55FEB"/>
    <w:rsid w:val="00D568E1"/>
    <w:rsid w:val="00D5716A"/>
    <w:rsid w:val="00D5747B"/>
    <w:rsid w:val="00D57827"/>
    <w:rsid w:val="00D57832"/>
    <w:rsid w:val="00D57C49"/>
    <w:rsid w:val="00D57E8F"/>
    <w:rsid w:val="00D57F28"/>
    <w:rsid w:val="00D60121"/>
    <w:rsid w:val="00D601A7"/>
    <w:rsid w:val="00D6025A"/>
    <w:rsid w:val="00D60418"/>
    <w:rsid w:val="00D604C3"/>
    <w:rsid w:val="00D605A5"/>
    <w:rsid w:val="00D605F7"/>
    <w:rsid w:val="00D60CF1"/>
    <w:rsid w:val="00D60DA5"/>
    <w:rsid w:val="00D60EE1"/>
    <w:rsid w:val="00D610A1"/>
    <w:rsid w:val="00D615D3"/>
    <w:rsid w:val="00D618D7"/>
    <w:rsid w:val="00D61CEE"/>
    <w:rsid w:val="00D61E28"/>
    <w:rsid w:val="00D61FDF"/>
    <w:rsid w:val="00D627E3"/>
    <w:rsid w:val="00D62945"/>
    <w:rsid w:val="00D63234"/>
    <w:rsid w:val="00D63423"/>
    <w:rsid w:val="00D63656"/>
    <w:rsid w:val="00D63B8B"/>
    <w:rsid w:val="00D63C88"/>
    <w:rsid w:val="00D63E3C"/>
    <w:rsid w:val="00D63F65"/>
    <w:rsid w:val="00D63F6C"/>
    <w:rsid w:val="00D64379"/>
    <w:rsid w:val="00D64478"/>
    <w:rsid w:val="00D646FF"/>
    <w:rsid w:val="00D6472C"/>
    <w:rsid w:val="00D64ADE"/>
    <w:rsid w:val="00D64C20"/>
    <w:rsid w:val="00D64C44"/>
    <w:rsid w:val="00D64CA1"/>
    <w:rsid w:val="00D64D7F"/>
    <w:rsid w:val="00D65077"/>
    <w:rsid w:val="00D6525F"/>
    <w:rsid w:val="00D6529B"/>
    <w:rsid w:val="00D65334"/>
    <w:rsid w:val="00D65711"/>
    <w:rsid w:val="00D65960"/>
    <w:rsid w:val="00D65BAA"/>
    <w:rsid w:val="00D65C3D"/>
    <w:rsid w:val="00D65CBF"/>
    <w:rsid w:val="00D66118"/>
    <w:rsid w:val="00D662DC"/>
    <w:rsid w:val="00D662E4"/>
    <w:rsid w:val="00D66507"/>
    <w:rsid w:val="00D66780"/>
    <w:rsid w:val="00D66784"/>
    <w:rsid w:val="00D668A3"/>
    <w:rsid w:val="00D66933"/>
    <w:rsid w:val="00D66CCB"/>
    <w:rsid w:val="00D66F5F"/>
    <w:rsid w:val="00D67409"/>
    <w:rsid w:val="00D67423"/>
    <w:rsid w:val="00D6752E"/>
    <w:rsid w:val="00D67855"/>
    <w:rsid w:val="00D6792A"/>
    <w:rsid w:val="00D67994"/>
    <w:rsid w:val="00D679B4"/>
    <w:rsid w:val="00D67FEA"/>
    <w:rsid w:val="00D70029"/>
    <w:rsid w:val="00D7016E"/>
    <w:rsid w:val="00D7029B"/>
    <w:rsid w:val="00D7045D"/>
    <w:rsid w:val="00D706D7"/>
    <w:rsid w:val="00D7086D"/>
    <w:rsid w:val="00D708B5"/>
    <w:rsid w:val="00D709F2"/>
    <w:rsid w:val="00D70F80"/>
    <w:rsid w:val="00D71074"/>
    <w:rsid w:val="00D71164"/>
    <w:rsid w:val="00D71427"/>
    <w:rsid w:val="00D71550"/>
    <w:rsid w:val="00D7181B"/>
    <w:rsid w:val="00D7193D"/>
    <w:rsid w:val="00D71945"/>
    <w:rsid w:val="00D71B59"/>
    <w:rsid w:val="00D71C59"/>
    <w:rsid w:val="00D71E95"/>
    <w:rsid w:val="00D72069"/>
    <w:rsid w:val="00D7248D"/>
    <w:rsid w:val="00D7273B"/>
    <w:rsid w:val="00D729EC"/>
    <w:rsid w:val="00D72A2A"/>
    <w:rsid w:val="00D7331D"/>
    <w:rsid w:val="00D7363E"/>
    <w:rsid w:val="00D739B0"/>
    <w:rsid w:val="00D73B98"/>
    <w:rsid w:val="00D74032"/>
    <w:rsid w:val="00D742A6"/>
    <w:rsid w:val="00D74322"/>
    <w:rsid w:val="00D744E6"/>
    <w:rsid w:val="00D7467A"/>
    <w:rsid w:val="00D74A06"/>
    <w:rsid w:val="00D74CD8"/>
    <w:rsid w:val="00D74CFB"/>
    <w:rsid w:val="00D74D04"/>
    <w:rsid w:val="00D74DC0"/>
    <w:rsid w:val="00D74E80"/>
    <w:rsid w:val="00D750E0"/>
    <w:rsid w:val="00D752AB"/>
    <w:rsid w:val="00D758FE"/>
    <w:rsid w:val="00D75B5B"/>
    <w:rsid w:val="00D75B67"/>
    <w:rsid w:val="00D75DC6"/>
    <w:rsid w:val="00D75DD9"/>
    <w:rsid w:val="00D7613B"/>
    <w:rsid w:val="00D7613C"/>
    <w:rsid w:val="00D76188"/>
    <w:rsid w:val="00D76B43"/>
    <w:rsid w:val="00D76B74"/>
    <w:rsid w:val="00D76BF9"/>
    <w:rsid w:val="00D77525"/>
    <w:rsid w:val="00D77529"/>
    <w:rsid w:val="00D7777C"/>
    <w:rsid w:val="00D778AA"/>
    <w:rsid w:val="00D778FF"/>
    <w:rsid w:val="00D77B05"/>
    <w:rsid w:val="00D77BE6"/>
    <w:rsid w:val="00D77C15"/>
    <w:rsid w:val="00D77D4F"/>
    <w:rsid w:val="00D77FB3"/>
    <w:rsid w:val="00D80078"/>
    <w:rsid w:val="00D80DB5"/>
    <w:rsid w:val="00D80DDC"/>
    <w:rsid w:val="00D81152"/>
    <w:rsid w:val="00D8115B"/>
    <w:rsid w:val="00D812E9"/>
    <w:rsid w:val="00D815E3"/>
    <w:rsid w:val="00D8178F"/>
    <w:rsid w:val="00D8179E"/>
    <w:rsid w:val="00D82305"/>
    <w:rsid w:val="00D8249F"/>
    <w:rsid w:val="00D824E0"/>
    <w:rsid w:val="00D82C00"/>
    <w:rsid w:val="00D82FAF"/>
    <w:rsid w:val="00D830C7"/>
    <w:rsid w:val="00D832DC"/>
    <w:rsid w:val="00D83535"/>
    <w:rsid w:val="00D83549"/>
    <w:rsid w:val="00D83653"/>
    <w:rsid w:val="00D83672"/>
    <w:rsid w:val="00D8371F"/>
    <w:rsid w:val="00D83964"/>
    <w:rsid w:val="00D83A2A"/>
    <w:rsid w:val="00D83A4D"/>
    <w:rsid w:val="00D83A79"/>
    <w:rsid w:val="00D83CA6"/>
    <w:rsid w:val="00D83CF4"/>
    <w:rsid w:val="00D8452D"/>
    <w:rsid w:val="00D845F3"/>
    <w:rsid w:val="00D84B0C"/>
    <w:rsid w:val="00D84CA9"/>
    <w:rsid w:val="00D84D99"/>
    <w:rsid w:val="00D84E39"/>
    <w:rsid w:val="00D8513C"/>
    <w:rsid w:val="00D85221"/>
    <w:rsid w:val="00D85335"/>
    <w:rsid w:val="00D856A4"/>
    <w:rsid w:val="00D85877"/>
    <w:rsid w:val="00D85B85"/>
    <w:rsid w:val="00D85FF9"/>
    <w:rsid w:val="00D86088"/>
    <w:rsid w:val="00D865F0"/>
    <w:rsid w:val="00D86CB2"/>
    <w:rsid w:val="00D86E2D"/>
    <w:rsid w:val="00D87064"/>
    <w:rsid w:val="00D872AC"/>
    <w:rsid w:val="00D87C32"/>
    <w:rsid w:val="00D87E96"/>
    <w:rsid w:val="00D87EF2"/>
    <w:rsid w:val="00D87EF4"/>
    <w:rsid w:val="00D90420"/>
    <w:rsid w:val="00D904EE"/>
    <w:rsid w:val="00D905CC"/>
    <w:rsid w:val="00D90649"/>
    <w:rsid w:val="00D90FF0"/>
    <w:rsid w:val="00D91992"/>
    <w:rsid w:val="00D91C72"/>
    <w:rsid w:val="00D91D34"/>
    <w:rsid w:val="00D92CA4"/>
    <w:rsid w:val="00D92DB8"/>
    <w:rsid w:val="00D9316F"/>
    <w:rsid w:val="00D93283"/>
    <w:rsid w:val="00D93608"/>
    <w:rsid w:val="00D9385A"/>
    <w:rsid w:val="00D93D69"/>
    <w:rsid w:val="00D94117"/>
    <w:rsid w:val="00D94276"/>
    <w:rsid w:val="00D94565"/>
    <w:rsid w:val="00D94880"/>
    <w:rsid w:val="00D94BA5"/>
    <w:rsid w:val="00D94F07"/>
    <w:rsid w:val="00D94F40"/>
    <w:rsid w:val="00D95042"/>
    <w:rsid w:val="00D951D7"/>
    <w:rsid w:val="00D9527A"/>
    <w:rsid w:val="00D952C2"/>
    <w:rsid w:val="00D954BF"/>
    <w:rsid w:val="00D957BB"/>
    <w:rsid w:val="00D95D4A"/>
    <w:rsid w:val="00D96745"/>
    <w:rsid w:val="00D96830"/>
    <w:rsid w:val="00D96B4E"/>
    <w:rsid w:val="00D96BEB"/>
    <w:rsid w:val="00D96CCC"/>
    <w:rsid w:val="00D972BF"/>
    <w:rsid w:val="00D9786F"/>
    <w:rsid w:val="00D9793D"/>
    <w:rsid w:val="00D97BED"/>
    <w:rsid w:val="00DA0466"/>
    <w:rsid w:val="00DA0486"/>
    <w:rsid w:val="00DA0658"/>
    <w:rsid w:val="00DA0A3A"/>
    <w:rsid w:val="00DA0E9E"/>
    <w:rsid w:val="00DA0F30"/>
    <w:rsid w:val="00DA13A2"/>
    <w:rsid w:val="00DA147C"/>
    <w:rsid w:val="00DA154A"/>
    <w:rsid w:val="00DA1C4A"/>
    <w:rsid w:val="00DA21D3"/>
    <w:rsid w:val="00DA2BA8"/>
    <w:rsid w:val="00DA393C"/>
    <w:rsid w:val="00DA3B58"/>
    <w:rsid w:val="00DA3C1F"/>
    <w:rsid w:val="00DA3CC2"/>
    <w:rsid w:val="00DA4754"/>
    <w:rsid w:val="00DA4C30"/>
    <w:rsid w:val="00DA4C99"/>
    <w:rsid w:val="00DA4EB1"/>
    <w:rsid w:val="00DA5516"/>
    <w:rsid w:val="00DA563C"/>
    <w:rsid w:val="00DA5839"/>
    <w:rsid w:val="00DA5B1A"/>
    <w:rsid w:val="00DA5C52"/>
    <w:rsid w:val="00DA5CFD"/>
    <w:rsid w:val="00DA6054"/>
    <w:rsid w:val="00DA728A"/>
    <w:rsid w:val="00DA72DE"/>
    <w:rsid w:val="00DA77FC"/>
    <w:rsid w:val="00DA79F3"/>
    <w:rsid w:val="00DA7BDA"/>
    <w:rsid w:val="00DA7CD2"/>
    <w:rsid w:val="00DA7EAA"/>
    <w:rsid w:val="00DB00AF"/>
    <w:rsid w:val="00DB029E"/>
    <w:rsid w:val="00DB0833"/>
    <w:rsid w:val="00DB0EA4"/>
    <w:rsid w:val="00DB0ECD"/>
    <w:rsid w:val="00DB1435"/>
    <w:rsid w:val="00DB1526"/>
    <w:rsid w:val="00DB1873"/>
    <w:rsid w:val="00DB1971"/>
    <w:rsid w:val="00DB1A93"/>
    <w:rsid w:val="00DB1C05"/>
    <w:rsid w:val="00DB1D71"/>
    <w:rsid w:val="00DB1DFE"/>
    <w:rsid w:val="00DB27AE"/>
    <w:rsid w:val="00DB2939"/>
    <w:rsid w:val="00DB2977"/>
    <w:rsid w:val="00DB2D78"/>
    <w:rsid w:val="00DB2D7B"/>
    <w:rsid w:val="00DB2E34"/>
    <w:rsid w:val="00DB2E91"/>
    <w:rsid w:val="00DB342D"/>
    <w:rsid w:val="00DB3914"/>
    <w:rsid w:val="00DB4104"/>
    <w:rsid w:val="00DB4271"/>
    <w:rsid w:val="00DB4351"/>
    <w:rsid w:val="00DB455C"/>
    <w:rsid w:val="00DB4B5D"/>
    <w:rsid w:val="00DB4C67"/>
    <w:rsid w:val="00DB527D"/>
    <w:rsid w:val="00DB5518"/>
    <w:rsid w:val="00DB56BE"/>
    <w:rsid w:val="00DB57E9"/>
    <w:rsid w:val="00DB5968"/>
    <w:rsid w:val="00DB59FA"/>
    <w:rsid w:val="00DB5BE0"/>
    <w:rsid w:val="00DB5D94"/>
    <w:rsid w:val="00DB5F8B"/>
    <w:rsid w:val="00DB5FFC"/>
    <w:rsid w:val="00DB6198"/>
    <w:rsid w:val="00DB61A5"/>
    <w:rsid w:val="00DB61F4"/>
    <w:rsid w:val="00DB62A3"/>
    <w:rsid w:val="00DB66CC"/>
    <w:rsid w:val="00DB672D"/>
    <w:rsid w:val="00DB6786"/>
    <w:rsid w:val="00DB67B2"/>
    <w:rsid w:val="00DB68CD"/>
    <w:rsid w:val="00DB692C"/>
    <w:rsid w:val="00DB7257"/>
    <w:rsid w:val="00DB72C0"/>
    <w:rsid w:val="00DB72EC"/>
    <w:rsid w:val="00DB7BE7"/>
    <w:rsid w:val="00DB7C93"/>
    <w:rsid w:val="00DB7CEA"/>
    <w:rsid w:val="00DB7F28"/>
    <w:rsid w:val="00DC031B"/>
    <w:rsid w:val="00DC061A"/>
    <w:rsid w:val="00DC07B6"/>
    <w:rsid w:val="00DC0B1A"/>
    <w:rsid w:val="00DC0EB9"/>
    <w:rsid w:val="00DC11A3"/>
    <w:rsid w:val="00DC1373"/>
    <w:rsid w:val="00DC13E4"/>
    <w:rsid w:val="00DC1650"/>
    <w:rsid w:val="00DC1770"/>
    <w:rsid w:val="00DC1893"/>
    <w:rsid w:val="00DC1D04"/>
    <w:rsid w:val="00DC1E0E"/>
    <w:rsid w:val="00DC232E"/>
    <w:rsid w:val="00DC280D"/>
    <w:rsid w:val="00DC2B64"/>
    <w:rsid w:val="00DC3288"/>
    <w:rsid w:val="00DC32D8"/>
    <w:rsid w:val="00DC37C6"/>
    <w:rsid w:val="00DC386F"/>
    <w:rsid w:val="00DC3DE3"/>
    <w:rsid w:val="00DC4508"/>
    <w:rsid w:val="00DC4673"/>
    <w:rsid w:val="00DC46BD"/>
    <w:rsid w:val="00DC4705"/>
    <w:rsid w:val="00DC4C0D"/>
    <w:rsid w:val="00DC4CEC"/>
    <w:rsid w:val="00DC54C3"/>
    <w:rsid w:val="00DC57CF"/>
    <w:rsid w:val="00DC5973"/>
    <w:rsid w:val="00DC5CC2"/>
    <w:rsid w:val="00DC5D72"/>
    <w:rsid w:val="00DC6004"/>
    <w:rsid w:val="00DC6765"/>
    <w:rsid w:val="00DC6805"/>
    <w:rsid w:val="00DC6A3A"/>
    <w:rsid w:val="00DC6D8D"/>
    <w:rsid w:val="00DC703B"/>
    <w:rsid w:val="00DC72FA"/>
    <w:rsid w:val="00DC7CB1"/>
    <w:rsid w:val="00DD0151"/>
    <w:rsid w:val="00DD06A8"/>
    <w:rsid w:val="00DD07AC"/>
    <w:rsid w:val="00DD0B01"/>
    <w:rsid w:val="00DD0D27"/>
    <w:rsid w:val="00DD0F11"/>
    <w:rsid w:val="00DD0FD7"/>
    <w:rsid w:val="00DD1057"/>
    <w:rsid w:val="00DD10FC"/>
    <w:rsid w:val="00DD14D8"/>
    <w:rsid w:val="00DD1788"/>
    <w:rsid w:val="00DD1BD3"/>
    <w:rsid w:val="00DD1BF8"/>
    <w:rsid w:val="00DD1E4F"/>
    <w:rsid w:val="00DD2176"/>
    <w:rsid w:val="00DD231A"/>
    <w:rsid w:val="00DD245E"/>
    <w:rsid w:val="00DD25D8"/>
    <w:rsid w:val="00DD2865"/>
    <w:rsid w:val="00DD2A0F"/>
    <w:rsid w:val="00DD2B68"/>
    <w:rsid w:val="00DD2EAD"/>
    <w:rsid w:val="00DD2FC7"/>
    <w:rsid w:val="00DD3066"/>
    <w:rsid w:val="00DD3318"/>
    <w:rsid w:val="00DD3A1C"/>
    <w:rsid w:val="00DD411F"/>
    <w:rsid w:val="00DD459A"/>
    <w:rsid w:val="00DD489C"/>
    <w:rsid w:val="00DD495F"/>
    <w:rsid w:val="00DD5344"/>
    <w:rsid w:val="00DD5759"/>
    <w:rsid w:val="00DD58CC"/>
    <w:rsid w:val="00DD5C0C"/>
    <w:rsid w:val="00DD5D5A"/>
    <w:rsid w:val="00DD5EE6"/>
    <w:rsid w:val="00DD68B6"/>
    <w:rsid w:val="00DD6A45"/>
    <w:rsid w:val="00DD6B8E"/>
    <w:rsid w:val="00DD6FD0"/>
    <w:rsid w:val="00DD7117"/>
    <w:rsid w:val="00DD75A8"/>
    <w:rsid w:val="00DD78CB"/>
    <w:rsid w:val="00DD79D1"/>
    <w:rsid w:val="00DD7C2B"/>
    <w:rsid w:val="00DE016B"/>
    <w:rsid w:val="00DE01C6"/>
    <w:rsid w:val="00DE02ED"/>
    <w:rsid w:val="00DE0462"/>
    <w:rsid w:val="00DE0546"/>
    <w:rsid w:val="00DE0998"/>
    <w:rsid w:val="00DE0AAE"/>
    <w:rsid w:val="00DE118C"/>
    <w:rsid w:val="00DE11DD"/>
    <w:rsid w:val="00DE1386"/>
    <w:rsid w:val="00DE1445"/>
    <w:rsid w:val="00DE1490"/>
    <w:rsid w:val="00DE1946"/>
    <w:rsid w:val="00DE1CFC"/>
    <w:rsid w:val="00DE1F76"/>
    <w:rsid w:val="00DE25A6"/>
    <w:rsid w:val="00DE2B03"/>
    <w:rsid w:val="00DE2B45"/>
    <w:rsid w:val="00DE2F7F"/>
    <w:rsid w:val="00DE30D2"/>
    <w:rsid w:val="00DE315A"/>
    <w:rsid w:val="00DE31AB"/>
    <w:rsid w:val="00DE325D"/>
    <w:rsid w:val="00DE34E5"/>
    <w:rsid w:val="00DE3589"/>
    <w:rsid w:val="00DE36E4"/>
    <w:rsid w:val="00DE37C6"/>
    <w:rsid w:val="00DE384E"/>
    <w:rsid w:val="00DE39C2"/>
    <w:rsid w:val="00DE3C2E"/>
    <w:rsid w:val="00DE3D36"/>
    <w:rsid w:val="00DE3DF0"/>
    <w:rsid w:val="00DE47AA"/>
    <w:rsid w:val="00DE4BED"/>
    <w:rsid w:val="00DE5002"/>
    <w:rsid w:val="00DE56CB"/>
    <w:rsid w:val="00DE58AF"/>
    <w:rsid w:val="00DE604E"/>
    <w:rsid w:val="00DE617A"/>
    <w:rsid w:val="00DE622F"/>
    <w:rsid w:val="00DE639D"/>
    <w:rsid w:val="00DE65B6"/>
    <w:rsid w:val="00DE65CA"/>
    <w:rsid w:val="00DE6A43"/>
    <w:rsid w:val="00DE6B84"/>
    <w:rsid w:val="00DE6D93"/>
    <w:rsid w:val="00DE6EF7"/>
    <w:rsid w:val="00DE71C6"/>
    <w:rsid w:val="00DE7448"/>
    <w:rsid w:val="00DE779B"/>
    <w:rsid w:val="00DE79F7"/>
    <w:rsid w:val="00DE7B4B"/>
    <w:rsid w:val="00DE7C67"/>
    <w:rsid w:val="00DE7D34"/>
    <w:rsid w:val="00DE7D5C"/>
    <w:rsid w:val="00DE7EAF"/>
    <w:rsid w:val="00DF00A2"/>
    <w:rsid w:val="00DF00C5"/>
    <w:rsid w:val="00DF08B3"/>
    <w:rsid w:val="00DF0B9E"/>
    <w:rsid w:val="00DF0FE9"/>
    <w:rsid w:val="00DF110C"/>
    <w:rsid w:val="00DF11D5"/>
    <w:rsid w:val="00DF1285"/>
    <w:rsid w:val="00DF143B"/>
    <w:rsid w:val="00DF15BC"/>
    <w:rsid w:val="00DF17FD"/>
    <w:rsid w:val="00DF1D2E"/>
    <w:rsid w:val="00DF1FEF"/>
    <w:rsid w:val="00DF238A"/>
    <w:rsid w:val="00DF24DA"/>
    <w:rsid w:val="00DF2795"/>
    <w:rsid w:val="00DF28DF"/>
    <w:rsid w:val="00DF2DDF"/>
    <w:rsid w:val="00DF2FB9"/>
    <w:rsid w:val="00DF3048"/>
    <w:rsid w:val="00DF35E3"/>
    <w:rsid w:val="00DF372B"/>
    <w:rsid w:val="00DF3A93"/>
    <w:rsid w:val="00DF4033"/>
    <w:rsid w:val="00DF43D0"/>
    <w:rsid w:val="00DF4577"/>
    <w:rsid w:val="00DF4921"/>
    <w:rsid w:val="00DF4B73"/>
    <w:rsid w:val="00DF55C5"/>
    <w:rsid w:val="00DF5C03"/>
    <w:rsid w:val="00DF6018"/>
    <w:rsid w:val="00DF62D7"/>
    <w:rsid w:val="00DF63CD"/>
    <w:rsid w:val="00DF665A"/>
    <w:rsid w:val="00DF680B"/>
    <w:rsid w:val="00DF6876"/>
    <w:rsid w:val="00DF6B8A"/>
    <w:rsid w:val="00DF6BE7"/>
    <w:rsid w:val="00DF6FE2"/>
    <w:rsid w:val="00DF74E8"/>
    <w:rsid w:val="00DF771D"/>
    <w:rsid w:val="00DF781C"/>
    <w:rsid w:val="00DF7922"/>
    <w:rsid w:val="00E0019C"/>
    <w:rsid w:val="00E002EE"/>
    <w:rsid w:val="00E003BC"/>
    <w:rsid w:val="00E0051E"/>
    <w:rsid w:val="00E00526"/>
    <w:rsid w:val="00E011D0"/>
    <w:rsid w:val="00E011F4"/>
    <w:rsid w:val="00E0124C"/>
    <w:rsid w:val="00E0145B"/>
    <w:rsid w:val="00E01916"/>
    <w:rsid w:val="00E01A1B"/>
    <w:rsid w:val="00E01B01"/>
    <w:rsid w:val="00E01B1F"/>
    <w:rsid w:val="00E01BE1"/>
    <w:rsid w:val="00E01FD7"/>
    <w:rsid w:val="00E02196"/>
    <w:rsid w:val="00E0240A"/>
    <w:rsid w:val="00E024FB"/>
    <w:rsid w:val="00E026C8"/>
    <w:rsid w:val="00E027B8"/>
    <w:rsid w:val="00E028DA"/>
    <w:rsid w:val="00E02B87"/>
    <w:rsid w:val="00E02C82"/>
    <w:rsid w:val="00E03523"/>
    <w:rsid w:val="00E036B2"/>
    <w:rsid w:val="00E03907"/>
    <w:rsid w:val="00E03CF2"/>
    <w:rsid w:val="00E03E9E"/>
    <w:rsid w:val="00E03FFF"/>
    <w:rsid w:val="00E04182"/>
    <w:rsid w:val="00E04712"/>
    <w:rsid w:val="00E04ADD"/>
    <w:rsid w:val="00E050CB"/>
    <w:rsid w:val="00E052A6"/>
    <w:rsid w:val="00E05949"/>
    <w:rsid w:val="00E05B0B"/>
    <w:rsid w:val="00E05BA3"/>
    <w:rsid w:val="00E05BFE"/>
    <w:rsid w:val="00E05E3B"/>
    <w:rsid w:val="00E06137"/>
    <w:rsid w:val="00E063DD"/>
    <w:rsid w:val="00E066CF"/>
    <w:rsid w:val="00E067F5"/>
    <w:rsid w:val="00E06AFE"/>
    <w:rsid w:val="00E06E69"/>
    <w:rsid w:val="00E06F57"/>
    <w:rsid w:val="00E06FEC"/>
    <w:rsid w:val="00E0711F"/>
    <w:rsid w:val="00E07130"/>
    <w:rsid w:val="00E07252"/>
    <w:rsid w:val="00E0752B"/>
    <w:rsid w:val="00E0777F"/>
    <w:rsid w:val="00E0785C"/>
    <w:rsid w:val="00E07AC4"/>
    <w:rsid w:val="00E07C6C"/>
    <w:rsid w:val="00E07D62"/>
    <w:rsid w:val="00E101F7"/>
    <w:rsid w:val="00E10588"/>
    <w:rsid w:val="00E10608"/>
    <w:rsid w:val="00E107CB"/>
    <w:rsid w:val="00E10C60"/>
    <w:rsid w:val="00E10F67"/>
    <w:rsid w:val="00E110B6"/>
    <w:rsid w:val="00E112E2"/>
    <w:rsid w:val="00E112F6"/>
    <w:rsid w:val="00E113AF"/>
    <w:rsid w:val="00E11525"/>
    <w:rsid w:val="00E1155F"/>
    <w:rsid w:val="00E118AE"/>
    <w:rsid w:val="00E118EC"/>
    <w:rsid w:val="00E11BD8"/>
    <w:rsid w:val="00E11EDF"/>
    <w:rsid w:val="00E12123"/>
    <w:rsid w:val="00E1239B"/>
    <w:rsid w:val="00E1255C"/>
    <w:rsid w:val="00E125C5"/>
    <w:rsid w:val="00E126C9"/>
    <w:rsid w:val="00E128DB"/>
    <w:rsid w:val="00E12922"/>
    <w:rsid w:val="00E12E1A"/>
    <w:rsid w:val="00E12EEE"/>
    <w:rsid w:val="00E1325F"/>
    <w:rsid w:val="00E13309"/>
    <w:rsid w:val="00E1342E"/>
    <w:rsid w:val="00E13537"/>
    <w:rsid w:val="00E1356A"/>
    <w:rsid w:val="00E135DD"/>
    <w:rsid w:val="00E13617"/>
    <w:rsid w:val="00E13791"/>
    <w:rsid w:val="00E13A36"/>
    <w:rsid w:val="00E13B6C"/>
    <w:rsid w:val="00E13DE4"/>
    <w:rsid w:val="00E145D7"/>
    <w:rsid w:val="00E14727"/>
    <w:rsid w:val="00E15134"/>
    <w:rsid w:val="00E1573A"/>
    <w:rsid w:val="00E15E8F"/>
    <w:rsid w:val="00E15F35"/>
    <w:rsid w:val="00E15FCB"/>
    <w:rsid w:val="00E1641C"/>
    <w:rsid w:val="00E16788"/>
    <w:rsid w:val="00E167FB"/>
    <w:rsid w:val="00E17548"/>
    <w:rsid w:val="00E17BE8"/>
    <w:rsid w:val="00E17D52"/>
    <w:rsid w:val="00E20269"/>
    <w:rsid w:val="00E206C7"/>
    <w:rsid w:val="00E207B4"/>
    <w:rsid w:val="00E2090D"/>
    <w:rsid w:val="00E20DAB"/>
    <w:rsid w:val="00E2106E"/>
    <w:rsid w:val="00E21282"/>
    <w:rsid w:val="00E2139C"/>
    <w:rsid w:val="00E21576"/>
    <w:rsid w:val="00E21700"/>
    <w:rsid w:val="00E2182D"/>
    <w:rsid w:val="00E21838"/>
    <w:rsid w:val="00E21C41"/>
    <w:rsid w:val="00E21C56"/>
    <w:rsid w:val="00E21F63"/>
    <w:rsid w:val="00E229D8"/>
    <w:rsid w:val="00E22B2B"/>
    <w:rsid w:val="00E22DD4"/>
    <w:rsid w:val="00E22FCD"/>
    <w:rsid w:val="00E23023"/>
    <w:rsid w:val="00E23116"/>
    <w:rsid w:val="00E23181"/>
    <w:rsid w:val="00E23775"/>
    <w:rsid w:val="00E239F9"/>
    <w:rsid w:val="00E23B33"/>
    <w:rsid w:val="00E23BC5"/>
    <w:rsid w:val="00E23EE0"/>
    <w:rsid w:val="00E23F57"/>
    <w:rsid w:val="00E2405F"/>
    <w:rsid w:val="00E245D6"/>
    <w:rsid w:val="00E247A8"/>
    <w:rsid w:val="00E249A4"/>
    <w:rsid w:val="00E24B05"/>
    <w:rsid w:val="00E24B23"/>
    <w:rsid w:val="00E24C52"/>
    <w:rsid w:val="00E25243"/>
    <w:rsid w:val="00E257A9"/>
    <w:rsid w:val="00E26200"/>
    <w:rsid w:val="00E263FF"/>
    <w:rsid w:val="00E26425"/>
    <w:rsid w:val="00E269ED"/>
    <w:rsid w:val="00E26A5D"/>
    <w:rsid w:val="00E27010"/>
    <w:rsid w:val="00E2704E"/>
    <w:rsid w:val="00E27211"/>
    <w:rsid w:val="00E273C2"/>
    <w:rsid w:val="00E27629"/>
    <w:rsid w:val="00E27B43"/>
    <w:rsid w:val="00E27C64"/>
    <w:rsid w:val="00E27D2C"/>
    <w:rsid w:val="00E300DF"/>
    <w:rsid w:val="00E30AB1"/>
    <w:rsid w:val="00E30DBB"/>
    <w:rsid w:val="00E311E1"/>
    <w:rsid w:val="00E31892"/>
    <w:rsid w:val="00E318CE"/>
    <w:rsid w:val="00E31A8D"/>
    <w:rsid w:val="00E31E9F"/>
    <w:rsid w:val="00E327D1"/>
    <w:rsid w:val="00E328FE"/>
    <w:rsid w:val="00E329EB"/>
    <w:rsid w:val="00E32A08"/>
    <w:rsid w:val="00E32BC2"/>
    <w:rsid w:val="00E32C13"/>
    <w:rsid w:val="00E32D92"/>
    <w:rsid w:val="00E32E51"/>
    <w:rsid w:val="00E32EE7"/>
    <w:rsid w:val="00E3300D"/>
    <w:rsid w:val="00E336F0"/>
    <w:rsid w:val="00E338A7"/>
    <w:rsid w:val="00E33B13"/>
    <w:rsid w:val="00E34235"/>
    <w:rsid w:val="00E34467"/>
    <w:rsid w:val="00E345C9"/>
    <w:rsid w:val="00E3469E"/>
    <w:rsid w:val="00E34D4C"/>
    <w:rsid w:val="00E34FA2"/>
    <w:rsid w:val="00E35273"/>
    <w:rsid w:val="00E353D1"/>
    <w:rsid w:val="00E35C57"/>
    <w:rsid w:val="00E35C78"/>
    <w:rsid w:val="00E35CCA"/>
    <w:rsid w:val="00E35DD8"/>
    <w:rsid w:val="00E36248"/>
    <w:rsid w:val="00E36314"/>
    <w:rsid w:val="00E36A63"/>
    <w:rsid w:val="00E36AD5"/>
    <w:rsid w:val="00E36D4C"/>
    <w:rsid w:val="00E37249"/>
    <w:rsid w:val="00E37303"/>
    <w:rsid w:val="00E3740D"/>
    <w:rsid w:val="00E378EF"/>
    <w:rsid w:val="00E40368"/>
    <w:rsid w:val="00E407A1"/>
    <w:rsid w:val="00E408B0"/>
    <w:rsid w:val="00E40AB2"/>
    <w:rsid w:val="00E40BAD"/>
    <w:rsid w:val="00E40C96"/>
    <w:rsid w:val="00E40E31"/>
    <w:rsid w:val="00E41092"/>
    <w:rsid w:val="00E41198"/>
    <w:rsid w:val="00E4158F"/>
    <w:rsid w:val="00E41601"/>
    <w:rsid w:val="00E4167F"/>
    <w:rsid w:val="00E42156"/>
    <w:rsid w:val="00E421F8"/>
    <w:rsid w:val="00E424F4"/>
    <w:rsid w:val="00E426C6"/>
    <w:rsid w:val="00E42912"/>
    <w:rsid w:val="00E42B1D"/>
    <w:rsid w:val="00E42B29"/>
    <w:rsid w:val="00E42C3A"/>
    <w:rsid w:val="00E42C74"/>
    <w:rsid w:val="00E42F15"/>
    <w:rsid w:val="00E433DA"/>
    <w:rsid w:val="00E43684"/>
    <w:rsid w:val="00E4383F"/>
    <w:rsid w:val="00E43BBA"/>
    <w:rsid w:val="00E43DD6"/>
    <w:rsid w:val="00E43E76"/>
    <w:rsid w:val="00E43EE1"/>
    <w:rsid w:val="00E441A2"/>
    <w:rsid w:val="00E446E9"/>
    <w:rsid w:val="00E446F0"/>
    <w:rsid w:val="00E44A3A"/>
    <w:rsid w:val="00E4540A"/>
    <w:rsid w:val="00E45699"/>
    <w:rsid w:val="00E458F3"/>
    <w:rsid w:val="00E45A02"/>
    <w:rsid w:val="00E45BDE"/>
    <w:rsid w:val="00E45DC6"/>
    <w:rsid w:val="00E46051"/>
    <w:rsid w:val="00E460F7"/>
    <w:rsid w:val="00E46A63"/>
    <w:rsid w:val="00E46BAC"/>
    <w:rsid w:val="00E46FFF"/>
    <w:rsid w:val="00E4743E"/>
    <w:rsid w:val="00E474BC"/>
    <w:rsid w:val="00E4761C"/>
    <w:rsid w:val="00E47DF3"/>
    <w:rsid w:val="00E47EC2"/>
    <w:rsid w:val="00E5003D"/>
    <w:rsid w:val="00E5035A"/>
    <w:rsid w:val="00E50614"/>
    <w:rsid w:val="00E50632"/>
    <w:rsid w:val="00E50C8A"/>
    <w:rsid w:val="00E511F4"/>
    <w:rsid w:val="00E51A1B"/>
    <w:rsid w:val="00E5213F"/>
    <w:rsid w:val="00E524B7"/>
    <w:rsid w:val="00E525FC"/>
    <w:rsid w:val="00E530D8"/>
    <w:rsid w:val="00E530FD"/>
    <w:rsid w:val="00E53151"/>
    <w:rsid w:val="00E5342E"/>
    <w:rsid w:val="00E53593"/>
    <w:rsid w:val="00E53D10"/>
    <w:rsid w:val="00E53DBC"/>
    <w:rsid w:val="00E53DED"/>
    <w:rsid w:val="00E53E33"/>
    <w:rsid w:val="00E53ED5"/>
    <w:rsid w:val="00E54162"/>
    <w:rsid w:val="00E543CF"/>
    <w:rsid w:val="00E544CE"/>
    <w:rsid w:val="00E545FC"/>
    <w:rsid w:val="00E549FD"/>
    <w:rsid w:val="00E54B65"/>
    <w:rsid w:val="00E54F3F"/>
    <w:rsid w:val="00E55181"/>
    <w:rsid w:val="00E55477"/>
    <w:rsid w:val="00E55662"/>
    <w:rsid w:val="00E556D3"/>
    <w:rsid w:val="00E55A19"/>
    <w:rsid w:val="00E55B2E"/>
    <w:rsid w:val="00E55EA0"/>
    <w:rsid w:val="00E562DF"/>
    <w:rsid w:val="00E565AF"/>
    <w:rsid w:val="00E56AD9"/>
    <w:rsid w:val="00E56B3C"/>
    <w:rsid w:val="00E56C15"/>
    <w:rsid w:val="00E56EEC"/>
    <w:rsid w:val="00E570AC"/>
    <w:rsid w:val="00E570EA"/>
    <w:rsid w:val="00E5715B"/>
    <w:rsid w:val="00E57167"/>
    <w:rsid w:val="00E57483"/>
    <w:rsid w:val="00E5795E"/>
    <w:rsid w:val="00E57990"/>
    <w:rsid w:val="00E57BB6"/>
    <w:rsid w:val="00E57FCB"/>
    <w:rsid w:val="00E600EC"/>
    <w:rsid w:val="00E60464"/>
    <w:rsid w:val="00E60823"/>
    <w:rsid w:val="00E60828"/>
    <w:rsid w:val="00E60854"/>
    <w:rsid w:val="00E60885"/>
    <w:rsid w:val="00E60A94"/>
    <w:rsid w:val="00E60DBD"/>
    <w:rsid w:val="00E60EC4"/>
    <w:rsid w:val="00E615D8"/>
    <w:rsid w:val="00E61BFA"/>
    <w:rsid w:val="00E61D41"/>
    <w:rsid w:val="00E61FD2"/>
    <w:rsid w:val="00E62157"/>
    <w:rsid w:val="00E622FF"/>
    <w:rsid w:val="00E62673"/>
    <w:rsid w:val="00E626C1"/>
    <w:rsid w:val="00E62D9B"/>
    <w:rsid w:val="00E631EB"/>
    <w:rsid w:val="00E631ED"/>
    <w:rsid w:val="00E6332C"/>
    <w:rsid w:val="00E63508"/>
    <w:rsid w:val="00E6373E"/>
    <w:rsid w:val="00E63E17"/>
    <w:rsid w:val="00E640B7"/>
    <w:rsid w:val="00E64189"/>
    <w:rsid w:val="00E642E6"/>
    <w:rsid w:val="00E64441"/>
    <w:rsid w:val="00E647F8"/>
    <w:rsid w:val="00E64BB7"/>
    <w:rsid w:val="00E64C31"/>
    <w:rsid w:val="00E64C4B"/>
    <w:rsid w:val="00E64D54"/>
    <w:rsid w:val="00E64D82"/>
    <w:rsid w:val="00E64E68"/>
    <w:rsid w:val="00E65991"/>
    <w:rsid w:val="00E659E3"/>
    <w:rsid w:val="00E66381"/>
    <w:rsid w:val="00E66841"/>
    <w:rsid w:val="00E66A6D"/>
    <w:rsid w:val="00E66E98"/>
    <w:rsid w:val="00E66F8A"/>
    <w:rsid w:val="00E67331"/>
    <w:rsid w:val="00E6743A"/>
    <w:rsid w:val="00E676EE"/>
    <w:rsid w:val="00E67891"/>
    <w:rsid w:val="00E678C8"/>
    <w:rsid w:val="00E67AFB"/>
    <w:rsid w:val="00E67BC0"/>
    <w:rsid w:val="00E67D47"/>
    <w:rsid w:val="00E700F7"/>
    <w:rsid w:val="00E7029B"/>
    <w:rsid w:val="00E702DC"/>
    <w:rsid w:val="00E70C1B"/>
    <w:rsid w:val="00E70D56"/>
    <w:rsid w:val="00E70DEC"/>
    <w:rsid w:val="00E713CF"/>
    <w:rsid w:val="00E71406"/>
    <w:rsid w:val="00E71620"/>
    <w:rsid w:val="00E71A54"/>
    <w:rsid w:val="00E71B46"/>
    <w:rsid w:val="00E71EB5"/>
    <w:rsid w:val="00E71EDF"/>
    <w:rsid w:val="00E7216B"/>
    <w:rsid w:val="00E7217B"/>
    <w:rsid w:val="00E724E8"/>
    <w:rsid w:val="00E725A1"/>
    <w:rsid w:val="00E72733"/>
    <w:rsid w:val="00E72C81"/>
    <w:rsid w:val="00E72F36"/>
    <w:rsid w:val="00E73325"/>
    <w:rsid w:val="00E73450"/>
    <w:rsid w:val="00E738FE"/>
    <w:rsid w:val="00E739CD"/>
    <w:rsid w:val="00E73B65"/>
    <w:rsid w:val="00E73F74"/>
    <w:rsid w:val="00E73FC3"/>
    <w:rsid w:val="00E743E8"/>
    <w:rsid w:val="00E7441A"/>
    <w:rsid w:val="00E74637"/>
    <w:rsid w:val="00E748A1"/>
    <w:rsid w:val="00E74B24"/>
    <w:rsid w:val="00E74E6A"/>
    <w:rsid w:val="00E74EDA"/>
    <w:rsid w:val="00E7500D"/>
    <w:rsid w:val="00E750BF"/>
    <w:rsid w:val="00E753E0"/>
    <w:rsid w:val="00E75422"/>
    <w:rsid w:val="00E754CD"/>
    <w:rsid w:val="00E7567E"/>
    <w:rsid w:val="00E758D6"/>
    <w:rsid w:val="00E7600B"/>
    <w:rsid w:val="00E76166"/>
    <w:rsid w:val="00E7650C"/>
    <w:rsid w:val="00E76748"/>
    <w:rsid w:val="00E7695A"/>
    <w:rsid w:val="00E76A1F"/>
    <w:rsid w:val="00E76C0B"/>
    <w:rsid w:val="00E77059"/>
    <w:rsid w:val="00E774B0"/>
    <w:rsid w:val="00E7795D"/>
    <w:rsid w:val="00E80043"/>
    <w:rsid w:val="00E802D2"/>
    <w:rsid w:val="00E807B6"/>
    <w:rsid w:val="00E80810"/>
    <w:rsid w:val="00E8098D"/>
    <w:rsid w:val="00E80B13"/>
    <w:rsid w:val="00E80B4A"/>
    <w:rsid w:val="00E812E7"/>
    <w:rsid w:val="00E81817"/>
    <w:rsid w:val="00E81983"/>
    <w:rsid w:val="00E81B18"/>
    <w:rsid w:val="00E81CB1"/>
    <w:rsid w:val="00E82AF3"/>
    <w:rsid w:val="00E82C64"/>
    <w:rsid w:val="00E82EB3"/>
    <w:rsid w:val="00E82FAA"/>
    <w:rsid w:val="00E8358A"/>
    <w:rsid w:val="00E83678"/>
    <w:rsid w:val="00E837FF"/>
    <w:rsid w:val="00E83F33"/>
    <w:rsid w:val="00E84620"/>
    <w:rsid w:val="00E84A96"/>
    <w:rsid w:val="00E84C37"/>
    <w:rsid w:val="00E84CAB"/>
    <w:rsid w:val="00E851A6"/>
    <w:rsid w:val="00E85447"/>
    <w:rsid w:val="00E85DBE"/>
    <w:rsid w:val="00E85EF0"/>
    <w:rsid w:val="00E86097"/>
    <w:rsid w:val="00E8643E"/>
    <w:rsid w:val="00E864D3"/>
    <w:rsid w:val="00E866E9"/>
    <w:rsid w:val="00E86CEE"/>
    <w:rsid w:val="00E86E02"/>
    <w:rsid w:val="00E86E62"/>
    <w:rsid w:val="00E86F4E"/>
    <w:rsid w:val="00E86F5E"/>
    <w:rsid w:val="00E86FBF"/>
    <w:rsid w:val="00E876D8"/>
    <w:rsid w:val="00E8789C"/>
    <w:rsid w:val="00E87952"/>
    <w:rsid w:val="00E87FA9"/>
    <w:rsid w:val="00E900C7"/>
    <w:rsid w:val="00E9036B"/>
    <w:rsid w:val="00E90700"/>
    <w:rsid w:val="00E90BB0"/>
    <w:rsid w:val="00E90F1B"/>
    <w:rsid w:val="00E910A7"/>
    <w:rsid w:val="00E91175"/>
    <w:rsid w:val="00E911F7"/>
    <w:rsid w:val="00E913D3"/>
    <w:rsid w:val="00E913FB"/>
    <w:rsid w:val="00E91535"/>
    <w:rsid w:val="00E91649"/>
    <w:rsid w:val="00E91C53"/>
    <w:rsid w:val="00E91C8A"/>
    <w:rsid w:val="00E921B6"/>
    <w:rsid w:val="00E921D1"/>
    <w:rsid w:val="00E92234"/>
    <w:rsid w:val="00E9238B"/>
    <w:rsid w:val="00E92454"/>
    <w:rsid w:val="00E925CF"/>
    <w:rsid w:val="00E928B4"/>
    <w:rsid w:val="00E92B6F"/>
    <w:rsid w:val="00E93021"/>
    <w:rsid w:val="00E93466"/>
    <w:rsid w:val="00E934E1"/>
    <w:rsid w:val="00E93511"/>
    <w:rsid w:val="00E93567"/>
    <w:rsid w:val="00E9374D"/>
    <w:rsid w:val="00E93797"/>
    <w:rsid w:val="00E939DD"/>
    <w:rsid w:val="00E93A50"/>
    <w:rsid w:val="00E93B0C"/>
    <w:rsid w:val="00E93BC0"/>
    <w:rsid w:val="00E93D7F"/>
    <w:rsid w:val="00E9444D"/>
    <w:rsid w:val="00E944A5"/>
    <w:rsid w:val="00E94757"/>
    <w:rsid w:val="00E9484A"/>
    <w:rsid w:val="00E949E0"/>
    <w:rsid w:val="00E94B64"/>
    <w:rsid w:val="00E94D41"/>
    <w:rsid w:val="00E94E6D"/>
    <w:rsid w:val="00E94F98"/>
    <w:rsid w:val="00E94FF6"/>
    <w:rsid w:val="00E95143"/>
    <w:rsid w:val="00E9646E"/>
    <w:rsid w:val="00E966BC"/>
    <w:rsid w:val="00E9699F"/>
    <w:rsid w:val="00E96BB0"/>
    <w:rsid w:val="00E96F01"/>
    <w:rsid w:val="00E96F25"/>
    <w:rsid w:val="00E97A96"/>
    <w:rsid w:val="00E97C87"/>
    <w:rsid w:val="00E97CB6"/>
    <w:rsid w:val="00EA0372"/>
    <w:rsid w:val="00EA05A1"/>
    <w:rsid w:val="00EA0A78"/>
    <w:rsid w:val="00EA0AB2"/>
    <w:rsid w:val="00EA0B69"/>
    <w:rsid w:val="00EA194D"/>
    <w:rsid w:val="00EA1C11"/>
    <w:rsid w:val="00EA218A"/>
    <w:rsid w:val="00EA25B2"/>
    <w:rsid w:val="00EA2AFE"/>
    <w:rsid w:val="00EA2BC0"/>
    <w:rsid w:val="00EA308C"/>
    <w:rsid w:val="00EA325E"/>
    <w:rsid w:val="00EA35D0"/>
    <w:rsid w:val="00EA3679"/>
    <w:rsid w:val="00EA37DC"/>
    <w:rsid w:val="00EA380F"/>
    <w:rsid w:val="00EA389E"/>
    <w:rsid w:val="00EA3AF2"/>
    <w:rsid w:val="00EA3DBC"/>
    <w:rsid w:val="00EA4432"/>
    <w:rsid w:val="00EA453B"/>
    <w:rsid w:val="00EA480F"/>
    <w:rsid w:val="00EA4BC2"/>
    <w:rsid w:val="00EA4BF1"/>
    <w:rsid w:val="00EA4EB5"/>
    <w:rsid w:val="00EA4F94"/>
    <w:rsid w:val="00EA50A2"/>
    <w:rsid w:val="00EA54B3"/>
    <w:rsid w:val="00EA563B"/>
    <w:rsid w:val="00EA574E"/>
    <w:rsid w:val="00EA581B"/>
    <w:rsid w:val="00EA586F"/>
    <w:rsid w:val="00EA5B5F"/>
    <w:rsid w:val="00EA5F00"/>
    <w:rsid w:val="00EA5FFD"/>
    <w:rsid w:val="00EA611A"/>
    <w:rsid w:val="00EA61FC"/>
    <w:rsid w:val="00EA627B"/>
    <w:rsid w:val="00EA62DB"/>
    <w:rsid w:val="00EA63DF"/>
    <w:rsid w:val="00EA63FC"/>
    <w:rsid w:val="00EA64DD"/>
    <w:rsid w:val="00EA6A12"/>
    <w:rsid w:val="00EA6A9F"/>
    <w:rsid w:val="00EA70C1"/>
    <w:rsid w:val="00EA759E"/>
    <w:rsid w:val="00EA7B34"/>
    <w:rsid w:val="00EA7D04"/>
    <w:rsid w:val="00EA7D7C"/>
    <w:rsid w:val="00EA7E88"/>
    <w:rsid w:val="00EB070D"/>
    <w:rsid w:val="00EB0D5E"/>
    <w:rsid w:val="00EB0DF1"/>
    <w:rsid w:val="00EB0FBB"/>
    <w:rsid w:val="00EB175D"/>
    <w:rsid w:val="00EB17AB"/>
    <w:rsid w:val="00EB1DD9"/>
    <w:rsid w:val="00EB1DDA"/>
    <w:rsid w:val="00EB1E63"/>
    <w:rsid w:val="00EB1F2D"/>
    <w:rsid w:val="00EB2286"/>
    <w:rsid w:val="00EB23E5"/>
    <w:rsid w:val="00EB2864"/>
    <w:rsid w:val="00EB2BA7"/>
    <w:rsid w:val="00EB2C74"/>
    <w:rsid w:val="00EB2EBF"/>
    <w:rsid w:val="00EB2F15"/>
    <w:rsid w:val="00EB30D0"/>
    <w:rsid w:val="00EB33EB"/>
    <w:rsid w:val="00EB343F"/>
    <w:rsid w:val="00EB3AE8"/>
    <w:rsid w:val="00EB3CB0"/>
    <w:rsid w:val="00EB3DD8"/>
    <w:rsid w:val="00EB42E7"/>
    <w:rsid w:val="00EB4408"/>
    <w:rsid w:val="00EB4420"/>
    <w:rsid w:val="00EB4632"/>
    <w:rsid w:val="00EB47D9"/>
    <w:rsid w:val="00EB4D36"/>
    <w:rsid w:val="00EB4E6D"/>
    <w:rsid w:val="00EB51B6"/>
    <w:rsid w:val="00EB53A8"/>
    <w:rsid w:val="00EB57D2"/>
    <w:rsid w:val="00EB5A36"/>
    <w:rsid w:val="00EB5B4E"/>
    <w:rsid w:val="00EB60FB"/>
    <w:rsid w:val="00EB6276"/>
    <w:rsid w:val="00EB6444"/>
    <w:rsid w:val="00EB678C"/>
    <w:rsid w:val="00EB689E"/>
    <w:rsid w:val="00EB68DE"/>
    <w:rsid w:val="00EB6C9D"/>
    <w:rsid w:val="00EB79F9"/>
    <w:rsid w:val="00EC0082"/>
    <w:rsid w:val="00EC014A"/>
    <w:rsid w:val="00EC0323"/>
    <w:rsid w:val="00EC064E"/>
    <w:rsid w:val="00EC0781"/>
    <w:rsid w:val="00EC0E03"/>
    <w:rsid w:val="00EC0F77"/>
    <w:rsid w:val="00EC1557"/>
    <w:rsid w:val="00EC1C3B"/>
    <w:rsid w:val="00EC2111"/>
    <w:rsid w:val="00EC213A"/>
    <w:rsid w:val="00EC3705"/>
    <w:rsid w:val="00EC3740"/>
    <w:rsid w:val="00EC3AB2"/>
    <w:rsid w:val="00EC3AD1"/>
    <w:rsid w:val="00EC3FBF"/>
    <w:rsid w:val="00EC430F"/>
    <w:rsid w:val="00EC4575"/>
    <w:rsid w:val="00EC4613"/>
    <w:rsid w:val="00EC482F"/>
    <w:rsid w:val="00EC485B"/>
    <w:rsid w:val="00EC5105"/>
    <w:rsid w:val="00EC5212"/>
    <w:rsid w:val="00EC52A8"/>
    <w:rsid w:val="00EC54F0"/>
    <w:rsid w:val="00EC5A14"/>
    <w:rsid w:val="00EC5A7B"/>
    <w:rsid w:val="00EC5B31"/>
    <w:rsid w:val="00EC5B5F"/>
    <w:rsid w:val="00EC5D29"/>
    <w:rsid w:val="00EC5E1C"/>
    <w:rsid w:val="00EC5FAA"/>
    <w:rsid w:val="00EC5FEC"/>
    <w:rsid w:val="00EC6202"/>
    <w:rsid w:val="00EC64AA"/>
    <w:rsid w:val="00EC6568"/>
    <w:rsid w:val="00EC65C1"/>
    <w:rsid w:val="00EC66DA"/>
    <w:rsid w:val="00EC71FD"/>
    <w:rsid w:val="00EC72B0"/>
    <w:rsid w:val="00EC74E9"/>
    <w:rsid w:val="00EC7547"/>
    <w:rsid w:val="00EC7EAB"/>
    <w:rsid w:val="00ED01BE"/>
    <w:rsid w:val="00ED01EE"/>
    <w:rsid w:val="00ED03C2"/>
    <w:rsid w:val="00ED054A"/>
    <w:rsid w:val="00ED07DB"/>
    <w:rsid w:val="00ED07E8"/>
    <w:rsid w:val="00ED0A1C"/>
    <w:rsid w:val="00ED11C1"/>
    <w:rsid w:val="00ED12B7"/>
    <w:rsid w:val="00ED1526"/>
    <w:rsid w:val="00ED1833"/>
    <w:rsid w:val="00ED1930"/>
    <w:rsid w:val="00ED1C9C"/>
    <w:rsid w:val="00ED1E2F"/>
    <w:rsid w:val="00ED22A2"/>
    <w:rsid w:val="00ED23CF"/>
    <w:rsid w:val="00ED27B2"/>
    <w:rsid w:val="00ED2E34"/>
    <w:rsid w:val="00ED326C"/>
    <w:rsid w:val="00ED35F9"/>
    <w:rsid w:val="00ED3BF6"/>
    <w:rsid w:val="00ED3C5A"/>
    <w:rsid w:val="00ED4100"/>
    <w:rsid w:val="00ED4276"/>
    <w:rsid w:val="00ED46BC"/>
    <w:rsid w:val="00ED4797"/>
    <w:rsid w:val="00ED495C"/>
    <w:rsid w:val="00ED4BB0"/>
    <w:rsid w:val="00ED4F9B"/>
    <w:rsid w:val="00ED4FA6"/>
    <w:rsid w:val="00ED51E3"/>
    <w:rsid w:val="00ED5247"/>
    <w:rsid w:val="00ED533B"/>
    <w:rsid w:val="00ED546C"/>
    <w:rsid w:val="00ED574F"/>
    <w:rsid w:val="00ED57BE"/>
    <w:rsid w:val="00ED57CF"/>
    <w:rsid w:val="00ED5A68"/>
    <w:rsid w:val="00ED5BCF"/>
    <w:rsid w:val="00ED5CE0"/>
    <w:rsid w:val="00ED5DE4"/>
    <w:rsid w:val="00ED6289"/>
    <w:rsid w:val="00ED6E29"/>
    <w:rsid w:val="00ED708A"/>
    <w:rsid w:val="00ED7140"/>
    <w:rsid w:val="00ED715F"/>
    <w:rsid w:val="00ED74D4"/>
    <w:rsid w:val="00ED74DC"/>
    <w:rsid w:val="00ED7584"/>
    <w:rsid w:val="00ED75C1"/>
    <w:rsid w:val="00ED79D5"/>
    <w:rsid w:val="00EE01EB"/>
    <w:rsid w:val="00EE0202"/>
    <w:rsid w:val="00EE020E"/>
    <w:rsid w:val="00EE03E7"/>
    <w:rsid w:val="00EE08F3"/>
    <w:rsid w:val="00EE0E2B"/>
    <w:rsid w:val="00EE10AE"/>
    <w:rsid w:val="00EE13AE"/>
    <w:rsid w:val="00EE1930"/>
    <w:rsid w:val="00EE1F5A"/>
    <w:rsid w:val="00EE2251"/>
    <w:rsid w:val="00EE249B"/>
    <w:rsid w:val="00EE24DC"/>
    <w:rsid w:val="00EE289D"/>
    <w:rsid w:val="00EE28B0"/>
    <w:rsid w:val="00EE2C6A"/>
    <w:rsid w:val="00EE2DB6"/>
    <w:rsid w:val="00EE31FA"/>
    <w:rsid w:val="00EE34CF"/>
    <w:rsid w:val="00EE35FD"/>
    <w:rsid w:val="00EE3698"/>
    <w:rsid w:val="00EE375F"/>
    <w:rsid w:val="00EE37A0"/>
    <w:rsid w:val="00EE37D1"/>
    <w:rsid w:val="00EE3ADD"/>
    <w:rsid w:val="00EE3DBD"/>
    <w:rsid w:val="00EE3DDB"/>
    <w:rsid w:val="00EE3EA3"/>
    <w:rsid w:val="00EE41E5"/>
    <w:rsid w:val="00EE439F"/>
    <w:rsid w:val="00EE45BF"/>
    <w:rsid w:val="00EE46FA"/>
    <w:rsid w:val="00EE4AC5"/>
    <w:rsid w:val="00EE4AD7"/>
    <w:rsid w:val="00EE5340"/>
    <w:rsid w:val="00EE57F9"/>
    <w:rsid w:val="00EE5B45"/>
    <w:rsid w:val="00EE5D84"/>
    <w:rsid w:val="00EE61F0"/>
    <w:rsid w:val="00EE644A"/>
    <w:rsid w:val="00EE65A0"/>
    <w:rsid w:val="00EE6717"/>
    <w:rsid w:val="00EE6880"/>
    <w:rsid w:val="00EE69E1"/>
    <w:rsid w:val="00EE6E3C"/>
    <w:rsid w:val="00EE7144"/>
    <w:rsid w:val="00EE749E"/>
    <w:rsid w:val="00EE7624"/>
    <w:rsid w:val="00EE7A0B"/>
    <w:rsid w:val="00EE7C0F"/>
    <w:rsid w:val="00EE7C43"/>
    <w:rsid w:val="00EE7FD1"/>
    <w:rsid w:val="00EF0380"/>
    <w:rsid w:val="00EF083A"/>
    <w:rsid w:val="00EF0BEA"/>
    <w:rsid w:val="00EF10EA"/>
    <w:rsid w:val="00EF16F6"/>
    <w:rsid w:val="00EF197B"/>
    <w:rsid w:val="00EF19E1"/>
    <w:rsid w:val="00EF1F16"/>
    <w:rsid w:val="00EF2277"/>
    <w:rsid w:val="00EF25DA"/>
    <w:rsid w:val="00EF2658"/>
    <w:rsid w:val="00EF26FC"/>
    <w:rsid w:val="00EF2725"/>
    <w:rsid w:val="00EF29EF"/>
    <w:rsid w:val="00EF2F3F"/>
    <w:rsid w:val="00EF35AF"/>
    <w:rsid w:val="00EF3624"/>
    <w:rsid w:val="00EF392A"/>
    <w:rsid w:val="00EF4494"/>
    <w:rsid w:val="00EF44B1"/>
    <w:rsid w:val="00EF47F3"/>
    <w:rsid w:val="00EF4A4E"/>
    <w:rsid w:val="00EF4AAC"/>
    <w:rsid w:val="00EF4D45"/>
    <w:rsid w:val="00EF50AC"/>
    <w:rsid w:val="00EF54D6"/>
    <w:rsid w:val="00EF5501"/>
    <w:rsid w:val="00EF56EC"/>
    <w:rsid w:val="00EF62E1"/>
    <w:rsid w:val="00EF63B9"/>
    <w:rsid w:val="00EF65F7"/>
    <w:rsid w:val="00EF6608"/>
    <w:rsid w:val="00EF6C43"/>
    <w:rsid w:val="00EF701E"/>
    <w:rsid w:val="00EF741C"/>
    <w:rsid w:val="00EF7623"/>
    <w:rsid w:val="00EF765C"/>
    <w:rsid w:val="00EF767D"/>
    <w:rsid w:val="00EF7CD9"/>
    <w:rsid w:val="00F000AD"/>
    <w:rsid w:val="00F00D28"/>
    <w:rsid w:val="00F00ED5"/>
    <w:rsid w:val="00F00EF3"/>
    <w:rsid w:val="00F010AD"/>
    <w:rsid w:val="00F011D2"/>
    <w:rsid w:val="00F013DD"/>
    <w:rsid w:val="00F01796"/>
    <w:rsid w:val="00F01907"/>
    <w:rsid w:val="00F01D5A"/>
    <w:rsid w:val="00F01D78"/>
    <w:rsid w:val="00F01E44"/>
    <w:rsid w:val="00F01ECE"/>
    <w:rsid w:val="00F01F45"/>
    <w:rsid w:val="00F021AB"/>
    <w:rsid w:val="00F02415"/>
    <w:rsid w:val="00F025A3"/>
    <w:rsid w:val="00F027C0"/>
    <w:rsid w:val="00F02995"/>
    <w:rsid w:val="00F02EA9"/>
    <w:rsid w:val="00F0310B"/>
    <w:rsid w:val="00F03293"/>
    <w:rsid w:val="00F0345D"/>
    <w:rsid w:val="00F038D4"/>
    <w:rsid w:val="00F039F7"/>
    <w:rsid w:val="00F03B4B"/>
    <w:rsid w:val="00F04213"/>
    <w:rsid w:val="00F044F1"/>
    <w:rsid w:val="00F04876"/>
    <w:rsid w:val="00F04A81"/>
    <w:rsid w:val="00F054DF"/>
    <w:rsid w:val="00F054E9"/>
    <w:rsid w:val="00F056D9"/>
    <w:rsid w:val="00F05860"/>
    <w:rsid w:val="00F05896"/>
    <w:rsid w:val="00F05962"/>
    <w:rsid w:val="00F05C67"/>
    <w:rsid w:val="00F05EBF"/>
    <w:rsid w:val="00F06192"/>
    <w:rsid w:val="00F065A1"/>
    <w:rsid w:val="00F065DF"/>
    <w:rsid w:val="00F06DC5"/>
    <w:rsid w:val="00F06E42"/>
    <w:rsid w:val="00F07141"/>
    <w:rsid w:val="00F0731E"/>
    <w:rsid w:val="00F073C7"/>
    <w:rsid w:val="00F07490"/>
    <w:rsid w:val="00F074D7"/>
    <w:rsid w:val="00F0774A"/>
    <w:rsid w:val="00F07A7C"/>
    <w:rsid w:val="00F07AC7"/>
    <w:rsid w:val="00F07B23"/>
    <w:rsid w:val="00F07C3A"/>
    <w:rsid w:val="00F10204"/>
    <w:rsid w:val="00F104C7"/>
    <w:rsid w:val="00F1069E"/>
    <w:rsid w:val="00F10867"/>
    <w:rsid w:val="00F10BA6"/>
    <w:rsid w:val="00F10C7F"/>
    <w:rsid w:val="00F10D29"/>
    <w:rsid w:val="00F10E5F"/>
    <w:rsid w:val="00F10E7F"/>
    <w:rsid w:val="00F1161F"/>
    <w:rsid w:val="00F117BE"/>
    <w:rsid w:val="00F1188E"/>
    <w:rsid w:val="00F11B20"/>
    <w:rsid w:val="00F11B5A"/>
    <w:rsid w:val="00F11E40"/>
    <w:rsid w:val="00F12126"/>
    <w:rsid w:val="00F12463"/>
    <w:rsid w:val="00F12586"/>
    <w:rsid w:val="00F126BD"/>
    <w:rsid w:val="00F127AD"/>
    <w:rsid w:val="00F128B4"/>
    <w:rsid w:val="00F12FF0"/>
    <w:rsid w:val="00F1326C"/>
    <w:rsid w:val="00F13404"/>
    <w:rsid w:val="00F13669"/>
    <w:rsid w:val="00F13D35"/>
    <w:rsid w:val="00F13D44"/>
    <w:rsid w:val="00F13EF0"/>
    <w:rsid w:val="00F140E7"/>
    <w:rsid w:val="00F1425A"/>
    <w:rsid w:val="00F1434F"/>
    <w:rsid w:val="00F14356"/>
    <w:rsid w:val="00F14453"/>
    <w:rsid w:val="00F1450E"/>
    <w:rsid w:val="00F146E6"/>
    <w:rsid w:val="00F14809"/>
    <w:rsid w:val="00F14978"/>
    <w:rsid w:val="00F14C9D"/>
    <w:rsid w:val="00F14DA8"/>
    <w:rsid w:val="00F14E7A"/>
    <w:rsid w:val="00F15743"/>
    <w:rsid w:val="00F15D9C"/>
    <w:rsid w:val="00F164C6"/>
    <w:rsid w:val="00F16E93"/>
    <w:rsid w:val="00F1700A"/>
    <w:rsid w:val="00F174B2"/>
    <w:rsid w:val="00F17793"/>
    <w:rsid w:val="00F17CD8"/>
    <w:rsid w:val="00F17D1D"/>
    <w:rsid w:val="00F200B3"/>
    <w:rsid w:val="00F205BC"/>
    <w:rsid w:val="00F20708"/>
    <w:rsid w:val="00F207F2"/>
    <w:rsid w:val="00F20C61"/>
    <w:rsid w:val="00F2104F"/>
    <w:rsid w:val="00F217FB"/>
    <w:rsid w:val="00F21DA0"/>
    <w:rsid w:val="00F21F37"/>
    <w:rsid w:val="00F2214E"/>
    <w:rsid w:val="00F225AB"/>
    <w:rsid w:val="00F22A3C"/>
    <w:rsid w:val="00F22ACA"/>
    <w:rsid w:val="00F22ADB"/>
    <w:rsid w:val="00F22D9E"/>
    <w:rsid w:val="00F22F56"/>
    <w:rsid w:val="00F22F63"/>
    <w:rsid w:val="00F22FA6"/>
    <w:rsid w:val="00F230C4"/>
    <w:rsid w:val="00F23146"/>
    <w:rsid w:val="00F2367C"/>
    <w:rsid w:val="00F2370B"/>
    <w:rsid w:val="00F23918"/>
    <w:rsid w:val="00F23969"/>
    <w:rsid w:val="00F24155"/>
    <w:rsid w:val="00F24244"/>
    <w:rsid w:val="00F24447"/>
    <w:rsid w:val="00F24953"/>
    <w:rsid w:val="00F2499F"/>
    <w:rsid w:val="00F24D01"/>
    <w:rsid w:val="00F24D43"/>
    <w:rsid w:val="00F25215"/>
    <w:rsid w:val="00F254A9"/>
    <w:rsid w:val="00F2552D"/>
    <w:rsid w:val="00F2557D"/>
    <w:rsid w:val="00F256E6"/>
    <w:rsid w:val="00F25718"/>
    <w:rsid w:val="00F25732"/>
    <w:rsid w:val="00F2592B"/>
    <w:rsid w:val="00F25A3D"/>
    <w:rsid w:val="00F25C84"/>
    <w:rsid w:val="00F261E7"/>
    <w:rsid w:val="00F2632B"/>
    <w:rsid w:val="00F26887"/>
    <w:rsid w:val="00F26D9E"/>
    <w:rsid w:val="00F26EEC"/>
    <w:rsid w:val="00F27729"/>
    <w:rsid w:val="00F278DE"/>
    <w:rsid w:val="00F30237"/>
    <w:rsid w:val="00F3034C"/>
    <w:rsid w:val="00F3054E"/>
    <w:rsid w:val="00F30561"/>
    <w:rsid w:val="00F30577"/>
    <w:rsid w:val="00F30680"/>
    <w:rsid w:val="00F30A40"/>
    <w:rsid w:val="00F30C30"/>
    <w:rsid w:val="00F313B0"/>
    <w:rsid w:val="00F31581"/>
    <w:rsid w:val="00F3169F"/>
    <w:rsid w:val="00F31935"/>
    <w:rsid w:val="00F31F2E"/>
    <w:rsid w:val="00F32115"/>
    <w:rsid w:val="00F32680"/>
    <w:rsid w:val="00F330DA"/>
    <w:rsid w:val="00F332D3"/>
    <w:rsid w:val="00F33440"/>
    <w:rsid w:val="00F338D5"/>
    <w:rsid w:val="00F33CA8"/>
    <w:rsid w:val="00F33ECB"/>
    <w:rsid w:val="00F34189"/>
    <w:rsid w:val="00F343CB"/>
    <w:rsid w:val="00F345C6"/>
    <w:rsid w:val="00F346D6"/>
    <w:rsid w:val="00F3478F"/>
    <w:rsid w:val="00F3479B"/>
    <w:rsid w:val="00F348A4"/>
    <w:rsid w:val="00F34A98"/>
    <w:rsid w:val="00F34AE5"/>
    <w:rsid w:val="00F34AEB"/>
    <w:rsid w:val="00F34B4D"/>
    <w:rsid w:val="00F351EA"/>
    <w:rsid w:val="00F351F7"/>
    <w:rsid w:val="00F357F9"/>
    <w:rsid w:val="00F358B6"/>
    <w:rsid w:val="00F358E8"/>
    <w:rsid w:val="00F35D44"/>
    <w:rsid w:val="00F35DFF"/>
    <w:rsid w:val="00F3639A"/>
    <w:rsid w:val="00F36606"/>
    <w:rsid w:val="00F369A2"/>
    <w:rsid w:val="00F369D7"/>
    <w:rsid w:val="00F36BC1"/>
    <w:rsid w:val="00F36BE5"/>
    <w:rsid w:val="00F36E2B"/>
    <w:rsid w:val="00F37255"/>
    <w:rsid w:val="00F373BA"/>
    <w:rsid w:val="00F3746C"/>
    <w:rsid w:val="00F37573"/>
    <w:rsid w:val="00F37792"/>
    <w:rsid w:val="00F37BFF"/>
    <w:rsid w:val="00F37E2F"/>
    <w:rsid w:val="00F4017F"/>
    <w:rsid w:val="00F4024E"/>
    <w:rsid w:val="00F4036A"/>
    <w:rsid w:val="00F40BA4"/>
    <w:rsid w:val="00F40BDB"/>
    <w:rsid w:val="00F40D83"/>
    <w:rsid w:val="00F410DE"/>
    <w:rsid w:val="00F4177F"/>
    <w:rsid w:val="00F417F2"/>
    <w:rsid w:val="00F41841"/>
    <w:rsid w:val="00F418B8"/>
    <w:rsid w:val="00F41BAC"/>
    <w:rsid w:val="00F42256"/>
    <w:rsid w:val="00F42432"/>
    <w:rsid w:val="00F42484"/>
    <w:rsid w:val="00F43101"/>
    <w:rsid w:val="00F4316D"/>
    <w:rsid w:val="00F43336"/>
    <w:rsid w:val="00F43500"/>
    <w:rsid w:val="00F438A9"/>
    <w:rsid w:val="00F43986"/>
    <w:rsid w:val="00F43BCC"/>
    <w:rsid w:val="00F43BF1"/>
    <w:rsid w:val="00F43F7F"/>
    <w:rsid w:val="00F44292"/>
    <w:rsid w:val="00F44613"/>
    <w:rsid w:val="00F44A0C"/>
    <w:rsid w:val="00F44D45"/>
    <w:rsid w:val="00F44E21"/>
    <w:rsid w:val="00F44E5D"/>
    <w:rsid w:val="00F451A5"/>
    <w:rsid w:val="00F452B6"/>
    <w:rsid w:val="00F455CA"/>
    <w:rsid w:val="00F4577D"/>
    <w:rsid w:val="00F45A5D"/>
    <w:rsid w:val="00F46031"/>
    <w:rsid w:val="00F46343"/>
    <w:rsid w:val="00F4641A"/>
    <w:rsid w:val="00F464A4"/>
    <w:rsid w:val="00F46776"/>
    <w:rsid w:val="00F46CBD"/>
    <w:rsid w:val="00F473A8"/>
    <w:rsid w:val="00F47627"/>
    <w:rsid w:val="00F478D8"/>
    <w:rsid w:val="00F47D57"/>
    <w:rsid w:val="00F47ED9"/>
    <w:rsid w:val="00F50109"/>
    <w:rsid w:val="00F50572"/>
    <w:rsid w:val="00F50827"/>
    <w:rsid w:val="00F50DA3"/>
    <w:rsid w:val="00F511C9"/>
    <w:rsid w:val="00F513C5"/>
    <w:rsid w:val="00F51441"/>
    <w:rsid w:val="00F515BE"/>
    <w:rsid w:val="00F5162E"/>
    <w:rsid w:val="00F519DA"/>
    <w:rsid w:val="00F51A5E"/>
    <w:rsid w:val="00F51AA3"/>
    <w:rsid w:val="00F51DFE"/>
    <w:rsid w:val="00F51F65"/>
    <w:rsid w:val="00F5206B"/>
    <w:rsid w:val="00F52212"/>
    <w:rsid w:val="00F523E7"/>
    <w:rsid w:val="00F52745"/>
    <w:rsid w:val="00F52ADB"/>
    <w:rsid w:val="00F52C0A"/>
    <w:rsid w:val="00F52DBD"/>
    <w:rsid w:val="00F52DD0"/>
    <w:rsid w:val="00F530EE"/>
    <w:rsid w:val="00F532DA"/>
    <w:rsid w:val="00F5339E"/>
    <w:rsid w:val="00F5342B"/>
    <w:rsid w:val="00F535BC"/>
    <w:rsid w:val="00F53CE4"/>
    <w:rsid w:val="00F53E17"/>
    <w:rsid w:val="00F53E46"/>
    <w:rsid w:val="00F53F4E"/>
    <w:rsid w:val="00F53FD2"/>
    <w:rsid w:val="00F54207"/>
    <w:rsid w:val="00F54327"/>
    <w:rsid w:val="00F54422"/>
    <w:rsid w:val="00F547BD"/>
    <w:rsid w:val="00F54EA0"/>
    <w:rsid w:val="00F54F1F"/>
    <w:rsid w:val="00F554B8"/>
    <w:rsid w:val="00F55602"/>
    <w:rsid w:val="00F556BD"/>
    <w:rsid w:val="00F55B60"/>
    <w:rsid w:val="00F55B8D"/>
    <w:rsid w:val="00F55E5F"/>
    <w:rsid w:val="00F562C6"/>
    <w:rsid w:val="00F5632D"/>
    <w:rsid w:val="00F56BD5"/>
    <w:rsid w:val="00F56BDE"/>
    <w:rsid w:val="00F5752B"/>
    <w:rsid w:val="00F57815"/>
    <w:rsid w:val="00F6009F"/>
    <w:rsid w:val="00F60497"/>
    <w:rsid w:val="00F60554"/>
    <w:rsid w:val="00F60C04"/>
    <w:rsid w:val="00F60C55"/>
    <w:rsid w:val="00F60E5D"/>
    <w:rsid w:val="00F61335"/>
    <w:rsid w:val="00F615A1"/>
    <w:rsid w:val="00F615C5"/>
    <w:rsid w:val="00F61876"/>
    <w:rsid w:val="00F61971"/>
    <w:rsid w:val="00F61C81"/>
    <w:rsid w:val="00F61D65"/>
    <w:rsid w:val="00F61EDE"/>
    <w:rsid w:val="00F622FF"/>
    <w:rsid w:val="00F6239F"/>
    <w:rsid w:val="00F6246D"/>
    <w:rsid w:val="00F6266F"/>
    <w:rsid w:val="00F62861"/>
    <w:rsid w:val="00F62B3B"/>
    <w:rsid w:val="00F633E6"/>
    <w:rsid w:val="00F63863"/>
    <w:rsid w:val="00F63A32"/>
    <w:rsid w:val="00F63C43"/>
    <w:rsid w:val="00F64330"/>
    <w:rsid w:val="00F64A1F"/>
    <w:rsid w:val="00F64DD5"/>
    <w:rsid w:val="00F64E18"/>
    <w:rsid w:val="00F64E91"/>
    <w:rsid w:val="00F6524A"/>
    <w:rsid w:val="00F6597D"/>
    <w:rsid w:val="00F6605D"/>
    <w:rsid w:val="00F6641B"/>
    <w:rsid w:val="00F664FD"/>
    <w:rsid w:val="00F66AD3"/>
    <w:rsid w:val="00F66C69"/>
    <w:rsid w:val="00F66F84"/>
    <w:rsid w:val="00F67065"/>
    <w:rsid w:val="00F672A1"/>
    <w:rsid w:val="00F6744E"/>
    <w:rsid w:val="00F674F7"/>
    <w:rsid w:val="00F676AB"/>
    <w:rsid w:val="00F676FC"/>
    <w:rsid w:val="00F67D6D"/>
    <w:rsid w:val="00F67F4F"/>
    <w:rsid w:val="00F700E3"/>
    <w:rsid w:val="00F7047C"/>
    <w:rsid w:val="00F705D6"/>
    <w:rsid w:val="00F70896"/>
    <w:rsid w:val="00F70946"/>
    <w:rsid w:val="00F70A85"/>
    <w:rsid w:val="00F70B5D"/>
    <w:rsid w:val="00F70CA8"/>
    <w:rsid w:val="00F70EFF"/>
    <w:rsid w:val="00F712CC"/>
    <w:rsid w:val="00F717FD"/>
    <w:rsid w:val="00F71822"/>
    <w:rsid w:val="00F71846"/>
    <w:rsid w:val="00F719C0"/>
    <w:rsid w:val="00F71B11"/>
    <w:rsid w:val="00F71B2A"/>
    <w:rsid w:val="00F71EAD"/>
    <w:rsid w:val="00F72276"/>
    <w:rsid w:val="00F723B1"/>
    <w:rsid w:val="00F7270B"/>
    <w:rsid w:val="00F72ED0"/>
    <w:rsid w:val="00F72ED2"/>
    <w:rsid w:val="00F72F33"/>
    <w:rsid w:val="00F7330B"/>
    <w:rsid w:val="00F74303"/>
    <w:rsid w:val="00F7431A"/>
    <w:rsid w:val="00F74B88"/>
    <w:rsid w:val="00F754DD"/>
    <w:rsid w:val="00F7615D"/>
    <w:rsid w:val="00F761B8"/>
    <w:rsid w:val="00F76354"/>
    <w:rsid w:val="00F7637D"/>
    <w:rsid w:val="00F766E3"/>
    <w:rsid w:val="00F768E4"/>
    <w:rsid w:val="00F76F78"/>
    <w:rsid w:val="00F76F80"/>
    <w:rsid w:val="00F770CA"/>
    <w:rsid w:val="00F7715F"/>
    <w:rsid w:val="00F7745F"/>
    <w:rsid w:val="00F77A32"/>
    <w:rsid w:val="00F77D2B"/>
    <w:rsid w:val="00F8003A"/>
    <w:rsid w:val="00F802F3"/>
    <w:rsid w:val="00F80477"/>
    <w:rsid w:val="00F80568"/>
    <w:rsid w:val="00F80583"/>
    <w:rsid w:val="00F80693"/>
    <w:rsid w:val="00F80904"/>
    <w:rsid w:val="00F809E4"/>
    <w:rsid w:val="00F80BBA"/>
    <w:rsid w:val="00F81192"/>
    <w:rsid w:val="00F816C9"/>
    <w:rsid w:val="00F81B09"/>
    <w:rsid w:val="00F81BF9"/>
    <w:rsid w:val="00F81E1C"/>
    <w:rsid w:val="00F81EA1"/>
    <w:rsid w:val="00F822ED"/>
    <w:rsid w:val="00F82866"/>
    <w:rsid w:val="00F82929"/>
    <w:rsid w:val="00F82C1E"/>
    <w:rsid w:val="00F82C5B"/>
    <w:rsid w:val="00F831C2"/>
    <w:rsid w:val="00F832B1"/>
    <w:rsid w:val="00F8336D"/>
    <w:rsid w:val="00F8377E"/>
    <w:rsid w:val="00F839E7"/>
    <w:rsid w:val="00F83EC8"/>
    <w:rsid w:val="00F84354"/>
    <w:rsid w:val="00F844DA"/>
    <w:rsid w:val="00F8481A"/>
    <w:rsid w:val="00F84A18"/>
    <w:rsid w:val="00F84E12"/>
    <w:rsid w:val="00F8515A"/>
    <w:rsid w:val="00F851E4"/>
    <w:rsid w:val="00F85412"/>
    <w:rsid w:val="00F85424"/>
    <w:rsid w:val="00F8578B"/>
    <w:rsid w:val="00F85CFF"/>
    <w:rsid w:val="00F8600C"/>
    <w:rsid w:val="00F86147"/>
    <w:rsid w:val="00F86174"/>
    <w:rsid w:val="00F862AC"/>
    <w:rsid w:val="00F86686"/>
    <w:rsid w:val="00F86713"/>
    <w:rsid w:val="00F867F8"/>
    <w:rsid w:val="00F86A42"/>
    <w:rsid w:val="00F86C07"/>
    <w:rsid w:val="00F86F5C"/>
    <w:rsid w:val="00F86F63"/>
    <w:rsid w:val="00F8708F"/>
    <w:rsid w:val="00F87163"/>
    <w:rsid w:val="00F871E4"/>
    <w:rsid w:val="00F87299"/>
    <w:rsid w:val="00F87388"/>
    <w:rsid w:val="00F876A9"/>
    <w:rsid w:val="00F87AAB"/>
    <w:rsid w:val="00F87D43"/>
    <w:rsid w:val="00F87E88"/>
    <w:rsid w:val="00F90016"/>
    <w:rsid w:val="00F900BB"/>
    <w:rsid w:val="00F903B9"/>
    <w:rsid w:val="00F905B6"/>
    <w:rsid w:val="00F9060E"/>
    <w:rsid w:val="00F90785"/>
    <w:rsid w:val="00F90828"/>
    <w:rsid w:val="00F90842"/>
    <w:rsid w:val="00F90910"/>
    <w:rsid w:val="00F90984"/>
    <w:rsid w:val="00F909F2"/>
    <w:rsid w:val="00F90D39"/>
    <w:rsid w:val="00F90EA9"/>
    <w:rsid w:val="00F90F3F"/>
    <w:rsid w:val="00F9112C"/>
    <w:rsid w:val="00F922E1"/>
    <w:rsid w:val="00F923C0"/>
    <w:rsid w:val="00F9281E"/>
    <w:rsid w:val="00F92BA7"/>
    <w:rsid w:val="00F92BF7"/>
    <w:rsid w:val="00F92DE6"/>
    <w:rsid w:val="00F92FCF"/>
    <w:rsid w:val="00F9307F"/>
    <w:rsid w:val="00F9316C"/>
    <w:rsid w:val="00F935A4"/>
    <w:rsid w:val="00F93750"/>
    <w:rsid w:val="00F937FF"/>
    <w:rsid w:val="00F93CD2"/>
    <w:rsid w:val="00F940D1"/>
    <w:rsid w:val="00F94138"/>
    <w:rsid w:val="00F9446C"/>
    <w:rsid w:val="00F94475"/>
    <w:rsid w:val="00F945E1"/>
    <w:rsid w:val="00F94AC1"/>
    <w:rsid w:val="00F94AFB"/>
    <w:rsid w:val="00F94E0A"/>
    <w:rsid w:val="00F94EBF"/>
    <w:rsid w:val="00F94F11"/>
    <w:rsid w:val="00F94FAB"/>
    <w:rsid w:val="00F950EE"/>
    <w:rsid w:val="00F95162"/>
    <w:rsid w:val="00F9523C"/>
    <w:rsid w:val="00F952C4"/>
    <w:rsid w:val="00F954C2"/>
    <w:rsid w:val="00F96092"/>
    <w:rsid w:val="00F960A2"/>
    <w:rsid w:val="00F96408"/>
    <w:rsid w:val="00F9656D"/>
    <w:rsid w:val="00F967E6"/>
    <w:rsid w:val="00F96864"/>
    <w:rsid w:val="00F9687C"/>
    <w:rsid w:val="00F9698A"/>
    <w:rsid w:val="00F96A1D"/>
    <w:rsid w:val="00F96CBE"/>
    <w:rsid w:val="00F97298"/>
    <w:rsid w:val="00F9731D"/>
    <w:rsid w:val="00F973CC"/>
    <w:rsid w:val="00F973FC"/>
    <w:rsid w:val="00F975C6"/>
    <w:rsid w:val="00F975DF"/>
    <w:rsid w:val="00F97660"/>
    <w:rsid w:val="00F9789B"/>
    <w:rsid w:val="00F97A39"/>
    <w:rsid w:val="00F97A57"/>
    <w:rsid w:val="00F97B39"/>
    <w:rsid w:val="00F97B45"/>
    <w:rsid w:val="00F97D66"/>
    <w:rsid w:val="00F97F42"/>
    <w:rsid w:val="00FA082C"/>
    <w:rsid w:val="00FA0BA6"/>
    <w:rsid w:val="00FA0D70"/>
    <w:rsid w:val="00FA1985"/>
    <w:rsid w:val="00FA1CA2"/>
    <w:rsid w:val="00FA1F95"/>
    <w:rsid w:val="00FA212F"/>
    <w:rsid w:val="00FA22F8"/>
    <w:rsid w:val="00FA272B"/>
    <w:rsid w:val="00FA2A95"/>
    <w:rsid w:val="00FA2B6F"/>
    <w:rsid w:val="00FA2CFD"/>
    <w:rsid w:val="00FA2F2D"/>
    <w:rsid w:val="00FA328D"/>
    <w:rsid w:val="00FA3409"/>
    <w:rsid w:val="00FA3C65"/>
    <w:rsid w:val="00FA410A"/>
    <w:rsid w:val="00FA4476"/>
    <w:rsid w:val="00FA50A3"/>
    <w:rsid w:val="00FA50AC"/>
    <w:rsid w:val="00FA536A"/>
    <w:rsid w:val="00FA54CB"/>
    <w:rsid w:val="00FA56CB"/>
    <w:rsid w:val="00FA5709"/>
    <w:rsid w:val="00FA581E"/>
    <w:rsid w:val="00FA59B3"/>
    <w:rsid w:val="00FA6159"/>
    <w:rsid w:val="00FA66F7"/>
    <w:rsid w:val="00FA6BCC"/>
    <w:rsid w:val="00FA6F5E"/>
    <w:rsid w:val="00FA7038"/>
    <w:rsid w:val="00FA7625"/>
    <w:rsid w:val="00FA767E"/>
    <w:rsid w:val="00FA7AD1"/>
    <w:rsid w:val="00FA7AE1"/>
    <w:rsid w:val="00FA7D64"/>
    <w:rsid w:val="00FB0236"/>
    <w:rsid w:val="00FB03BB"/>
    <w:rsid w:val="00FB0493"/>
    <w:rsid w:val="00FB04C8"/>
    <w:rsid w:val="00FB05C6"/>
    <w:rsid w:val="00FB10CC"/>
    <w:rsid w:val="00FB118F"/>
    <w:rsid w:val="00FB12AE"/>
    <w:rsid w:val="00FB145A"/>
    <w:rsid w:val="00FB2004"/>
    <w:rsid w:val="00FB20AB"/>
    <w:rsid w:val="00FB2413"/>
    <w:rsid w:val="00FB248A"/>
    <w:rsid w:val="00FB252D"/>
    <w:rsid w:val="00FB2665"/>
    <w:rsid w:val="00FB2B2F"/>
    <w:rsid w:val="00FB3195"/>
    <w:rsid w:val="00FB31CA"/>
    <w:rsid w:val="00FB3501"/>
    <w:rsid w:val="00FB37AE"/>
    <w:rsid w:val="00FB386A"/>
    <w:rsid w:val="00FB3E81"/>
    <w:rsid w:val="00FB45C0"/>
    <w:rsid w:val="00FB4B37"/>
    <w:rsid w:val="00FB5336"/>
    <w:rsid w:val="00FB533C"/>
    <w:rsid w:val="00FB5390"/>
    <w:rsid w:val="00FB539B"/>
    <w:rsid w:val="00FB5790"/>
    <w:rsid w:val="00FB5A30"/>
    <w:rsid w:val="00FB5D01"/>
    <w:rsid w:val="00FB5D38"/>
    <w:rsid w:val="00FB61E1"/>
    <w:rsid w:val="00FB61F6"/>
    <w:rsid w:val="00FB63C4"/>
    <w:rsid w:val="00FB70A5"/>
    <w:rsid w:val="00FB729B"/>
    <w:rsid w:val="00FB742F"/>
    <w:rsid w:val="00FB7764"/>
    <w:rsid w:val="00FB7A19"/>
    <w:rsid w:val="00FC0082"/>
    <w:rsid w:val="00FC0C94"/>
    <w:rsid w:val="00FC1192"/>
    <w:rsid w:val="00FC162C"/>
    <w:rsid w:val="00FC18EB"/>
    <w:rsid w:val="00FC1CF6"/>
    <w:rsid w:val="00FC1F1B"/>
    <w:rsid w:val="00FC209F"/>
    <w:rsid w:val="00FC20AE"/>
    <w:rsid w:val="00FC21DC"/>
    <w:rsid w:val="00FC2374"/>
    <w:rsid w:val="00FC2C87"/>
    <w:rsid w:val="00FC2E31"/>
    <w:rsid w:val="00FC3097"/>
    <w:rsid w:val="00FC32E0"/>
    <w:rsid w:val="00FC33AE"/>
    <w:rsid w:val="00FC3754"/>
    <w:rsid w:val="00FC37AC"/>
    <w:rsid w:val="00FC3E5F"/>
    <w:rsid w:val="00FC3E9D"/>
    <w:rsid w:val="00FC3F87"/>
    <w:rsid w:val="00FC4026"/>
    <w:rsid w:val="00FC4060"/>
    <w:rsid w:val="00FC406D"/>
    <w:rsid w:val="00FC4AEF"/>
    <w:rsid w:val="00FC4E0A"/>
    <w:rsid w:val="00FC56FB"/>
    <w:rsid w:val="00FC576B"/>
    <w:rsid w:val="00FC5B06"/>
    <w:rsid w:val="00FC5CB6"/>
    <w:rsid w:val="00FC5D3C"/>
    <w:rsid w:val="00FC615B"/>
    <w:rsid w:val="00FC629A"/>
    <w:rsid w:val="00FC6341"/>
    <w:rsid w:val="00FC6983"/>
    <w:rsid w:val="00FC6BEB"/>
    <w:rsid w:val="00FC6DE6"/>
    <w:rsid w:val="00FC73CF"/>
    <w:rsid w:val="00FC7553"/>
    <w:rsid w:val="00FC7772"/>
    <w:rsid w:val="00FC7777"/>
    <w:rsid w:val="00FC7A71"/>
    <w:rsid w:val="00FC7B9A"/>
    <w:rsid w:val="00FC7DD9"/>
    <w:rsid w:val="00FC7ECF"/>
    <w:rsid w:val="00FD0159"/>
    <w:rsid w:val="00FD0457"/>
    <w:rsid w:val="00FD04C4"/>
    <w:rsid w:val="00FD0D61"/>
    <w:rsid w:val="00FD0E31"/>
    <w:rsid w:val="00FD1047"/>
    <w:rsid w:val="00FD13B0"/>
    <w:rsid w:val="00FD1564"/>
    <w:rsid w:val="00FD1C9B"/>
    <w:rsid w:val="00FD1EA9"/>
    <w:rsid w:val="00FD1F97"/>
    <w:rsid w:val="00FD23C9"/>
    <w:rsid w:val="00FD26C4"/>
    <w:rsid w:val="00FD27C8"/>
    <w:rsid w:val="00FD286F"/>
    <w:rsid w:val="00FD2AC9"/>
    <w:rsid w:val="00FD2ACC"/>
    <w:rsid w:val="00FD2B90"/>
    <w:rsid w:val="00FD2C2C"/>
    <w:rsid w:val="00FD2CBC"/>
    <w:rsid w:val="00FD2F31"/>
    <w:rsid w:val="00FD311C"/>
    <w:rsid w:val="00FD332F"/>
    <w:rsid w:val="00FD3484"/>
    <w:rsid w:val="00FD3639"/>
    <w:rsid w:val="00FD3857"/>
    <w:rsid w:val="00FD3D45"/>
    <w:rsid w:val="00FD3E02"/>
    <w:rsid w:val="00FD3F1A"/>
    <w:rsid w:val="00FD4036"/>
    <w:rsid w:val="00FD4629"/>
    <w:rsid w:val="00FD4A75"/>
    <w:rsid w:val="00FD4D83"/>
    <w:rsid w:val="00FD4DC0"/>
    <w:rsid w:val="00FD4DF4"/>
    <w:rsid w:val="00FD4F56"/>
    <w:rsid w:val="00FD5BB2"/>
    <w:rsid w:val="00FD5BD4"/>
    <w:rsid w:val="00FD5FE9"/>
    <w:rsid w:val="00FD6776"/>
    <w:rsid w:val="00FD68DA"/>
    <w:rsid w:val="00FD6A39"/>
    <w:rsid w:val="00FD6F54"/>
    <w:rsid w:val="00FD72F5"/>
    <w:rsid w:val="00FD79B4"/>
    <w:rsid w:val="00FD79B9"/>
    <w:rsid w:val="00FD7D55"/>
    <w:rsid w:val="00FD7E0C"/>
    <w:rsid w:val="00FE025E"/>
    <w:rsid w:val="00FE0652"/>
    <w:rsid w:val="00FE077C"/>
    <w:rsid w:val="00FE0BD5"/>
    <w:rsid w:val="00FE15DF"/>
    <w:rsid w:val="00FE19CB"/>
    <w:rsid w:val="00FE1BD8"/>
    <w:rsid w:val="00FE1EF1"/>
    <w:rsid w:val="00FE225B"/>
    <w:rsid w:val="00FE2268"/>
    <w:rsid w:val="00FE2BAD"/>
    <w:rsid w:val="00FE2C6C"/>
    <w:rsid w:val="00FE2EAE"/>
    <w:rsid w:val="00FE30A6"/>
    <w:rsid w:val="00FE38ED"/>
    <w:rsid w:val="00FE3A0D"/>
    <w:rsid w:val="00FE3DDB"/>
    <w:rsid w:val="00FE422D"/>
    <w:rsid w:val="00FE4541"/>
    <w:rsid w:val="00FE46AD"/>
    <w:rsid w:val="00FE46E1"/>
    <w:rsid w:val="00FE4AA2"/>
    <w:rsid w:val="00FE4E81"/>
    <w:rsid w:val="00FE5269"/>
    <w:rsid w:val="00FE53C8"/>
    <w:rsid w:val="00FE553B"/>
    <w:rsid w:val="00FE57F1"/>
    <w:rsid w:val="00FE5925"/>
    <w:rsid w:val="00FE5C74"/>
    <w:rsid w:val="00FE5DE8"/>
    <w:rsid w:val="00FE65B1"/>
    <w:rsid w:val="00FE6BCB"/>
    <w:rsid w:val="00FE6EC5"/>
    <w:rsid w:val="00FE7434"/>
    <w:rsid w:val="00FE743B"/>
    <w:rsid w:val="00FE743E"/>
    <w:rsid w:val="00FE7649"/>
    <w:rsid w:val="00FE7700"/>
    <w:rsid w:val="00FE7730"/>
    <w:rsid w:val="00FE77B0"/>
    <w:rsid w:val="00FE78E3"/>
    <w:rsid w:val="00FE79F1"/>
    <w:rsid w:val="00FE7B8E"/>
    <w:rsid w:val="00FE7DAA"/>
    <w:rsid w:val="00FF01C4"/>
    <w:rsid w:val="00FF0C0B"/>
    <w:rsid w:val="00FF0C40"/>
    <w:rsid w:val="00FF0CC9"/>
    <w:rsid w:val="00FF156A"/>
    <w:rsid w:val="00FF165F"/>
    <w:rsid w:val="00FF166F"/>
    <w:rsid w:val="00FF19A9"/>
    <w:rsid w:val="00FF1B85"/>
    <w:rsid w:val="00FF1D46"/>
    <w:rsid w:val="00FF1EBB"/>
    <w:rsid w:val="00FF1EE4"/>
    <w:rsid w:val="00FF2328"/>
    <w:rsid w:val="00FF2AA1"/>
    <w:rsid w:val="00FF30FE"/>
    <w:rsid w:val="00FF3876"/>
    <w:rsid w:val="00FF3985"/>
    <w:rsid w:val="00FF3CAA"/>
    <w:rsid w:val="00FF3E1C"/>
    <w:rsid w:val="00FF4327"/>
    <w:rsid w:val="00FF46A2"/>
    <w:rsid w:val="00FF46AB"/>
    <w:rsid w:val="00FF4946"/>
    <w:rsid w:val="00FF5387"/>
    <w:rsid w:val="00FF5605"/>
    <w:rsid w:val="00FF5BDE"/>
    <w:rsid w:val="00FF5F03"/>
    <w:rsid w:val="00FF6EB3"/>
    <w:rsid w:val="00FF713F"/>
    <w:rsid w:val="00FF76E9"/>
    <w:rsid w:val="00FF789B"/>
    <w:rsid w:val="00FF7A54"/>
    <w:rsid w:val="01231134"/>
    <w:rsid w:val="01E65016"/>
    <w:rsid w:val="02DAA519"/>
    <w:rsid w:val="05B3D211"/>
    <w:rsid w:val="088599F4"/>
    <w:rsid w:val="08C4F509"/>
    <w:rsid w:val="0C4E642B"/>
    <w:rsid w:val="1191EE9A"/>
    <w:rsid w:val="1285A5AD"/>
    <w:rsid w:val="12C10F74"/>
    <w:rsid w:val="137C56CB"/>
    <w:rsid w:val="1472B271"/>
    <w:rsid w:val="14CCB837"/>
    <w:rsid w:val="15995232"/>
    <w:rsid w:val="1657CEA3"/>
    <w:rsid w:val="1A0B9AAB"/>
    <w:rsid w:val="1B100ACE"/>
    <w:rsid w:val="1B4E8874"/>
    <w:rsid w:val="1F0F63AA"/>
    <w:rsid w:val="214ADE8D"/>
    <w:rsid w:val="218A44A9"/>
    <w:rsid w:val="23024216"/>
    <w:rsid w:val="259FDF84"/>
    <w:rsid w:val="27610D3C"/>
    <w:rsid w:val="29C75939"/>
    <w:rsid w:val="2ABCBCD5"/>
    <w:rsid w:val="2ADF438E"/>
    <w:rsid w:val="2BA5D08B"/>
    <w:rsid w:val="2E9077A6"/>
    <w:rsid w:val="2F77AD9E"/>
    <w:rsid w:val="3113BAB1"/>
    <w:rsid w:val="325152CD"/>
    <w:rsid w:val="3370AC65"/>
    <w:rsid w:val="33D73E69"/>
    <w:rsid w:val="3584E8FB"/>
    <w:rsid w:val="369CDF83"/>
    <w:rsid w:val="3CD5C19E"/>
    <w:rsid w:val="3E317F82"/>
    <w:rsid w:val="3E8C4755"/>
    <w:rsid w:val="3E8FC962"/>
    <w:rsid w:val="406C5376"/>
    <w:rsid w:val="4247B46C"/>
    <w:rsid w:val="43660576"/>
    <w:rsid w:val="45022F32"/>
    <w:rsid w:val="47F188A6"/>
    <w:rsid w:val="498BBB4A"/>
    <w:rsid w:val="4ADDC0EB"/>
    <w:rsid w:val="4CB4A5C9"/>
    <w:rsid w:val="4E55A35A"/>
    <w:rsid w:val="4E5DC5CC"/>
    <w:rsid w:val="4F6070FB"/>
    <w:rsid w:val="509422E6"/>
    <w:rsid w:val="51DC986F"/>
    <w:rsid w:val="54A1E5F7"/>
    <w:rsid w:val="54AC7C87"/>
    <w:rsid w:val="5608581D"/>
    <w:rsid w:val="577FE23F"/>
    <w:rsid w:val="5CC38C81"/>
    <w:rsid w:val="5D3135FC"/>
    <w:rsid w:val="619961C7"/>
    <w:rsid w:val="624FC121"/>
    <w:rsid w:val="62A3010A"/>
    <w:rsid w:val="6323B576"/>
    <w:rsid w:val="63DDF1D5"/>
    <w:rsid w:val="64515D60"/>
    <w:rsid w:val="64573303"/>
    <w:rsid w:val="64920BD0"/>
    <w:rsid w:val="65838D89"/>
    <w:rsid w:val="6B5B8FD3"/>
    <w:rsid w:val="6C95B7AB"/>
    <w:rsid w:val="6CFA3B13"/>
    <w:rsid w:val="6FC50612"/>
    <w:rsid w:val="705612D9"/>
    <w:rsid w:val="71458AC4"/>
    <w:rsid w:val="71E4ADD4"/>
    <w:rsid w:val="7489D4EC"/>
    <w:rsid w:val="7593A9E8"/>
    <w:rsid w:val="75B5D8C5"/>
    <w:rsid w:val="75F7B578"/>
    <w:rsid w:val="76EB1721"/>
    <w:rsid w:val="78147DE7"/>
    <w:rsid w:val="78E6AD2A"/>
    <w:rsid w:val="7A0F2A2B"/>
    <w:rsid w:val="7A6E6CEB"/>
    <w:rsid w:val="7AC1D043"/>
    <w:rsid w:val="7C0DE2FD"/>
    <w:rsid w:val="7C203590"/>
    <w:rsid w:val="7F8A8D4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FD5A5"/>
  <w15:chartTrackingRefBased/>
  <w15:docId w15:val="{F7C50571-AB64-4862-93E0-8EDA5EB2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1AA"/>
    <w:pPr>
      <w:spacing w:before="240" w:after="240" w:line="264" w:lineRule="auto"/>
    </w:pPr>
    <w:rPr>
      <w:rFonts w:ascii="PP Mori" w:hAnsi="PP Mori"/>
      <w:sz w:val="18"/>
    </w:rPr>
  </w:style>
  <w:style w:type="paragraph" w:styleId="Heading1">
    <w:name w:val="heading 1"/>
    <w:basedOn w:val="Normal"/>
    <w:next w:val="Normal"/>
    <w:link w:val="Heading1Char"/>
    <w:uiPriority w:val="9"/>
    <w:qFormat/>
    <w:rsid w:val="00F816C9"/>
    <w:pPr>
      <w:keepNext/>
      <w:keepLines/>
      <w:numPr>
        <w:numId w:val="1"/>
      </w:numPr>
      <w:outlineLvl w:val="0"/>
    </w:pPr>
    <w:rPr>
      <w:rFonts w:ascii="PP Mori SemiBold" w:eastAsiaTheme="majorEastAsia" w:hAnsi="PP Mori SemiBold" w:cstheme="majorBidi"/>
      <w:color w:val="013C4C" w:themeColor="text1"/>
      <w:sz w:val="32"/>
      <w:szCs w:val="40"/>
    </w:rPr>
  </w:style>
  <w:style w:type="paragraph" w:styleId="Heading2">
    <w:name w:val="heading 2"/>
    <w:basedOn w:val="Normal"/>
    <w:next w:val="Normal"/>
    <w:link w:val="Heading2Char"/>
    <w:uiPriority w:val="9"/>
    <w:unhideWhenUsed/>
    <w:qFormat/>
    <w:rsid w:val="001711D1"/>
    <w:pPr>
      <w:keepNext/>
      <w:keepLines/>
      <w:numPr>
        <w:ilvl w:val="1"/>
        <w:numId w:val="1"/>
      </w:numPr>
      <w:spacing w:before="360" w:after="120"/>
      <w:outlineLvl w:val="1"/>
    </w:pPr>
    <w:rPr>
      <w:rFonts w:ascii="PP Mori SemiBold" w:eastAsiaTheme="majorEastAsia" w:hAnsi="PP Mori SemiBold" w:cstheme="majorBidi"/>
      <w:color w:val="002C38" w:themeColor="accent1" w:themeShade="BF"/>
      <w:sz w:val="26"/>
      <w:szCs w:val="33"/>
    </w:rPr>
  </w:style>
  <w:style w:type="paragraph" w:styleId="Heading3">
    <w:name w:val="heading 3"/>
    <w:basedOn w:val="Normal"/>
    <w:next w:val="Normal"/>
    <w:link w:val="Heading3Char"/>
    <w:uiPriority w:val="9"/>
    <w:unhideWhenUsed/>
    <w:qFormat/>
    <w:rsid w:val="00112F7B"/>
    <w:pPr>
      <w:keepNext/>
      <w:keepLines/>
      <w:numPr>
        <w:ilvl w:val="2"/>
        <w:numId w:val="1"/>
      </w:numPr>
      <w:spacing w:after="120"/>
      <w:outlineLvl w:val="2"/>
    </w:pPr>
    <w:rPr>
      <w:rFonts w:ascii="PP Mori SemiBold" w:eastAsiaTheme="majorEastAsia" w:hAnsi="PP Mori SemiBold" w:cstheme="majorBidi"/>
      <w:color w:val="001D25" w:themeColor="accent1" w:themeShade="7F"/>
      <w:sz w:val="24"/>
      <w:szCs w:val="30"/>
    </w:rPr>
  </w:style>
  <w:style w:type="paragraph" w:styleId="Heading4">
    <w:name w:val="heading 4"/>
    <w:basedOn w:val="Normal"/>
    <w:next w:val="Normal"/>
    <w:link w:val="Heading4Char"/>
    <w:uiPriority w:val="9"/>
    <w:unhideWhenUsed/>
    <w:qFormat/>
    <w:rsid w:val="000C5211"/>
    <w:pPr>
      <w:keepNext/>
      <w:keepLines/>
      <w:numPr>
        <w:ilvl w:val="3"/>
        <w:numId w:val="1"/>
      </w:numPr>
      <w:spacing w:before="40" w:after="0"/>
      <w:outlineLvl w:val="3"/>
    </w:pPr>
    <w:rPr>
      <w:rFonts w:ascii="PP Mori SemiBold" w:eastAsiaTheme="majorEastAsia" w:hAnsi="PP Mori SemiBold" w:cstheme="majorBidi"/>
      <w:i/>
      <w:iCs/>
      <w:color w:val="002C38" w:themeColor="accent1" w:themeShade="BF"/>
    </w:rPr>
  </w:style>
  <w:style w:type="paragraph" w:styleId="Heading5">
    <w:name w:val="heading 5"/>
    <w:basedOn w:val="Normal"/>
    <w:next w:val="Normal"/>
    <w:link w:val="Heading5Char"/>
    <w:uiPriority w:val="9"/>
    <w:semiHidden/>
    <w:unhideWhenUsed/>
    <w:qFormat/>
    <w:rsid w:val="00167664"/>
    <w:pPr>
      <w:keepNext/>
      <w:keepLines/>
      <w:numPr>
        <w:ilvl w:val="4"/>
        <w:numId w:val="1"/>
      </w:numPr>
      <w:spacing w:before="40" w:after="0"/>
      <w:outlineLvl w:val="4"/>
    </w:pPr>
    <w:rPr>
      <w:rFonts w:asciiTheme="majorHAnsi" w:eastAsiaTheme="majorEastAsia" w:hAnsiTheme="majorHAnsi" w:cstheme="majorBidi"/>
      <w:color w:val="002C38" w:themeColor="accent1" w:themeShade="BF"/>
    </w:rPr>
  </w:style>
  <w:style w:type="paragraph" w:styleId="Heading6">
    <w:name w:val="heading 6"/>
    <w:basedOn w:val="Normal"/>
    <w:next w:val="Normal"/>
    <w:link w:val="Heading6Char"/>
    <w:uiPriority w:val="9"/>
    <w:semiHidden/>
    <w:unhideWhenUsed/>
    <w:qFormat/>
    <w:rsid w:val="00167664"/>
    <w:pPr>
      <w:keepNext/>
      <w:keepLines/>
      <w:numPr>
        <w:ilvl w:val="5"/>
        <w:numId w:val="1"/>
      </w:numPr>
      <w:spacing w:before="40" w:after="0"/>
      <w:outlineLvl w:val="5"/>
    </w:pPr>
    <w:rPr>
      <w:rFonts w:asciiTheme="majorHAnsi" w:eastAsiaTheme="majorEastAsia" w:hAnsiTheme="majorHAnsi" w:cstheme="majorBidi"/>
      <w:color w:val="001D25" w:themeColor="accent1" w:themeShade="7F"/>
    </w:rPr>
  </w:style>
  <w:style w:type="paragraph" w:styleId="Heading7">
    <w:name w:val="heading 7"/>
    <w:basedOn w:val="Normal"/>
    <w:next w:val="Normal"/>
    <w:link w:val="Heading7Char"/>
    <w:uiPriority w:val="9"/>
    <w:semiHidden/>
    <w:unhideWhenUsed/>
    <w:qFormat/>
    <w:rsid w:val="00167664"/>
    <w:pPr>
      <w:keepNext/>
      <w:keepLines/>
      <w:numPr>
        <w:ilvl w:val="6"/>
        <w:numId w:val="1"/>
      </w:numPr>
      <w:spacing w:before="40" w:after="0"/>
      <w:outlineLvl w:val="6"/>
    </w:pPr>
    <w:rPr>
      <w:rFonts w:asciiTheme="majorHAnsi" w:eastAsiaTheme="majorEastAsia" w:hAnsiTheme="majorHAnsi" w:cstheme="majorBidi"/>
      <w:i/>
      <w:iCs/>
      <w:color w:val="001D25" w:themeColor="accent1" w:themeShade="7F"/>
    </w:rPr>
  </w:style>
  <w:style w:type="paragraph" w:styleId="Heading8">
    <w:name w:val="heading 8"/>
    <w:basedOn w:val="Normal"/>
    <w:next w:val="Normal"/>
    <w:link w:val="Heading8Char"/>
    <w:uiPriority w:val="9"/>
    <w:semiHidden/>
    <w:unhideWhenUsed/>
    <w:qFormat/>
    <w:rsid w:val="00167664"/>
    <w:pPr>
      <w:keepNext/>
      <w:keepLines/>
      <w:numPr>
        <w:ilvl w:val="7"/>
        <w:numId w:val="1"/>
      </w:numPr>
      <w:spacing w:before="40" w:after="0"/>
      <w:outlineLvl w:val="7"/>
    </w:pPr>
    <w:rPr>
      <w:rFonts w:asciiTheme="majorHAnsi" w:eastAsiaTheme="majorEastAsia" w:hAnsiTheme="majorHAnsi" w:cstheme="majorBidi"/>
      <w:color w:val="026F8D" w:themeColor="text1" w:themeTint="D8"/>
      <w:sz w:val="21"/>
      <w:szCs w:val="26"/>
    </w:rPr>
  </w:style>
  <w:style w:type="paragraph" w:styleId="Heading9">
    <w:name w:val="heading 9"/>
    <w:basedOn w:val="Normal"/>
    <w:next w:val="Normal"/>
    <w:link w:val="Heading9Char"/>
    <w:uiPriority w:val="9"/>
    <w:semiHidden/>
    <w:unhideWhenUsed/>
    <w:qFormat/>
    <w:rsid w:val="00167664"/>
    <w:pPr>
      <w:keepNext/>
      <w:keepLines/>
      <w:numPr>
        <w:ilvl w:val="8"/>
        <w:numId w:val="1"/>
      </w:numPr>
      <w:spacing w:before="40" w:after="0"/>
      <w:outlineLvl w:val="8"/>
    </w:pPr>
    <w:rPr>
      <w:rFonts w:asciiTheme="majorHAnsi" w:eastAsiaTheme="majorEastAsia" w:hAnsiTheme="majorHAnsi" w:cstheme="majorBidi"/>
      <w:i/>
      <w:iCs/>
      <w:color w:val="026F8D"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61"/>
  </w:style>
  <w:style w:type="paragraph" w:styleId="Footer">
    <w:name w:val="footer"/>
    <w:basedOn w:val="Normal"/>
    <w:link w:val="FooterChar"/>
    <w:uiPriority w:val="99"/>
    <w:unhideWhenUsed/>
    <w:rsid w:val="00714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61"/>
  </w:style>
  <w:style w:type="character" w:customStyle="1" w:styleId="Heading1Char">
    <w:name w:val="Heading 1 Char"/>
    <w:basedOn w:val="DefaultParagraphFont"/>
    <w:link w:val="Heading1"/>
    <w:uiPriority w:val="9"/>
    <w:rsid w:val="00F816C9"/>
    <w:rPr>
      <w:rFonts w:ascii="PP Mori SemiBold" w:eastAsiaTheme="majorEastAsia" w:hAnsi="PP Mori SemiBold" w:cstheme="majorBidi"/>
      <w:color w:val="013C4C" w:themeColor="text1"/>
      <w:sz w:val="32"/>
      <w:szCs w:val="40"/>
    </w:rPr>
  </w:style>
  <w:style w:type="character" w:customStyle="1" w:styleId="Heading2Char">
    <w:name w:val="Heading 2 Char"/>
    <w:basedOn w:val="DefaultParagraphFont"/>
    <w:link w:val="Heading2"/>
    <w:uiPriority w:val="9"/>
    <w:rsid w:val="001711D1"/>
    <w:rPr>
      <w:rFonts w:ascii="PP Mori SemiBold" w:eastAsiaTheme="majorEastAsia" w:hAnsi="PP Mori SemiBold" w:cstheme="majorBidi"/>
      <w:color w:val="002C38" w:themeColor="accent1" w:themeShade="BF"/>
      <w:sz w:val="26"/>
      <w:szCs w:val="33"/>
    </w:rPr>
  </w:style>
  <w:style w:type="character" w:styleId="SubtleEmphasis">
    <w:name w:val="Subtle Emphasis"/>
    <w:basedOn w:val="DefaultParagraphFont"/>
    <w:uiPriority w:val="19"/>
    <w:rsid w:val="00714A61"/>
    <w:rPr>
      <w:i/>
      <w:iCs/>
      <w:color w:val="0290B7" w:themeColor="text1" w:themeTint="BF"/>
    </w:rPr>
  </w:style>
  <w:style w:type="paragraph" w:styleId="Title">
    <w:name w:val="Title"/>
    <w:basedOn w:val="Normal"/>
    <w:next w:val="Normal"/>
    <w:link w:val="TitleChar"/>
    <w:uiPriority w:val="10"/>
    <w:qFormat/>
    <w:rsid w:val="002827E4"/>
    <w:pPr>
      <w:spacing w:before="1920" w:after="0" w:line="240" w:lineRule="auto"/>
      <w:contextualSpacing/>
    </w:pPr>
    <w:rPr>
      <w:rFonts w:ascii="PP Mori SemiBold" w:eastAsiaTheme="majorEastAsia" w:hAnsi="PP Mori SemiBold" w:cstheme="majorBidi"/>
      <w:spacing w:val="-10"/>
      <w:kern w:val="28"/>
      <w:sz w:val="56"/>
      <w:szCs w:val="71"/>
    </w:rPr>
  </w:style>
  <w:style w:type="paragraph" w:styleId="IntenseQuote">
    <w:name w:val="Intense Quote"/>
    <w:basedOn w:val="Normal"/>
    <w:next w:val="Normal"/>
    <w:link w:val="IntenseQuoteChar"/>
    <w:uiPriority w:val="30"/>
    <w:rsid w:val="00714A61"/>
    <w:pPr>
      <w:pBdr>
        <w:top w:val="single" w:sz="4" w:space="10" w:color="013C4C" w:themeColor="accent1"/>
        <w:bottom w:val="single" w:sz="4" w:space="10" w:color="013C4C" w:themeColor="accent1"/>
      </w:pBdr>
      <w:spacing w:before="360" w:after="360"/>
      <w:ind w:left="864" w:right="864"/>
      <w:jc w:val="center"/>
    </w:pPr>
    <w:rPr>
      <w:i/>
      <w:iCs/>
      <w:color w:val="013C4C" w:themeColor="accent1"/>
    </w:rPr>
  </w:style>
  <w:style w:type="character" w:customStyle="1" w:styleId="IntenseQuoteChar">
    <w:name w:val="Intense Quote Char"/>
    <w:basedOn w:val="DefaultParagraphFont"/>
    <w:link w:val="IntenseQuote"/>
    <w:uiPriority w:val="30"/>
    <w:rsid w:val="00714A61"/>
    <w:rPr>
      <w:rFonts w:ascii="Lucida Sans" w:hAnsi="Lucida Sans"/>
      <w:i/>
      <w:iCs/>
      <w:color w:val="013C4C" w:themeColor="accent1"/>
    </w:rPr>
  </w:style>
  <w:style w:type="character" w:customStyle="1" w:styleId="TitleChar">
    <w:name w:val="Title Char"/>
    <w:basedOn w:val="DefaultParagraphFont"/>
    <w:link w:val="Title"/>
    <w:uiPriority w:val="10"/>
    <w:rsid w:val="002827E4"/>
    <w:rPr>
      <w:rFonts w:ascii="PP Mori SemiBold" w:eastAsiaTheme="majorEastAsia" w:hAnsi="PP Mori SemiBold" w:cstheme="majorBidi"/>
      <w:spacing w:val="-10"/>
      <w:kern w:val="28"/>
      <w:sz w:val="56"/>
      <w:szCs w:val="71"/>
    </w:rPr>
  </w:style>
  <w:style w:type="paragraph" w:styleId="NoSpacing">
    <w:name w:val="No Spacing"/>
    <w:aliases w:val="Details"/>
    <w:uiPriority w:val="1"/>
    <w:qFormat/>
    <w:rsid w:val="00714A61"/>
    <w:pPr>
      <w:spacing w:after="0" w:line="240" w:lineRule="auto"/>
    </w:pPr>
    <w:rPr>
      <w:rFonts w:ascii="Lucida Sans" w:hAnsi="Lucida Sans"/>
    </w:rPr>
  </w:style>
  <w:style w:type="character" w:customStyle="1" w:styleId="Heading3Char">
    <w:name w:val="Heading 3 Char"/>
    <w:basedOn w:val="DefaultParagraphFont"/>
    <w:link w:val="Heading3"/>
    <w:uiPriority w:val="9"/>
    <w:rsid w:val="00112F7B"/>
    <w:rPr>
      <w:rFonts w:ascii="PP Mori SemiBold" w:eastAsiaTheme="majorEastAsia" w:hAnsi="PP Mori SemiBold" w:cstheme="majorBidi"/>
      <w:color w:val="001D25" w:themeColor="accent1" w:themeShade="7F"/>
      <w:sz w:val="24"/>
      <w:szCs w:val="30"/>
    </w:rPr>
  </w:style>
  <w:style w:type="character" w:customStyle="1" w:styleId="Heading4Char">
    <w:name w:val="Heading 4 Char"/>
    <w:basedOn w:val="DefaultParagraphFont"/>
    <w:link w:val="Heading4"/>
    <w:uiPriority w:val="9"/>
    <w:rsid w:val="000C5211"/>
    <w:rPr>
      <w:rFonts w:ascii="PP Mori SemiBold" w:eastAsiaTheme="majorEastAsia" w:hAnsi="PP Mori SemiBold" w:cstheme="majorBidi"/>
      <w:i/>
      <w:iCs/>
      <w:color w:val="002C38" w:themeColor="accent1" w:themeShade="BF"/>
      <w:sz w:val="18"/>
    </w:rPr>
  </w:style>
  <w:style w:type="character" w:customStyle="1" w:styleId="Heading5Char">
    <w:name w:val="Heading 5 Char"/>
    <w:basedOn w:val="DefaultParagraphFont"/>
    <w:link w:val="Heading5"/>
    <w:uiPriority w:val="9"/>
    <w:semiHidden/>
    <w:rsid w:val="00167664"/>
    <w:rPr>
      <w:rFonts w:asciiTheme="majorHAnsi" w:eastAsiaTheme="majorEastAsia" w:hAnsiTheme="majorHAnsi" w:cstheme="majorBidi"/>
      <w:color w:val="002C38" w:themeColor="accent1" w:themeShade="BF"/>
      <w:sz w:val="18"/>
    </w:rPr>
  </w:style>
  <w:style w:type="character" w:customStyle="1" w:styleId="Heading6Char">
    <w:name w:val="Heading 6 Char"/>
    <w:basedOn w:val="DefaultParagraphFont"/>
    <w:link w:val="Heading6"/>
    <w:uiPriority w:val="9"/>
    <w:semiHidden/>
    <w:rsid w:val="00167664"/>
    <w:rPr>
      <w:rFonts w:asciiTheme="majorHAnsi" w:eastAsiaTheme="majorEastAsia" w:hAnsiTheme="majorHAnsi" w:cstheme="majorBidi"/>
      <w:color w:val="001D25" w:themeColor="accent1" w:themeShade="7F"/>
      <w:sz w:val="18"/>
    </w:rPr>
  </w:style>
  <w:style w:type="character" w:customStyle="1" w:styleId="Heading7Char">
    <w:name w:val="Heading 7 Char"/>
    <w:basedOn w:val="DefaultParagraphFont"/>
    <w:link w:val="Heading7"/>
    <w:uiPriority w:val="9"/>
    <w:semiHidden/>
    <w:rsid w:val="00167664"/>
    <w:rPr>
      <w:rFonts w:asciiTheme="majorHAnsi" w:eastAsiaTheme="majorEastAsia" w:hAnsiTheme="majorHAnsi" w:cstheme="majorBidi"/>
      <w:i/>
      <w:iCs/>
      <w:color w:val="001D25" w:themeColor="accent1" w:themeShade="7F"/>
      <w:sz w:val="18"/>
    </w:rPr>
  </w:style>
  <w:style w:type="character" w:customStyle="1" w:styleId="Heading8Char">
    <w:name w:val="Heading 8 Char"/>
    <w:basedOn w:val="DefaultParagraphFont"/>
    <w:link w:val="Heading8"/>
    <w:uiPriority w:val="9"/>
    <w:semiHidden/>
    <w:rsid w:val="00167664"/>
    <w:rPr>
      <w:rFonts w:asciiTheme="majorHAnsi" w:eastAsiaTheme="majorEastAsia" w:hAnsiTheme="majorHAnsi" w:cstheme="majorBidi"/>
      <w:color w:val="026F8D" w:themeColor="text1" w:themeTint="D8"/>
      <w:sz w:val="21"/>
      <w:szCs w:val="26"/>
    </w:rPr>
  </w:style>
  <w:style w:type="character" w:customStyle="1" w:styleId="Heading9Char">
    <w:name w:val="Heading 9 Char"/>
    <w:basedOn w:val="DefaultParagraphFont"/>
    <w:link w:val="Heading9"/>
    <w:uiPriority w:val="9"/>
    <w:semiHidden/>
    <w:rsid w:val="00167664"/>
    <w:rPr>
      <w:rFonts w:asciiTheme="majorHAnsi" w:eastAsiaTheme="majorEastAsia" w:hAnsiTheme="majorHAnsi" w:cstheme="majorBidi"/>
      <w:i/>
      <w:iCs/>
      <w:color w:val="026F8D" w:themeColor="text1" w:themeTint="D8"/>
      <w:sz w:val="21"/>
      <w:szCs w:val="26"/>
    </w:rPr>
  </w:style>
  <w:style w:type="paragraph" w:styleId="TOCHeading">
    <w:name w:val="TOC Heading"/>
    <w:basedOn w:val="Heading1"/>
    <w:next w:val="Normal"/>
    <w:uiPriority w:val="39"/>
    <w:unhideWhenUsed/>
    <w:qFormat/>
    <w:rsid w:val="00744C73"/>
    <w:pPr>
      <w:numPr>
        <w:numId w:val="0"/>
      </w:numPr>
      <w:spacing w:line="259" w:lineRule="auto"/>
      <w:outlineLvl w:val="9"/>
    </w:pPr>
    <w:rPr>
      <w:color w:val="002C38" w:themeColor="accent1" w:themeShade="BF"/>
      <w:kern w:val="0"/>
      <w:szCs w:val="32"/>
      <w:lang w:val="en-US" w:eastAsia="en-US" w:bidi="ar-SA"/>
      <w14:ligatures w14:val="none"/>
    </w:rPr>
  </w:style>
  <w:style w:type="paragraph" w:styleId="TOC1">
    <w:name w:val="toc 1"/>
    <w:basedOn w:val="Normal"/>
    <w:next w:val="Normal"/>
    <w:autoRedefine/>
    <w:uiPriority w:val="39"/>
    <w:unhideWhenUsed/>
    <w:rsid w:val="00004F52"/>
    <w:pPr>
      <w:keepNext/>
      <w:tabs>
        <w:tab w:val="left" w:pos="1134"/>
        <w:tab w:val="right" w:leader="dot" w:pos="10348"/>
      </w:tabs>
      <w:spacing w:after="100"/>
      <w:ind w:left="414" w:hanging="414"/>
    </w:pPr>
    <w:rPr>
      <w:rFonts w:ascii="PP Mori SemiBold" w:hAnsi="PP Mori SemiBold"/>
      <w:noProof/>
      <w:sz w:val="24"/>
    </w:rPr>
  </w:style>
  <w:style w:type="paragraph" w:styleId="TOC2">
    <w:name w:val="toc 2"/>
    <w:basedOn w:val="Normal"/>
    <w:next w:val="Normal"/>
    <w:autoRedefine/>
    <w:uiPriority w:val="39"/>
    <w:unhideWhenUsed/>
    <w:rsid w:val="00201714"/>
    <w:pPr>
      <w:tabs>
        <w:tab w:val="left" w:pos="1134"/>
        <w:tab w:val="right" w:leader="dot" w:pos="10348"/>
      </w:tabs>
      <w:spacing w:after="100"/>
      <w:ind w:left="1276" w:hanging="709"/>
    </w:pPr>
    <w:rPr>
      <w:sz w:val="20"/>
    </w:rPr>
  </w:style>
  <w:style w:type="character" w:styleId="Hyperlink">
    <w:name w:val="Hyperlink"/>
    <w:basedOn w:val="DefaultParagraphFont"/>
    <w:uiPriority w:val="99"/>
    <w:unhideWhenUsed/>
    <w:rsid w:val="00744C73"/>
    <w:rPr>
      <w:color w:val="F85C5D" w:themeColor="hyperlink"/>
      <w:u w:val="single"/>
    </w:rPr>
  </w:style>
  <w:style w:type="paragraph" w:styleId="TOC3">
    <w:name w:val="toc 3"/>
    <w:basedOn w:val="Normal"/>
    <w:next w:val="Normal"/>
    <w:autoRedefine/>
    <w:uiPriority w:val="39"/>
    <w:unhideWhenUsed/>
    <w:rsid w:val="00201714"/>
    <w:pPr>
      <w:tabs>
        <w:tab w:val="left" w:pos="1985"/>
        <w:tab w:val="right" w:leader="dot" w:pos="10348"/>
      </w:tabs>
      <w:spacing w:after="100"/>
      <w:ind w:left="1843" w:hanging="709"/>
    </w:pPr>
  </w:style>
  <w:style w:type="paragraph" w:styleId="ListParagraph">
    <w:name w:val="List Paragraph"/>
    <w:aliases w:val="Without Spacing"/>
    <w:basedOn w:val="Normal"/>
    <w:link w:val="ListParagraphChar"/>
    <w:uiPriority w:val="34"/>
    <w:qFormat/>
    <w:rsid w:val="008C69C0"/>
    <w:pPr>
      <w:numPr>
        <w:numId w:val="14"/>
      </w:numPr>
      <w:spacing w:before="120" w:after="120" w:line="276" w:lineRule="auto"/>
    </w:pPr>
  </w:style>
  <w:style w:type="table" w:styleId="GridTable4">
    <w:name w:val="Grid Table 4"/>
    <w:basedOn w:val="TableNormal"/>
    <w:uiPriority w:val="49"/>
    <w:rsid w:val="00F02995"/>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color w:val="FAFAFA" w:themeColor="background1"/>
      </w:rPr>
      <w:tblPr/>
      <w:tcPr>
        <w:tcBorders>
          <w:top w:val="single" w:sz="4" w:space="0" w:color="013C4C" w:themeColor="text1"/>
          <w:left w:val="single" w:sz="4" w:space="0" w:color="013C4C" w:themeColor="text1"/>
          <w:bottom w:val="single" w:sz="4" w:space="0" w:color="013C4C" w:themeColor="text1"/>
          <w:right w:val="single" w:sz="4" w:space="0" w:color="013C4C" w:themeColor="text1"/>
          <w:insideH w:val="nil"/>
          <w:insideV w:val="nil"/>
        </w:tcBorders>
        <w:shd w:val="clear" w:color="auto" w:fill="013C4C" w:themeFill="text1"/>
      </w:tcPr>
    </w:tblStylePr>
    <w:tblStylePr w:type="lastRow">
      <w:rPr>
        <w:b/>
        <w:bCs/>
      </w:rPr>
      <w:tblPr/>
      <w:tcPr>
        <w:tcBorders>
          <w:top w:val="double" w:sz="4" w:space="0" w:color="013C4C" w:themeColor="text1"/>
        </w:tcBorders>
      </w:tcPr>
    </w:tblStylePr>
    <w:tblStylePr w:type="firstCol">
      <w:rPr>
        <w:b/>
        <w:bCs/>
      </w:rPr>
    </w:tblStylePr>
    <w:tblStylePr w:type="lastCol">
      <w:rPr>
        <w:b/>
        <w:bCs/>
      </w:rPr>
    </w:tblStylePr>
    <w:tblStylePr w:type="band1Vert">
      <w:tblPr/>
      <w:tcPr>
        <w:shd w:val="clear" w:color="auto" w:fill="A9EBFE" w:themeFill="text1" w:themeFillTint="33"/>
      </w:tcPr>
    </w:tblStylePr>
    <w:tblStylePr w:type="band1Horz">
      <w:tblPr/>
      <w:tcPr>
        <w:shd w:val="clear" w:color="auto" w:fill="A9EBFE" w:themeFill="text1" w:themeFillTint="33"/>
      </w:tcPr>
    </w:tblStylePr>
  </w:style>
  <w:style w:type="paragraph" w:styleId="Quote">
    <w:name w:val="Quote"/>
    <w:basedOn w:val="Normal"/>
    <w:next w:val="Normal"/>
    <w:link w:val="QuoteChar"/>
    <w:uiPriority w:val="29"/>
    <w:qFormat/>
    <w:rsid w:val="00DE36E4"/>
    <w:pPr>
      <w:ind w:left="720"/>
    </w:pPr>
    <w:rPr>
      <w:i/>
      <w:iCs/>
    </w:rPr>
  </w:style>
  <w:style w:type="character" w:customStyle="1" w:styleId="QuoteChar">
    <w:name w:val="Quote Char"/>
    <w:basedOn w:val="DefaultParagraphFont"/>
    <w:link w:val="Quote"/>
    <w:uiPriority w:val="29"/>
    <w:rsid w:val="00DE36E4"/>
    <w:rPr>
      <w:rFonts w:ascii="PP Mori" w:hAnsi="PP Mori"/>
      <w:i/>
      <w:iCs/>
      <w:sz w:val="18"/>
    </w:rPr>
  </w:style>
  <w:style w:type="character" w:styleId="Strong">
    <w:name w:val="Strong"/>
    <w:uiPriority w:val="22"/>
    <w:qFormat/>
    <w:rsid w:val="009A3DD8"/>
  </w:style>
  <w:style w:type="paragraph" w:styleId="Subtitle">
    <w:name w:val="Subtitle"/>
    <w:basedOn w:val="Normal"/>
    <w:next w:val="Normal"/>
    <w:link w:val="SubtitleChar"/>
    <w:uiPriority w:val="11"/>
    <w:qFormat/>
    <w:rsid w:val="00661261"/>
    <w:rPr>
      <w:rFonts w:ascii="PP Mori ExtraLight" w:hAnsi="PP Mori ExtraLight"/>
      <w:sz w:val="28"/>
      <w:szCs w:val="44"/>
    </w:rPr>
  </w:style>
  <w:style w:type="character" w:customStyle="1" w:styleId="SubtitleChar">
    <w:name w:val="Subtitle Char"/>
    <w:basedOn w:val="DefaultParagraphFont"/>
    <w:link w:val="Subtitle"/>
    <w:uiPriority w:val="11"/>
    <w:rsid w:val="00661261"/>
    <w:rPr>
      <w:rFonts w:ascii="PP Mori ExtraLight" w:hAnsi="PP Mori ExtraLight"/>
      <w:sz w:val="28"/>
      <w:szCs w:val="44"/>
    </w:rPr>
  </w:style>
  <w:style w:type="character" w:styleId="UnresolvedMention">
    <w:name w:val="Unresolved Mention"/>
    <w:basedOn w:val="DefaultParagraphFont"/>
    <w:uiPriority w:val="99"/>
    <w:semiHidden/>
    <w:unhideWhenUsed/>
    <w:rsid w:val="00207652"/>
    <w:rPr>
      <w:color w:val="605E5C"/>
      <w:shd w:val="clear" w:color="auto" w:fill="E1DFDD"/>
    </w:rPr>
  </w:style>
  <w:style w:type="paragraph" w:styleId="Caption">
    <w:name w:val="caption"/>
    <w:basedOn w:val="Normal"/>
    <w:next w:val="Normal"/>
    <w:uiPriority w:val="35"/>
    <w:unhideWhenUsed/>
    <w:qFormat/>
    <w:rsid w:val="00B22DC5"/>
    <w:pPr>
      <w:spacing w:before="0" w:after="200" w:line="240" w:lineRule="auto"/>
      <w:jc w:val="center"/>
    </w:pPr>
    <w:rPr>
      <w:i/>
      <w:iCs/>
      <w:color w:val="013C4C" w:themeColor="text1"/>
      <w:szCs w:val="22"/>
    </w:rPr>
  </w:style>
  <w:style w:type="paragraph" w:styleId="FootnoteText">
    <w:name w:val="footnote text"/>
    <w:basedOn w:val="Normal"/>
    <w:link w:val="FootnoteTextChar"/>
    <w:uiPriority w:val="99"/>
    <w:unhideWhenUsed/>
    <w:rsid w:val="0025410A"/>
    <w:pPr>
      <w:spacing w:before="0" w:after="0" w:line="240" w:lineRule="auto"/>
    </w:pPr>
    <w:rPr>
      <w:sz w:val="20"/>
      <w:szCs w:val="25"/>
    </w:rPr>
  </w:style>
  <w:style w:type="character" w:customStyle="1" w:styleId="FootnoteTextChar">
    <w:name w:val="Footnote Text Char"/>
    <w:basedOn w:val="DefaultParagraphFont"/>
    <w:link w:val="FootnoteText"/>
    <w:uiPriority w:val="99"/>
    <w:rsid w:val="0025410A"/>
    <w:rPr>
      <w:rFonts w:ascii="PP Mori" w:hAnsi="PP Mori"/>
      <w:sz w:val="20"/>
      <w:szCs w:val="25"/>
    </w:rPr>
  </w:style>
  <w:style w:type="character" w:styleId="FootnoteReference">
    <w:name w:val="footnote reference"/>
    <w:basedOn w:val="DefaultParagraphFont"/>
    <w:uiPriority w:val="99"/>
    <w:unhideWhenUsed/>
    <w:rsid w:val="0025410A"/>
    <w:rPr>
      <w:vertAlign w:val="superscript"/>
    </w:rPr>
  </w:style>
  <w:style w:type="paragraph" w:styleId="NormalWeb">
    <w:name w:val="Normal (Web)"/>
    <w:basedOn w:val="Normal"/>
    <w:uiPriority w:val="99"/>
    <w:unhideWhenUsed/>
    <w:rsid w:val="00E66A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semiHidden/>
    <w:unhideWhenUsed/>
    <w:rsid w:val="00FC6983"/>
    <w:pPr>
      <w:spacing w:before="0" w:after="0" w:line="240" w:lineRule="auto"/>
    </w:pPr>
    <w:rPr>
      <w:sz w:val="20"/>
      <w:szCs w:val="25"/>
    </w:rPr>
  </w:style>
  <w:style w:type="character" w:customStyle="1" w:styleId="EndnoteTextChar">
    <w:name w:val="Endnote Text Char"/>
    <w:basedOn w:val="DefaultParagraphFont"/>
    <w:link w:val="EndnoteText"/>
    <w:uiPriority w:val="99"/>
    <w:semiHidden/>
    <w:rsid w:val="00FC6983"/>
    <w:rPr>
      <w:rFonts w:ascii="PP Mori" w:hAnsi="PP Mori"/>
      <w:sz w:val="20"/>
      <w:szCs w:val="25"/>
    </w:rPr>
  </w:style>
  <w:style w:type="character" w:styleId="EndnoteReference">
    <w:name w:val="endnote reference"/>
    <w:basedOn w:val="DefaultParagraphFont"/>
    <w:uiPriority w:val="99"/>
    <w:semiHidden/>
    <w:unhideWhenUsed/>
    <w:rsid w:val="00FC6983"/>
    <w:rPr>
      <w:vertAlign w:val="superscript"/>
    </w:rPr>
  </w:style>
  <w:style w:type="character" w:styleId="FollowedHyperlink">
    <w:name w:val="FollowedHyperlink"/>
    <w:basedOn w:val="DefaultParagraphFont"/>
    <w:uiPriority w:val="99"/>
    <w:semiHidden/>
    <w:unhideWhenUsed/>
    <w:rsid w:val="0051162E"/>
    <w:rPr>
      <w:color w:val="8DD1E8" w:themeColor="followedHyperlink"/>
      <w:u w:val="single"/>
    </w:rPr>
  </w:style>
  <w:style w:type="table" w:styleId="TableGrid">
    <w:name w:val="Table Grid"/>
    <w:basedOn w:val="TableNormal"/>
    <w:uiPriority w:val="39"/>
    <w:rsid w:val="0002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C9269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tcBorders>
        <w:shd w:val="clear" w:color="auto" w:fill="2F2F2F" w:themeFill="accent5"/>
      </w:tcPr>
    </w:tblStylePr>
    <w:tblStylePr w:type="lastRow">
      <w:rPr>
        <w:b/>
        <w:bCs/>
      </w:rPr>
      <w:tblPr/>
      <w:tcPr>
        <w:tcBorders>
          <w:top w:val="double" w:sz="4" w:space="0" w:color="828282" w:themeColor="accent5" w:themeTint="99"/>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2-Accent5">
    <w:name w:val="List Table 2 Accent 5"/>
    <w:basedOn w:val="TableNormal"/>
    <w:uiPriority w:val="47"/>
    <w:rsid w:val="00C92691"/>
    <w:pPr>
      <w:spacing w:after="0" w:line="240" w:lineRule="auto"/>
    </w:pPr>
    <w:tblPr>
      <w:tblStyleRowBandSize w:val="1"/>
      <w:tblStyleColBandSize w:val="1"/>
      <w:tblBorders>
        <w:top w:val="single" w:sz="4" w:space="0" w:color="828282" w:themeColor="accent5" w:themeTint="99"/>
        <w:bottom w:val="single" w:sz="4" w:space="0" w:color="828282" w:themeColor="accent5" w:themeTint="99"/>
        <w:insideH w:val="single" w:sz="4" w:space="0" w:color="8282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7Colorful-Accent5">
    <w:name w:val="List Table 7 Colorful Accent 5"/>
    <w:basedOn w:val="TableNormal"/>
    <w:uiPriority w:val="52"/>
    <w:rsid w:val="00911E5C"/>
    <w:pPr>
      <w:spacing w:after="0" w:line="240" w:lineRule="auto"/>
    </w:pPr>
    <w:rPr>
      <w:color w:val="23232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2F2F" w:themeColor="accent5"/>
        </w:tcBorders>
        <w:shd w:val="clear" w:color="auto" w:fill="FAFAFA" w:themeFill="background1"/>
      </w:tcPr>
    </w:tblStylePr>
    <w:tblStylePr w:type="lastRow">
      <w:rPr>
        <w:rFonts w:asciiTheme="majorHAnsi" w:eastAsiaTheme="majorEastAsia" w:hAnsiTheme="majorHAnsi" w:cstheme="majorBidi"/>
        <w:i/>
        <w:iCs/>
        <w:sz w:val="26"/>
      </w:rPr>
      <w:tblPr/>
      <w:tcPr>
        <w:tcBorders>
          <w:top w:val="single" w:sz="4" w:space="0" w:color="2F2F2F" w:themeColor="accent5"/>
        </w:tcBorders>
        <w:shd w:val="clear" w:color="auto" w:fill="FAFAF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2F2F" w:themeColor="accent5"/>
        </w:tcBorders>
        <w:shd w:val="clear" w:color="auto" w:fill="FAFAFA" w:themeFill="background1"/>
      </w:tcPr>
    </w:tblStylePr>
    <w:tblStylePr w:type="lastCol">
      <w:rPr>
        <w:rFonts w:asciiTheme="majorHAnsi" w:eastAsiaTheme="majorEastAsia" w:hAnsiTheme="majorHAnsi" w:cstheme="majorBidi"/>
        <w:i/>
        <w:iCs/>
        <w:sz w:val="26"/>
      </w:rPr>
      <w:tblPr/>
      <w:tcPr>
        <w:tcBorders>
          <w:left w:val="single" w:sz="4" w:space="0" w:color="2F2F2F" w:themeColor="accent5"/>
        </w:tcBorders>
        <w:shd w:val="clear" w:color="auto" w:fill="FAFAFA" w:themeFill="background1"/>
      </w:tcPr>
    </w:tblStylePr>
    <w:tblStylePr w:type="band1Vert">
      <w:tblPr/>
      <w:tcPr>
        <w:shd w:val="clear" w:color="auto" w:fill="D5D5D5" w:themeFill="accent5" w:themeFillTint="33"/>
      </w:tcPr>
    </w:tblStylePr>
    <w:tblStylePr w:type="band1Horz">
      <w:tblPr/>
      <w:tcPr>
        <w:shd w:val="clear" w:color="auto" w:fill="D5D5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36939"/>
    <w:rPr>
      <w:sz w:val="16"/>
      <w:szCs w:val="16"/>
    </w:rPr>
  </w:style>
  <w:style w:type="paragraph" w:styleId="CommentText">
    <w:name w:val="annotation text"/>
    <w:basedOn w:val="Normal"/>
    <w:link w:val="CommentTextChar"/>
    <w:uiPriority w:val="99"/>
    <w:unhideWhenUsed/>
    <w:rsid w:val="00736939"/>
    <w:pPr>
      <w:spacing w:line="240" w:lineRule="auto"/>
    </w:pPr>
    <w:rPr>
      <w:sz w:val="20"/>
      <w:szCs w:val="25"/>
    </w:rPr>
  </w:style>
  <w:style w:type="character" w:customStyle="1" w:styleId="CommentTextChar">
    <w:name w:val="Comment Text Char"/>
    <w:basedOn w:val="DefaultParagraphFont"/>
    <w:link w:val="CommentText"/>
    <w:uiPriority w:val="99"/>
    <w:rsid w:val="00736939"/>
    <w:rPr>
      <w:rFonts w:ascii="PP Mori" w:hAnsi="PP Mori"/>
      <w:sz w:val="20"/>
      <w:szCs w:val="25"/>
    </w:rPr>
  </w:style>
  <w:style w:type="paragraph" w:styleId="CommentSubject">
    <w:name w:val="annotation subject"/>
    <w:basedOn w:val="CommentText"/>
    <w:next w:val="CommentText"/>
    <w:link w:val="CommentSubjectChar"/>
    <w:uiPriority w:val="99"/>
    <w:semiHidden/>
    <w:unhideWhenUsed/>
    <w:rsid w:val="00736939"/>
    <w:rPr>
      <w:b/>
      <w:bCs/>
    </w:rPr>
  </w:style>
  <w:style w:type="character" w:customStyle="1" w:styleId="CommentSubjectChar">
    <w:name w:val="Comment Subject Char"/>
    <w:basedOn w:val="CommentTextChar"/>
    <w:link w:val="CommentSubject"/>
    <w:uiPriority w:val="99"/>
    <w:semiHidden/>
    <w:rsid w:val="00736939"/>
    <w:rPr>
      <w:rFonts w:ascii="PP Mori" w:hAnsi="PP Mori"/>
      <w:b/>
      <w:bCs/>
      <w:sz w:val="20"/>
      <w:szCs w:val="25"/>
    </w:rPr>
  </w:style>
  <w:style w:type="character" w:styleId="Mention">
    <w:name w:val="Mention"/>
    <w:basedOn w:val="DefaultParagraphFont"/>
    <w:uiPriority w:val="99"/>
    <w:unhideWhenUsed/>
    <w:rsid w:val="00736939"/>
    <w:rPr>
      <w:color w:val="2B579A"/>
      <w:shd w:val="clear" w:color="auto" w:fill="E1DFDD"/>
    </w:rPr>
  </w:style>
  <w:style w:type="table" w:styleId="GridTable3">
    <w:name w:val="Grid Table 3"/>
    <w:basedOn w:val="TableNormal"/>
    <w:uiPriority w:val="48"/>
    <w:rsid w:val="00D91D34"/>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rPr>
      <w:tblPr/>
      <w:tcPr>
        <w:tcBorders>
          <w:top w:val="nil"/>
          <w:left w:val="nil"/>
          <w:right w:val="nil"/>
          <w:insideH w:val="nil"/>
          <w:insideV w:val="nil"/>
        </w:tcBorders>
        <w:shd w:val="clear" w:color="auto" w:fill="FAFAFA" w:themeFill="background1"/>
      </w:tcPr>
    </w:tblStylePr>
    <w:tblStylePr w:type="lastRow">
      <w:rPr>
        <w:b/>
        <w:bCs/>
      </w:rPr>
      <w:tblPr/>
      <w:tcPr>
        <w:tcBorders>
          <w:left w:val="nil"/>
          <w:bottom w:val="nil"/>
          <w:right w:val="nil"/>
          <w:insideH w:val="nil"/>
          <w:insideV w:val="nil"/>
        </w:tcBorders>
        <w:shd w:val="clear" w:color="auto" w:fill="FAFAFA" w:themeFill="background1"/>
      </w:tcPr>
    </w:tblStylePr>
    <w:tblStylePr w:type="firstCol">
      <w:pPr>
        <w:jc w:val="right"/>
      </w:pPr>
      <w:rPr>
        <w:i/>
        <w:iCs/>
      </w:rPr>
      <w:tblPr/>
      <w:tcPr>
        <w:tcBorders>
          <w:top w:val="nil"/>
          <w:left w:val="nil"/>
          <w:bottom w:val="nil"/>
          <w:insideH w:val="nil"/>
          <w:insideV w:val="nil"/>
        </w:tcBorders>
        <w:shd w:val="clear" w:color="auto" w:fill="FAFAFA" w:themeFill="background1"/>
      </w:tcPr>
    </w:tblStylePr>
    <w:tblStylePr w:type="lastCol">
      <w:rPr>
        <w:i/>
        <w:iCs/>
      </w:rPr>
      <w:tblPr/>
      <w:tcPr>
        <w:tcBorders>
          <w:top w:val="nil"/>
          <w:bottom w:val="nil"/>
          <w:right w:val="nil"/>
          <w:insideH w:val="nil"/>
          <w:insideV w:val="nil"/>
        </w:tcBorders>
        <w:shd w:val="clear" w:color="auto" w:fill="FAFAFA" w:themeFill="background1"/>
      </w:tcPr>
    </w:tblStylePr>
    <w:tblStylePr w:type="band1Vert">
      <w:tblPr/>
      <w:tcPr>
        <w:shd w:val="clear" w:color="auto" w:fill="A9EBFE" w:themeFill="text1" w:themeFillTint="33"/>
      </w:tcPr>
    </w:tblStylePr>
    <w:tblStylePr w:type="band1Horz">
      <w:tblPr/>
      <w:tcPr>
        <w:shd w:val="clear" w:color="auto" w:fill="A9EBFE" w:themeFill="text1" w:themeFillTint="33"/>
      </w:tcPr>
    </w:tblStylePr>
    <w:tblStylePr w:type="neCell">
      <w:tblPr/>
      <w:tcPr>
        <w:tcBorders>
          <w:bottom w:val="single" w:sz="4" w:space="0" w:color="03C2F6" w:themeColor="text1" w:themeTint="99"/>
        </w:tcBorders>
      </w:tcPr>
    </w:tblStylePr>
    <w:tblStylePr w:type="nwCell">
      <w:tblPr/>
      <w:tcPr>
        <w:tcBorders>
          <w:bottom w:val="single" w:sz="4" w:space="0" w:color="03C2F6" w:themeColor="text1" w:themeTint="99"/>
        </w:tcBorders>
      </w:tcPr>
    </w:tblStylePr>
    <w:tblStylePr w:type="seCell">
      <w:tblPr/>
      <w:tcPr>
        <w:tcBorders>
          <w:top w:val="single" w:sz="4" w:space="0" w:color="03C2F6" w:themeColor="text1" w:themeTint="99"/>
        </w:tcBorders>
      </w:tcPr>
    </w:tblStylePr>
    <w:tblStylePr w:type="swCell">
      <w:tblPr/>
      <w:tcPr>
        <w:tcBorders>
          <w:top w:val="single" w:sz="4" w:space="0" w:color="03C2F6" w:themeColor="text1" w:themeTint="99"/>
        </w:tcBorders>
      </w:tcPr>
    </w:tblStylePr>
  </w:style>
  <w:style w:type="paragraph" w:styleId="Bibliography">
    <w:name w:val="Bibliography"/>
    <w:basedOn w:val="Normal"/>
    <w:next w:val="Normal"/>
    <w:uiPriority w:val="37"/>
    <w:unhideWhenUsed/>
    <w:rsid w:val="009858D0"/>
  </w:style>
  <w:style w:type="table" w:styleId="GridTable4-Accent5">
    <w:name w:val="Grid Table 4 Accent 5"/>
    <w:basedOn w:val="TableNormal"/>
    <w:uiPriority w:val="49"/>
    <w:rsid w:val="00F940D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insideV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insideV w:val="nil"/>
        </w:tcBorders>
        <w:shd w:val="clear" w:color="auto" w:fill="2F2F2F" w:themeFill="accent5"/>
      </w:tcPr>
    </w:tblStylePr>
    <w:tblStylePr w:type="lastRow">
      <w:rPr>
        <w:b/>
        <w:bCs/>
      </w:rPr>
      <w:tblPr/>
      <w:tcPr>
        <w:tcBorders>
          <w:top w:val="double" w:sz="4" w:space="0" w:color="2F2F2F" w:themeColor="accent5"/>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paragraph" w:styleId="Revision">
    <w:name w:val="Revision"/>
    <w:hidden/>
    <w:uiPriority w:val="99"/>
    <w:semiHidden/>
    <w:rsid w:val="0046078F"/>
    <w:pPr>
      <w:spacing w:after="0" w:line="240" w:lineRule="auto"/>
    </w:pPr>
    <w:rPr>
      <w:rFonts w:ascii="PP Mori" w:hAnsi="PP Mori"/>
      <w:sz w:val="18"/>
    </w:rPr>
  </w:style>
  <w:style w:type="paragraph" w:customStyle="1" w:styleId="Default">
    <w:name w:val="Default"/>
    <w:rsid w:val="00165D1B"/>
    <w:pPr>
      <w:autoSpaceDE w:val="0"/>
      <w:autoSpaceDN w:val="0"/>
      <w:adjustRightInd w:val="0"/>
      <w:spacing w:after="0" w:line="240" w:lineRule="auto"/>
    </w:pPr>
    <w:rPr>
      <w:rFonts w:ascii="Calibri" w:hAnsi="Calibri" w:cs="Calibri"/>
      <w:color w:val="000000"/>
      <w:kern w:val="0"/>
      <w:sz w:val="24"/>
      <w:szCs w:val="24"/>
    </w:rPr>
  </w:style>
  <w:style w:type="table" w:styleId="ListTable3-Accent1">
    <w:name w:val="List Table 3 Accent 1"/>
    <w:basedOn w:val="TableNormal"/>
    <w:uiPriority w:val="48"/>
    <w:rsid w:val="00C66386"/>
    <w:pPr>
      <w:spacing w:after="0" w:line="240" w:lineRule="auto"/>
    </w:pPr>
    <w:tblPr>
      <w:tblStyleRowBandSize w:val="1"/>
      <w:tblStyleColBandSize w:val="1"/>
      <w:tblBorders>
        <w:top w:val="single" w:sz="4" w:space="0" w:color="013C4C" w:themeColor="accent1"/>
        <w:left w:val="single" w:sz="4" w:space="0" w:color="013C4C" w:themeColor="accent1"/>
        <w:bottom w:val="single" w:sz="4" w:space="0" w:color="013C4C" w:themeColor="accent1"/>
        <w:right w:val="single" w:sz="4" w:space="0" w:color="013C4C" w:themeColor="accent1"/>
      </w:tblBorders>
    </w:tblPr>
    <w:tblStylePr w:type="firstRow">
      <w:rPr>
        <w:b/>
        <w:bCs/>
        <w:color w:val="FAFAFA" w:themeColor="background1"/>
      </w:rPr>
      <w:tblPr/>
      <w:tcPr>
        <w:shd w:val="clear" w:color="auto" w:fill="013C4C" w:themeFill="accent1"/>
      </w:tcPr>
    </w:tblStylePr>
    <w:tblStylePr w:type="lastRow">
      <w:rPr>
        <w:b/>
        <w:bCs/>
      </w:rPr>
      <w:tblPr/>
      <w:tcPr>
        <w:tcBorders>
          <w:top w:val="double" w:sz="4" w:space="0" w:color="013C4C" w:themeColor="accen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accent1"/>
          <w:right w:val="single" w:sz="4" w:space="0" w:color="013C4C" w:themeColor="accent1"/>
        </w:tcBorders>
      </w:tcPr>
    </w:tblStylePr>
    <w:tblStylePr w:type="band1Horz">
      <w:tblPr/>
      <w:tcPr>
        <w:tcBorders>
          <w:top w:val="single" w:sz="4" w:space="0" w:color="013C4C" w:themeColor="accent1"/>
          <w:bottom w:val="single" w:sz="4" w:space="0" w:color="013C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accent1"/>
          <w:left w:val="nil"/>
        </w:tcBorders>
      </w:tcPr>
    </w:tblStylePr>
    <w:tblStylePr w:type="swCell">
      <w:tblPr/>
      <w:tcPr>
        <w:tcBorders>
          <w:top w:val="double" w:sz="4" w:space="0" w:color="013C4C" w:themeColor="accent1"/>
          <w:right w:val="nil"/>
        </w:tcBorders>
      </w:tcPr>
    </w:tblStylePr>
  </w:style>
  <w:style w:type="table" w:styleId="PlainTable2">
    <w:name w:val="Plain Table 2"/>
    <w:basedOn w:val="TableNormal"/>
    <w:uiPriority w:val="42"/>
    <w:rsid w:val="004C4E1C"/>
    <w:pPr>
      <w:spacing w:after="0" w:line="240" w:lineRule="auto"/>
    </w:pPr>
    <w:tblPr>
      <w:tblStyleRowBandSize w:val="1"/>
      <w:tblStyleColBandSize w:val="1"/>
      <w:tblBorders>
        <w:top w:val="single" w:sz="4" w:space="0" w:color="28CEFC" w:themeColor="text1" w:themeTint="80"/>
        <w:bottom w:val="single" w:sz="4" w:space="0" w:color="28CEFC" w:themeColor="text1" w:themeTint="80"/>
      </w:tblBorders>
    </w:tblPr>
    <w:tblStylePr w:type="firstRow">
      <w:rPr>
        <w:b/>
        <w:bCs/>
      </w:rPr>
      <w:tblPr/>
      <w:tcPr>
        <w:tcBorders>
          <w:bottom w:val="single" w:sz="4" w:space="0" w:color="28CEFC" w:themeColor="text1" w:themeTint="80"/>
        </w:tcBorders>
      </w:tcPr>
    </w:tblStylePr>
    <w:tblStylePr w:type="lastRow">
      <w:rPr>
        <w:b/>
        <w:bCs/>
      </w:rPr>
      <w:tblPr/>
      <w:tcPr>
        <w:tcBorders>
          <w:top w:val="single" w:sz="4" w:space="0" w:color="28CEFC" w:themeColor="text1" w:themeTint="80"/>
        </w:tcBorders>
      </w:tcPr>
    </w:tblStylePr>
    <w:tblStylePr w:type="firstCol">
      <w:rPr>
        <w:b/>
        <w:bCs/>
      </w:rPr>
    </w:tblStylePr>
    <w:tblStylePr w:type="lastCol">
      <w:rPr>
        <w:b/>
        <w:bCs/>
      </w:rPr>
    </w:tblStylePr>
    <w:tblStylePr w:type="band1Vert">
      <w:tblPr/>
      <w:tcPr>
        <w:tcBorders>
          <w:left w:val="single" w:sz="4" w:space="0" w:color="28CEFC" w:themeColor="text1" w:themeTint="80"/>
          <w:right w:val="single" w:sz="4" w:space="0" w:color="28CEFC" w:themeColor="text1" w:themeTint="80"/>
        </w:tcBorders>
      </w:tcPr>
    </w:tblStylePr>
    <w:tblStylePr w:type="band2Vert">
      <w:tblPr/>
      <w:tcPr>
        <w:tcBorders>
          <w:left w:val="single" w:sz="4" w:space="0" w:color="28CEFC" w:themeColor="text1" w:themeTint="80"/>
          <w:right w:val="single" w:sz="4" w:space="0" w:color="28CEFC" w:themeColor="text1" w:themeTint="80"/>
        </w:tcBorders>
      </w:tcPr>
    </w:tblStylePr>
    <w:tblStylePr w:type="band1Horz">
      <w:tblPr/>
      <w:tcPr>
        <w:tcBorders>
          <w:top w:val="single" w:sz="4" w:space="0" w:color="28CEFC" w:themeColor="text1" w:themeTint="80"/>
          <w:bottom w:val="single" w:sz="4" w:space="0" w:color="28CEFC" w:themeColor="text1" w:themeTint="80"/>
        </w:tcBorders>
      </w:tcPr>
    </w:tblStylePr>
  </w:style>
  <w:style w:type="table" w:styleId="GridTable5Dark-Accent3">
    <w:name w:val="Grid Table 5 Dark Accent 3"/>
    <w:basedOn w:val="TableNormal"/>
    <w:uiPriority w:val="50"/>
    <w:rsid w:val="004C4E1C"/>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BAEBFC" w:themeFill="accent3"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67296" w:themeFill="accent3"/>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67296" w:themeFill="accent3"/>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67296" w:themeFill="accent3"/>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67296" w:themeFill="accent3"/>
      </w:tcPr>
    </w:tblStylePr>
    <w:tblStylePr w:type="band1Vert">
      <w:tblPr/>
      <w:tcPr>
        <w:shd w:val="clear" w:color="auto" w:fill="76D8F9" w:themeFill="accent3" w:themeFillTint="66"/>
      </w:tcPr>
    </w:tblStylePr>
    <w:tblStylePr w:type="band1Horz">
      <w:tblPr/>
      <w:tcPr>
        <w:shd w:val="clear" w:color="auto" w:fill="76D8F9" w:themeFill="accent3" w:themeFillTint="66"/>
      </w:tcPr>
    </w:tblStylePr>
  </w:style>
  <w:style w:type="character" w:customStyle="1" w:styleId="ListParagraphChar">
    <w:name w:val="List Paragraph Char"/>
    <w:aliases w:val="Without Spacing Char"/>
    <w:basedOn w:val="DefaultParagraphFont"/>
    <w:link w:val="ListParagraph"/>
    <w:uiPriority w:val="34"/>
    <w:rsid w:val="008C69C0"/>
    <w:rPr>
      <w:rFonts w:ascii="PP Mori" w:hAnsi="PP Mori"/>
      <w:sz w:val="18"/>
    </w:rPr>
  </w:style>
  <w:style w:type="table" w:styleId="PlainTable1">
    <w:name w:val="Plain Table 1"/>
    <w:basedOn w:val="TableNormal"/>
    <w:uiPriority w:val="41"/>
    <w:rsid w:val="008F21D4"/>
    <w:pPr>
      <w:spacing w:after="0" w:line="240" w:lineRule="auto"/>
    </w:pPr>
    <w:tblPr>
      <w:tblStyleRowBandSize w:val="1"/>
      <w:tblStyleColBandSize w:val="1"/>
      <w:tblBorders>
        <w:top w:val="single" w:sz="4" w:space="0" w:color="BBBBBB" w:themeColor="background1" w:themeShade="BF"/>
        <w:left w:val="single" w:sz="4" w:space="0" w:color="BBBBBB" w:themeColor="background1" w:themeShade="BF"/>
        <w:bottom w:val="single" w:sz="4" w:space="0" w:color="BBBBBB" w:themeColor="background1" w:themeShade="BF"/>
        <w:right w:val="single" w:sz="4" w:space="0" w:color="BBBBBB" w:themeColor="background1" w:themeShade="BF"/>
        <w:insideH w:val="single" w:sz="4" w:space="0" w:color="BBBBBB" w:themeColor="background1" w:themeShade="BF"/>
        <w:insideV w:val="single" w:sz="4" w:space="0" w:color="BBBBBB" w:themeColor="background1" w:themeShade="BF"/>
      </w:tblBorders>
    </w:tblPr>
    <w:tblStylePr w:type="firstRow">
      <w:rPr>
        <w:b/>
        <w:bCs/>
      </w:rPr>
    </w:tblStylePr>
    <w:tblStylePr w:type="lastRow">
      <w:rPr>
        <w:b/>
        <w:bCs/>
      </w:rPr>
      <w:tblPr/>
      <w:tcPr>
        <w:tcBorders>
          <w:top w:val="double" w:sz="4" w:space="0" w:color="BBBBBB" w:themeColor="background1" w:themeShade="BF"/>
        </w:tcBorders>
      </w:tcPr>
    </w:tblStylePr>
    <w:tblStylePr w:type="firstCol">
      <w:rPr>
        <w:b/>
        <w:bCs/>
      </w:rPr>
    </w:tblStylePr>
    <w:tblStylePr w:type="lastCol">
      <w:rPr>
        <w:b/>
        <w:bCs/>
      </w:rPr>
    </w:tblStylePr>
    <w:tblStylePr w:type="band1Vert">
      <w:tblPr/>
      <w:tcPr>
        <w:shd w:val="clear" w:color="auto" w:fill="EDEDED" w:themeFill="background1" w:themeFillShade="F2"/>
      </w:tcPr>
    </w:tblStylePr>
    <w:tblStylePr w:type="band1Horz">
      <w:tblPr/>
      <w:tcPr>
        <w:shd w:val="clear" w:color="auto" w:fill="EDEDED" w:themeFill="background1" w:themeFillShade="F2"/>
      </w:tcPr>
    </w:tblStylePr>
  </w:style>
  <w:style w:type="table" w:styleId="ListTable3">
    <w:name w:val="List Table 3"/>
    <w:basedOn w:val="TableNormal"/>
    <w:uiPriority w:val="48"/>
    <w:rsid w:val="006C5AC0"/>
    <w:pPr>
      <w:spacing w:after="0" w:line="240" w:lineRule="auto"/>
    </w:pPr>
    <w:tblPr>
      <w:tblStyleRowBandSize w:val="1"/>
      <w:tblStyleColBandSize w:val="1"/>
      <w:tblBorders>
        <w:top w:val="single" w:sz="4" w:space="0" w:color="013C4C" w:themeColor="text1"/>
        <w:left w:val="single" w:sz="4" w:space="0" w:color="013C4C" w:themeColor="text1"/>
        <w:bottom w:val="single" w:sz="4" w:space="0" w:color="013C4C" w:themeColor="text1"/>
        <w:right w:val="single" w:sz="4" w:space="0" w:color="013C4C" w:themeColor="text1"/>
      </w:tblBorders>
    </w:tblPr>
    <w:tblStylePr w:type="firstRow">
      <w:rPr>
        <w:b/>
        <w:bCs/>
        <w:color w:val="FAFAFA" w:themeColor="background1"/>
      </w:rPr>
      <w:tblPr/>
      <w:tcPr>
        <w:shd w:val="clear" w:color="auto" w:fill="013C4C" w:themeFill="text1"/>
      </w:tcPr>
    </w:tblStylePr>
    <w:tblStylePr w:type="lastRow">
      <w:rPr>
        <w:b/>
        <w:bCs/>
      </w:rPr>
      <w:tblPr/>
      <w:tcPr>
        <w:tcBorders>
          <w:top w:val="double" w:sz="4" w:space="0" w:color="013C4C" w:themeColor="tex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text1"/>
          <w:right w:val="single" w:sz="4" w:space="0" w:color="013C4C" w:themeColor="text1"/>
        </w:tcBorders>
      </w:tcPr>
    </w:tblStylePr>
    <w:tblStylePr w:type="band1Horz">
      <w:tblPr/>
      <w:tcPr>
        <w:tcBorders>
          <w:top w:val="single" w:sz="4" w:space="0" w:color="013C4C" w:themeColor="text1"/>
          <w:bottom w:val="single" w:sz="4" w:space="0" w:color="013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text1"/>
          <w:left w:val="nil"/>
        </w:tcBorders>
      </w:tcPr>
    </w:tblStylePr>
    <w:tblStylePr w:type="swCell">
      <w:tblPr/>
      <w:tcPr>
        <w:tcBorders>
          <w:top w:val="double" w:sz="4" w:space="0" w:color="013C4C" w:themeColor="text1"/>
          <w:right w:val="nil"/>
        </w:tcBorders>
      </w:tcPr>
    </w:tblStylePr>
  </w:style>
  <w:style w:type="paragraph" w:customStyle="1" w:styleId="Heading4no">
    <w:name w:val="Heading 4 (no #)"/>
    <w:basedOn w:val="Heading4"/>
    <w:qFormat/>
    <w:rsid w:val="000C5211"/>
    <w:pPr>
      <w:numPr>
        <w:ilvl w:val="0"/>
        <w:numId w:val="0"/>
      </w:numPr>
      <w:ind w:left="864" w:hanging="297"/>
    </w:pPr>
    <w:rPr>
      <w:i w:val="0"/>
      <w:iCs w:val="0"/>
    </w:rPr>
  </w:style>
  <w:style w:type="paragraph" w:customStyle="1" w:styleId="Heading2Textonly">
    <w:name w:val="Heading 2 (Text only)"/>
    <w:basedOn w:val="Heading2"/>
    <w:link w:val="Heading2TextonlyChar"/>
    <w:qFormat/>
    <w:rsid w:val="00AA6AA0"/>
    <w:pPr>
      <w:numPr>
        <w:ilvl w:val="0"/>
        <w:numId w:val="0"/>
      </w:numPr>
    </w:pPr>
    <w:rPr>
      <w:szCs w:val="26"/>
    </w:rPr>
  </w:style>
  <w:style w:type="character" w:customStyle="1" w:styleId="Heading2TextonlyChar">
    <w:name w:val="Heading 2 (Text only) Char"/>
    <w:basedOn w:val="Heading2Char"/>
    <w:link w:val="Heading2Textonly"/>
    <w:rsid w:val="00AA6AA0"/>
    <w:rPr>
      <w:rFonts w:ascii="PP Mori SemiBold" w:eastAsiaTheme="majorEastAsia" w:hAnsi="PP Mori SemiBold" w:cstheme="majorBidi"/>
      <w:color w:val="002C38" w:themeColor="accent1" w:themeShade="BF"/>
      <w:sz w:val="26"/>
      <w:szCs w:val="26"/>
    </w:rPr>
  </w:style>
  <w:style w:type="paragraph" w:customStyle="1" w:styleId="Heading3TextOnly">
    <w:name w:val="Heading 3 (Text Only)"/>
    <w:basedOn w:val="Heading3"/>
    <w:link w:val="Heading3TextOnlyChar"/>
    <w:qFormat/>
    <w:rsid w:val="00AA6AA0"/>
    <w:pPr>
      <w:numPr>
        <w:ilvl w:val="0"/>
        <w:numId w:val="0"/>
      </w:numPr>
    </w:pPr>
    <w:rPr>
      <w:color w:val="2F2F2F" w:themeColor="accent5"/>
      <w:sz w:val="20"/>
      <w:szCs w:val="24"/>
    </w:rPr>
  </w:style>
  <w:style w:type="character" w:customStyle="1" w:styleId="Heading3TextOnlyChar">
    <w:name w:val="Heading 3 (Text Only) Char"/>
    <w:basedOn w:val="Heading3Char"/>
    <w:link w:val="Heading3TextOnly"/>
    <w:rsid w:val="00AA6AA0"/>
    <w:rPr>
      <w:rFonts w:ascii="PP Mori SemiBold" w:eastAsiaTheme="majorEastAsia" w:hAnsi="PP Mori SemiBold" w:cstheme="majorBidi"/>
      <w:color w:val="2F2F2F" w:themeColor="accent5"/>
      <w:sz w:val="20"/>
      <w:szCs w:val="24"/>
    </w:rPr>
  </w:style>
  <w:style w:type="paragraph" w:customStyle="1" w:styleId="AppendixTitle">
    <w:name w:val="Appendix Title"/>
    <w:basedOn w:val="TOCHeading"/>
    <w:qFormat/>
    <w:rsid w:val="001F204C"/>
  </w:style>
  <w:style w:type="character" w:customStyle="1" w:styleId="normaltextrun">
    <w:name w:val="normaltextrun"/>
    <w:basedOn w:val="DefaultParagraphFont"/>
    <w:rsid w:val="008E7543"/>
  </w:style>
  <w:style w:type="character" w:customStyle="1" w:styleId="eop">
    <w:name w:val="eop"/>
    <w:basedOn w:val="DefaultParagraphFont"/>
    <w:rsid w:val="008E7543"/>
  </w:style>
  <w:style w:type="character" w:styleId="IntenseEmphasis">
    <w:name w:val="Intense Emphasis"/>
    <w:basedOn w:val="DefaultParagraphFont"/>
    <w:uiPriority w:val="21"/>
    <w:qFormat/>
    <w:rsid w:val="00782375"/>
    <w:rPr>
      <w:i/>
      <w:iCs/>
      <w:color w:val="013C4C" w:themeColor="accent1"/>
    </w:rPr>
  </w:style>
  <w:style w:type="paragraph" w:styleId="TableofFigures">
    <w:name w:val="table of figures"/>
    <w:basedOn w:val="Normal"/>
    <w:next w:val="Normal"/>
    <w:uiPriority w:val="99"/>
    <w:unhideWhenUsed/>
    <w:rsid w:val="00730106"/>
    <w:pPr>
      <w:spacing w:after="0"/>
    </w:pPr>
  </w:style>
  <w:style w:type="paragraph" w:customStyle="1" w:styleId="Heading10">
    <w:name w:val="Heading 1 (#)"/>
    <w:basedOn w:val="Heading1"/>
    <w:qFormat/>
    <w:rsid w:val="007E4295"/>
    <w:pPr>
      <w:numPr>
        <w:numId w:val="0"/>
      </w:numPr>
      <w:spacing w:after="0"/>
      <w:ind w:left="2134" w:hanging="432"/>
    </w:pPr>
  </w:style>
  <w:style w:type="numbering" w:customStyle="1" w:styleId="NoList1">
    <w:name w:val="No List1"/>
    <w:next w:val="NoList"/>
    <w:uiPriority w:val="99"/>
    <w:semiHidden/>
    <w:unhideWhenUsed/>
    <w:rsid w:val="00470C91"/>
  </w:style>
  <w:style w:type="table" w:styleId="GridTable4-Accent1">
    <w:name w:val="Grid Table 4 Accent 1"/>
    <w:basedOn w:val="TableNormal"/>
    <w:uiPriority w:val="49"/>
    <w:rsid w:val="00470C91"/>
    <w:pPr>
      <w:spacing w:after="0" w:line="240" w:lineRule="auto"/>
    </w:pPr>
    <w:tblPr>
      <w:tblStyleRowBandSize w:val="1"/>
      <w:tblStyleColBandSize w:val="1"/>
      <w:tblBorders>
        <w:top w:val="single" w:sz="4" w:space="0" w:color="03C2F6" w:themeColor="accent1" w:themeTint="99"/>
        <w:left w:val="single" w:sz="4" w:space="0" w:color="03C2F6" w:themeColor="accent1" w:themeTint="99"/>
        <w:bottom w:val="single" w:sz="4" w:space="0" w:color="03C2F6" w:themeColor="accent1" w:themeTint="99"/>
        <w:right w:val="single" w:sz="4" w:space="0" w:color="03C2F6" w:themeColor="accent1" w:themeTint="99"/>
        <w:insideH w:val="single" w:sz="4" w:space="0" w:color="03C2F6" w:themeColor="accent1" w:themeTint="99"/>
        <w:insideV w:val="single" w:sz="4" w:space="0" w:color="03C2F6" w:themeColor="accent1" w:themeTint="99"/>
      </w:tblBorders>
    </w:tblPr>
    <w:tblStylePr w:type="firstRow">
      <w:rPr>
        <w:b/>
        <w:bCs/>
        <w:color w:val="FAFAFA" w:themeColor="background1"/>
      </w:rPr>
      <w:tblPr/>
      <w:tcPr>
        <w:tcBorders>
          <w:top w:val="single" w:sz="4" w:space="0" w:color="013C4C" w:themeColor="accent1"/>
          <w:left w:val="single" w:sz="4" w:space="0" w:color="013C4C" w:themeColor="accent1"/>
          <w:bottom w:val="single" w:sz="4" w:space="0" w:color="013C4C" w:themeColor="accent1"/>
          <w:right w:val="single" w:sz="4" w:space="0" w:color="013C4C" w:themeColor="accent1"/>
          <w:insideH w:val="nil"/>
          <w:insideV w:val="nil"/>
        </w:tcBorders>
        <w:shd w:val="clear" w:color="auto" w:fill="013C4C" w:themeFill="accent1"/>
      </w:tcPr>
    </w:tblStylePr>
    <w:tblStylePr w:type="lastRow">
      <w:rPr>
        <w:b/>
        <w:bCs/>
      </w:rPr>
      <w:tblPr/>
      <w:tcPr>
        <w:tcBorders>
          <w:top w:val="double" w:sz="4" w:space="0" w:color="013C4C" w:themeColor="accent1"/>
        </w:tcBorders>
      </w:tcPr>
    </w:tblStylePr>
    <w:tblStylePr w:type="firstCol">
      <w:rPr>
        <w:b/>
        <w:bCs/>
      </w:rPr>
    </w:tblStylePr>
    <w:tblStylePr w:type="lastCol">
      <w:rPr>
        <w:b/>
        <w:bCs/>
      </w:rPr>
    </w:tblStylePr>
    <w:tblStylePr w:type="band1Vert">
      <w:tblPr/>
      <w:tcPr>
        <w:shd w:val="clear" w:color="auto" w:fill="A9EBFE" w:themeFill="accent1" w:themeFillTint="33"/>
      </w:tcPr>
    </w:tblStylePr>
    <w:tblStylePr w:type="band1Horz">
      <w:tblPr/>
      <w:tcPr>
        <w:shd w:val="clear" w:color="auto" w:fill="A9EBFE" w:themeFill="accent1" w:themeFillTint="33"/>
      </w:tcPr>
    </w:tblStylePr>
  </w:style>
  <w:style w:type="table" w:styleId="GridTable5Dark">
    <w:name w:val="Grid Table 5 Dark"/>
    <w:basedOn w:val="TableNormal"/>
    <w:uiPriority w:val="50"/>
    <w:rsid w:val="00470C91"/>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A9EBFE" w:themeFill="text1"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13C4C" w:themeFill="text1"/>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13C4C" w:themeFill="text1"/>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13C4C" w:themeFill="text1"/>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13C4C" w:themeFill="text1"/>
      </w:tcPr>
    </w:tblStylePr>
    <w:tblStylePr w:type="band1Vert">
      <w:tblPr/>
      <w:tcPr>
        <w:shd w:val="clear" w:color="auto" w:fill="53D8FC" w:themeFill="text1" w:themeFillTint="66"/>
      </w:tcPr>
    </w:tblStylePr>
    <w:tblStylePr w:type="band1Horz">
      <w:tblPr/>
      <w:tcPr>
        <w:shd w:val="clear" w:color="auto" w:fill="53D8FC" w:themeFill="text1" w:themeFillTint="66"/>
      </w:tcPr>
    </w:tblStylePr>
  </w:style>
  <w:style w:type="table" w:styleId="ListTable5Dark-Accent3">
    <w:name w:val="List Table 5 Dark Accent 3"/>
    <w:basedOn w:val="TableNormal"/>
    <w:uiPriority w:val="50"/>
    <w:rsid w:val="00470C91"/>
    <w:pPr>
      <w:spacing w:after="0" w:line="240" w:lineRule="auto"/>
    </w:pPr>
    <w:rPr>
      <w:color w:val="FAFAFA" w:themeColor="background1"/>
    </w:rPr>
    <w:tblPr>
      <w:tblStyleRowBandSize w:val="1"/>
      <w:tblStyleColBandSize w:val="1"/>
      <w:tblBorders>
        <w:top w:val="single" w:sz="24" w:space="0" w:color="067296" w:themeColor="accent3"/>
        <w:left w:val="single" w:sz="24" w:space="0" w:color="067296" w:themeColor="accent3"/>
        <w:bottom w:val="single" w:sz="24" w:space="0" w:color="067296" w:themeColor="accent3"/>
        <w:right w:val="single" w:sz="24" w:space="0" w:color="067296" w:themeColor="accent3"/>
      </w:tblBorders>
    </w:tblPr>
    <w:tcPr>
      <w:shd w:val="clear" w:color="auto" w:fill="067296" w:themeFill="accent3"/>
    </w:tcPr>
    <w:tblStylePr w:type="firstRow">
      <w:rPr>
        <w:b/>
        <w:bCs/>
      </w:rPr>
      <w:tblPr/>
      <w:tcPr>
        <w:tcBorders>
          <w:bottom w:val="single" w:sz="18" w:space="0" w:color="FAFAFA" w:themeColor="background1"/>
        </w:tcBorders>
      </w:tcPr>
    </w:tblStylePr>
    <w:tblStylePr w:type="lastRow">
      <w:rPr>
        <w:b/>
        <w:bCs/>
      </w:rPr>
      <w:tblPr/>
      <w:tcPr>
        <w:tcBorders>
          <w:top w:val="single" w:sz="4" w:space="0" w:color="FAFAFA" w:themeColor="background1"/>
        </w:tcBorders>
      </w:tcPr>
    </w:tblStylePr>
    <w:tblStylePr w:type="firstCol">
      <w:rPr>
        <w:b/>
        <w:bCs/>
      </w:rPr>
      <w:tblPr/>
      <w:tcPr>
        <w:tcBorders>
          <w:right w:val="single" w:sz="4" w:space="0" w:color="FAFAFA" w:themeColor="background1"/>
        </w:tcBorders>
      </w:tcPr>
    </w:tblStylePr>
    <w:tblStylePr w:type="lastCol">
      <w:rPr>
        <w:b/>
        <w:bCs/>
      </w:rPr>
      <w:tblPr/>
      <w:tcPr>
        <w:tcBorders>
          <w:left w:val="single" w:sz="4" w:space="0" w:color="FAFAFA" w:themeColor="background1"/>
        </w:tcBorders>
      </w:tcPr>
    </w:tblStylePr>
    <w:tblStylePr w:type="band1Vert">
      <w:tblPr/>
      <w:tcPr>
        <w:tcBorders>
          <w:left w:val="single" w:sz="4" w:space="0" w:color="FAFAFA" w:themeColor="background1"/>
          <w:right w:val="single" w:sz="4" w:space="0" w:color="FAFAFA" w:themeColor="background1"/>
        </w:tcBorders>
      </w:tcPr>
    </w:tblStylePr>
    <w:tblStylePr w:type="band2Vert">
      <w:tblPr/>
      <w:tcPr>
        <w:tcBorders>
          <w:left w:val="single" w:sz="4" w:space="0" w:color="FAFAFA" w:themeColor="background1"/>
          <w:right w:val="single" w:sz="4" w:space="0" w:color="FAFAFA" w:themeColor="background1"/>
        </w:tcBorders>
      </w:tcPr>
    </w:tblStylePr>
    <w:tblStylePr w:type="band1Horz">
      <w:tblPr/>
      <w:tcPr>
        <w:tcBorders>
          <w:top w:val="single" w:sz="4" w:space="0" w:color="FAFAFA" w:themeColor="background1"/>
          <w:bottom w:val="single" w:sz="4" w:space="0" w:color="FAFAF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70C91"/>
    <w:pPr>
      <w:spacing w:after="0" w:line="240" w:lineRule="auto"/>
    </w:pPr>
    <w:rPr>
      <w:color w:val="FAFAFA" w:themeColor="background1"/>
    </w:rPr>
    <w:tblPr>
      <w:tblStyleRowBandSize w:val="1"/>
      <w:tblStyleColBandSize w:val="1"/>
      <w:tblBorders>
        <w:top w:val="single" w:sz="24" w:space="0" w:color="8DD1E8" w:themeColor="accent2"/>
        <w:left w:val="single" w:sz="24" w:space="0" w:color="8DD1E8" w:themeColor="accent2"/>
        <w:bottom w:val="single" w:sz="24" w:space="0" w:color="8DD1E8" w:themeColor="accent2"/>
        <w:right w:val="single" w:sz="24" w:space="0" w:color="8DD1E8" w:themeColor="accent2"/>
      </w:tblBorders>
    </w:tblPr>
    <w:tcPr>
      <w:shd w:val="clear" w:color="auto" w:fill="8DD1E8" w:themeFill="accent2"/>
    </w:tcPr>
    <w:tblStylePr w:type="firstRow">
      <w:rPr>
        <w:b/>
        <w:bCs/>
      </w:rPr>
      <w:tblPr/>
      <w:tcPr>
        <w:tcBorders>
          <w:bottom w:val="single" w:sz="18" w:space="0" w:color="FAFAFA" w:themeColor="background1"/>
        </w:tcBorders>
      </w:tcPr>
    </w:tblStylePr>
    <w:tblStylePr w:type="lastRow">
      <w:rPr>
        <w:b/>
        <w:bCs/>
      </w:rPr>
      <w:tblPr/>
      <w:tcPr>
        <w:tcBorders>
          <w:top w:val="single" w:sz="4" w:space="0" w:color="FAFAFA" w:themeColor="background1"/>
        </w:tcBorders>
      </w:tcPr>
    </w:tblStylePr>
    <w:tblStylePr w:type="firstCol">
      <w:rPr>
        <w:b/>
        <w:bCs/>
      </w:rPr>
      <w:tblPr/>
      <w:tcPr>
        <w:tcBorders>
          <w:right w:val="single" w:sz="4" w:space="0" w:color="FAFAFA" w:themeColor="background1"/>
        </w:tcBorders>
      </w:tcPr>
    </w:tblStylePr>
    <w:tblStylePr w:type="lastCol">
      <w:rPr>
        <w:b/>
        <w:bCs/>
      </w:rPr>
      <w:tblPr/>
      <w:tcPr>
        <w:tcBorders>
          <w:left w:val="single" w:sz="4" w:space="0" w:color="FAFAFA" w:themeColor="background1"/>
        </w:tcBorders>
      </w:tcPr>
    </w:tblStylePr>
    <w:tblStylePr w:type="band1Vert">
      <w:tblPr/>
      <w:tcPr>
        <w:tcBorders>
          <w:left w:val="single" w:sz="4" w:space="0" w:color="FAFAFA" w:themeColor="background1"/>
          <w:right w:val="single" w:sz="4" w:space="0" w:color="FAFAFA" w:themeColor="background1"/>
        </w:tcBorders>
      </w:tcPr>
    </w:tblStylePr>
    <w:tblStylePr w:type="band2Vert">
      <w:tblPr/>
      <w:tcPr>
        <w:tcBorders>
          <w:left w:val="single" w:sz="4" w:space="0" w:color="FAFAFA" w:themeColor="background1"/>
          <w:right w:val="single" w:sz="4" w:space="0" w:color="FAFAFA" w:themeColor="background1"/>
        </w:tcBorders>
      </w:tcPr>
    </w:tblStylePr>
    <w:tblStylePr w:type="band1Horz">
      <w:tblPr/>
      <w:tcPr>
        <w:tcBorders>
          <w:top w:val="single" w:sz="4" w:space="0" w:color="FAFAFA" w:themeColor="background1"/>
          <w:bottom w:val="single" w:sz="4" w:space="0" w:color="FAFAF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470C91"/>
    <w:pPr>
      <w:spacing w:after="0" w:line="240" w:lineRule="auto"/>
    </w:pPr>
    <w:tblPr>
      <w:tblStyleRowBandSize w:val="1"/>
      <w:tblStyleColBandSize w:val="1"/>
      <w:tblBorders>
        <w:top w:val="single" w:sz="4" w:space="0" w:color="FCFCFC" w:themeColor="accent6" w:themeTint="99"/>
        <w:left w:val="single" w:sz="4" w:space="0" w:color="FCFCFC" w:themeColor="accent6" w:themeTint="99"/>
        <w:bottom w:val="single" w:sz="4" w:space="0" w:color="FCFCFC" w:themeColor="accent6" w:themeTint="99"/>
        <w:right w:val="single" w:sz="4" w:space="0" w:color="FCFCFC" w:themeColor="accent6" w:themeTint="99"/>
        <w:insideH w:val="single" w:sz="4" w:space="0" w:color="FCFCFC" w:themeColor="accent6" w:themeTint="99"/>
      </w:tblBorders>
    </w:tblPr>
    <w:tblStylePr w:type="firstRow">
      <w:rPr>
        <w:b/>
        <w:bCs/>
        <w:color w:val="FAFAFA" w:themeColor="background1"/>
      </w:rPr>
      <w:tblPr/>
      <w:tcPr>
        <w:tcBorders>
          <w:top w:val="single" w:sz="4" w:space="0" w:color="FAFAFA" w:themeColor="accent6"/>
          <w:left w:val="single" w:sz="4" w:space="0" w:color="FAFAFA" w:themeColor="accent6"/>
          <w:bottom w:val="single" w:sz="4" w:space="0" w:color="FAFAFA" w:themeColor="accent6"/>
          <w:right w:val="single" w:sz="4" w:space="0" w:color="FAFAFA" w:themeColor="accent6"/>
          <w:insideH w:val="nil"/>
        </w:tcBorders>
        <w:shd w:val="clear" w:color="auto" w:fill="FAFAFA" w:themeFill="accent6"/>
      </w:tcPr>
    </w:tblStylePr>
    <w:tblStylePr w:type="lastRow">
      <w:rPr>
        <w:b/>
        <w:bCs/>
      </w:rPr>
      <w:tblPr/>
      <w:tcPr>
        <w:tcBorders>
          <w:top w:val="double" w:sz="4" w:space="0" w:color="FCFCFC" w:themeColor="accent6" w:themeTint="99"/>
        </w:tcBorders>
      </w:tcPr>
    </w:tblStylePr>
    <w:tblStylePr w:type="firstCol">
      <w:rPr>
        <w:b/>
        <w:bCs/>
      </w:rPr>
    </w:tblStylePr>
    <w:tblStylePr w:type="lastCol">
      <w:rPr>
        <w:b/>
        <w:bCs/>
      </w:rPr>
    </w:tblStylePr>
    <w:tblStylePr w:type="band1Vert">
      <w:tblPr/>
      <w:tcPr>
        <w:shd w:val="clear" w:color="auto" w:fill="FEFEFE" w:themeFill="accent6" w:themeFillTint="33"/>
      </w:tcPr>
    </w:tblStylePr>
    <w:tblStylePr w:type="band1Horz">
      <w:tblPr/>
      <w:tcPr>
        <w:shd w:val="clear" w:color="auto" w:fill="FEFEFE" w:themeFill="accent6" w:themeFillTint="33"/>
      </w:tcPr>
    </w:tblStylePr>
  </w:style>
  <w:style w:type="paragraph" w:styleId="BodyText">
    <w:name w:val="Body Text"/>
    <w:basedOn w:val="Normal"/>
    <w:link w:val="BodyTextChar"/>
    <w:uiPriority w:val="1"/>
    <w:qFormat/>
    <w:rsid w:val="00470C91"/>
    <w:pPr>
      <w:widowControl w:val="0"/>
      <w:autoSpaceDE w:val="0"/>
      <w:autoSpaceDN w:val="0"/>
      <w:spacing w:before="0" w:after="0" w:line="240" w:lineRule="auto"/>
    </w:pPr>
    <w:rPr>
      <w:rFonts w:ascii="Calibri" w:eastAsia="Calibri" w:hAnsi="Calibri" w:cs="Calibri"/>
      <w:kern w:val="0"/>
      <w:sz w:val="22"/>
      <w:szCs w:val="22"/>
      <w:lang w:val="en-US" w:eastAsia="en-US" w:bidi="ar-SA"/>
      <w14:ligatures w14:val="none"/>
    </w:rPr>
  </w:style>
  <w:style w:type="character" w:customStyle="1" w:styleId="BodyTextChar">
    <w:name w:val="Body Text Char"/>
    <w:basedOn w:val="DefaultParagraphFont"/>
    <w:link w:val="BodyText"/>
    <w:uiPriority w:val="1"/>
    <w:rsid w:val="00470C91"/>
    <w:rPr>
      <w:rFonts w:ascii="Calibri" w:eastAsia="Calibri" w:hAnsi="Calibri" w:cs="Calibri"/>
      <w:kern w:val="0"/>
      <w:szCs w:val="22"/>
      <w:lang w:val="en-US" w:eastAsia="en-US" w:bidi="ar-SA"/>
      <w14:ligatures w14:val="none"/>
    </w:rPr>
  </w:style>
  <w:style w:type="paragraph" w:customStyle="1" w:styleId="TableParagraph">
    <w:name w:val="Table Paragraph"/>
    <w:basedOn w:val="Normal"/>
    <w:uiPriority w:val="1"/>
    <w:qFormat/>
    <w:rsid w:val="00470C91"/>
    <w:pPr>
      <w:widowControl w:val="0"/>
      <w:autoSpaceDE w:val="0"/>
      <w:autoSpaceDN w:val="0"/>
      <w:spacing w:before="0" w:after="0" w:line="198" w:lineRule="exact"/>
    </w:pPr>
    <w:rPr>
      <w:rFonts w:ascii="Calibri" w:eastAsia="Calibri" w:hAnsi="Calibri" w:cs="Calibri"/>
      <w:kern w:val="0"/>
      <w:sz w:val="22"/>
      <w:szCs w:val="22"/>
      <w:lang w:val="en-US" w:eastAsia="en-US" w:bidi="ar-SA"/>
      <w14:ligatures w14:val="none"/>
    </w:rPr>
  </w:style>
  <w:style w:type="character" w:styleId="LineNumber">
    <w:name w:val="line number"/>
    <w:basedOn w:val="DefaultParagraphFont"/>
    <w:uiPriority w:val="99"/>
    <w:semiHidden/>
    <w:unhideWhenUsed/>
    <w:rsid w:val="00470C91"/>
  </w:style>
  <w:style w:type="paragraph" w:customStyle="1" w:styleId="Heading30">
    <w:name w:val="Heading 3 (#)"/>
    <w:basedOn w:val="Heading5"/>
    <w:qFormat/>
    <w:rsid w:val="00470C91"/>
    <w:pPr>
      <w:numPr>
        <w:ilvl w:val="2"/>
        <w:numId w:val="26"/>
      </w:numPr>
      <w:spacing w:line="252" w:lineRule="auto"/>
    </w:pPr>
    <w:rPr>
      <w:rFonts w:ascii="PP Mori" w:hAnsi="PP Mori"/>
      <w:iCs/>
      <w:color w:val="090909"/>
      <w:sz w:val="28"/>
      <w:lang w:eastAsia="en-US"/>
    </w:rPr>
  </w:style>
  <w:style w:type="paragraph" w:customStyle="1" w:styleId="Heading40">
    <w:name w:val="Heading 4 (#)"/>
    <w:basedOn w:val="Heading6"/>
    <w:qFormat/>
    <w:rsid w:val="00470C91"/>
    <w:pPr>
      <w:numPr>
        <w:ilvl w:val="3"/>
        <w:numId w:val="26"/>
      </w:numPr>
      <w:spacing w:line="252" w:lineRule="auto"/>
    </w:pPr>
    <w:rPr>
      <w:rFonts w:ascii="PP Mori ExtraLight" w:hAnsi="PP Mori ExtraLight"/>
      <w:iCs/>
      <w:sz w:val="24"/>
      <w:lang w:eastAsia="en-US"/>
    </w:rPr>
  </w:style>
  <w:style w:type="character" w:customStyle="1" w:styleId="relative">
    <w:name w:val="relative"/>
    <w:basedOn w:val="DefaultParagraphFont"/>
    <w:rsid w:val="00470C91"/>
  </w:style>
  <w:style w:type="character" w:styleId="Emphasis">
    <w:name w:val="Emphasis"/>
    <w:basedOn w:val="DefaultParagraphFont"/>
    <w:uiPriority w:val="20"/>
    <w:qFormat/>
    <w:rsid w:val="00470C91"/>
    <w:rPr>
      <w:i/>
      <w:iCs/>
    </w:rPr>
  </w:style>
  <w:style w:type="character" w:customStyle="1" w:styleId="ms-1">
    <w:name w:val="ms-1"/>
    <w:basedOn w:val="DefaultParagraphFont"/>
    <w:rsid w:val="00470C91"/>
  </w:style>
  <w:style w:type="character" w:customStyle="1" w:styleId="max-w-full">
    <w:name w:val="max-w-full"/>
    <w:basedOn w:val="DefaultParagraphFont"/>
    <w:rsid w:val="00470C91"/>
  </w:style>
  <w:style w:type="paragraph" w:styleId="ListNumber">
    <w:name w:val="List Number"/>
    <w:basedOn w:val="Normal"/>
    <w:uiPriority w:val="99"/>
    <w:unhideWhenUsed/>
    <w:rsid w:val="00470C91"/>
    <w:pPr>
      <w:numPr>
        <w:numId w:val="27"/>
      </w:numPr>
      <w:spacing w:before="0" w:after="200" w:line="276" w:lineRule="auto"/>
      <w:contextualSpacing/>
    </w:pPr>
    <w:rPr>
      <w:rFonts w:asciiTheme="minorHAnsi" w:hAnsiTheme="minorHAnsi"/>
      <w:kern w:val="0"/>
      <w:sz w:val="22"/>
      <w:szCs w:val="22"/>
      <w:lang w:val="en-US" w:eastAsia="en-US" w:bidi="ar-SA"/>
      <w14:ligatures w14:val="none"/>
    </w:rPr>
  </w:style>
  <w:style w:type="character" w:customStyle="1" w:styleId="cf01">
    <w:name w:val="cf01"/>
    <w:basedOn w:val="DefaultParagraphFont"/>
    <w:rsid w:val="00470C91"/>
    <w:rPr>
      <w:rFonts w:ascii="Segoe UI" w:hAnsi="Segoe UI" w:cs="Segoe UI" w:hint="default"/>
      <w:sz w:val="18"/>
      <w:szCs w:val="18"/>
    </w:rPr>
  </w:style>
  <w:style w:type="character" w:customStyle="1" w:styleId="cf11">
    <w:name w:val="cf11"/>
    <w:basedOn w:val="DefaultParagraphFont"/>
    <w:rsid w:val="00470C91"/>
    <w:rPr>
      <w:rFonts w:ascii="Segoe UI" w:hAnsi="Segoe UI" w:cs="Segoe UI" w:hint="default"/>
      <w:sz w:val="18"/>
      <w:szCs w:val="18"/>
    </w:rPr>
  </w:style>
  <w:style w:type="character" w:customStyle="1" w:styleId="oypena">
    <w:name w:val="oypena"/>
    <w:basedOn w:val="DefaultParagraphFont"/>
    <w:rsid w:val="00470C91"/>
  </w:style>
  <w:style w:type="paragraph" w:customStyle="1" w:styleId="11Heading">
    <w:name w:val="1.1 Heading"/>
    <w:basedOn w:val="Heading2"/>
    <w:next w:val="Heading2"/>
    <w:qFormat/>
    <w:rsid w:val="00470C91"/>
    <w:pPr>
      <w:numPr>
        <w:numId w:val="32"/>
      </w:numPr>
    </w:pPr>
    <w:rPr>
      <w:szCs w:val="28"/>
    </w:rPr>
  </w:style>
  <w:style w:type="paragraph" w:customStyle="1" w:styleId="Style11">
    <w:name w:val="Style1.1"/>
    <w:basedOn w:val="Heading1"/>
    <w:link w:val="Style11Char"/>
    <w:autoRedefine/>
    <w:qFormat/>
    <w:rsid w:val="00470C91"/>
    <w:pPr>
      <w:numPr>
        <w:numId w:val="31"/>
      </w:numPr>
      <w:spacing w:before="180" w:after="60"/>
    </w:pPr>
    <w:rPr>
      <w:szCs w:val="22"/>
    </w:rPr>
  </w:style>
  <w:style w:type="character" w:customStyle="1" w:styleId="Style11Char">
    <w:name w:val="Style1.1 Char"/>
    <w:basedOn w:val="Heading1Char"/>
    <w:link w:val="Style11"/>
    <w:rsid w:val="00470C91"/>
    <w:rPr>
      <w:rFonts w:ascii="PP Mori SemiBold" w:eastAsiaTheme="majorEastAsia" w:hAnsi="PP Mori SemiBold" w:cstheme="majorBidi"/>
      <w:color w:val="013C4C" w:themeColor="text1"/>
      <w:sz w:val="32"/>
      <w:szCs w:val="22"/>
    </w:rPr>
  </w:style>
  <w:style w:type="numbering" w:customStyle="1" w:styleId="Style1">
    <w:name w:val="Style1"/>
    <w:uiPriority w:val="99"/>
    <w:rsid w:val="00470C91"/>
    <w:pPr>
      <w:numPr>
        <w:numId w:val="30"/>
      </w:numPr>
    </w:pPr>
  </w:style>
  <w:style w:type="numbering" w:customStyle="1" w:styleId="Style2">
    <w:name w:val="Style2"/>
    <w:uiPriority w:val="99"/>
    <w:rsid w:val="00470C91"/>
    <w:pPr>
      <w:numPr>
        <w:numId w:val="29"/>
      </w:numPr>
    </w:pPr>
  </w:style>
  <w:style w:type="paragraph" w:styleId="TOC4">
    <w:name w:val="toc 4"/>
    <w:basedOn w:val="Normal"/>
    <w:next w:val="Normal"/>
    <w:autoRedefine/>
    <w:uiPriority w:val="39"/>
    <w:unhideWhenUsed/>
    <w:rsid w:val="00470C91"/>
    <w:pPr>
      <w:spacing w:before="0" w:after="100" w:line="278" w:lineRule="auto"/>
      <w:ind w:left="720"/>
    </w:pPr>
    <w:rPr>
      <w:rFonts w:asciiTheme="minorHAnsi" w:hAnsiTheme="minorHAnsi"/>
      <w:sz w:val="24"/>
      <w:szCs w:val="30"/>
    </w:rPr>
  </w:style>
  <w:style w:type="paragraph" w:styleId="TOC5">
    <w:name w:val="toc 5"/>
    <w:basedOn w:val="Normal"/>
    <w:next w:val="Normal"/>
    <w:autoRedefine/>
    <w:uiPriority w:val="39"/>
    <w:unhideWhenUsed/>
    <w:rsid w:val="00470C91"/>
    <w:pPr>
      <w:spacing w:before="0" w:after="100" w:line="278" w:lineRule="auto"/>
      <w:ind w:left="960"/>
    </w:pPr>
    <w:rPr>
      <w:rFonts w:asciiTheme="minorHAnsi" w:hAnsiTheme="minorHAnsi"/>
      <w:sz w:val="24"/>
      <w:szCs w:val="30"/>
    </w:rPr>
  </w:style>
  <w:style w:type="paragraph" w:styleId="TOC6">
    <w:name w:val="toc 6"/>
    <w:basedOn w:val="Normal"/>
    <w:next w:val="Normal"/>
    <w:autoRedefine/>
    <w:uiPriority w:val="39"/>
    <w:unhideWhenUsed/>
    <w:rsid w:val="00470C91"/>
    <w:pPr>
      <w:spacing w:before="0" w:after="100" w:line="278" w:lineRule="auto"/>
      <w:ind w:left="1200"/>
    </w:pPr>
    <w:rPr>
      <w:rFonts w:asciiTheme="minorHAnsi" w:hAnsiTheme="minorHAnsi"/>
      <w:sz w:val="24"/>
      <w:szCs w:val="30"/>
    </w:rPr>
  </w:style>
  <w:style w:type="paragraph" w:styleId="TOC7">
    <w:name w:val="toc 7"/>
    <w:basedOn w:val="Normal"/>
    <w:next w:val="Normal"/>
    <w:autoRedefine/>
    <w:uiPriority w:val="39"/>
    <w:unhideWhenUsed/>
    <w:rsid w:val="00470C91"/>
    <w:pPr>
      <w:spacing w:before="0" w:after="100" w:line="278" w:lineRule="auto"/>
      <w:ind w:left="1440"/>
    </w:pPr>
    <w:rPr>
      <w:rFonts w:asciiTheme="minorHAnsi" w:hAnsiTheme="minorHAnsi"/>
      <w:sz w:val="24"/>
      <w:szCs w:val="30"/>
    </w:rPr>
  </w:style>
  <w:style w:type="paragraph" w:styleId="TOC8">
    <w:name w:val="toc 8"/>
    <w:basedOn w:val="Normal"/>
    <w:next w:val="Normal"/>
    <w:autoRedefine/>
    <w:uiPriority w:val="39"/>
    <w:unhideWhenUsed/>
    <w:rsid w:val="00470C91"/>
    <w:pPr>
      <w:spacing w:before="0" w:after="100" w:line="278" w:lineRule="auto"/>
      <w:ind w:left="1680"/>
    </w:pPr>
    <w:rPr>
      <w:rFonts w:asciiTheme="minorHAnsi" w:hAnsiTheme="minorHAnsi"/>
      <w:sz w:val="24"/>
      <w:szCs w:val="30"/>
    </w:rPr>
  </w:style>
  <w:style w:type="paragraph" w:styleId="TOC9">
    <w:name w:val="toc 9"/>
    <w:basedOn w:val="Normal"/>
    <w:next w:val="Normal"/>
    <w:autoRedefine/>
    <w:uiPriority w:val="39"/>
    <w:unhideWhenUsed/>
    <w:rsid w:val="00470C91"/>
    <w:pPr>
      <w:spacing w:before="0" w:after="100" w:line="278" w:lineRule="auto"/>
      <w:ind w:left="1920"/>
    </w:pPr>
    <w:rPr>
      <w:rFonts w:asciiTheme="minorHAnsi" w:hAnsiTheme="minorHAnsi"/>
      <w:sz w:val="24"/>
      <w:szCs w:val="30"/>
    </w:rPr>
  </w:style>
  <w:style w:type="paragraph" w:customStyle="1" w:styleId="KeyConcept">
    <w:name w:val="Key Concept"/>
    <w:basedOn w:val="Heading1"/>
    <w:next w:val="Normal"/>
    <w:link w:val="KeyConceptChar"/>
    <w:autoRedefine/>
    <w:rsid w:val="00470C91"/>
    <w:pPr>
      <w:numPr>
        <w:numId w:val="0"/>
      </w:numPr>
      <w:spacing w:after="0" w:line="252" w:lineRule="auto"/>
      <w:ind w:left="2134" w:hanging="432"/>
    </w:pPr>
    <w:rPr>
      <w:color w:val="FAFAFA" w:themeColor="background1"/>
      <w:sz w:val="28"/>
      <w:szCs w:val="28"/>
    </w:rPr>
  </w:style>
  <w:style w:type="character" w:customStyle="1" w:styleId="KeyConceptChar">
    <w:name w:val="Key Concept Char"/>
    <w:basedOn w:val="DefaultParagraphFont"/>
    <w:link w:val="KeyConcept"/>
    <w:rsid w:val="00470C91"/>
    <w:rPr>
      <w:rFonts w:ascii="PP Mori SemiBold" w:eastAsiaTheme="majorEastAsia" w:hAnsi="PP Mori SemiBold" w:cstheme="majorBidi"/>
      <w:color w:val="FAFAFA" w:themeColor="background1"/>
      <w:sz w:val="28"/>
    </w:rPr>
  </w:style>
  <w:style w:type="paragraph" w:customStyle="1" w:styleId="pf0">
    <w:name w:val="pf0"/>
    <w:basedOn w:val="Normal"/>
    <w:rsid w:val="00470C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470C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s-markdown-paragraph">
    <w:name w:val="ds-markdown-paragraph"/>
    <w:basedOn w:val="Normal"/>
    <w:rsid w:val="00470C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s-markdown-cite">
    <w:name w:val="ds-markdown-cite"/>
    <w:basedOn w:val="DefaultParagraphFont"/>
    <w:rsid w:val="00470C91"/>
  </w:style>
  <w:style w:type="table" w:customStyle="1" w:styleId="TableGrid1">
    <w:name w:val="Table Grid1"/>
    <w:basedOn w:val="TableNormal"/>
    <w:next w:val="TableGrid"/>
    <w:uiPriority w:val="39"/>
    <w:rsid w:val="00742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991">
      <w:bodyDiv w:val="1"/>
      <w:marLeft w:val="0"/>
      <w:marRight w:val="0"/>
      <w:marTop w:val="0"/>
      <w:marBottom w:val="0"/>
      <w:divBdr>
        <w:top w:val="none" w:sz="0" w:space="0" w:color="auto"/>
        <w:left w:val="none" w:sz="0" w:space="0" w:color="auto"/>
        <w:bottom w:val="none" w:sz="0" w:space="0" w:color="auto"/>
        <w:right w:val="none" w:sz="0" w:space="0" w:color="auto"/>
      </w:divBdr>
    </w:div>
    <w:div w:id="1515094">
      <w:bodyDiv w:val="1"/>
      <w:marLeft w:val="0"/>
      <w:marRight w:val="0"/>
      <w:marTop w:val="0"/>
      <w:marBottom w:val="0"/>
      <w:divBdr>
        <w:top w:val="none" w:sz="0" w:space="0" w:color="auto"/>
        <w:left w:val="none" w:sz="0" w:space="0" w:color="auto"/>
        <w:bottom w:val="none" w:sz="0" w:space="0" w:color="auto"/>
        <w:right w:val="none" w:sz="0" w:space="0" w:color="auto"/>
      </w:divBdr>
    </w:div>
    <w:div w:id="2363618">
      <w:bodyDiv w:val="1"/>
      <w:marLeft w:val="0"/>
      <w:marRight w:val="0"/>
      <w:marTop w:val="0"/>
      <w:marBottom w:val="0"/>
      <w:divBdr>
        <w:top w:val="none" w:sz="0" w:space="0" w:color="auto"/>
        <w:left w:val="none" w:sz="0" w:space="0" w:color="auto"/>
        <w:bottom w:val="none" w:sz="0" w:space="0" w:color="auto"/>
        <w:right w:val="none" w:sz="0" w:space="0" w:color="auto"/>
      </w:divBdr>
    </w:div>
    <w:div w:id="3630281">
      <w:bodyDiv w:val="1"/>
      <w:marLeft w:val="0"/>
      <w:marRight w:val="0"/>
      <w:marTop w:val="0"/>
      <w:marBottom w:val="0"/>
      <w:divBdr>
        <w:top w:val="none" w:sz="0" w:space="0" w:color="auto"/>
        <w:left w:val="none" w:sz="0" w:space="0" w:color="auto"/>
        <w:bottom w:val="none" w:sz="0" w:space="0" w:color="auto"/>
        <w:right w:val="none" w:sz="0" w:space="0" w:color="auto"/>
      </w:divBdr>
    </w:div>
    <w:div w:id="3633633">
      <w:bodyDiv w:val="1"/>
      <w:marLeft w:val="0"/>
      <w:marRight w:val="0"/>
      <w:marTop w:val="0"/>
      <w:marBottom w:val="0"/>
      <w:divBdr>
        <w:top w:val="none" w:sz="0" w:space="0" w:color="auto"/>
        <w:left w:val="none" w:sz="0" w:space="0" w:color="auto"/>
        <w:bottom w:val="none" w:sz="0" w:space="0" w:color="auto"/>
        <w:right w:val="none" w:sz="0" w:space="0" w:color="auto"/>
      </w:divBdr>
    </w:div>
    <w:div w:id="3942845">
      <w:bodyDiv w:val="1"/>
      <w:marLeft w:val="0"/>
      <w:marRight w:val="0"/>
      <w:marTop w:val="0"/>
      <w:marBottom w:val="0"/>
      <w:divBdr>
        <w:top w:val="none" w:sz="0" w:space="0" w:color="auto"/>
        <w:left w:val="none" w:sz="0" w:space="0" w:color="auto"/>
        <w:bottom w:val="none" w:sz="0" w:space="0" w:color="auto"/>
        <w:right w:val="none" w:sz="0" w:space="0" w:color="auto"/>
      </w:divBdr>
    </w:div>
    <w:div w:id="4522205">
      <w:bodyDiv w:val="1"/>
      <w:marLeft w:val="0"/>
      <w:marRight w:val="0"/>
      <w:marTop w:val="0"/>
      <w:marBottom w:val="0"/>
      <w:divBdr>
        <w:top w:val="none" w:sz="0" w:space="0" w:color="auto"/>
        <w:left w:val="none" w:sz="0" w:space="0" w:color="auto"/>
        <w:bottom w:val="none" w:sz="0" w:space="0" w:color="auto"/>
        <w:right w:val="none" w:sz="0" w:space="0" w:color="auto"/>
      </w:divBdr>
    </w:div>
    <w:div w:id="5257581">
      <w:bodyDiv w:val="1"/>
      <w:marLeft w:val="0"/>
      <w:marRight w:val="0"/>
      <w:marTop w:val="0"/>
      <w:marBottom w:val="0"/>
      <w:divBdr>
        <w:top w:val="none" w:sz="0" w:space="0" w:color="auto"/>
        <w:left w:val="none" w:sz="0" w:space="0" w:color="auto"/>
        <w:bottom w:val="none" w:sz="0" w:space="0" w:color="auto"/>
        <w:right w:val="none" w:sz="0" w:space="0" w:color="auto"/>
      </w:divBdr>
    </w:div>
    <w:div w:id="6366438">
      <w:bodyDiv w:val="1"/>
      <w:marLeft w:val="0"/>
      <w:marRight w:val="0"/>
      <w:marTop w:val="0"/>
      <w:marBottom w:val="0"/>
      <w:divBdr>
        <w:top w:val="none" w:sz="0" w:space="0" w:color="auto"/>
        <w:left w:val="none" w:sz="0" w:space="0" w:color="auto"/>
        <w:bottom w:val="none" w:sz="0" w:space="0" w:color="auto"/>
        <w:right w:val="none" w:sz="0" w:space="0" w:color="auto"/>
      </w:divBdr>
    </w:div>
    <w:div w:id="6492118">
      <w:bodyDiv w:val="1"/>
      <w:marLeft w:val="0"/>
      <w:marRight w:val="0"/>
      <w:marTop w:val="0"/>
      <w:marBottom w:val="0"/>
      <w:divBdr>
        <w:top w:val="none" w:sz="0" w:space="0" w:color="auto"/>
        <w:left w:val="none" w:sz="0" w:space="0" w:color="auto"/>
        <w:bottom w:val="none" w:sz="0" w:space="0" w:color="auto"/>
        <w:right w:val="none" w:sz="0" w:space="0" w:color="auto"/>
      </w:divBdr>
    </w:div>
    <w:div w:id="6948094">
      <w:bodyDiv w:val="1"/>
      <w:marLeft w:val="0"/>
      <w:marRight w:val="0"/>
      <w:marTop w:val="0"/>
      <w:marBottom w:val="0"/>
      <w:divBdr>
        <w:top w:val="none" w:sz="0" w:space="0" w:color="auto"/>
        <w:left w:val="none" w:sz="0" w:space="0" w:color="auto"/>
        <w:bottom w:val="none" w:sz="0" w:space="0" w:color="auto"/>
        <w:right w:val="none" w:sz="0" w:space="0" w:color="auto"/>
      </w:divBdr>
    </w:div>
    <w:div w:id="8260061">
      <w:bodyDiv w:val="1"/>
      <w:marLeft w:val="0"/>
      <w:marRight w:val="0"/>
      <w:marTop w:val="0"/>
      <w:marBottom w:val="0"/>
      <w:divBdr>
        <w:top w:val="none" w:sz="0" w:space="0" w:color="auto"/>
        <w:left w:val="none" w:sz="0" w:space="0" w:color="auto"/>
        <w:bottom w:val="none" w:sz="0" w:space="0" w:color="auto"/>
        <w:right w:val="none" w:sz="0" w:space="0" w:color="auto"/>
      </w:divBdr>
    </w:div>
    <w:div w:id="9183699">
      <w:bodyDiv w:val="1"/>
      <w:marLeft w:val="0"/>
      <w:marRight w:val="0"/>
      <w:marTop w:val="0"/>
      <w:marBottom w:val="0"/>
      <w:divBdr>
        <w:top w:val="none" w:sz="0" w:space="0" w:color="auto"/>
        <w:left w:val="none" w:sz="0" w:space="0" w:color="auto"/>
        <w:bottom w:val="none" w:sz="0" w:space="0" w:color="auto"/>
        <w:right w:val="none" w:sz="0" w:space="0" w:color="auto"/>
      </w:divBdr>
    </w:div>
    <w:div w:id="10642261">
      <w:bodyDiv w:val="1"/>
      <w:marLeft w:val="0"/>
      <w:marRight w:val="0"/>
      <w:marTop w:val="0"/>
      <w:marBottom w:val="0"/>
      <w:divBdr>
        <w:top w:val="none" w:sz="0" w:space="0" w:color="auto"/>
        <w:left w:val="none" w:sz="0" w:space="0" w:color="auto"/>
        <w:bottom w:val="none" w:sz="0" w:space="0" w:color="auto"/>
        <w:right w:val="none" w:sz="0" w:space="0" w:color="auto"/>
      </w:divBdr>
    </w:div>
    <w:div w:id="11153869">
      <w:bodyDiv w:val="1"/>
      <w:marLeft w:val="0"/>
      <w:marRight w:val="0"/>
      <w:marTop w:val="0"/>
      <w:marBottom w:val="0"/>
      <w:divBdr>
        <w:top w:val="none" w:sz="0" w:space="0" w:color="auto"/>
        <w:left w:val="none" w:sz="0" w:space="0" w:color="auto"/>
        <w:bottom w:val="none" w:sz="0" w:space="0" w:color="auto"/>
        <w:right w:val="none" w:sz="0" w:space="0" w:color="auto"/>
      </w:divBdr>
    </w:div>
    <w:div w:id="11418028">
      <w:bodyDiv w:val="1"/>
      <w:marLeft w:val="0"/>
      <w:marRight w:val="0"/>
      <w:marTop w:val="0"/>
      <w:marBottom w:val="0"/>
      <w:divBdr>
        <w:top w:val="none" w:sz="0" w:space="0" w:color="auto"/>
        <w:left w:val="none" w:sz="0" w:space="0" w:color="auto"/>
        <w:bottom w:val="none" w:sz="0" w:space="0" w:color="auto"/>
        <w:right w:val="none" w:sz="0" w:space="0" w:color="auto"/>
      </w:divBdr>
    </w:div>
    <w:div w:id="13658480">
      <w:bodyDiv w:val="1"/>
      <w:marLeft w:val="0"/>
      <w:marRight w:val="0"/>
      <w:marTop w:val="0"/>
      <w:marBottom w:val="0"/>
      <w:divBdr>
        <w:top w:val="none" w:sz="0" w:space="0" w:color="auto"/>
        <w:left w:val="none" w:sz="0" w:space="0" w:color="auto"/>
        <w:bottom w:val="none" w:sz="0" w:space="0" w:color="auto"/>
        <w:right w:val="none" w:sz="0" w:space="0" w:color="auto"/>
      </w:divBdr>
    </w:div>
    <w:div w:id="14430309">
      <w:bodyDiv w:val="1"/>
      <w:marLeft w:val="0"/>
      <w:marRight w:val="0"/>
      <w:marTop w:val="0"/>
      <w:marBottom w:val="0"/>
      <w:divBdr>
        <w:top w:val="none" w:sz="0" w:space="0" w:color="auto"/>
        <w:left w:val="none" w:sz="0" w:space="0" w:color="auto"/>
        <w:bottom w:val="none" w:sz="0" w:space="0" w:color="auto"/>
        <w:right w:val="none" w:sz="0" w:space="0" w:color="auto"/>
      </w:divBdr>
    </w:div>
    <w:div w:id="14891409">
      <w:bodyDiv w:val="1"/>
      <w:marLeft w:val="0"/>
      <w:marRight w:val="0"/>
      <w:marTop w:val="0"/>
      <w:marBottom w:val="0"/>
      <w:divBdr>
        <w:top w:val="none" w:sz="0" w:space="0" w:color="auto"/>
        <w:left w:val="none" w:sz="0" w:space="0" w:color="auto"/>
        <w:bottom w:val="none" w:sz="0" w:space="0" w:color="auto"/>
        <w:right w:val="none" w:sz="0" w:space="0" w:color="auto"/>
      </w:divBdr>
    </w:div>
    <w:div w:id="15811551">
      <w:bodyDiv w:val="1"/>
      <w:marLeft w:val="0"/>
      <w:marRight w:val="0"/>
      <w:marTop w:val="0"/>
      <w:marBottom w:val="0"/>
      <w:divBdr>
        <w:top w:val="none" w:sz="0" w:space="0" w:color="auto"/>
        <w:left w:val="none" w:sz="0" w:space="0" w:color="auto"/>
        <w:bottom w:val="none" w:sz="0" w:space="0" w:color="auto"/>
        <w:right w:val="none" w:sz="0" w:space="0" w:color="auto"/>
      </w:divBdr>
    </w:div>
    <w:div w:id="19278477">
      <w:bodyDiv w:val="1"/>
      <w:marLeft w:val="0"/>
      <w:marRight w:val="0"/>
      <w:marTop w:val="0"/>
      <w:marBottom w:val="0"/>
      <w:divBdr>
        <w:top w:val="none" w:sz="0" w:space="0" w:color="auto"/>
        <w:left w:val="none" w:sz="0" w:space="0" w:color="auto"/>
        <w:bottom w:val="none" w:sz="0" w:space="0" w:color="auto"/>
        <w:right w:val="none" w:sz="0" w:space="0" w:color="auto"/>
      </w:divBdr>
    </w:div>
    <w:div w:id="19597668">
      <w:bodyDiv w:val="1"/>
      <w:marLeft w:val="0"/>
      <w:marRight w:val="0"/>
      <w:marTop w:val="0"/>
      <w:marBottom w:val="0"/>
      <w:divBdr>
        <w:top w:val="none" w:sz="0" w:space="0" w:color="auto"/>
        <w:left w:val="none" w:sz="0" w:space="0" w:color="auto"/>
        <w:bottom w:val="none" w:sz="0" w:space="0" w:color="auto"/>
        <w:right w:val="none" w:sz="0" w:space="0" w:color="auto"/>
      </w:divBdr>
    </w:div>
    <w:div w:id="20279879">
      <w:bodyDiv w:val="1"/>
      <w:marLeft w:val="0"/>
      <w:marRight w:val="0"/>
      <w:marTop w:val="0"/>
      <w:marBottom w:val="0"/>
      <w:divBdr>
        <w:top w:val="none" w:sz="0" w:space="0" w:color="auto"/>
        <w:left w:val="none" w:sz="0" w:space="0" w:color="auto"/>
        <w:bottom w:val="none" w:sz="0" w:space="0" w:color="auto"/>
        <w:right w:val="none" w:sz="0" w:space="0" w:color="auto"/>
      </w:divBdr>
    </w:div>
    <w:div w:id="20471388">
      <w:bodyDiv w:val="1"/>
      <w:marLeft w:val="0"/>
      <w:marRight w:val="0"/>
      <w:marTop w:val="0"/>
      <w:marBottom w:val="0"/>
      <w:divBdr>
        <w:top w:val="none" w:sz="0" w:space="0" w:color="auto"/>
        <w:left w:val="none" w:sz="0" w:space="0" w:color="auto"/>
        <w:bottom w:val="none" w:sz="0" w:space="0" w:color="auto"/>
        <w:right w:val="none" w:sz="0" w:space="0" w:color="auto"/>
      </w:divBdr>
    </w:div>
    <w:div w:id="21053856">
      <w:bodyDiv w:val="1"/>
      <w:marLeft w:val="0"/>
      <w:marRight w:val="0"/>
      <w:marTop w:val="0"/>
      <w:marBottom w:val="0"/>
      <w:divBdr>
        <w:top w:val="none" w:sz="0" w:space="0" w:color="auto"/>
        <w:left w:val="none" w:sz="0" w:space="0" w:color="auto"/>
        <w:bottom w:val="none" w:sz="0" w:space="0" w:color="auto"/>
        <w:right w:val="none" w:sz="0" w:space="0" w:color="auto"/>
      </w:divBdr>
    </w:div>
    <w:div w:id="22562662">
      <w:bodyDiv w:val="1"/>
      <w:marLeft w:val="0"/>
      <w:marRight w:val="0"/>
      <w:marTop w:val="0"/>
      <w:marBottom w:val="0"/>
      <w:divBdr>
        <w:top w:val="none" w:sz="0" w:space="0" w:color="auto"/>
        <w:left w:val="none" w:sz="0" w:space="0" w:color="auto"/>
        <w:bottom w:val="none" w:sz="0" w:space="0" w:color="auto"/>
        <w:right w:val="none" w:sz="0" w:space="0" w:color="auto"/>
      </w:divBdr>
    </w:div>
    <w:div w:id="23097946">
      <w:bodyDiv w:val="1"/>
      <w:marLeft w:val="0"/>
      <w:marRight w:val="0"/>
      <w:marTop w:val="0"/>
      <w:marBottom w:val="0"/>
      <w:divBdr>
        <w:top w:val="none" w:sz="0" w:space="0" w:color="auto"/>
        <w:left w:val="none" w:sz="0" w:space="0" w:color="auto"/>
        <w:bottom w:val="none" w:sz="0" w:space="0" w:color="auto"/>
        <w:right w:val="none" w:sz="0" w:space="0" w:color="auto"/>
      </w:divBdr>
    </w:div>
    <w:div w:id="23138363">
      <w:bodyDiv w:val="1"/>
      <w:marLeft w:val="0"/>
      <w:marRight w:val="0"/>
      <w:marTop w:val="0"/>
      <w:marBottom w:val="0"/>
      <w:divBdr>
        <w:top w:val="none" w:sz="0" w:space="0" w:color="auto"/>
        <w:left w:val="none" w:sz="0" w:space="0" w:color="auto"/>
        <w:bottom w:val="none" w:sz="0" w:space="0" w:color="auto"/>
        <w:right w:val="none" w:sz="0" w:space="0" w:color="auto"/>
      </w:divBdr>
    </w:div>
    <w:div w:id="25453442">
      <w:bodyDiv w:val="1"/>
      <w:marLeft w:val="0"/>
      <w:marRight w:val="0"/>
      <w:marTop w:val="0"/>
      <w:marBottom w:val="0"/>
      <w:divBdr>
        <w:top w:val="none" w:sz="0" w:space="0" w:color="auto"/>
        <w:left w:val="none" w:sz="0" w:space="0" w:color="auto"/>
        <w:bottom w:val="none" w:sz="0" w:space="0" w:color="auto"/>
        <w:right w:val="none" w:sz="0" w:space="0" w:color="auto"/>
      </w:divBdr>
    </w:div>
    <w:div w:id="26755435">
      <w:bodyDiv w:val="1"/>
      <w:marLeft w:val="0"/>
      <w:marRight w:val="0"/>
      <w:marTop w:val="0"/>
      <w:marBottom w:val="0"/>
      <w:divBdr>
        <w:top w:val="none" w:sz="0" w:space="0" w:color="auto"/>
        <w:left w:val="none" w:sz="0" w:space="0" w:color="auto"/>
        <w:bottom w:val="none" w:sz="0" w:space="0" w:color="auto"/>
        <w:right w:val="none" w:sz="0" w:space="0" w:color="auto"/>
      </w:divBdr>
    </w:div>
    <w:div w:id="27143998">
      <w:bodyDiv w:val="1"/>
      <w:marLeft w:val="0"/>
      <w:marRight w:val="0"/>
      <w:marTop w:val="0"/>
      <w:marBottom w:val="0"/>
      <w:divBdr>
        <w:top w:val="none" w:sz="0" w:space="0" w:color="auto"/>
        <w:left w:val="none" w:sz="0" w:space="0" w:color="auto"/>
        <w:bottom w:val="none" w:sz="0" w:space="0" w:color="auto"/>
        <w:right w:val="none" w:sz="0" w:space="0" w:color="auto"/>
      </w:divBdr>
    </w:div>
    <w:div w:id="27688031">
      <w:bodyDiv w:val="1"/>
      <w:marLeft w:val="0"/>
      <w:marRight w:val="0"/>
      <w:marTop w:val="0"/>
      <w:marBottom w:val="0"/>
      <w:divBdr>
        <w:top w:val="none" w:sz="0" w:space="0" w:color="auto"/>
        <w:left w:val="none" w:sz="0" w:space="0" w:color="auto"/>
        <w:bottom w:val="none" w:sz="0" w:space="0" w:color="auto"/>
        <w:right w:val="none" w:sz="0" w:space="0" w:color="auto"/>
      </w:divBdr>
    </w:div>
    <w:div w:id="29035666">
      <w:bodyDiv w:val="1"/>
      <w:marLeft w:val="0"/>
      <w:marRight w:val="0"/>
      <w:marTop w:val="0"/>
      <w:marBottom w:val="0"/>
      <w:divBdr>
        <w:top w:val="none" w:sz="0" w:space="0" w:color="auto"/>
        <w:left w:val="none" w:sz="0" w:space="0" w:color="auto"/>
        <w:bottom w:val="none" w:sz="0" w:space="0" w:color="auto"/>
        <w:right w:val="none" w:sz="0" w:space="0" w:color="auto"/>
      </w:divBdr>
    </w:div>
    <w:div w:id="29494778">
      <w:bodyDiv w:val="1"/>
      <w:marLeft w:val="0"/>
      <w:marRight w:val="0"/>
      <w:marTop w:val="0"/>
      <w:marBottom w:val="0"/>
      <w:divBdr>
        <w:top w:val="none" w:sz="0" w:space="0" w:color="auto"/>
        <w:left w:val="none" w:sz="0" w:space="0" w:color="auto"/>
        <w:bottom w:val="none" w:sz="0" w:space="0" w:color="auto"/>
        <w:right w:val="none" w:sz="0" w:space="0" w:color="auto"/>
      </w:divBdr>
    </w:div>
    <w:div w:id="29500907">
      <w:bodyDiv w:val="1"/>
      <w:marLeft w:val="0"/>
      <w:marRight w:val="0"/>
      <w:marTop w:val="0"/>
      <w:marBottom w:val="0"/>
      <w:divBdr>
        <w:top w:val="none" w:sz="0" w:space="0" w:color="auto"/>
        <w:left w:val="none" w:sz="0" w:space="0" w:color="auto"/>
        <w:bottom w:val="none" w:sz="0" w:space="0" w:color="auto"/>
        <w:right w:val="none" w:sz="0" w:space="0" w:color="auto"/>
      </w:divBdr>
    </w:div>
    <w:div w:id="30958752">
      <w:bodyDiv w:val="1"/>
      <w:marLeft w:val="0"/>
      <w:marRight w:val="0"/>
      <w:marTop w:val="0"/>
      <w:marBottom w:val="0"/>
      <w:divBdr>
        <w:top w:val="none" w:sz="0" w:space="0" w:color="auto"/>
        <w:left w:val="none" w:sz="0" w:space="0" w:color="auto"/>
        <w:bottom w:val="none" w:sz="0" w:space="0" w:color="auto"/>
        <w:right w:val="none" w:sz="0" w:space="0" w:color="auto"/>
      </w:divBdr>
    </w:div>
    <w:div w:id="30963417">
      <w:bodyDiv w:val="1"/>
      <w:marLeft w:val="0"/>
      <w:marRight w:val="0"/>
      <w:marTop w:val="0"/>
      <w:marBottom w:val="0"/>
      <w:divBdr>
        <w:top w:val="none" w:sz="0" w:space="0" w:color="auto"/>
        <w:left w:val="none" w:sz="0" w:space="0" w:color="auto"/>
        <w:bottom w:val="none" w:sz="0" w:space="0" w:color="auto"/>
        <w:right w:val="none" w:sz="0" w:space="0" w:color="auto"/>
      </w:divBdr>
    </w:div>
    <w:div w:id="31030823">
      <w:bodyDiv w:val="1"/>
      <w:marLeft w:val="0"/>
      <w:marRight w:val="0"/>
      <w:marTop w:val="0"/>
      <w:marBottom w:val="0"/>
      <w:divBdr>
        <w:top w:val="none" w:sz="0" w:space="0" w:color="auto"/>
        <w:left w:val="none" w:sz="0" w:space="0" w:color="auto"/>
        <w:bottom w:val="none" w:sz="0" w:space="0" w:color="auto"/>
        <w:right w:val="none" w:sz="0" w:space="0" w:color="auto"/>
      </w:divBdr>
    </w:div>
    <w:div w:id="31274375">
      <w:bodyDiv w:val="1"/>
      <w:marLeft w:val="0"/>
      <w:marRight w:val="0"/>
      <w:marTop w:val="0"/>
      <w:marBottom w:val="0"/>
      <w:divBdr>
        <w:top w:val="none" w:sz="0" w:space="0" w:color="auto"/>
        <w:left w:val="none" w:sz="0" w:space="0" w:color="auto"/>
        <w:bottom w:val="none" w:sz="0" w:space="0" w:color="auto"/>
        <w:right w:val="none" w:sz="0" w:space="0" w:color="auto"/>
      </w:divBdr>
    </w:div>
    <w:div w:id="31392078">
      <w:bodyDiv w:val="1"/>
      <w:marLeft w:val="0"/>
      <w:marRight w:val="0"/>
      <w:marTop w:val="0"/>
      <w:marBottom w:val="0"/>
      <w:divBdr>
        <w:top w:val="none" w:sz="0" w:space="0" w:color="auto"/>
        <w:left w:val="none" w:sz="0" w:space="0" w:color="auto"/>
        <w:bottom w:val="none" w:sz="0" w:space="0" w:color="auto"/>
        <w:right w:val="none" w:sz="0" w:space="0" w:color="auto"/>
      </w:divBdr>
    </w:div>
    <w:div w:id="31882653">
      <w:bodyDiv w:val="1"/>
      <w:marLeft w:val="0"/>
      <w:marRight w:val="0"/>
      <w:marTop w:val="0"/>
      <w:marBottom w:val="0"/>
      <w:divBdr>
        <w:top w:val="none" w:sz="0" w:space="0" w:color="auto"/>
        <w:left w:val="none" w:sz="0" w:space="0" w:color="auto"/>
        <w:bottom w:val="none" w:sz="0" w:space="0" w:color="auto"/>
        <w:right w:val="none" w:sz="0" w:space="0" w:color="auto"/>
      </w:divBdr>
    </w:div>
    <w:div w:id="32463031">
      <w:bodyDiv w:val="1"/>
      <w:marLeft w:val="0"/>
      <w:marRight w:val="0"/>
      <w:marTop w:val="0"/>
      <w:marBottom w:val="0"/>
      <w:divBdr>
        <w:top w:val="none" w:sz="0" w:space="0" w:color="auto"/>
        <w:left w:val="none" w:sz="0" w:space="0" w:color="auto"/>
        <w:bottom w:val="none" w:sz="0" w:space="0" w:color="auto"/>
        <w:right w:val="none" w:sz="0" w:space="0" w:color="auto"/>
      </w:divBdr>
    </w:div>
    <w:div w:id="33893768">
      <w:bodyDiv w:val="1"/>
      <w:marLeft w:val="0"/>
      <w:marRight w:val="0"/>
      <w:marTop w:val="0"/>
      <w:marBottom w:val="0"/>
      <w:divBdr>
        <w:top w:val="none" w:sz="0" w:space="0" w:color="auto"/>
        <w:left w:val="none" w:sz="0" w:space="0" w:color="auto"/>
        <w:bottom w:val="none" w:sz="0" w:space="0" w:color="auto"/>
        <w:right w:val="none" w:sz="0" w:space="0" w:color="auto"/>
      </w:divBdr>
    </w:div>
    <w:div w:id="35088391">
      <w:bodyDiv w:val="1"/>
      <w:marLeft w:val="0"/>
      <w:marRight w:val="0"/>
      <w:marTop w:val="0"/>
      <w:marBottom w:val="0"/>
      <w:divBdr>
        <w:top w:val="none" w:sz="0" w:space="0" w:color="auto"/>
        <w:left w:val="none" w:sz="0" w:space="0" w:color="auto"/>
        <w:bottom w:val="none" w:sz="0" w:space="0" w:color="auto"/>
        <w:right w:val="none" w:sz="0" w:space="0" w:color="auto"/>
      </w:divBdr>
    </w:div>
    <w:div w:id="35474212">
      <w:bodyDiv w:val="1"/>
      <w:marLeft w:val="0"/>
      <w:marRight w:val="0"/>
      <w:marTop w:val="0"/>
      <w:marBottom w:val="0"/>
      <w:divBdr>
        <w:top w:val="none" w:sz="0" w:space="0" w:color="auto"/>
        <w:left w:val="none" w:sz="0" w:space="0" w:color="auto"/>
        <w:bottom w:val="none" w:sz="0" w:space="0" w:color="auto"/>
        <w:right w:val="none" w:sz="0" w:space="0" w:color="auto"/>
      </w:divBdr>
    </w:div>
    <w:div w:id="35743304">
      <w:bodyDiv w:val="1"/>
      <w:marLeft w:val="0"/>
      <w:marRight w:val="0"/>
      <w:marTop w:val="0"/>
      <w:marBottom w:val="0"/>
      <w:divBdr>
        <w:top w:val="none" w:sz="0" w:space="0" w:color="auto"/>
        <w:left w:val="none" w:sz="0" w:space="0" w:color="auto"/>
        <w:bottom w:val="none" w:sz="0" w:space="0" w:color="auto"/>
        <w:right w:val="none" w:sz="0" w:space="0" w:color="auto"/>
      </w:divBdr>
    </w:div>
    <w:div w:id="36123318">
      <w:bodyDiv w:val="1"/>
      <w:marLeft w:val="0"/>
      <w:marRight w:val="0"/>
      <w:marTop w:val="0"/>
      <w:marBottom w:val="0"/>
      <w:divBdr>
        <w:top w:val="none" w:sz="0" w:space="0" w:color="auto"/>
        <w:left w:val="none" w:sz="0" w:space="0" w:color="auto"/>
        <w:bottom w:val="none" w:sz="0" w:space="0" w:color="auto"/>
        <w:right w:val="none" w:sz="0" w:space="0" w:color="auto"/>
      </w:divBdr>
    </w:div>
    <w:div w:id="36784613">
      <w:bodyDiv w:val="1"/>
      <w:marLeft w:val="0"/>
      <w:marRight w:val="0"/>
      <w:marTop w:val="0"/>
      <w:marBottom w:val="0"/>
      <w:divBdr>
        <w:top w:val="none" w:sz="0" w:space="0" w:color="auto"/>
        <w:left w:val="none" w:sz="0" w:space="0" w:color="auto"/>
        <w:bottom w:val="none" w:sz="0" w:space="0" w:color="auto"/>
        <w:right w:val="none" w:sz="0" w:space="0" w:color="auto"/>
      </w:divBdr>
    </w:div>
    <w:div w:id="37244683">
      <w:bodyDiv w:val="1"/>
      <w:marLeft w:val="0"/>
      <w:marRight w:val="0"/>
      <w:marTop w:val="0"/>
      <w:marBottom w:val="0"/>
      <w:divBdr>
        <w:top w:val="none" w:sz="0" w:space="0" w:color="auto"/>
        <w:left w:val="none" w:sz="0" w:space="0" w:color="auto"/>
        <w:bottom w:val="none" w:sz="0" w:space="0" w:color="auto"/>
        <w:right w:val="none" w:sz="0" w:space="0" w:color="auto"/>
      </w:divBdr>
    </w:div>
    <w:div w:id="38172598">
      <w:bodyDiv w:val="1"/>
      <w:marLeft w:val="0"/>
      <w:marRight w:val="0"/>
      <w:marTop w:val="0"/>
      <w:marBottom w:val="0"/>
      <w:divBdr>
        <w:top w:val="none" w:sz="0" w:space="0" w:color="auto"/>
        <w:left w:val="none" w:sz="0" w:space="0" w:color="auto"/>
        <w:bottom w:val="none" w:sz="0" w:space="0" w:color="auto"/>
        <w:right w:val="none" w:sz="0" w:space="0" w:color="auto"/>
      </w:divBdr>
    </w:div>
    <w:div w:id="40598372">
      <w:bodyDiv w:val="1"/>
      <w:marLeft w:val="0"/>
      <w:marRight w:val="0"/>
      <w:marTop w:val="0"/>
      <w:marBottom w:val="0"/>
      <w:divBdr>
        <w:top w:val="none" w:sz="0" w:space="0" w:color="auto"/>
        <w:left w:val="none" w:sz="0" w:space="0" w:color="auto"/>
        <w:bottom w:val="none" w:sz="0" w:space="0" w:color="auto"/>
        <w:right w:val="none" w:sz="0" w:space="0" w:color="auto"/>
      </w:divBdr>
    </w:div>
    <w:div w:id="41177859">
      <w:bodyDiv w:val="1"/>
      <w:marLeft w:val="0"/>
      <w:marRight w:val="0"/>
      <w:marTop w:val="0"/>
      <w:marBottom w:val="0"/>
      <w:divBdr>
        <w:top w:val="none" w:sz="0" w:space="0" w:color="auto"/>
        <w:left w:val="none" w:sz="0" w:space="0" w:color="auto"/>
        <w:bottom w:val="none" w:sz="0" w:space="0" w:color="auto"/>
        <w:right w:val="none" w:sz="0" w:space="0" w:color="auto"/>
      </w:divBdr>
    </w:div>
    <w:div w:id="41681075">
      <w:bodyDiv w:val="1"/>
      <w:marLeft w:val="0"/>
      <w:marRight w:val="0"/>
      <w:marTop w:val="0"/>
      <w:marBottom w:val="0"/>
      <w:divBdr>
        <w:top w:val="none" w:sz="0" w:space="0" w:color="auto"/>
        <w:left w:val="none" w:sz="0" w:space="0" w:color="auto"/>
        <w:bottom w:val="none" w:sz="0" w:space="0" w:color="auto"/>
        <w:right w:val="none" w:sz="0" w:space="0" w:color="auto"/>
      </w:divBdr>
    </w:div>
    <w:div w:id="42336903">
      <w:bodyDiv w:val="1"/>
      <w:marLeft w:val="0"/>
      <w:marRight w:val="0"/>
      <w:marTop w:val="0"/>
      <w:marBottom w:val="0"/>
      <w:divBdr>
        <w:top w:val="none" w:sz="0" w:space="0" w:color="auto"/>
        <w:left w:val="none" w:sz="0" w:space="0" w:color="auto"/>
        <w:bottom w:val="none" w:sz="0" w:space="0" w:color="auto"/>
        <w:right w:val="none" w:sz="0" w:space="0" w:color="auto"/>
      </w:divBdr>
    </w:div>
    <w:div w:id="42795445">
      <w:bodyDiv w:val="1"/>
      <w:marLeft w:val="0"/>
      <w:marRight w:val="0"/>
      <w:marTop w:val="0"/>
      <w:marBottom w:val="0"/>
      <w:divBdr>
        <w:top w:val="none" w:sz="0" w:space="0" w:color="auto"/>
        <w:left w:val="none" w:sz="0" w:space="0" w:color="auto"/>
        <w:bottom w:val="none" w:sz="0" w:space="0" w:color="auto"/>
        <w:right w:val="none" w:sz="0" w:space="0" w:color="auto"/>
      </w:divBdr>
    </w:div>
    <w:div w:id="43257004">
      <w:bodyDiv w:val="1"/>
      <w:marLeft w:val="0"/>
      <w:marRight w:val="0"/>
      <w:marTop w:val="0"/>
      <w:marBottom w:val="0"/>
      <w:divBdr>
        <w:top w:val="none" w:sz="0" w:space="0" w:color="auto"/>
        <w:left w:val="none" w:sz="0" w:space="0" w:color="auto"/>
        <w:bottom w:val="none" w:sz="0" w:space="0" w:color="auto"/>
        <w:right w:val="none" w:sz="0" w:space="0" w:color="auto"/>
      </w:divBdr>
    </w:div>
    <w:div w:id="44304503">
      <w:bodyDiv w:val="1"/>
      <w:marLeft w:val="0"/>
      <w:marRight w:val="0"/>
      <w:marTop w:val="0"/>
      <w:marBottom w:val="0"/>
      <w:divBdr>
        <w:top w:val="none" w:sz="0" w:space="0" w:color="auto"/>
        <w:left w:val="none" w:sz="0" w:space="0" w:color="auto"/>
        <w:bottom w:val="none" w:sz="0" w:space="0" w:color="auto"/>
        <w:right w:val="none" w:sz="0" w:space="0" w:color="auto"/>
      </w:divBdr>
    </w:div>
    <w:div w:id="44304542">
      <w:bodyDiv w:val="1"/>
      <w:marLeft w:val="0"/>
      <w:marRight w:val="0"/>
      <w:marTop w:val="0"/>
      <w:marBottom w:val="0"/>
      <w:divBdr>
        <w:top w:val="none" w:sz="0" w:space="0" w:color="auto"/>
        <w:left w:val="none" w:sz="0" w:space="0" w:color="auto"/>
        <w:bottom w:val="none" w:sz="0" w:space="0" w:color="auto"/>
        <w:right w:val="none" w:sz="0" w:space="0" w:color="auto"/>
      </w:divBdr>
    </w:div>
    <w:div w:id="44528396">
      <w:bodyDiv w:val="1"/>
      <w:marLeft w:val="0"/>
      <w:marRight w:val="0"/>
      <w:marTop w:val="0"/>
      <w:marBottom w:val="0"/>
      <w:divBdr>
        <w:top w:val="none" w:sz="0" w:space="0" w:color="auto"/>
        <w:left w:val="none" w:sz="0" w:space="0" w:color="auto"/>
        <w:bottom w:val="none" w:sz="0" w:space="0" w:color="auto"/>
        <w:right w:val="none" w:sz="0" w:space="0" w:color="auto"/>
      </w:divBdr>
    </w:div>
    <w:div w:id="44791484">
      <w:bodyDiv w:val="1"/>
      <w:marLeft w:val="0"/>
      <w:marRight w:val="0"/>
      <w:marTop w:val="0"/>
      <w:marBottom w:val="0"/>
      <w:divBdr>
        <w:top w:val="none" w:sz="0" w:space="0" w:color="auto"/>
        <w:left w:val="none" w:sz="0" w:space="0" w:color="auto"/>
        <w:bottom w:val="none" w:sz="0" w:space="0" w:color="auto"/>
        <w:right w:val="none" w:sz="0" w:space="0" w:color="auto"/>
      </w:divBdr>
    </w:div>
    <w:div w:id="46610411">
      <w:bodyDiv w:val="1"/>
      <w:marLeft w:val="0"/>
      <w:marRight w:val="0"/>
      <w:marTop w:val="0"/>
      <w:marBottom w:val="0"/>
      <w:divBdr>
        <w:top w:val="none" w:sz="0" w:space="0" w:color="auto"/>
        <w:left w:val="none" w:sz="0" w:space="0" w:color="auto"/>
        <w:bottom w:val="none" w:sz="0" w:space="0" w:color="auto"/>
        <w:right w:val="none" w:sz="0" w:space="0" w:color="auto"/>
      </w:divBdr>
    </w:div>
    <w:div w:id="47804046">
      <w:bodyDiv w:val="1"/>
      <w:marLeft w:val="0"/>
      <w:marRight w:val="0"/>
      <w:marTop w:val="0"/>
      <w:marBottom w:val="0"/>
      <w:divBdr>
        <w:top w:val="none" w:sz="0" w:space="0" w:color="auto"/>
        <w:left w:val="none" w:sz="0" w:space="0" w:color="auto"/>
        <w:bottom w:val="none" w:sz="0" w:space="0" w:color="auto"/>
        <w:right w:val="none" w:sz="0" w:space="0" w:color="auto"/>
      </w:divBdr>
    </w:div>
    <w:div w:id="48037987">
      <w:bodyDiv w:val="1"/>
      <w:marLeft w:val="0"/>
      <w:marRight w:val="0"/>
      <w:marTop w:val="0"/>
      <w:marBottom w:val="0"/>
      <w:divBdr>
        <w:top w:val="none" w:sz="0" w:space="0" w:color="auto"/>
        <w:left w:val="none" w:sz="0" w:space="0" w:color="auto"/>
        <w:bottom w:val="none" w:sz="0" w:space="0" w:color="auto"/>
        <w:right w:val="none" w:sz="0" w:space="0" w:color="auto"/>
      </w:divBdr>
    </w:div>
    <w:div w:id="49354970">
      <w:bodyDiv w:val="1"/>
      <w:marLeft w:val="0"/>
      <w:marRight w:val="0"/>
      <w:marTop w:val="0"/>
      <w:marBottom w:val="0"/>
      <w:divBdr>
        <w:top w:val="none" w:sz="0" w:space="0" w:color="auto"/>
        <w:left w:val="none" w:sz="0" w:space="0" w:color="auto"/>
        <w:bottom w:val="none" w:sz="0" w:space="0" w:color="auto"/>
        <w:right w:val="none" w:sz="0" w:space="0" w:color="auto"/>
      </w:divBdr>
    </w:div>
    <w:div w:id="50738091">
      <w:bodyDiv w:val="1"/>
      <w:marLeft w:val="0"/>
      <w:marRight w:val="0"/>
      <w:marTop w:val="0"/>
      <w:marBottom w:val="0"/>
      <w:divBdr>
        <w:top w:val="none" w:sz="0" w:space="0" w:color="auto"/>
        <w:left w:val="none" w:sz="0" w:space="0" w:color="auto"/>
        <w:bottom w:val="none" w:sz="0" w:space="0" w:color="auto"/>
        <w:right w:val="none" w:sz="0" w:space="0" w:color="auto"/>
      </w:divBdr>
    </w:div>
    <w:div w:id="51929953">
      <w:bodyDiv w:val="1"/>
      <w:marLeft w:val="0"/>
      <w:marRight w:val="0"/>
      <w:marTop w:val="0"/>
      <w:marBottom w:val="0"/>
      <w:divBdr>
        <w:top w:val="none" w:sz="0" w:space="0" w:color="auto"/>
        <w:left w:val="none" w:sz="0" w:space="0" w:color="auto"/>
        <w:bottom w:val="none" w:sz="0" w:space="0" w:color="auto"/>
        <w:right w:val="none" w:sz="0" w:space="0" w:color="auto"/>
      </w:divBdr>
    </w:div>
    <w:div w:id="52193622">
      <w:bodyDiv w:val="1"/>
      <w:marLeft w:val="0"/>
      <w:marRight w:val="0"/>
      <w:marTop w:val="0"/>
      <w:marBottom w:val="0"/>
      <w:divBdr>
        <w:top w:val="none" w:sz="0" w:space="0" w:color="auto"/>
        <w:left w:val="none" w:sz="0" w:space="0" w:color="auto"/>
        <w:bottom w:val="none" w:sz="0" w:space="0" w:color="auto"/>
        <w:right w:val="none" w:sz="0" w:space="0" w:color="auto"/>
      </w:divBdr>
    </w:div>
    <w:div w:id="54620801">
      <w:bodyDiv w:val="1"/>
      <w:marLeft w:val="0"/>
      <w:marRight w:val="0"/>
      <w:marTop w:val="0"/>
      <w:marBottom w:val="0"/>
      <w:divBdr>
        <w:top w:val="none" w:sz="0" w:space="0" w:color="auto"/>
        <w:left w:val="none" w:sz="0" w:space="0" w:color="auto"/>
        <w:bottom w:val="none" w:sz="0" w:space="0" w:color="auto"/>
        <w:right w:val="none" w:sz="0" w:space="0" w:color="auto"/>
      </w:divBdr>
    </w:div>
    <w:div w:id="54864848">
      <w:bodyDiv w:val="1"/>
      <w:marLeft w:val="0"/>
      <w:marRight w:val="0"/>
      <w:marTop w:val="0"/>
      <w:marBottom w:val="0"/>
      <w:divBdr>
        <w:top w:val="none" w:sz="0" w:space="0" w:color="auto"/>
        <w:left w:val="none" w:sz="0" w:space="0" w:color="auto"/>
        <w:bottom w:val="none" w:sz="0" w:space="0" w:color="auto"/>
        <w:right w:val="none" w:sz="0" w:space="0" w:color="auto"/>
      </w:divBdr>
    </w:div>
    <w:div w:id="57097279">
      <w:bodyDiv w:val="1"/>
      <w:marLeft w:val="0"/>
      <w:marRight w:val="0"/>
      <w:marTop w:val="0"/>
      <w:marBottom w:val="0"/>
      <w:divBdr>
        <w:top w:val="none" w:sz="0" w:space="0" w:color="auto"/>
        <w:left w:val="none" w:sz="0" w:space="0" w:color="auto"/>
        <w:bottom w:val="none" w:sz="0" w:space="0" w:color="auto"/>
        <w:right w:val="none" w:sz="0" w:space="0" w:color="auto"/>
      </w:divBdr>
    </w:div>
    <w:div w:id="58095787">
      <w:bodyDiv w:val="1"/>
      <w:marLeft w:val="0"/>
      <w:marRight w:val="0"/>
      <w:marTop w:val="0"/>
      <w:marBottom w:val="0"/>
      <w:divBdr>
        <w:top w:val="none" w:sz="0" w:space="0" w:color="auto"/>
        <w:left w:val="none" w:sz="0" w:space="0" w:color="auto"/>
        <w:bottom w:val="none" w:sz="0" w:space="0" w:color="auto"/>
        <w:right w:val="none" w:sz="0" w:space="0" w:color="auto"/>
      </w:divBdr>
    </w:div>
    <w:div w:id="59179957">
      <w:bodyDiv w:val="1"/>
      <w:marLeft w:val="0"/>
      <w:marRight w:val="0"/>
      <w:marTop w:val="0"/>
      <w:marBottom w:val="0"/>
      <w:divBdr>
        <w:top w:val="none" w:sz="0" w:space="0" w:color="auto"/>
        <w:left w:val="none" w:sz="0" w:space="0" w:color="auto"/>
        <w:bottom w:val="none" w:sz="0" w:space="0" w:color="auto"/>
        <w:right w:val="none" w:sz="0" w:space="0" w:color="auto"/>
      </w:divBdr>
    </w:div>
    <w:div w:id="60687459">
      <w:bodyDiv w:val="1"/>
      <w:marLeft w:val="0"/>
      <w:marRight w:val="0"/>
      <w:marTop w:val="0"/>
      <w:marBottom w:val="0"/>
      <w:divBdr>
        <w:top w:val="none" w:sz="0" w:space="0" w:color="auto"/>
        <w:left w:val="none" w:sz="0" w:space="0" w:color="auto"/>
        <w:bottom w:val="none" w:sz="0" w:space="0" w:color="auto"/>
        <w:right w:val="none" w:sz="0" w:space="0" w:color="auto"/>
      </w:divBdr>
    </w:div>
    <w:div w:id="61030107">
      <w:bodyDiv w:val="1"/>
      <w:marLeft w:val="0"/>
      <w:marRight w:val="0"/>
      <w:marTop w:val="0"/>
      <w:marBottom w:val="0"/>
      <w:divBdr>
        <w:top w:val="none" w:sz="0" w:space="0" w:color="auto"/>
        <w:left w:val="none" w:sz="0" w:space="0" w:color="auto"/>
        <w:bottom w:val="none" w:sz="0" w:space="0" w:color="auto"/>
        <w:right w:val="none" w:sz="0" w:space="0" w:color="auto"/>
      </w:divBdr>
    </w:div>
    <w:div w:id="61561361">
      <w:bodyDiv w:val="1"/>
      <w:marLeft w:val="0"/>
      <w:marRight w:val="0"/>
      <w:marTop w:val="0"/>
      <w:marBottom w:val="0"/>
      <w:divBdr>
        <w:top w:val="none" w:sz="0" w:space="0" w:color="auto"/>
        <w:left w:val="none" w:sz="0" w:space="0" w:color="auto"/>
        <w:bottom w:val="none" w:sz="0" w:space="0" w:color="auto"/>
        <w:right w:val="none" w:sz="0" w:space="0" w:color="auto"/>
      </w:divBdr>
    </w:div>
    <w:div w:id="64257932">
      <w:bodyDiv w:val="1"/>
      <w:marLeft w:val="0"/>
      <w:marRight w:val="0"/>
      <w:marTop w:val="0"/>
      <w:marBottom w:val="0"/>
      <w:divBdr>
        <w:top w:val="none" w:sz="0" w:space="0" w:color="auto"/>
        <w:left w:val="none" w:sz="0" w:space="0" w:color="auto"/>
        <w:bottom w:val="none" w:sz="0" w:space="0" w:color="auto"/>
        <w:right w:val="none" w:sz="0" w:space="0" w:color="auto"/>
      </w:divBdr>
    </w:div>
    <w:div w:id="65227363">
      <w:bodyDiv w:val="1"/>
      <w:marLeft w:val="0"/>
      <w:marRight w:val="0"/>
      <w:marTop w:val="0"/>
      <w:marBottom w:val="0"/>
      <w:divBdr>
        <w:top w:val="none" w:sz="0" w:space="0" w:color="auto"/>
        <w:left w:val="none" w:sz="0" w:space="0" w:color="auto"/>
        <w:bottom w:val="none" w:sz="0" w:space="0" w:color="auto"/>
        <w:right w:val="none" w:sz="0" w:space="0" w:color="auto"/>
      </w:divBdr>
    </w:div>
    <w:div w:id="66342884">
      <w:bodyDiv w:val="1"/>
      <w:marLeft w:val="0"/>
      <w:marRight w:val="0"/>
      <w:marTop w:val="0"/>
      <w:marBottom w:val="0"/>
      <w:divBdr>
        <w:top w:val="none" w:sz="0" w:space="0" w:color="auto"/>
        <w:left w:val="none" w:sz="0" w:space="0" w:color="auto"/>
        <w:bottom w:val="none" w:sz="0" w:space="0" w:color="auto"/>
        <w:right w:val="none" w:sz="0" w:space="0" w:color="auto"/>
      </w:divBdr>
    </w:div>
    <w:div w:id="66536547">
      <w:bodyDiv w:val="1"/>
      <w:marLeft w:val="0"/>
      <w:marRight w:val="0"/>
      <w:marTop w:val="0"/>
      <w:marBottom w:val="0"/>
      <w:divBdr>
        <w:top w:val="none" w:sz="0" w:space="0" w:color="auto"/>
        <w:left w:val="none" w:sz="0" w:space="0" w:color="auto"/>
        <w:bottom w:val="none" w:sz="0" w:space="0" w:color="auto"/>
        <w:right w:val="none" w:sz="0" w:space="0" w:color="auto"/>
      </w:divBdr>
    </w:div>
    <w:div w:id="66922560">
      <w:bodyDiv w:val="1"/>
      <w:marLeft w:val="0"/>
      <w:marRight w:val="0"/>
      <w:marTop w:val="0"/>
      <w:marBottom w:val="0"/>
      <w:divBdr>
        <w:top w:val="none" w:sz="0" w:space="0" w:color="auto"/>
        <w:left w:val="none" w:sz="0" w:space="0" w:color="auto"/>
        <w:bottom w:val="none" w:sz="0" w:space="0" w:color="auto"/>
        <w:right w:val="none" w:sz="0" w:space="0" w:color="auto"/>
      </w:divBdr>
    </w:div>
    <w:div w:id="66995462">
      <w:bodyDiv w:val="1"/>
      <w:marLeft w:val="0"/>
      <w:marRight w:val="0"/>
      <w:marTop w:val="0"/>
      <w:marBottom w:val="0"/>
      <w:divBdr>
        <w:top w:val="none" w:sz="0" w:space="0" w:color="auto"/>
        <w:left w:val="none" w:sz="0" w:space="0" w:color="auto"/>
        <w:bottom w:val="none" w:sz="0" w:space="0" w:color="auto"/>
        <w:right w:val="none" w:sz="0" w:space="0" w:color="auto"/>
      </w:divBdr>
    </w:div>
    <w:div w:id="67070649">
      <w:bodyDiv w:val="1"/>
      <w:marLeft w:val="0"/>
      <w:marRight w:val="0"/>
      <w:marTop w:val="0"/>
      <w:marBottom w:val="0"/>
      <w:divBdr>
        <w:top w:val="none" w:sz="0" w:space="0" w:color="auto"/>
        <w:left w:val="none" w:sz="0" w:space="0" w:color="auto"/>
        <w:bottom w:val="none" w:sz="0" w:space="0" w:color="auto"/>
        <w:right w:val="none" w:sz="0" w:space="0" w:color="auto"/>
      </w:divBdr>
    </w:div>
    <w:div w:id="67462635">
      <w:bodyDiv w:val="1"/>
      <w:marLeft w:val="0"/>
      <w:marRight w:val="0"/>
      <w:marTop w:val="0"/>
      <w:marBottom w:val="0"/>
      <w:divBdr>
        <w:top w:val="none" w:sz="0" w:space="0" w:color="auto"/>
        <w:left w:val="none" w:sz="0" w:space="0" w:color="auto"/>
        <w:bottom w:val="none" w:sz="0" w:space="0" w:color="auto"/>
        <w:right w:val="none" w:sz="0" w:space="0" w:color="auto"/>
      </w:divBdr>
    </w:div>
    <w:div w:id="67654139">
      <w:bodyDiv w:val="1"/>
      <w:marLeft w:val="0"/>
      <w:marRight w:val="0"/>
      <w:marTop w:val="0"/>
      <w:marBottom w:val="0"/>
      <w:divBdr>
        <w:top w:val="none" w:sz="0" w:space="0" w:color="auto"/>
        <w:left w:val="none" w:sz="0" w:space="0" w:color="auto"/>
        <w:bottom w:val="none" w:sz="0" w:space="0" w:color="auto"/>
        <w:right w:val="none" w:sz="0" w:space="0" w:color="auto"/>
      </w:divBdr>
    </w:div>
    <w:div w:id="68816074">
      <w:bodyDiv w:val="1"/>
      <w:marLeft w:val="0"/>
      <w:marRight w:val="0"/>
      <w:marTop w:val="0"/>
      <w:marBottom w:val="0"/>
      <w:divBdr>
        <w:top w:val="none" w:sz="0" w:space="0" w:color="auto"/>
        <w:left w:val="none" w:sz="0" w:space="0" w:color="auto"/>
        <w:bottom w:val="none" w:sz="0" w:space="0" w:color="auto"/>
        <w:right w:val="none" w:sz="0" w:space="0" w:color="auto"/>
      </w:divBdr>
    </w:div>
    <w:div w:id="69741395">
      <w:bodyDiv w:val="1"/>
      <w:marLeft w:val="0"/>
      <w:marRight w:val="0"/>
      <w:marTop w:val="0"/>
      <w:marBottom w:val="0"/>
      <w:divBdr>
        <w:top w:val="none" w:sz="0" w:space="0" w:color="auto"/>
        <w:left w:val="none" w:sz="0" w:space="0" w:color="auto"/>
        <w:bottom w:val="none" w:sz="0" w:space="0" w:color="auto"/>
        <w:right w:val="none" w:sz="0" w:space="0" w:color="auto"/>
      </w:divBdr>
    </w:div>
    <w:div w:id="70274028">
      <w:bodyDiv w:val="1"/>
      <w:marLeft w:val="0"/>
      <w:marRight w:val="0"/>
      <w:marTop w:val="0"/>
      <w:marBottom w:val="0"/>
      <w:divBdr>
        <w:top w:val="none" w:sz="0" w:space="0" w:color="auto"/>
        <w:left w:val="none" w:sz="0" w:space="0" w:color="auto"/>
        <w:bottom w:val="none" w:sz="0" w:space="0" w:color="auto"/>
        <w:right w:val="none" w:sz="0" w:space="0" w:color="auto"/>
      </w:divBdr>
    </w:div>
    <w:div w:id="70278430">
      <w:bodyDiv w:val="1"/>
      <w:marLeft w:val="0"/>
      <w:marRight w:val="0"/>
      <w:marTop w:val="0"/>
      <w:marBottom w:val="0"/>
      <w:divBdr>
        <w:top w:val="none" w:sz="0" w:space="0" w:color="auto"/>
        <w:left w:val="none" w:sz="0" w:space="0" w:color="auto"/>
        <w:bottom w:val="none" w:sz="0" w:space="0" w:color="auto"/>
        <w:right w:val="none" w:sz="0" w:space="0" w:color="auto"/>
      </w:divBdr>
    </w:div>
    <w:div w:id="70854715">
      <w:bodyDiv w:val="1"/>
      <w:marLeft w:val="0"/>
      <w:marRight w:val="0"/>
      <w:marTop w:val="0"/>
      <w:marBottom w:val="0"/>
      <w:divBdr>
        <w:top w:val="none" w:sz="0" w:space="0" w:color="auto"/>
        <w:left w:val="none" w:sz="0" w:space="0" w:color="auto"/>
        <w:bottom w:val="none" w:sz="0" w:space="0" w:color="auto"/>
        <w:right w:val="none" w:sz="0" w:space="0" w:color="auto"/>
      </w:divBdr>
    </w:div>
    <w:div w:id="71780732">
      <w:bodyDiv w:val="1"/>
      <w:marLeft w:val="0"/>
      <w:marRight w:val="0"/>
      <w:marTop w:val="0"/>
      <w:marBottom w:val="0"/>
      <w:divBdr>
        <w:top w:val="none" w:sz="0" w:space="0" w:color="auto"/>
        <w:left w:val="none" w:sz="0" w:space="0" w:color="auto"/>
        <w:bottom w:val="none" w:sz="0" w:space="0" w:color="auto"/>
        <w:right w:val="none" w:sz="0" w:space="0" w:color="auto"/>
      </w:divBdr>
    </w:div>
    <w:div w:id="73745873">
      <w:bodyDiv w:val="1"/>
      <w:marLeft w:val="0"/>
      <w:marRight w:val="0"/>
      <w:marTop w:val="0"/>
      <w:marBottom w:val="0"/>
      <w:divBdr>
        <w:top w:val="none" w:sz="0" w:space="0" w:color="auto"/>
        <w:left w:val="none" w:sz="0" w:space="0" w:color="auto"/>
        <w:bottom w:val="none" w:sz="0" w:space="0" w:color="auto"/>
        <w:right w:val="none" w:sz="0" w:space="0" w:color="auto"/>
      </w:divBdr>
    </w:div>
    <w:div w:id="73817936">
      <w:bodyDiv w:val="1"/>
      <w:marLeft w:val="0"/>
      <w:marRight w:val="0"/>
      <w:marTop w:val="0"/>
      <w:marBottom w:val="0"/>
      <w:divBdr>
        <w:top w:val="none" w:sz="0" w:space="0" w:color="auto"/>
        <w:left w:val="none" w:sz="0" w:space="0" w:color="auto"/>
        <w:bottom w:val="none" w:sz="0" w:space="0" w:color="auto"/>
        <w:right w:val="none" w:sz="0" w:space="0" w:color="auto"/>
      </w:divBdr>
    </w:div>
    <w:div w:id="75328556">
      <w:bodyDiv w:val="1"/>
      <w:marLeft w:val="0"/>
      <w:marRight w:val="0"/>
      <w:marTop w:val="0"/>
      <w:marBottom w:val="0"/>
      <w:divBdr>
        <w:top w:val="none" w:sz="0" w:space="0" w:color="auto"/>
        <w:left w:val="none" w:sz="0" w:space="0" w:color="auto"/>
        <w:bottom w:val="none" w:sz="0" w:space="0" w:color="auto"/>
        <w:right w:val="none" w:sz="0" w:space="0" w:color="auto"/>
      </w:divBdr>
    </w:div>
    <w:div w:id="75440988">
      <w:bodyDiv w:val="1"/>
      <w:marLeft w:val="0"/>
      <w:marRight w:val="0"/>
      <w:marTop w:val="0"/>
      <w:marBottom w:val="0"/>
      <w:divBdr>
        <w:top w:val="none" w:sz="0" w:space="0" w:color="auto"/>
        <w:left w:val="none" w:sz="0" w:space="0" w:color="auto"/>
        <w:bottom w:val="none" w:sz="0" w:space="0" w:color="auto"/>
        <w:right w:val="none" w:sz="0" w:space="0" w:color="auto"/>
      </w:divBdr>
    </w:div>
    <w:div w:id="76296289">
      <w:bodyDiv w:val="1"/>
      <w:marLeft w:val="0"/>
      <w:marRight w:val="0"/>
      <w:marTop w:val="0"/>
      <w:marBottom w:val="0"/>
      <w:divBdr>
        <w:top w:val="none" w:sz="0" w:space="0" w:color="auto"/>
        <w:left w:val="none" w:sz="0" w:space="0" w:color="auto"/>
        <w:bottom w:val="none" w:sz="0" w:space="0" w:color="auto"/>
        <w:right w:val="none" w:sz="0" w:space="0" w:color="auto"/>
      </w:divBdr>
    </w:div>
    <w:div w:id="76756177">
      <w:bodyDiv w:val="1"/>
      <w:marLeft w:val="0"/>
      <w:marRight w:val="0"/>
      <w:marTop w:val="0"/>
      <w:marBottom w:val="0"/>
      <w:divBdr>
        <w:top w:val="none" w:sz="0" w:space="0" w:color="auto"/>
        <w:left w:val="none" w:sz="0" w:space="0" w:color="auto"/>
        <w:bottom w:val="none" w:sz="0" w:space="0" w:color="auto"/>
        <w:right w:val="none" w:sz="0" w:space="0" w:color="auto"/>
      </w:divBdr>
    </w:div>
    <w:div w:id="77092851">
      <w:bodyDiv w:val="1"/>
      <w:marLeft w:val="0"/>
      <w:marRight w:val="0"/>
      <w:marTop w:val="0"/>
      <w:marBottom w:val="0"/>
      <w:divBdr>
        <w:top w:val="none" w:sz="0" w:space="0" w:color="auto"/>
        <w:left w:val="none" w:sz="0" w:space="0" w:color="auto"/>
        <w:bottom w:val="none" w:sz="0" w:space="0" w:color="auto"/>
        <w:right w:val="none" w:sz="0" w:space="0" w:color="auto"/>
      </w:divBdr>
    </w:div>
    <w:div w:id="78449104">
      <w:bodyDiv w:val="1"/>
      <w:marLeft w:val="0"/>
      <w:marRight w:val="0"/>
      <w:marTop w:val="0"/>
      <w:marBottom w:val="0"/>
      <w:divBdr>
        <w:top w:val="none" w:sz="0" w:space="0" w:color="auto"/>
        <w:left w:val="none" w:sz="0" w:space="0" w:color="auto"/>
        <w:bottom w:val="none" w:sz="0" w:space="0" w:color="auto"/>
        <w:right w:val="none" w:sz="0" w:space="0" w:color="auto"/>
      </w:divBdr>
    </w:div>
    <w:div w:id="80641893">
      <w:bodyDiv w:val="1"/>
      <w:marLeft w:val="0"/>
      <w:marRight w:val="0"/>
      <w:marTop w:val="0"/>
      <w:marBottom w:val="0"/>
      <w:divBdr>
        <w:top w:val="none" w:sz="0" w:space="0" w:color="auto"/>
        <w:left w:val="none" w:sz="0" w:space="0" w:color="auto"/>
        <w:bottom w:val="none" w:sz="0" w:space="0" w:color="auto"/>
        <w:right w:val="none" w:sz="0" w:space="0" w:color="auto"/>
      </w:divBdr>
    </w:div>
    <w:div w:id="81461282">
      <w:bodyDiv w:val="1"/>
      <w:marLeft w:val="0"/>
      <w:marRight w:val="0"/>
      <w:marTop w:val="0"/>
      <w:marBottom w:val="0"/>
      <w:divBdr>
        <w:top w:val="none" w:sz="0" w:space="0" w:color="auto"/>
        <w:left w:val="none" w:sz="0" w:space="0" w:color="auto"/>
        <w:bottom w:val="none" w:sz="0" w:space="0" w:color="auto"/>
        <w:right w:val="none" w:sz="0" w:space="0" w:color="auto"/>
      </w:divBdr>
    </w:div>
    <w:div w:id="82342904">
      <w:bodyDiv w:val="1"/>
      <w:marLeft w:val="0"/>
      <w:marRight w:val="0"/>
      <w:marTop w:val="0"/>
      <w:marBottom w:val="0"/>
      <w:divBdr>
        <w:top w:val="none" w:sz="0" w:space="0" w:color="auto"/>
        <w:left w:val="none" w:sz="0" w:space="0" w:color="auto"/>
        <w:bottom w:val="none" w:sz="0" w:space="0" w:color="auto"/>
        <w:right w:val="none" w:sz="0" w:space="0" w:color="auto"/>
      </w:divBdr>
    </w:div>
    <w:div w:id="82646594">
      <w:bodyDiv w:val="1"/>
      <w:marLeft w:val="0"/>
      <w:marRight w:val="0"/>
      <w:marTop w:val="0"/>
      <w:marBottom w:val="0"/>
      <w:divBdr>
        <w:top w:val="none" w:sz="0" w:space="0" w:color="auto"/>
        <w:left w:val="none" w:sz="0" w:space="0" w:color="auto"/>
        <w:bottom w:val="none" w:sz="0" w:space="0" w:color="auto"/>
        <w:right w:val="none" w:sz="0" w:space="0" w:color="auto"/>
      </w:divBdr>
    </w:div>
    <w:div w:id="83037128">
      <w:bodyDiv w:val="1"/>
      <w:marLeft w:val="0"/>
      <w:marRight w:val="0"/>
      <w:marTop w:val="0"/>
      <w:marBottom w:val="0"/>
      <w:divBdr>
        <w:top w:val="none" w:sz="0" w:space="0" w:color="auto"/>
        <w:left w:val="none" w:sz="0" w:space="0" w:color="auto"/>
        <w:bottom w:val="none" w:sz="0" w:space="0" w:color="auto"/>
        <w:right w:val="none" w:sz="0" w:space="0" w:color="auto"/>
      </w:divBdr>
    </w:div>
    <w:div w:id="87431296">
      <w:bodyDiv w:val="1"/>
      <w:marLeft w:val="0"/>
      <w:marRight w:val="0"/>
      <w:marTop w:val="0"/>
      <w:marBottom w:val="0"/>
      <w:divBdr>
        <w:top w:val="none" w:sz="0" w:space="0" w:color="auto"/>
        <w:left w:val="none" w:sz="0" w:space="0" w:color="auto"/>
        <w:bottom w:val="none" w:sz="0" w:space="0" w:color="auto"/>
        <w:right w:val="none" w:sz="0" w:space="0" w:color="auto"/>
      </w:divBdr>
    </w:div>
    <w:div w:id="87897009">
      <w:bodyDiv w:val="1"/>
      <w:marLeft w:val="0"/>
      <w:marRight w:val="0"/>
      <w:marTop w:val="0"/>
      <w:marBottom w:val="0"/>
      <w:divBdr>
        <w:top w:val="none" w:sz="0" w:space="0" w:color="auto"/>
        <w:left w:val="none" w:sz="0" w:space="0" w:color="auto"/>
        <w:bottom w:val="none" w:sz="0" w:space="0" w:color="auto"/>
        <w:right w:val="none" w:sz="0" w:space="0" w:color="auto"/>
      </w:divBdr>
    </w:div>
    <w:div w:id="89859045">
      <w:bodyDiv w:val="1"/>
      <w:marLeft w:val="0"/>
      <w:marRight w:val="0"/>
      <w:marTop w:val="0"/>
      <w:marBottom w:val="0"/>
      <w:divBdr>
        <w:top w:val="none" w:sz="0" w:space="0" w:color="auto"/>
        <w:left w:val="none" w:sz="0" w:space="0" w:color="auto"/>
        <w:bottom w:val="none" w:sz="0" w:space="0" w:color="auto"/>
        <w:right w:val="none" w:sz="0" w:space="0" w:color="auto"/>
      </w:divBdr>
    </w:div>
    <w:div w:id="90929724">
      <w:bodyDiv w:val="1"/>
      <w:marLeft w:val="0"/>
      <w:marRight w:val="0"/>
      <w:marTop w:val="0"/>
      <w:marBottom w:val="0"/>
      <w:divBdr>
        <w:top w:val="none" w:sz="0" w:space="0" w:color="auto"/>
        <w:left w:val="none" w:sz="0" w:space="0" w:color="auto"/>
        <w:bottom w:val="none" w:sz="0" w:space="0" w:color="auto"/>
        <w:right w:val="none" w:sz="0" w:space="0" w:color="auto"/>
      </w:divBdr>
    </w:div>
    <w:div w:id="91316657">
      <w:bodyDiv w:val="1"/>
      <w:marLeft w:val="0"/>
      <w:marRight w:val="0"/>
      <w:marTop w:val="0"/>
      <w:marBottom w:val="0"/>
      <w:divBdr>
        <w:top w:val="none" w:sz="0" w:space="0" w:color="auto"/>
        <w:left w:val="none" w:sz="0" w:space="0" w:color="auto"/>
        <w:bottom w:val="none" w:sz="0" w:space="0" w:color="auto"/>
        <w:right w:val="none" w:sz="0" w:space="0" w:color="auto"/>
      </w:divBdr>
    </w:div>
    <w:div w:id="92895649">
      <w:bodyDiv w:val="1"/>
      <w:marLeft w:val="0"/>
      <w:marRight w:val="0"/>
      <w:marTop w:val="0"/>
      <w:marBottom w:val="0"/>
      <w:divBdr>
        <w:top w:val="none" w:sz="0" w:space="0" w:color="auto"/>
        <w:left w:val="none" w:sz="0" w:space="0" w:color="auto"/>
        <w:bottom w:val="none" w:sz="0" w:space="0" w:color="auto"/>
        <w:right w:val="none" w:sz="0" w:space="0" w:color="auto"/>
      </w:divBdr>
    </w:div>
    <w:div w:id="95449484">
      <w:bodyDiv w:val="1"/>
      <w:marLeft w:val="0"/>
      <w:marRight w:val="0"/>
      <w:marTop w:val="0"/>
      <w:marBottom w:val="0"/>
      <w:divBdr>
        <w:top w:val="none" w:sz="0" w:space="0" w:color="auto"/>
        <w:left w:val="none" w:sz="0" w:space="0" w:color="auto"/>
        <w:bottom w:val="none" w:sz="0" w:space="0" w:color="auto"/>
        <w:right w:val="none" w:sz="0" w:space="0" w:color="auto"/>
      </w:divBdr>
    </w:div>
    <w:div w:id="97525694">
      <w:bodyDiv w:val="1"/>
      <w:marLeft w:val="0"/>
      <w:marRight w:val="0"/>
      <w:marTop w:val="0"/>
      <w:marBottom w:val="0"/>
      <w:divBdr>
        <w:top w:val="none" w:sz="0" w:space="0" w:color="auto"/>
        <w:left w:val="none" w:sz="0" w:space="0" w:color="auto"/>
        <w:bottom w:val="none" w:sz="0" w:space="0" w:color="auto"/>
        <w:right w:val="none" w:sz="0" w:space="0" w:color="auto"/>
      </w:divBdr>
    </w:div>
    <w:div w:id="98264162">
      <w:bodyDiv w:val="1"/>
      <w:marLeft w:val="0"/>
      <w:marRight w:val="0"/>
      <w:marTop w:val="0"/>
      <w:marBottom w:val="0"/>
      <w:divBdr>
        <w:top w:val="none" w:sz="0" w:space="0" w:color="auto"/>
        <w:left w:val="none" w:sz="0" w:space="0" w:color="auto"/>
        <w:bottom w:val="none" w:sz="0" w:space="0" w:color="auto"/>
        <w:right w:val="none" w:sz="0" w:space="0" w:color="auto"/>
      </w:divBdr>
    </w:div>
    <w:div w:id="98530086">
      <w:bodyDiv w:val="1"/>
      <w:marLeft w:val="0"/>
      <w:marRight w:val="0"/>
      <w:marTop w:val="0"/>
      <w:marBottom w:val="0"/>
      <w:divBdr>
        <w:top w:val="none" w:sz="0" w:space="0" w:color="auto"/>
        <w:left w:val="none" w:sz="0" w:space="0" w:color="auto"/>
        <w:bottom w:val="none" w:sz="0" w:space="0" w:color="auto"/>
        <w:right w:val="none" w:sz="0" w:space="0" w:color="auto"/>
      </w:divBdr>
    </w:div>
    <w:div w:id="99297360">
      <w:bodyDiv w:val="1"/>
      <w:marLeft w:val="0"/>
      <w:marRight w:val="0"/>
      <w:marTop w:val="0"/>
      <w:marBottom w:val="0"/>
      <w:divBdr>
        <w:top w:val="none" w:sz="0" w:space="0" w:color="auto"/>
        <w:left w:val="none" w:sz="0" w:space="0" w:color="auto"/>
        <w:bottom w:val="none" w:sz="0" w:space="0" w:color="auto"/>
        <w:right w:val="none" w:sz="0" w:space="0" w:color="auto"/>
      </w:divBdr>
    </w:div>
    <w:div w:id="99838845">
      <w:bodyDiv w:val="1"/>
      <w:marLeft w:val="0"/>
      <w:marRight w:val="0"/>
      <w:marTop w:val="0"/>
      <w:marBottom w:val="0"/>
      <w:divBdr>
        <w:top w:val="none" w:sz="0" w:space="0" w:color="auto"/>
        <w:left w:val="none" w:sz="0" w:space="0" w:color="auto"/>
        <w:bottom w:val="none" w:sz="0" w:space="0" w:color="auto"/>
        <w:right w:val="none" w:sz="0" w:space="0" w:color="auto"/>
      </w:divBdr>
    </w:div>
    <w:div w:id="99877882">
      <w:bodyDiv w:val="1"/>
      <w:marLeft w:val="0"/>
      <w:marRight w:val="0"/>
      <w:marTop w:val="0"/>
      <w:marBottom w:val="0"/>
      <w:divBdr>
        <w:top w:val="none" w:sz="0" w:space="0" w:color="auto"/>
        <w:left w:val="none" w:sz="0" w:space="0" w:color="auto"/>
        <w:bottom w:val="none" w:sz="0" w:space="0" w:color="auto"/>
        <w:right w:val="none" w:sz="0" w:space="0" w:color="auto"/>
      </w:divBdr>
    </w:div>
    <w:div w:id="100105306">
      <w:bodyDiv w:val="1"/>
      <w:marLeft w:val="0"/>
      <w:marRight w:val="0"/>
      <w:marTop w:val="0"/>
      <w:marBottom w:val="0"/>
      <w:divBdr>
        <w:top w:val="none" w:sz="0" w:space="0" w:color="auto"/>
        <w:left w:val="none" w:sz="0" w:space="0" w:color="auto"/>
        <w:bottom w:val="none" w:sz="0" w:space="0" w:color="auto"/>
        <w:right w:val="none" w:sz="0" w:space="0" w:color="auto"/>
      </w:divBdr>
    </w:div>
    <w:div w:id="100540254">
      <w:bodyDiv w:val="1"/>
      <w:marLeft w:val="0"/>
      <w:marRight w:val="0"/>
      <w:marTop w:val="0"/>
      <w:marBottom w:val="0"/>
      <w:divBdr>
        <w:top w:val="none" w:sz="0" w:space="0" w:color="auto"/>
        <w:left w:val="none" w:sz="0" w:space="0" w:color="auto"/>
        <w:bottom w:val="none" w:sz="0" w:space="0" w:color="auto"/>
        <w:right w:val="none" w:sz="0" w:space="0" w:color="auto"/>
      </w:divBdr>
    </w:div>
    <w:div w:id="100734505">
      <w:bodyDiv w:val="1"/>
      <w:marLeft w:val="0"/>
      <w:marRight w:val="0"/>
      <w:marTop w:val="0"/>
      <w:marBottom w:val="0"/>
      <w:divBdr>
        <w:top w:val="none" w:sz="0" w:space="0" w:color="auto"/>
        <w:left w:val="none" w:sz="0" w:space="0" w:color="auto"/>
        <w:bottom w:val="none" w:sz="0" w:space="0" w:color="auto"/>
        <w:right w:val="none" w:sz="0" w:space="0" w:color="auto"/>
      </w:divBdr>
    </w:div>
    <w:div w:id="101001459">
      <w:bodyDiv w:val="1"/>
      <w:marLeft w:val="0"/>
      <w:marRight w:val="0"/>
      <w:marTop w:val="0"/>
      <w:marBottom w:val="0"/>
      <w:divBdr>
        <w:top w:val="none" w:sz="0" w:space="0" w:color="auto"/>
        <w:left w:val="none" w:sz="0" w:space="0" w:color="auto"/>
        <w:bottom w:val="none" w:sz="0" w:space="0" w:color="auto"/>
        <w:right w:val="none" w:sz="0" w:space="0" w:color="auto"/>
      </w:divBdr>
    </w:div>
    <w:div w:id="101339445">
      <w:bodyDiv w:val="1"/>
      <w:marLeft w:val="0"/>
      <w:marRight w:val="0"/>
      <w:marTop w:val="0"/>
      <w:marBottom w:val="0"/>
      <w:divBdr>
        <w:top w:val="none" w:sz="0" w:space="0" w:color="auto"/>
        <w:left w:val="none" w:sz="0" w:space="0" w:color="auto"/>
        <w:bottom w:val="none" w:sz="0" w:space="0" w:color="auto"/>
        <w:right w:val="none" w:sz="0" w:space="0" w:color="auto"/>
      </w:divBdr>
    </w:div>
    <w:div w:id="101537987">
      <w:bodyDiv w:val="1"/>
      <w:marLeft w:val="0"/>
      <w:marRight w:val="0"/>
      <w:marTop w:val="0"/>
      <w:marBottom w:val="0"/>
      <w:divBdr>
        <w:top w:val="none" w:sz="0" w:space="0" w:color="auto"/>
        <w:left w:val="none" w:sz="0" w:space="0" w:color="auto"/>
        <w:bottom w:val="none" w:sz="0" w:space="0" w:color="auto"/>
        <w:right w:val="none" w:sz="0" w:space="0" w:color="auto"/>
      </w:divBdr>
    </w:div>
    <w:div w:id="102070408">
      <w:bodyDiv w:val="1"/>
      <w:marLeft w:val="0"/>
      <w:marRight w:val="0"/>
      <w:marTop w:val="0"/>
      <w:marBottom w:val="0"/>
      <w:divBdr>
        <w:top w:val="none" w:sz="0" w:space="0" w:color="auto"/>
        <w:left w:val="none" w:sz="0" w:space="0" w:color="auto"/>
        <w:bottom w:val="none" w:sz="0" w:space="0" w:color="auto"/>
        <w:right w:val="none" w:sz="0" w:space="0" w:color="auto"/>
      </w:divBdr>
    </w:div>
    <w:div w:id="102507359">
      <w:bodyDiv w:val="1"/>
      <w:marLeft w:val="0"/>
      <w:marRight w:val="0"/>
      <w:marTop w:val="0"/>
      <w:marBottom w:val="0"/>
      <w:divBdr>
        <w:top w:val="none" w:sz="0" w:space="0" w:color="auto"/>
        <w:left w:val="none" w:sz="0" w:space="0" w:color="auto"/>
        <w:bottom w:val="none" w:sz="0" w:space="0" w:color="auto"/>
        <w:right w:val="none" w:sz="0" w:space="0" w:color="auto"/>
      </w:divBdr>
    </w:div>
    <w:div w:id="102699624">
      <w:bodyDiv w:val="1"/>
      <w:marLeft w:val="0"/>
      <w:marRight w:val="0"/>
      <w:marTop w:val="0"/>
      <w:marBottom w:val="0"/>
      <w:divBdr>
        <w:top w:val="none" w:sz="0" w:space="0" w:color="auto"/>
        <w:left w:val="none" w:sz="0" w:space="0" w:color="auto"/>
        <w:bottom w:val="none" w:sz="0" w:space="0" w:color="auto"/>
        <w:right w:val="none" w:sz="0" w:space="0" w:color="auto"/>
      </w:divBdr>
    </w:div>
    <w:div w:id="103110731">
      <w:bodyDiv w:val="1"/>
      <w:marLeft w:val="0"/>
      <w:marRight w:val="0"/>
      <w:marTop w:val="0"/>
      <w:marBottom w:val="0"/>
      <w:divBdr>
        <w:top w:val="none" w:sz="0" w:space="0" w:color="auto"/>
        <w:left w:val="none" w:sz="0" w:space="0" w:color="auto"/>
        <w:bottom w:val="none" w:sz="0" w:space="0" w:color="auto"/>
        <w:right w:val="none" w:sz="0" w:space="0" w:color="auto"/>
      </w:divBdr>
    </w:div>
    <w:div w:id="103502248">
      <w:bodyDiv w:val="1"/>
      <w:marLeft w:val="0"/>
      <w:marRight w:val="0"/>
      <w:marTop w:val="0"/>
      <w:marBottom w:val="0"/>
      <w:divBdr>
        <w:top w:val="none" w:sz="0" w:space="0" w:color="auto"/>
        <w:left w:val="none" w:sz="0" w:space="0" w:color="auto"/>
        <w:bottom w:val="none" w:sz="0" w:space="0" w:color="auto"/>
        <w:right w:val="none" w:sz="0" w:space="0" w:color="auto"/>
      </w:divBdr>
    </w:div>
    <w:div w:id="103888842">
      <w:bodyDiv w:val="1"/>
      <w:marLeft w:val="0"/>
      <w:marRight w:val="0"/>
      <w:marTop w:val="0"/>
      <w:marBottom w:val="0"/>
      <w:divBdr>
        <w:top w:val="none" w:sz="0" w:space="0" w:color="auto"/>
        <w:left w:val="none" w:sz="0" w:space="0" w:color="auto"/>
        <w:bottom w:val="none" w:sz="0" w:space="0" w:color="auto"/>
        <w:right w:val="none" w:sz="0" w:space="0" w:color="auto"/>
      </w:divBdr>
    </w:div>
    <w:div w:id="108744820">
      <w:bodyDiv w:val="1"/>
      <w:marLeft w:val="0"/>
      <w:marRight w:val="0"/>
      <w:marTop w:val="0"/>
      <w:marBottom w:val="0"/>
      <w:divBdr>
        <w:top w:val="none" w:sz="0" w:space="0" w:color="auto"/>
        <w:left w:val="none" w:sz="0" w:space="0" w:color="auto"/>
        <w:bottom w:val="none" w:sz="0" w:space="0" w:color="auto"/>
        <w:right w:val="none" w:sz="0" w:space="0" w:color="auto"/>
      </w:divBdr>
    </w:div>
    <w:div w:id="110445089">
      <w:bodyDiv w:val="1"/>
      <w:marLeft w:val="0"/>
      <w:marRight w:val="0"/>
      <w:marTop w:val="0"/>
      <w:marBottom w:val="0"/>
      <w:divBdr>
        <w:top w:val="none" w:sz="0" w:space="0" w:color="auto"/>
        <w:left w:val="none" w:sz="0" w:space="0" w:color="auto"/>
        <w:bottom w:val="none" w:sz="0" w:space="0" w:color="auto"/>
        <w:right w:val="none" w:sz="0" w:space="0" w:color="auto"/>
      </w:divBdr>
    </w:div>
    <w:div w:id="110780590">
      <w:bodyDiv w:val="1"/>
      <w:marLeft w:val="0"/>
      <w:marRight w:val="0"/>
      <w:marTop w:val="0"/>
      <w:marBottom w:val="0"/>
      <w:divBdr>
        <w:top w:val="none" w:sz="0" w:space="0" w:color="auto"/>
        <w:left w:val="none" w:sz="0" w:space="0" w:color="auto"/>
        <w:bottom w:val="none" w:sz="0" w:space="0" w:color="auto"/>
        <w:right w:val="none" w:sz="0" w:space="0" w:color="auto"/>
      </w:divBdr>
    </w:div>
    <w:div w:id="112556560">
      <w:bodyDiv w:val="1"/>
      <w:marLeft w:val="0"/>
      <w:marRight w:val="0"/>
      <w:marTop w:val="0"/>
      <w:marBottom w:val="0"/>
      <w:divBdr>
        <w:top w:val="none" w:sz="0" w:space="0" w:color="auto"/>
        <w:left w:val="none" w:sz="0" w:space="0" w:color="auto"/>
        <w:bottom w:val="none" w:sz="0" w:space="0" w:color="auto"/>
        <w:right w:val="none" w:sz="0" w:space="0" w:color="auto"/>
      </w:divBdr>
    </w:div>
    <w:div w:id="112750942">
      <w:bodyDiv w:val="1"/>
      <w:marLeft w:val="0"/>
      <w:marRight w:val="0"/>
      <w:marTop w:val="0"/>
      <w:marBottom w:val="0"/>
      <w:divBdr>
        <w:top w:val="none" w:sz="0" w:space="0" w:color="auto"/>
        <w:left w:val="none" w:sz="0" w:space="0" w:color="auto"/>
        <w:bottom w:val="none" w:sz="0" w:space="0" w:color="auto"/>
        <w:right w:val="none" w:sz="0" w:space="0" w:color="auto"/>
      </w:divBdr>
    </w:div>
    <w:div w:id="113595339">
      <w:bodyDiv w:val="1"/>
      <w:marLeft w:val="0"/>
      <w:marRight w:val="0"/>
      <w:marTop w:val="0"/>
      <w:marBottom w:val="0"/>
      <w:divBdr>
        <w:top w:val="none" w:sz="0" w:space="0" w:color="auto"/>
        <w:left w:val="none" w:sz="0" w:space="0" w:color="auto"/>
        <w:bottom w:val="none" w:sz="0" w:space="0" w:color="auto"/>
        <w:right w:val="none" w:sz="0" w:space="0" w:color="auto"/>
      </w:divBdr>
    </w:div>
    <w:div w:id="115830690">
      <w:bodyDiv w:val="1"/>
      <w:marLeft w:val="0"/>
      <w:marRight w:val="0"/>
      <w:marTop w:val="0"/>
      <w:marBottom w:val="0"/>
      <w:divBdr>
        <w:top w:val="none" w:sz="0" w:space="0" w:color="auto"/>
        <w:left w:val="none" w:sz="0" w:space="0" w:color="auto"/>
        <w:bottom w:val="none" w:sz="0" w:space="0" w:color="auto"/>
        <w:right w:val="none" w:sz="0" w:space="0" w:color="auto"/>
      </w:divBdr>
    </w:div>
    <w:div w:id="117846040">
      <w:bodyDiv w:val="1"/>
      <w:marLeft w:val="0"/>
      <w:marRight w:val="0"/>
      <w:marTop w:val="0"/>
      <w:marBottom w:val="0"/>
      <w:divBdr>
        <w:top w:val="none" w:sz="0" w:space="0" w:color="auto"/>
        <w:left w:val="none" w:sz="0" w:space="0" w:color="auto"/>
        <w:bottom w:val="none" w:sz="0" w:space="0" w:color="auto"/>
        <w:right w:val="none" w:sz="0" w:space="0" w:color="auto"/>
      </w:divBdr>
    </w:div>
    <w:div w:id="118036377">
      <w:bodyDiv w:val="1"/>
      <w:marLeft w:val="0"/>
      <w:marRight w:val="0"/>
      <w:marTop w:val="0"/>
      <w:marBottom w:val="0"/>
      <w:divBdr>
        <w:top w:val="none" w:sz="0" w:space="0" w:color="auto"/>
        <w:left w:val="none" w:sz="0" w:space="0" w:color="auto"/>
        <w:bottom w:val="none" w:sz="0" w:space="0" w:color="auto"/>
        <w:right w:val="none" w:sz="0" w:space="0" w:color="auto"/>
      </w:divBdr>
    </w:div>
    <w:div w:id="118302981">
      <w:bodyDiv w:val="1"/>
      <w:marLeft w:val="0"/>
      <w:marRight w:val="0"/>
      <w:marTop w:val="0"/>
      <w:marBottom w:val="0"/>
      <w:divBdr>
        <w:top w:val="none" w:sz="0" w:space="0" w:color="auto"/>
        <w:left w:val="none" w:sz="0" w:space="0" w:color="auto"/>
        <w:bottom w:val="none" w:sz="0" w:space="0" w:color="auto"/>
        <w:right w:val="none" w:sz="0" w:space="0" w:color="auto"/>
      </w:divBdr>
    </w:div>
    <w:div w:id="118307471">
      <w:bodyDiv w:val="1"/>
      <w:marLeft w:val="0"/>
      <w:marRight w:val="0"/>
      <w:marTop w:val="0"/>
      <w:marBottom w:val="0"/>
      <w:divBdr>
        <w:top w:val="none" w:sz="0" w:space="0" w:color="auto"/>
        <w:left w:val="none" w:sz="0" w:space="0" w:color="auto"/>
        <w:bottom w:val="none" w:sz="0" w:space="0" w:color="auto"/>
        <w:right w:val="none" w:sz="0" w:space="0" w:color="auto"/>
      </w:divBdr>
    </w:div>
    <w:div w:id="118384375">
      <w:bodyDiv w:val="1"/>
      <w:marLeft w:val="0"/>
      <w:marRight w:val="0"/>
      <w:marTop w:val="0"/>
      <w:marBottom w:val="0"/>
      <w:divBdr>
        <w:top w:val="none" w:sz="0" w:space="0" w:color="auto"/>
        <w:left w:val="none" w:sz="0" w:space="0" w:color="auto"/>
        <w:bottom w:val="none" w:sz="0" w:space="0" w:color="auto"/>
        <w:right w:val="none" w:sz="0" w:space="0" w:color="auto"/>
      </w:divBdr>
    </w:div>
    <w:div w:id="120807807">
      <w:bodyDiv w:val="1"/>
      <w:marLeft w:val="0"/>
      <w:marRight w:val="0"/>
      <w:marTop w:val="0"/>
      <w:marBottom w:val="0"/>
      <w:divBdr>
        <w:top w:val="none" w:sz="0" w:space="0" w:color="auto"/>
        <w:left w:val="none" w:sz="0" w:space="0" w:color="auto"/>
        <w:bottom w:val="none" w:sz="0" w:space="0" w:color="auto"/>
        <w:right w:val="none" w:sz="0" w:space="0" w:color="auto"/>
      </w:divBdr>
    </w:div>
    <w:div w:id="121269732">
      <w:bodyDiv w:val="1"/>
      <w:marLeft w:val="0"/>
      <w:marRight w:val="0"/>
      <w:marTop w:val="0"/>
      <w:marBottom w:val="0"/>
      <w:divBdr>
        <w:top w:val="none" w:sz="0" w:space="0" w:color="auto"/>
        <w:left w:val="none" w:sz="0" w:space="0" w:color="auto"/>
        <w:bottom w:val="none" w:sz="0" w:space="0" w:color="auto"/>
        <w:right w:val="none" w:sz="0" w:space="0" w:color="auto"/>
      </w:divBdr>
    </w:div>
    <w:div w:id="121853567">
      <w:bodyDiv w:val="1"/>
      <w:marLeft w:val="0"/>
      <w:marRight w:val="0"/>
      <w:marTop w:val="0"/>
      <w:marBottom w:val="0"/>
      <w:divBdr>
        <w:top w:val="none" w:sz="0" w:space="0" w:color="auto"/>
        <w:left w:val="none" w:sz="0" w:space="0" w:color="auto"/>
        <w:bottom w:val="none" w:sz="0" w:space="0" w:color="auto"/>
        <w:right w:val="none" w:sz="0" w:space="0" w:color="auto"/>
      </w:divBdr>
    </w:div>
    <w:div w:id="122509455">
      <w:bodyDiv w:val="1"/>
      <w:marLeft w:val="0"/>
      <w:marRight w:val="0"/>
      <w:marTop w:val="0"/>
      <w:marBottom w:val="0"/>
      <w:divBdr>
        <w:top w:val="none" w:sz="0" w:space="0" w:color="auto"/>
        <w:left w:val="none" w:sz="0" w:space="0" w:color="auto"/>
        <w:bottom w:val="none" w:sz="0" w:space="0" w:color="auto"/>
        <w:right w:val="none" w:sz="0" w:space="0" w:color="auto"/>
      </w:divBdr>
    </w:div>
    <w:div w:id="123349117">
      <w:bodyDiv w:val="1"/>
      <w:marLeft w:val="0"/>
      <w:marRight w:val="0"/>
      <w:marTop w:val="0"/>
      <w:marBottom w:val="0"/>
      <w:divBdr>
        <w:top w:val="none" w:sz="0" w:space="0" w:color="auto"/>
        <w:left w:val="none" w:sz="0" w:space="0" w:color="auto"/>
        <w:bottom w:val="none" w:sz="0" w:space="0" w:color="auto"/>
        <w:right w:val="none" w:sz="0" w:space="0" w:color="auto"/>
      </w:divBdr>
    </w:div>
    <w:div w:id="123741575">
      <w:bodyDiv w:val="1"/>
      <w:marLeft w:val="0"/>
      <w:marRight w:val="0"/>
      <w:marTop w:val="0"/>
      <w:marBottom w:val="0"/>
      <w:divBdr>
        <w:top w:val="none" w:sz="0" w:space="0" w:color="auto"/>
        <w:left w:val="none" w:sz="0" w:space="0" w:color="auto"/>
        <w:bottom w:val="none" w:sz="0" w:space="0" w:color="auto"/>
        <w:right w:val="none" w:sz="0" w:space="0" w:color="auto"/>
      </w:divBdr>
    </w:div>
    <w:div w:id="123886660">
      <w:bodyDiv w:val="1"/>
      <w:marLeft w:val="0"/>
      <w:marRight w:val="0"/>
      <w:marTop w:val="0"/>
      <w:marBottom w:val="0"/>
      <w:divBdr>
        <w:top w:val="none" w:sz="0" w:space="0" w:color="auto"/>
        <w:left w:val="none" w:sz="0" w:space="0" w:color="auto"/>
        <w:bottom w:val="none" w:sz="0" w:space="0" w:color="auto"/>
        <w:right w:val="none" w:sz="0" w:space="0" w:color="auto"/>
      </w:divBdr>
    </w:div>
    <w:div w:id="125125554">
      <w:bodyDiv w:val="1"/>
      <w:marLeft w:val="0"/>
      <w:marRight w:val="0"/>
      <w:marTop w:val="0"/>
      <w:marBottom w:val="0"/>
      <w:divBdr>
        <w:top w:val="none" w:sz="0" w:space="0" w:color="auto"/>
        <w:left w:val="none" w:sz="0" w:space="0" w:color="auto"/>
        <w:bottom w:val="none" w:sz="0" w:space="0" w:color="auto"/>
        <w:right w:val="none" w:sz="0" w:space="0" w:color="auto"/>
      </w:divBdr>
    </w:div>
    <w:div w:id="125239561">
      <w:bodyDiv w:val="1"/>
      <w:marLeft w:val="0"/>
      <w:marRight w:val="0"/>
      <w:marTop w:val="0"/>
      <w:marBottom w:val="0"/>
      <w:divBdr>
        <w:top w:val="none" w:sz="0" w:space="0" w:color="auto"/>
        <w:left w:val="none" w:sz="0" w:space="0" w:color="auto"/>
        <w:bottom w:val="none" w:sz="0" w:space="0" w:color="auto"/>
        <w:right w:val="none" w:sz="0" w:space="0" w:color="auto"/>
      </w:divBdr>
    </w:div>
    <w:div w:id="126822821">
      <w:bodyDiv w:val="1"/>
      <w:marLeft w:val="0"/>
      <w:marRight w:val="0"/>
      <w:marTop w:val="0"/>
      <w:marBottom w:val="0"/>
      <w:divBdr>
        <w:top w:val="none" w:sz="0" w:space="0" w:color="auto"/>
        <w:left w:val="none" w:sz="0" w:space="0" w:color="auto"/>
        <w:bottom w:val="none" w:sz="0" w:space="0" w:color="auto"/>
        <w:right w:val="none" w:sz="0" w:space="0" w:color="auto"/>
      </w:divBdr>
    </w:div>
    <w:div w:id="127212199">
      <w:bodyDiv w:val="1"/>
      <w:marLeft w:val="0"/>
      <w:marRight w:val="0"/>
      <w:marTop w:val="0"/>
      <w:marBottom w:val="0"/>
      <w:divBdr>
        <w:top w:val="none" w:sz="0" w:space="0" w:color="auto"/>
        <w:left w:val="none" w:sz="0" w:space="0" w:color="auto"/>
        <w:bottom w:val="none" w:sz="0" w:space="0" w:color="auto"/>
        <w:right w:val="none" w:sz="0" w:space="0" w:color="auto"/>
      </w:divBdr>
    </w:div>
    <w:div w:id="127406136">
      <w:bodyDiv w:val="1"/>
      <w:marLeft w:val="0"/>
      <w:marRight w:val="0"/>
      <w:marTop w:val="0"/>
      <w:marBottom w:val="0"/>
      <w:divBdr>
        <w:top w:val="none" w:sz="0" w:space="0" w:color="auto"/>
        <w:left w:val="none" w:sz="0" w:space="0" w:color="auto"/>
        <w:bottom w:val="none" w:sz="0" w:space="0" w:color="auto"/>
        <w:right w:val="none" w:sz="0" w:space="0" w:color="auto"/>
      </w:divBdr>
    </w:div>
    <w:div w:id="129203569">
      <w:bodyDiv w:val="1"/>
      <w:marLeft w:val="0"/>
      <w:marRight w:val="0"/>
      <w:marTop w:val="0"/>
      <w:marBottom w:val="0"/>
      <w:divBdr>
        <w:top w:val="none" w:sz="0" w:space="0" w:color="auto"/>
        <w:left w:val="none" w:sz="0" w:space="0" w:color="auto"/>
        <w:bottom w:val="none" w:sz="0" w:space="0" w:color="auto"/>
        <w:right w:val="none" w:sz="0" w:space="0" w:color="auto"/>
      </w:divBdr>
    </w:div>
    <w:div w:id="131097907">
      <w:bodyDiv w:val="1"/>
      <w:marLeft w:val="0"/>
      <w:marRight w:val="0"/>
      <w:marTop w:val="0"/>
      <w:marBottom w:val="0"/>
      <w:divBdr>
        <w:top w:val="none" w:sz="0" w:space="0" w:color="auto"/>
        <w:left w:val="none" w:sz="0" w:space="0" w:color="auto"/>
        <w:bottom w:val="none" w:sz="0" w:space="0" w:color="auto"/>
        <w:right w:val="none" w:sz="0" w:space="0" w:color="auto"/>
      </w:divBdr>
    </w:div>
    <w:div w:id="131948549">
      <w:bodyDiv w:val="1"/>
      <w:marLeft w:val="0"/>
      <w:marRight w:val="0"/>
      <w:marTop w:val="0"/>
      <w:marBottom w:val="0"/>
      <w:divBdr>
        <w:top w:val="none" w:sz="0" w:space="0" w:color="auto"/>
        <w:left w:val="none" w:sz="0" w:space="0" w:color="auto"/>
        <w:bottom w:val="none" w:sz="0" w:space="0" w:color="auto"/>
        <w:right w:val="none" w:sz="0" w:space="0" w:color="auto"/>
      </w:divBdr>
    </w:div>
    <w:div w:id="133498268">
      <w:bodyDiv w:val="1"/>
      <w:marLeft w:val="0"/>
      <w:marRight w:val="0"/>
      <w:marTop w:val="0"/>
      <w:marBottom w:val="0"/>
      <w:divBdr>
        <w:top w:val="none" w:sz="0" w:space="0" w:color="auto"/>
        <w:left w:val="none" w:sz="0" w:space="0" w:color="auto"/>
        <w:bottom w:val="none" w:sz="0" w:space="0" w:color="auto"/>
        <w:right w:val="none" w:sz="0" w:space="0" w:color="auto"/>
      </w:divBdr>
    </w:div>
    <w:div w:id="134225625">
      <w:bodyDiv w:val="1"/>
      <w:marLeft w:val="0"/>
      <w:marRight w:val="0"/>
      <w:marTop w:val="0"/>
      <w:marBottom w:val="0"/>
      <w:divBdr>
        <w:top w:val="none" w:sz="0" w:space="0" w:color="auto"/>
        <w:left w:val="none" w:sz="0" w:space="0" w:color="auto"/>
        <w:bottom w:val="none" w:sz="0" w:space="0" w:color="auto"/>
        <w:right w:val="none" w:sz="0" w:space="0" w:color="auto"/>
      </w:divBdr>
    </w:div>
    <w:div w:id="135027710">
      <w:bodyDiv w:val="1"/>
      <w:marLeft w:val="0"/>
      <w:marRight w:val="0"/>
      <w:marTop w:val="0"/>
      <w:marBottom w:val="0"/>
      <w:divBdr>
        <w:top w:val="none" w:sz="0" w:space="0" w:color="auto"/>
        <w:left w:val="none" w:sz="0" w:space="0" w:color="auto"/>
        <w:bottom w:val="none" w:sz="0" w:space="0" w:color="auto"/>
        <w:right w:val="none" w:sz="0" w:space="0" w:color="auto"/>
      </w:divBdr>
    </w:div>
    <w:div w:id="136849714">
      <w:bodyDiv w:val="1"/>
      <w:marLeft w:val="0"/>
      <w:marRight w:val="0"/>
      <w:marTop w:val="0"/>
      <w:marBottom w:val="0"/>
      <w:divBdr>
        <w:top w:val="none" w:sz="0" w:space="0" w:color="auto"/>
        <w:left w:val="none" w:sz="0" w:space="0" w:color="auto"/>
        <w:bottom w:val="none" w:sz="0" w:space="0" w:color="auto"/>
        <w:right w:val="none" w:sz="0" w:space="0" w:color="auto"/>
      </w:divBdr>
    </w:div>
    <w:div w:id="138305942">
      <w:bodyDiv w:val="1"/>
      <w:marLeft w:val="0"/>
      <w:marRight w:val="0"/>
      <w:marTop w:val="0"/>
      <w:marBottom w:val="0"/>
      <w:divBdr>
        <w:top w:val="none" w:sz="0" w:space="0" w:color="auto"/>
        <w:left w:val="none" w:sz="0" w:space="0" w:color="auto"/>
        <w:bottom w:val="none" w:sz="0" w:space="0" w:color="auto"/>
        <w:right w:val="none" w:sz="0" w:space="0" w:color="auto"/>
      </w:divBdr>
    </w:div>
    <w:div w:id="138309395">
      <w:bodyDiv w:val="1"/>
      <w:marLeft w:val="0"/>
      <w:marRight w:val="0"/>
      <w:marTop w:val="0"/>
      <w:marBottom w:val="0"/>
      <w:divBdr>
        <w:top w:val="none" w:sz="0" w:space="0" w:color="auto"/>
        <w:left w:val="none" w:sz="0" w:space="0" w:color="auto"/>
        <w:bottom w:val="none" w:sz="0" w:space="0" w:color="auto"/>
        <w:right w:val="none" w:sz="0" w:space="0" w:color="auto"/>
      </w:divBdr>
    </w:div>
    <w:div w:id="139154835">
      <w:bodyDiv w:val="1"/>
      <w:marLeft w:val="0"/>
      <w:marRight w:val="0"/>
      <w:marTop w:val="0"/>
      <w:marBottom w:val="0"/>
      <w:divBdr>
        <w:top w:val="none" w:sz="0" w:space="0" w:color="auto"/>
        <w:left w:val="none" w:sz="0" w:space="0" w:color="auto"/>
        <w:bottom w:val="none" w:sz="0" w:space="0" w:color="auto"/>
        <w:right w:val="none" w:sz="0" w:space="0" w:color="auto"/>
      </w:divBdr>
    </w:div>
    <w:div w:id="139272997">
      <w:bodyDiv w:val="1"/>
      <w:marLeft w:val="0"/>
      <w:marRight w:val="0"/>
      <w:marTop w:val="0"/>
      <w:marBottom w:val="0"/>
      <w:divBdr>
        <w:top w:val="none" w:sz="0" w:space="0" w:color="auto"/>
        <w:left w:val="none" w:sz="0" w:space="0" w:color="auto"/>
        <w:bottom w:val="none" w:sz="0" w:space="0" w:color="auto"/>
        <w:right w:val="none" w:sz="0" w:space="0" w:color="auto"/>
      </w:divBdr>
    </w:div>
    <w:div w:id="139349016">
      <w:bodyDiv w:val="1"/>
      <w:marLeft w:val="0"/>
      <w:marRight w:val="0"/>
      <w:marTop w:val="0"/>
      <w:marBottom w:val="0"/>
      <w:divBdr>
        <w:top w:val="none" w:sz="0" w:space="0" w:color="auto"/>
        <w:left w:val="none" w:sz="0" w:space="0" w:color="auto"/>
        <w:bottom w:val="none" w:sz="0" w:space="0" w:color="auto"/>
        <w:right w:val="none" w:sz="0" w:space="0" w:color="auto"/>
      </w:divBdr>
    </w:div>
    <w:div w:id="139664164">
      <w:bodyDiv w:val="1"/>
      <w:marLeft w:val="0"/>
      <w:marRight w:val="0"/>
      <w:marTop w:val="0"/>
      <w:marBottom w:val="0"/>
      <w:divBdr>
        <w:top w:val="none" w:sz="0" w:space="0" w:color="auto"/>
        <w:left w:val="none" w:sz="0" w:space="0" w:color="auto"/>
        <w:bottom w:val="none" w:sz="0" w:space="0" w:color="auto"/>
        <w:right w:val="none" w:sz="0" w:space="0" w:color="auto"/>
      </w:divBdr>
    </w:div>
    <w:div w:id="140082075">
      <w:bodyDiv w:val="1"/>
      <w:marLeft w:val="0"/>
      <w:marRight w:val="0"/>
      <w:marTop w:val="0"/>
      <w:marBottom w:val="0"/>
      <w:divBdr>
        <w:top w:val="none" w:sz="0" w:space="0" w:color="auto"/>
        <w:left w:val="none" w:sz="0" w:space="0" w:color="auto"/>
        <w:bottom w:val="none" w:sz="0" w:space="0" w:color="auto"/>
        <w:right w:val="none" w:sz="0" w:space="0" w:color="auto"/>
      </w:divBdr>
    </w:div>
    <w:div w:id="140469217">
      <w:bodyDiv w:val="1"/>
      <w:marLeft w:val="0"/>
      <w:marRight w:val="0"/>
      <w:marTop w:val="0"/>
      <w:marBottom w:val="0"/>
      <w:divBdr>
        <w:top w:val="none" w:sz="0" w:space="0" w:color="auto"/>
        <w:left w:val="none" w:sz="0" w:space="0" w:color="auto"/>
        <w:bottom w:val="none" w:sz="0" w:space="0" w:color="auto"/>
        <w:right w:val="none" w:sz="0" w:space="0" w:color="auto"/>
      </w:divBdr>
    </w:div>
    <w:div w:id="141310753">
      <w:bodyDiv w:val="1"/>
      <w:marLeft w:val="0"/>
      <w:marRight w:val="0"/>
      <w:marTop w:val="0"/>
      <w:marBottom w:val="0"/>
      <w:divBdr>
        <w:top w:val="none" w:sz="0" w:space="0" w:color="auto"/>
        <w:left w:val="none" w:sz="0" w:space="0" w:color="auto"/>
        <w:bottom w:val="none" w:sz="0" w:space="0" w:color="auto"/>
        <w:right w:val="none" w:sz="0" w:space="0" w:color="auto"/>
      </w:divBdr>
    </w:div>
    <w:div w:id="143015452">
      <w:bodyDiv w:val="1"/>
      <w:marLeft w:val="0"/>
      <w:marRight w:val="0"/>
      <w:marTop w:val="0"/>
      <w:marBottom w:val="0"/>
      <w:divBdr>
        <w:top w:val="none" w:sz="0" w:space="0" w:color="auto"/>
        <w:left w:val="none" w:sz="0" w:space="0" w:color="auto"/>
        <w:bottom w:val="none" w:sz="0" w:space="0" w:color="auto"/>
        <w:right w:val="none" w:sz="0" w:space="0" w:color="auto"/>
      </w:divBdr>
    </w:div>
    <w:div w:id="143091039">
      <w:bodyDiv w:val="1"/>
      <w:marLeft w:val="0"/>
      <w:marRight w:val="0"/>
      <w:marTop w:val="0"/>
      <w:marBottom w:val="0"/>
      <w:divBdr>
        <w:top w:val="none" w:sz="0" w:space="0" w:color="auto"/>
        <w:left w:val="none" w:sz="0" w:space="0" w:color="auto"/>
        <w:bottom w:val="none" w:sz="0" w:space="0" w:color="auto"/>
        <w:right w:val="none" w:sz="0" w:space="0" w:color="auto"/>
      </w:divBdr>
    </w:div>
    <w:div w:id="143552516">
      <w:bodyDiv w:val="1"/>
      <w:marLeft w:val="0"/>
      <w:marRight w:val="0"/>
      <w:marTop w:val="0"/>
      <w:marBottom w:val="0"/>
      <w:divBdr>
        <w:top w:val="none" w:sz="0" w:space="0" w:color="auto"/>
        <w:left w:val="none" w:sz="0" w:space="0" w:color="auto"/>
        <w:bottom w:val="none" w:sz="0" w:space="0" w:color="auto"/>
        <w:right w:val="none" w:sz="0" w:space="0" w:color="auto"/>
      </w:divBdr>
    </w:div>
    <w:div w:id="146216729">
      <w:bodyDiv w:val="1"/>
      <w:marLeft w:val="0"/>
      <w:marRight w:val="0"/>
      <w:marTop w:val="0"/>
      <w:marBottom w:val="0"/>
      <w:divBdr>
        <w:top w:val="none" w:sz="0" w:space="0" w:color="auto"/>
        <w:left w:val="none" w:sz="0" w:space="0" w:color="auto"/>
        <w:bottom w:val="none" w:sz="0" w:space="0" w:color="auto"/>
        <w:right w:val="none" w:sz="0" w:space="0" w:color="auto"/>
      </w:divBdr>
    </w:div>
    <w:div w:id="147553358">
      <w:bodyDiv w:val="1"/>
      <w:marLeft w:val="0"/>
      <w:marRight w:val="0"/>
      <w:marTop w:val="0"/>
      <w:marBottom w:val="0"/>
      <w:divBdr>
        <w:top w:val="none" w:sz="0" w:space="0" w:color="auto"/>
        <w:left w:val="none" w:sz="0" w:space="0" w:color="auto"/>
        <w:bottom w:val="none" w:sz="0" w:space="0" w:color="auto"/>
        <w:right w:val="none" w:sz="0" w:space="0" w:color="auto"/>
      </w:divBdr>
    </w:div>
    <w:div w:id="149100046">
      <w:bodyDiv w:val="1"/>
      <w:marLeft w:val="0"/>
      <w:marRight w:val="0"/>
      <w:marTop w:val="0"/>
      <w:marBottom w:val="0"/>
      <w:divBdr>
        <w:top w:val="none" w:sz="0" w:space="0" w:color="auto"/>
        <w:left w:val="none" w:sz="0" w:space="0" w:color="auto"/>
        <w:bottom w:val="none" w:sz="0" w:space="0" w:color="auto"/>
        <w:right w:val="none" w:sz="0" w:space="0" w:color="auto"/>
      </w:divBdr>
    </w:div>
    <w:div w:id="150029719">
      <w:bodyDiv w:val="1"/>
      <w:marLeft w:val="0"/>
      <w:marRight w:val="0"/>
      <w:marTop w:val="0"/>
      <w:marBottom w:val="0"/>
      <w:divBdr>
        <w:top w:val="none" w:sz="0" w:space="0" w:color="auto"/>
        <w:left w:val="none" w:sz="0" w:space="0" w:color="auto"/>
        <w:bottom w:val="none" w:sz="0" w:space="0" w:color="auto"/>
        <w:right w:val="none" w:sz="0" w:space="0" w:color="auto"/>
      </w:divBdr>
    </w:div>
    <w:div w:id="150292782">
      <w:bodyDiv w:val="1"/>
      <w:marLeft w:val="0"/>
      <w:marRight w:val="0"/>
      <w:marTop w:val="0"/>
      <w:marBottom w:val="0"/>
      <w:divBdr>
        <w:top w:val="none" w:sz="0" w:space="0" w:color="auto"/>
        <w:left w:val="none" w:sz="0" w:space="0" w:color="auto"/>
        <w:bottom w:val="none" w:sz="0" w:space="0" w:color="auto"/>
        <w:right w:val="none" w:sz="0" w:space="0" w:color="auto"/>
      </w:divBdr>
    </w:div>
    <w:div w:id="151263706">
      <w:bodyDiv w:val="1"/>
      <w:marLeft w:val="0"/>
      <w:marRight w:val="0"/>
      <w:marTop w:val="0"/>
      <w:marBottom w:val="0"/>
      <w:divBdr>
        <w:top w:val="none" w:sz="0" w:space="0" w:color="auto"/>
        <w:left w:val="none" w:sz="0" w:space="0" w:color="auto"/>
        <w:bottom w:val="none" w:sz="0" w:space="0" w:color="auto"/>
        <w:right w:val="none" w:sz="0" w:space="0" w:color="auto"/>
      </w:divBdr>
    </w:div>
    <w:div w:id="153299963">
      <w:bodyDiv w:val="1"/>
      <w:marLeft w:val="0"/>
      <w:marRight w:val="0"/>
      <w:marTop w:val="0"/>
      <w:marBottom w:val="0"/>
      <w:divBdr>
        <w:top w:val="none" w:sz="0" w:space="0" w:color="auto"/>
        <w:left w:val="none" w:sz="0" w:space="0" w:color="auto"/>
        <w:bottom w:val="none" w:sz="0" w:space="0" w:color="auto"/>
        <w:right w:val="none" w:sz="0" w:space="0" w:color="auto"/>
      </w:divBdr>
    </w:div>
    <w:div w:id="153958530">
      <w:bodyDiv w:val="1"/>
      <w:marLeft w:val="0"/>
      <w:marRight w:val="0"/>
      <w:marTop w:val="0"/>
      <w:marBottom w:val="0"/>
      <w:divBdr>
        <w:top w:val="none" w:sz="0" w:space="0" w:color="auto"/>
        <w:left w:val="none" w:sz="0" w:space="0" w:color="auto"/>
        <w:bottom w:val="none" w:sz="0" w:space="0" w:color="auto"/>
        <w:right w:val="none" w:sz="0" w:space="0" w:color="auto"/>
      </w:divBdr>
    </w:div>
    <w:div w:id="154956655">
      <w:bodyDiv w:val="1"/>
      <w:marLeft w:val="0"/>
      <w:marRight w:val="0"/>
      <w:marTop w:val="0"/>
      <w:marBottom w:val="0"/>
      <w:divBdr>
        <w:top w:val="none" w:sz="0" w:space="0" w:color="auto"/>
        <w:left w:val="none" w:sz="0" w:space="0" w:color="auto"/>
        <w:bottom w:val="none" w:sz="0" w:space="0" w:color="auto"/>
        <w:right w:val="none" w:sz="0" w:space="0" w:color="auto"/>
      </w:divBdr>
    </w:div>
    <w:div w:id="155808957">
      <w:bodyDiv w:val="1"/>
      <w:marLeft w:val="0"/>
      <w:marRight w:val="0"/>
      <w:marTop w:val="0"/>
      <w:marBottom w:val="0"/>
      <w:divBdr>
        <w:top w:val="none" w:sz="0" w:space="0" w:color="auto"/>
        <w:left w:val="none" w:sz="0" w:space="0" w:color="auto"/>
        <w:bottom w:val="none" w:sz="0" w:space="0" w:color="auto"/>
        <w:right w:val="none" w:sz="0" w:space="0" w:color="auto"/>
      </w:divBdr>
    </w:div>
    <w:div w:id="156846124">
      <w:bodyDiv w:val="1"/>
      <w:marLeft w:val="0"/>
      <w:marRight w:val="0"/>
      <w:marTop w:val="0"/>
      <w:marBottom w:val="0"/>
      <w:divBdr>
        <w:top w:val="none" w:sz="0" w:space="0" w:color="auto"/>
        <w:left w:val="none" w:sz="0" w:space="0" w:color="auto"/>
        <w:bottom w:val="none" w:sz="0" w:space="0" w:color="auto"/>
        <w:right w:val="none" w:sz="0" w:space="0" w:color="auto"/>
      </w:divBdr>
    </w:div>
    <w:div w:id="159277830">
      <w:bodyDiv w:val="1"/>
      <w:marLeft w:val="0"/>
      <w:marRight w:val="0"/>
      <w:marTop w:val="0"/>
      <w:marBottom w:val="0"/>
      <w:divBdr>
        <w:top w:val="none" w:sz="0" w:space="0" w:color="auto"/>
        <w:left w:val="none" w:sz="0" w:space="0" w:color="auto"/>
        <w:bottom w:val="none" w:sz="0" w:space="0" w:color="auto"/>
        <w:right w:val="none" w:sz="0" w:space="0" w:color="auto"/>
      </w:divBdr>
    </w:div>
    <w:div w:id="160003886">
      <w:bodyDiv w:val="1"/>
      <w:marLeft w:val="0"/>
      <w:marRight w:val="0"/>
      <w:marTop w:val="0"/>
      <w:marBottom w:val="0"/>
      <w:divBdr>
        <w:top w:val="none" w:sz="0" w:space="0" w:color="auto"/>
        <w:left w:val="none" w:sz="0" w:space="0" w:color="auto"/>
        <w:bottom w:val="none" w:sz="0" w:space="0" w:color="auto"/>
        <w:right w:val="none" w:sz="0" w:space="0" w:color="auto"/>
      </w:divBdr>
    </w:div>
    <w:div w:id="162206558">
      <w:bodyDiv w:val="1"/>
      <w:marLeft w:val="0"/>
      <w:marRight w:val="0"/>
      <w:marTop w:val="0"/>
      <w:marBottom w:val="0"/>
      <w:divBdr>
        <w:top w:val="none" w:sz="0" w:space="0" w:color="auto"/>
        <w:left w:val="none" w:sz="0" w:space="0" w:color="auto"/>
        <w:bottom w:val="none" w:sz="0" w:space="0" w:color="auto"/>
        <w:right w:val="none" w:sz="0" w:space="0" w:color="auto"/>
      </w:divBdr>
    </w:div>
    <w:div w:id="162934642">
      <w:bodyDiv w:val="1"/>
      <w:marLeft w:val="0"/>
      <w:marRight w:val="0"/>
      <w:marTop w:val="0"/>
      <w:marBottom w:val="0"/>
      <w:divBdr>
        <w:top w:val="none" w:sz="0" w:space="0" w:color="auto"/>
        <w:left w:val="none" w:sz="0" w:space="0" w:color="auto"/>
        <w:bottom w:val="none" w:sz="0" w:space="0" w:color="auto"/>
        <w:right w:val="none" w:sz="0" w:space="0" w:color="auto"/>
      </w:divBdr>
    </w:div>
    <w:div w:id="163058510">
      <w:bodyDiv w:val="1"/>
      <w:marLeft w:val="0"/>
      <w:marRight w:val="0"/>
      <w:marTop w:val="0"/>
      <w:marBottom w:val="0"/>
      <w:divBdr>
        <w:top w:val="none" w:sz="0" w:space="0" w:color="auto"/>
        <w:left w:val="none" w:sz="0" w:space="0" w:color="auto"/>
        <w:bottom w:val="none" w:sz="0" w:space="0" w:color="auto"/>
        <w:right w:val="none" w:sz="0" w:space="0" w:color="auto"/>
      </w:divBdr>
    </w:div>
    <w:div w:id="163471308">
      <w:bodyDiv w:val="1"/>
      <w:marLeft w:val="0"/>
      <w:marRight w:val="0"/>
      <w:marTop w:val="0"/>
      <w:marBottom w:val="0"/>
      <w:divBdr>
        <w:top w:val="none" w:sz="0" w:space="0" w:color="auto"/>
        <w:left w:val="none" w:sz="0" w:space="0" w:color="auto"/>
        <w:bottom w:val="none" w:sz="0" w:space="0" w:color="auto"/>
        <w:right w:val="none" w:sz="0" w:space="0" w:color="auto"/>
      </w:divBdr>
    </w:div>
    <w:div w:id="163668100">
      <w:bodyDiv w:val="1"/>
      <w:marLeft w:val="0"/>
      <w:marRight w:val="0"/>
      <w:marTop w:val="0"/>
      <w:marBottom w:val="0"/>
      <w:divBdr>
        <w:top w:val="none" w:sz="0" w:space="0" w:color="auto"/>
        <w:left w:val="none" w:sz="0" w:space="0" w:color="auto"/>
        <w:bottom w:val="none" w:sz="0" w:space="0" w:color="auto"/>
        <w:right w:val="none" w:sz="0" w:space="0" w:color="auto"/>
      </w:divBdr>
    </w:div>
    <w:div w:id="163715396">
      <w:bodyDiv w:val="1"/>
      <w:marLeft w:val="0"/>
      <w:marRight w:val="0"/>
      <w:marTop w:val="0"/>
      <w:marBottom w:val="0"/>
      <w:divBdr>
        <w:top w:val="none" w:sz="0" w:space="0" w:color="auto"/>
        <w:left w:val="none" w:sz="0" w:space="0" w:color="auto"/>
        <w:bottom w:val="none" w:sz="0" w:space="0" w:color="auto"/>
        <w:right w:val="none" w:sz="0" w:space="0" w:color="auto"/>
      </w:divBdr>
    </w:div>
    <w:div w:id="165436618">
      <w:bodyDiv w:val="1"/>
      <w:marLeft w:val="0"/>
      <w:marRight w:val="0"/>
      <w:marTop w:val="0"/>
      <w:marBottom w:val="0"/>
      <w:divBdr>
        <w:top w:val="none" w:sz="0" w:space="0" w:color="auto"/>
        <w:left w:val="none" w:sz="0" w:space="0" w:color="auto"/>
        <w:bottom w:val="none" w:sz="0" w:space="0" w:color="auto"/>
        <w:right w:val="none" w:sz="0" w:space="0" w:color="auto"/>
      </w:divBdr>
    </w:div>
    <w:div w:id="165482163">
      <w:bodyDiv w:val="1"/>
      <w:marLeft w:val="0"/>
      <w:marRight w:val="0"/>
      <w:marTop w:val="0"/>
      <w:marBottom w:val="0"/>
      <w:divBdr>
        <w:top w:val="none" w:sz="0" w:space="0" w:color="auto"/>
        <w:left w:val="none" w:sz="0" w:space="0" w:color="auto"/>
        <w:bottom w:val="none" w:sz="0" w:space="0" w:color="auto"/>
        <w:right w:val="none" w:sz="0" w:space="0" w:color="auto"/>
      </w:divBdr>
    </w:div>
    <w:div w:id="168101097">
      <w:bodyDiv w:val="1"/>
      <w:marLeft w:val="0"/>
      <w:marRight w:val="0"/>
      <w:marTop w:val="0"/>
      <w:marBottom w:val="0"/>
      <w:divBdr>
        <w:top w:val="none" w:sz="0" w:space="0" w:color="auto"/>
        <w:left w:val="none" w:sz="0" w:space="0" w:color="auto"/>
        <w:bottom w:val="none" w:sz="0" w:space="0" w:color="auto"/>
        <w:right w:val="none" w:sz="0" w:space="0" w:color="auto"/>
      </w:divBdr>
    </w:div>
    <w:div w:id="168182023">
      <w:bodyDiv w:val="1"/>
      <w:marLeft w:val="0"/>
      <w:marRight w:val="0"/>
      <w:marTop w:val="0"/>
      <w:marBottom w:val="0"/>
      <w:divBdr>
        <w:top w:val="none" w:sz="0" w:space="0" w:color="auto"/>
        <w:left w:val="none" w:sz="0" w:space="0" w:color="auto"/>
        <w:bottom w:val="none" w:sz="0" w:space="0" w:color="auto"/>
        <w:right w:val="none" w:sz="0" w:space="0" w:color="auto"/>
      </w:divBdr>
    </w:div>
    <w:div w:id="168370840">
      <w:bodyDiv w:val="1"/>
      <w:marLeft w:val="0"/>
      <w:marRight w:val="0"/>
      <w:marTop w:val="0"/>
      <w:marBottom w:val="0"/>
      <w:divBdr>
        <w:top w:val="none" w:sz="0" w:space="0" w:color="auto"/>
        <w:left w:val="none" w:sz="0" w:space="0" w:color="auto"/>
        <w:bottom w:val="none" w:sz="0" w:space="0" w:color="auto"/>
        <w:right w:val="none" w:sz="0" w:space="0" w:color="auto"/>
      </w:divBdr>
    </w:div>
    <w:div w:id="168914329">
      <w:bodyDiv w:val="1"/>
      <w:marLeft w:val="0"/>
      <w:marRight w:val="0"/>
      <w:marTop w:val="0"/>
      <w:marBottom w:val="0"/>
      <w:divBdr>
        <w:top w:val="none" w:sz="0" w:space="0" w:color="auto"/>
        <w:left w:val="none" w:sz="0" w:space="0" w:color="auto"/>
        <w:bottom w:val="none" w:sz="0" w:space="0" w:color="auto"/>
        <w:right w:val="none" w:sz="0" w:space="0" w:color="auto"/>
      </w:divBdr>
    </w:div>
    <w:div w:id="169683382">
      <w:bodyDiv w:val="1"/>
      <w:marLeft w:val="0"/>
      <w:marRight w:val="0"/>
      <w:marTop w:val="0"/>
      <w:marBottom w:val="0"/>
      <w:divBdr>
        <w:top w:val="none" w:sz="0" w:space="0" w:color="auto"/>
        <w:left w:val="none" w:sz="0" w:space="0" w:color="auto"/>
        <w:bottom w:val="none" w:sz="0" w:space="0" w:color="auto"/>
        <w:right w:val="none" w:sz="0" w:space="0" w:color="auto"/>
      </w:divBdr>
    </w:div>
    <w:div w:id="169948014">
      <w:bodyDiv w:val="1"/>
      <w:marLeft w:val="0"/>
      <w:marRight w:val="0"/>
      <w:marTop w:val="0"/>
      <w:marBottom w:val="0"/>
      <w:divBdr>
        <w:top w:val="none" w:sz="0" w:space="0" w:color="auto"/>
        <w:left w:val="none" w:sz="0" w:space="0" w:color="auto"/>
        <w:bottom w:val="none" w:sz="0" w:space="0" w:color="auto"/>
        <w:right w:val="none" w:sz="0" w:space="0" w:color="auto"/>
      </w:divBdr>
    </w:div>
    <w:div w:id="170264692">
      <w:bodyDiv w:val="1"/>
      <w:marLeft w:val="0"/>
      <w:marRight w:val="0"/>
      <w:marTop w:val="0"/>
      <w:marBottom w:val="0"/>
      <w:divBdr>
        <w:top w:val="none" w:sz="0" w:space="0" w:color="auto"/>
        <w:left w:val="none" w:sz="0" w:space="0" w:color="auto"/>
        <w:bottom w:val="none" w:sz="0" w:space="0" w:color="auto"/>
        <w:right w:val="none" w:sz="0" w:space="0" w:color="auto"/>
      </w:divBdr>
    </w:div>
    <w:div w:id="170485500">
      <w:bodyDiv w:val="1"/>
      <w:marLeft w:val="0"/>
      <w:marRight w:val="0"/>
      <w:marTop w:val="0"/>
      <w:marBottom w:val="0"/>
      <w:divBdr>
        <w:top w:val="none" w:sz="0" w:space="0" w:color="auto"/>
        <w:left w:val="none" w:sz="0" w:space="0" w:color="auto"/>
        <w:bottom w:val="none" w:sz="0" w:space="0" w:color="auto"/>
        <w:right w:val="none" w:sz="0" w:space="0" w:color="auto"/>
      </w:divBdr>
    </w:div>
    <w:div w:id="170723009">
      <w:bodyDiv w:val="1"/>
      <w:marLeft w:val="0"/>
      <w:marRight w:val="0"/>
      <w:marTop w:val="0"/>
      <w:marBottom w:val="0"/>
      <w:divBdr>
        <w:top w:val="none" w:sz="0" w:space="0" w:color="auto"/>
        <w:left w:val="none" w:sz="0" w:space="0" w:color="auto"/>
        <w:bottom w:val="none" w:sz="0" w:space="0" w:color="auto"/>
        <w:right w:val="none" w:sz="0" w:space="0" w:color="auto"/>
      </w:divBdr>
    </w:div>
    <w:div w:id="171066124">
      <w:bodyDiv w:val="1"/>
      <w:marLeft w:val="0"/>
      <w:marRight w:val="0"/>
      <w:marTop w:val="0"/>
      <w:marBottom w:val="0"/>
      <w:divBdr>
        <w:top w:val="none" w:sz="0" w:space="0" w:color="auto"/>
        <w:left w:val="none" w:sz="0" w:space="0" w:color="auto"/>
        <w:bottom w:val="none" w:sz="0" w:space="0" w:color="auto"/>
        <w:right w:val="none" w:sz="0" w:space="0" w:color="auto"/>
      </w:divBdr>
    </w:div>
    <w:div w:id="171529202">
      <w:bodyDiv w:val="1"/>
      <w:marLeft w:val="0"/>
      <w:marRight w:val="0"/>
      <w:marTop w:val="0"/>
      <w:marBottom w:val="0"/>
      <w:divBdr>
        <w:top w:val="none" w:sz="0" w:space="0" w:color="auto"/>
        <w:left w:val="none" w:sz="0" w:space="0" w:color="auto"/>
        <w:bottom w:val="none" w:sz="0" w:space="0" w:color="auto"/>
        <w:right w:val="none" w:sz="0" w:space="0" w:color="auto"/>
      </w:divBdr>
    </w:div>
    <w:div w:id="171725932">
      <w:bodyDiv w:val="1"/>
      <w:marLeft w:val="0"/>
      <w:marRight w:val="0"/>
      <w:marTop w:val="0"/>
      <w:marBottom w:val="0"/>
      <w:divBdr>
        <w:top w:val="none" w:sz="0" w:space="0" w:color="auto"/>
        <w:left w:val="none" w:sz="0" w:space="0" w:color="auto"/>
        <w:bottom w:val="none" w:sz="0" w:space="0" w:color="auto"/>
        <w:right w:val="none" w:sz="0" w:space="0" w:color="auto"/>
      </w:divBdr>
    </w:div>
    <w:div w:id="172261142">
      <w:bodyDiv w:val="1"/>
      <w:marLeft w:val="0"/>
      <w:marRight w:val="0"/>
      <w:marTop w:val="0"/>
      <w:marBottom w:val="0"/>
      <w:divBdr>
        <w:top w:val="none" w:sz="0" w:space="0" w:color="auto"/>
        <w:left w:val="none" w:sz="0" w:space="0" w:color="auto"/>
        <w:bottom w:val="none" w:sz="0" w:space="0" w:color="auto"/>
        <w:right w:val="none" w:sz="0" w:space="0" w:color="auto"/>
      </w:divBdr>
    </w:div>
    <w:div w:id="173033980">
      <w:bodyDiv w:val="1"/>
      <w:marLeft w:val="0"/>
      <w:marRight w:val="0"/>
      <w:marTop w:val="0"/>
      <w:marBottom w:val="0"/>
      <w:divBdr>
        <w:top w:val="none" w:sz="0" w:space="0" w:color="auto"/>
        <w:left w:val="none" w:sz="0" w:space="0" w:color="auto"/>
        <w:bottom w:val="none" w:sz="0" w:space="0" w:color="auto"/>
        <w:right w:val="none" w:sz="0" w:space="0" w:color="auto"/>
      </w:divBdr>
    </w:div>
    <w:div w:id="174466350">
      <w:bodyDiv w:val="1"/>
      <w:marLeft w:val="0"/>
      <w:marRight w:val="0"/>
      <w:marTop w:val="0"/>
      <w:marBottom w:val="0"/>
      <w:divBdr>
        <w:top w:val="none" w:sz="0" w:space="0" w:color="auto"/>
        <w:left w:val="none" w:sz="0" w:space="0" w:color="auto"/>
        <w:bottom w:val="none" w:sz="0" w:space="0" w:color="auto"/>
        <w:right w:val="none" w:sz="0" w:space="0" w:color="auto"/>
      </w:divBdr>
    </w:div>
    <w:div w:id="174729830">
      <w:bodyDiv w:val="1"/>
      <w:marLeft w:val="0"/>
      <w:marRight w:val="0"/>
      <w:marTop w:val="0"/>
      <w:marBottom w:val="0"/>
      <w:divBdr>
        <w:top w:val="none" w:sz="0" w:space="0" w:color="auto"/>
        <w:left w:val="none" w:sz="0" w:space="0" w:color="auto"/>
        <w:bottom w:val="none" w:sz="0" w:space="0" w:color="auto"/>
        <w:right w:val="none" w:sz="0" w:space="0" w:color="auto"/>
      </w:divBdr>
    </w:div>
    <w:div w:id="175730449">
      <w:bodyDiv w:val="1"/>
      <w:marLeft w:val="0"/>
      <w:marRight w:val="0"/>
      <w:marTop w:val="0"/>
      <w:marBottom w:val="0"/>
      <w:divBdr>
        <w:top w:val="none" w:sz="0" w:space="0" w:color="auto"/>
        <w:left w:val="none" w:sz="0" w:space="0" w:color="auto"/>
        <w:bottom w:val="none" w:sz="0" w:space="0" w:color="auto"/>
        <w:right w:val="none" w:sz="0" w:space="0" w:color="auto"/>
      </w:divBdr>
    </w:div>
    <w:div w:id="181169697">
      <w:bodyDiv w:val="1"/>
      <w:marLeft w:val="0"/>
      <w:marRight w:val="0"/>
      <w:marTop w:val="0"/>
      <w:marBottom w:val="0"/>
      <w:divBdr>
        <w:top w:val="none" w:sz="0" w:space="0" w:color="auto"/>
        <w:left w:val="none" w:sz="0" w:space="0" w:color="auto"/>
        <w:bottom w:val="none" w:sz="0" w:space="0" w:color="auto"/>
        <w:right w:val="none" w:sz="0" w:space="0" w:color="auto"/>
      </w:divBdr>
    </w:div>
    <w:div w:id="182480000">
      <w:bodyDiv w:val="1"/>
      <w:marLeft w:val="0"/>
      <w:marRight w:val="0"/>
      <w:marTop w:val="0"/>
      <w:marBottom w:val="0"/>
      <w:divBdr>
        <w:top w:val="none" w:sz="0" w:space="0" w:color="auto"/>
        <w:left w:val="none" w:sz="0" w:space="0" w:color="auto"/>
        <w:bottom w:val="none" w:sz="0" w:space="0" w:color="auto"/>
        <w:right w:val="none" w:sz="0" w:space="0" w:color="auto"/>
      </w:divBdr>
    </w:div>
    <w:div w:id="183330062">
      <w:bodyDiv w:val="1"/>
      <w:marLeft w:val="0"/>
      <w:marRight w:val="0"/>
      <w:marTop w:val="0"/>
      <w:marBottom w:val="0"/>
      <w:divBdr>
        <w:top w:val="none" w:sz="0" w:space="0" w:color="auto"/>
        <w:left w:val="none" w:sz="0" w:space="0" w:color="auto"/>
        <w:bottom w:val="none" w:sz="0" w:space="0" w:color="auto"/>
        <w:right w:val="none" w:sz="0" w:space="0" w:color="auto"/>
      </w:divBdr>
    </w:div>
    <w:div w:id="184098695">
      <w:bodyDiv w:val="1"/>
      <w:marLeft w:val="0"/>
      <w:marRight w:val="0"/>
      <w:marTop w:val="0"/>
      <w:marBottom w:val="0"/>
      <w:divBdr>
        <w:top w:val="none" w:sz="0" w:space="0" w:color="auto"/>
        <w:left w:val="none" w:sz="0" w:space="0" w:color="auto"/>
        <w:bottom w:val="none" w:sz="0" w:space="0" w:color="auto"/>
        <w:right w:val="none" w:sz="0" w:space="0" w:color="auto"/>
      </w:divBdr>
    </w:div>
    <w:div w:id="184101331">
      <w:bodyDiv w:val="1"/>
      <w:marLeft w:val="0"/>
      <w:marRight w:val="0"/>
      <w:marTop w:val="0"/>
      <w:marBottom w:val="0"/>
      <w:divBdr>
        <w:top w:val="none" w:sz="0" w:space="0" w:color="auto"/>
        <w:left w:val="none" w:sz="0" w:space="0" w:color="auto"/>
        <w:bottom w:val="none" w:sz="0" w:space="0" w:color="auto"/>
        <w:right w:val="none" w:sz="0" w:space="0" w:color="auto"/>
      </w:divBdr>
    </w:div>
    <w:div w:id="185141892">
      <w:bodyDiv w:val="1"/>
      <w:marLeft w:val="0"/>
      <w:marRight w:val="0"/>
      <w:marTop w:val="0"/>
      <w:marBottom w:val="0"/>
      <w:divBdr>
        <w:top w:val="none" w:sz="0" w:space="0" w:color="auto"/>
        <w:left w:val="none" w:sz="0" w:space="0" w:color="auto"/>
        <w:bottom w:val="none" w:sz="0" w:space="0" w:color="auto"/>
        <w:right w:val="none" w:sz="0" w:space="0" w:color="auto"/>
      </w:divBdr>
    </w:div>
    <w:div w:id="185220243">
      <w:bodyDiv w:val="1"/>
      <w:marLeft w:val="0"/>
      <w:marRight w:val="0"/>
      <w:marTop w:val="0"/>
      <w:marBottom w:val="0"/>
      <w:divBdr>
        <w:top w:val="none" w:sz="0" w:space="0" w:color="auto"/>
        <w:left w:val="none" w:sz="0" w:space="0" w:color="auto"/>
        <w:bottom w:val="none" w:sz="0" w:space="0" w:color="auto"/>
        <w:right w:val="none" w:sz="0" w:space="0" w:color="auto"/>
      </w:divBdr>
    </w:div>
    <w:div w:id="186413921">
      <w:bodyDiv w:val="1"/>
      <w:marLeft w:val="0"/>
      <w:marRight w:val="0"/>
      <w:marTop w:val="0"/>
      <w:marBottom w:val="0"/>
      <w:divBdr>
        <w:top w:val="none" w:sz="0" w:space="0" w:color="auto"/>
        <w:left w:val="none" w:sz="0" w:space="0" w:color="auto"/>
        <w:bottom w:val="none" w:sz="0" w:space="0" w:color="auto"/>
        <w:right w:val="none" w:sz="0" w:space="0" w:color="auto"/>
      </w:divBdr>
    </w:div>
    <w:div w:id="186872045">
      <w:bodyDiv w:val="1"/>
      <w:marLeft w:val="0"/>
      <w:marRight w:val="0"/>
      <w:marTop w:val="0"/>
      <w:marBottom w:val="0"/>
      <w:divBdr>
        <w:top w:val="none" w:sz="0" w:space="0" w:color="auto"/>
        <w:left w:val="none" w:sz="0" w:space="0" w:color="auto"/>
        <w:bottom w:val="none" w:sz="0" w:space="0" w:color="auto"/>
        <w:right w:val="none" w:sz="0" w:space="0" w:color="auto"/>
      </w:divBdr>
    </w:div>
    <w:div w:id="189683767">
      <w:bodyDiv w:val="1"/>
      <w:marLeft w:val="0"/>
      <w:marRight w:val="0"/>
      <w:marTop w:val="0"/>
      <w:marBottom w:val="0"/>
      <w:divBdr>
        <w:top w:val="none" w:sz="0" w:space="0" w:color="auto"/>
        <w:left w:val="none" w:sz="0" w:space="0" w:color="auto"/>
        <w:bottom w:val="none" w:sz="0" w:space="0" w:color="auto"/>
        <w:right w:val="none" w:sz="0" w:space="0" w:color="auto"/>
      </w:divBdr>
    </w:div>
    <w:div w:id="189875770">
      <w:bodyDiv w:val="1"/>
      <w:marLeft w:val="0"/>
      <w:marRight w:val="0"/>
      <w:marTop w:val="0"/>
      <w:marBottom w:val="0"/>
      <w:divBdr>
        <w:top w:val="none" w:sz="0" w:space="0" w:color="auto"/>
        <w:left w:val="none" w:sz="0" w:space="0" w:color="auto"/>
        <w:bottom w:val="none" w:sz="0" w:space="0" w:color="auto"/>
        <w:right w:val="none" w:sz="0" w:space="0" w:color="auto"/>
      </w:divBdr>
    </w:div>
    <w:div w:id="190001428">
      <w:bodyDiv w:val="1"/>
      <w:marLeft w:val="0"/>
      <w:marRight w:val="0"/>
      <w:marTop w:val="0"/>
      <w:marBottom w:val="0"/>
      <w:divBdr>
        <w:top w:val="none" w:sz="0" w:space="0" w:color="auto"/>
        <w:left w:val="none" w:sz="0" w:space="0" w:color="auto"/>
        <w:bottom w:val="none" w:sz="0" w:space="0" w:color="auto"/>
        <w:right w:val="none" w:sz="0" w:space="0" w:color="auto"/>
      </w:divBdr>
    </w:div>
    <w:div w:id="190536916">
      <w:bodyDiv w:val="1"/>
      <w:marLeft w:val="0"/>
      <w:marRight w:val="0"/>
      <w:marTop w:val="0"/>
      <w:marBottom w:val="0"/>
      <w:divBdr>
        <w:top w:val="none" w:sz="0" w:space="0" w:color="auto"/>
        <w:left w:val="none" w:sz="0" w:space="0" w:color="auto"/>
        <w:bottom w:val="none" w:sz="0" w:space="0" w:color="auto"/>
        <w:right w:val="none" w:sz="0" w:space="0" w:color="auto"/>
      </w:divBdr>
    </w:div>
    <w:div w:id="191001151">
      <w:bodyDiv w:val="1"/>
      <w:marLeft w:val="0"/>
      <w:marRight w:val="0"/>
      <w:marTop w:val="0"/>
      <w:marBottom w:val="0"/>
      <w:divBdr>
        <w:top w:val="none" w:sz="0" w:space="0" w:color="auto"/>
        <w:left w:val="none" w:sz="0" w:space="0" w:color="auto"/>
        <w:bottom w:val="none" w:sz="0" w:space="0" w:color="auto"/>
        <w:right w:val="none" w:sz="0" w:space="0" w:color="auto"/>
      </w:divBdr>
    </w:div>
    <w:div w:id="191308097">
      <w:bodyDiv w:val="1"/>
      <w:marLeft w:val="0"/>
      <w:marRight w:val="0"/>
      <w:marTop w:val="0"/>
      <w:marBottom w:val="0"/>
      <w:divBdr>
        <w:top w:val="none" w:sz="0" w:space="0" w:color="auto"/>
        <w:left w:val="none" w:sz="0" w:space="0" w:color="auto"/>
        <w:bottom w:val="none" w:sz="0" w:space="0" w:color="auto"/>
        <w:right w:val="none" w:sz="0" w:space="0" w:color="auto"/>
      </w:divBdr>
    </w:div>
    <w:div w:id="192156377">
      <w:bodyDiv w:val="1"/>
      <w:marLeft w:val="0"/>
      <w:marRight w:val="0"/>
      <w:marTop w:val="0"/>
      <w:marBottom w:val="0"/>
      <w:divBdr>
        <w:top w:val="none" w:sz="0" w:space="0" w:color="auto"/>
        <w:left w:val="none" w:sz="0" w:space="0" w:color="auto"/>
        <w:bottom w:val="none" w:sz="0" w:space="0" w:color="auto"/>
        <w:right w:val="none" w:sz="0" w:space="0" w:color="auto"/>
      </w:divBdr>
    </w:div>
    <w:div w:id="193232514">
      <w:bodyDiv w:val="1"/>
      <w:marLeft w:val="0"/>
      <w:marRight w:val="0"/>
      <w:marTop w:val="0"/>
      <w:marBottom w:val="0"/>
      <w:divBdr>
        <w:top w:val="none" w:sz="0" w:space="0" w:color="auto"/>
        <w:left w:val="none" w:sz="0" w:space="0" w:color="auto"/>
        <w:bottom w:val="none" w:sz="0" w:space="0" w:color="auto"/>
        <w:right w:val="none" w:sz="0" w:space="0" w:color="auto"/>
      </w:divBdr>
    </w:div>
    <w:div w:id="193277844">
      <w:bodyDiv w:val="1"/>
      <w:marLeft w:val="0"/>
      <w:marRight w:val="0"/>
      <w:marTop w:val="0"/>
      <w:marBottom w:val="0"/>
      <w:divBdr>
        <w:top w:val="none" w:sz="0" w:space="0" w:color="auto"/>
        <w:left w:val="none" w:sz="0" w:space="0" w:color="auto"/>
        <w:bottom w:val="none" w:sz="0" w:space="0" w:color="auto"/>
        <w:right w:val="none" w:sz="0" w:space="0" w:color="auto"/>
      </w:divBdr>
    </w:div>
    <w:div w:id="194277622">
      <w:bodyDiv w:val="1"/>
      <w:marLeft w:val="0"/>
      <w:marRight w:val="0"/>
      <w:marTop w:val="0"/>
      <w:marBottom w:val="0"/>
      <w:divBdr>
        <w:top w:val="none" w:sz="0" w:space="0" w:color="auto"/>
        <w:left w:val="none" w:sz="0" w:space="0" w:color="auto"/>
        <w:bottom w:val="none" w:sz="0" w:space="0" w:color="auto"/>
        <w:right w:val="none" w:sz="0" w:space="0" w:color="auto"/>
      </w:divBdr>
    </w:div>
    <w:div w:id="194318705">
      <w:bodyDiv w:val="1"/>
      <w:marLeft w:val="0"/>
      <w:marRight w:val="0"/>
      <w:marTop w:val="0"/>
      <w:marBottom w:val="0"/>
      <w:divBdr>
        <w:top w:val="none" w:sz="0" w:space="0" w:color="auto"/>
        <w:left w:val="none" w:sz="0" w:space="0" w:color="auto"/>
        <w:bottom w:val="none" w:sz="0" w:space="0" w:color="auto"/>
        <w:right w:val="none" w:sz="0" w:space="0" w:color="auto"/>
      </w:divBdr>
    </w:div>
    <w:div w:id="195431249">
      <w:bodyDiv w:val="1"/>
      <w:marLeft w:val="0"/>
      <w:marRight w:val="0"/>
      <w:marTop w:val="0"/>
      <w:marBottom w:val="0"/>
      <w:divBdr>
        <w:top w:val="none" w:sz="0" w:space="0" w:color="auto"/>
        <w:left w:val="none" w:sz="0" w:space="0" w:color="auto"/>
        <w:bottom w:val="none" w:sz="0" w:space="0" w:color="auto"/>
        <w:right w:val="none" w:sz="0" w:space="0" w:color="auto"/>
      </w:divBdr>
    </w:div>
    <w:div w:id="196629530">
      <w:bodyDiv w:val="1"/>
      <w:marLeft w:val="0"/>
      <w:marRight w:val="0"/>
      <w:marTop w:val="0"/>
      <w:marBottom w:val="0"/>
      <w:divBdr>
        <w:top w:val="none" w:sz="0" w:space="0" w:color="auto"/>
        <w:left w:val="none" w:sz="0" w:space="0" w:color="auto"/>
        <w:bottom w:val="none" w:sz="0" w:space="0" w:color="auto"/>
        <w:right w:val="none" w:sz="0" w:space="0" w:color="auto"/>
      </w:divBdr>
    </w:div>
    <w:div w:id="197092159">
      <w:bodyDiv w:val="1"/>
      <w:marLeft w:val="0"/>
      <w:marRight w:val="0"/>
      <w:marTop w:val="0"/>
      <w:marBottom w:val="0"/>
      <w:divBdr>
        <w:top w:val="none" w:sz="0" w:space="0" w:color="auto"/>
        <w:left w:val="none" w:sz="0" w:space="0" w:color="auto"/>
        <w:bottom w:val="none" w:sz="0" w:space="0" w:color="auto"/>
        <w:right w:val="none" w:sz="0" w:space="0" w:color="auto"/>
      </w:divBdr>
    </w:div>
    <w:div w:id="198277166">
      <w:bodyDiv w:val="1"/>
      <w:marLeft w:val="0"/>
      <w:marRight w:val="0"/>
      <w:marTop w:val="0"/>
      <w:marBottom w:val="0"/>
      <w:divBdr>
        <w:top w:val="none" w:sz="0" w:space="0" w:color="auto"/>
        <w:left w:val="none" w:sz="0" w:space="0" w:color="auto"/>
        <w:bottom w:val="none" w:sz="0" w:space="0" w:color="auto"/>
        <w:right w:val="none" w:sz="0" w:space="0" w:color="auto"/>
      </w:divBdr>
    </w:div>
    <w:div w:id="198710327">
      <w:bodyDiv w:val="1"/>
      <w:marLeft w:val="0"/>
      <w:marRight w:val="0"/>
      <w:marTop w:val="0"/>
      <w:marBottom w:val="0"/>
      <w:divBdr>
        <w:top w:val="none" w:sz="0" w:space="0" w:color="auto"/>
        <w:left w:val="none" w:sz="0" w:space="0" w:color="auto"/>
        <w:bottom w:val="none" w:sz="0" w:space="0" w:color="auto"/>
        <w:right w:val="none" w:sz="0" w:space="0" w:color="auto"/>
      </w:divBdr>
    </w:div>
    <w:div w:id="199827551">
      <w:bodyDiv w:val="1"/>
      <w:marLeft w:val="0"/>
      <w:marRight w:val="0"/>
      <w:marTop w:val="0"/>
      <w:marBottom w:val="0"/>
      <w:divBdr>
        <w:top w:val="none" w:sz="0" w:space="0" w:color="auto"/>
        <w:left w:val="none" w:sz="0" w:space="0" w:color="auto"/>
        <w:bottom w:val="none" w:sz="0" w:space="0" w:color="auto"/>
        <w:right w:val="none" w:sz="0" w:space="0" w:color="auto"/>
      </w:divBdr>
    </w:div>
    <w:div w:id="200090079">
      <w:bodyDiv w:val="1"/>
      <w:marLeft w:val="0"/>
      <w:marRight w:val="0"/>
      <w:marTop w:val="0"/>
      <w:marBottom w:val="0"/>
      <w:divBdr>
        <w:top w:val="none" w:sz="0" w:space="0" w:color="auto"/>
        <w:left w:val="none" w:sz="0" w:space="0" w:color="auto"/>
        <w:bottom w:val="none" w:sz="0" w:space="0" w:color="auto"/>
        <w:right w:val="none" w:sz="0" w:space="0" w:color="auto"/>
      </w:divBdr>
    </w:div>
    <w:div w:id="200441661">
      <w:bodyDiv w:val="1"/>
      <w:marLeft w:val="0"/>
      <w:marRight w:val="0"/>
      <w:marTop w:val="0"/>
      <w:marBottom w:val="0"/>
      <w:divBdr>
        <w:top w:val="none" w:sz="0" w:space="0" w:color="auto"/>
        <w:left w:val="none" w:sz="0" w:space="0" w:color="auto"/>
        <w:bottom w:val="none" w:sz="0" w:space="0" w:color="auto"/>
        <w:right w:val="none" w:sz="0" w:space="0" w:color="auto"/>
      </w:divBdr>
    </w:div>
    <w:div w:id="201092953">
      <w:bodyDiv w:val="1"/>
      <w:marLeft w:val="0"/>
      <w:marRight w:val="0"/>
      <w:marTop w:val="0"/>
      <w:marBottom w:val="0"/>
      <w:divBdr>
        <w:top w:val="none" w:sz="0" w:space="0" w:color="auto"/>
        <w:left w:val="none" w:sz="0" w:space="0" w:color="auto"/>
        <w:bottom w:val="none" w:sz="0" w:space="0" w:color="auto"/>
        <w:right w:val="none" w:sz="0" w:space="0" w:color="auto"/>
      </w:divBdr>
    </w:div>
    <w:div w:id="202598098">
      <w:bodyDiv w:val="1"/>
      <w:marLeft w:val="0"/>
      <w:marRight w:val="0"/>
      <w:marTop w:val="0"/>
      <w:marBottom w:val="0"/>
      <w:divBdr>
        <w:top w:val="none" w:sz="0" w:space="0" w:color="auto"/>
        <w:left w:val="none" w:sz="0" w:space="0" w:color="auto"/>
        <w:bottom w:val="none" w:sz="0" w:space="0" w:color="auto"/>
        <w:right w:val="none" w:sz="0" w:space="0" w:color="auto"/>
      </w:divBdr>
    </w:div>
    <w:div w:id="205526759">
      <w:bodyDiv w:val="1"/>
      <w:marLeft w:val="0"/>
      <w:marRight w:val="0"/>
      <w:marTop w:val="0"/>
      <w:marBottom w:val="0"/>
      <w:divBdr>
        <w:top w:val="none" w:sz="0" w:space="0" w:color="auto"/>
        <w:left w:val="none" w:sz="0" w:space="0" w:color="auto"/>
        <w:bottom w:val="none" w:sz="0" w:space="0" w:color="auto"/>
        <w:right w:val="none" w:sz="0" w:space="0" w:color="auto"/>
      </w:divBdr>
    </w:div>
    <w:div w:id="205531774">
      <w:bodyDiv w:val="1"/>
      <w:marLeft w:val="0"/>
      <w:marRight w:val="0"/>
      <w:marTop w:val="0"/>
      <w:marBottom w:val="0"/>
      <w:divBdr>
        <w:top w:val="none" w:sz="0" w:space="0" w:color="auto"/>
        <w:left w:val="none" w:sz="0" w:space="0" w:color="auto"/>
        <w:bottom w:val="none" w:sz="0" w:space="0" w:color="auto"/>
        <w:right w:val="none" w:sz="0" w:space="0" w:color="auto"/>
      </w:divBdr>
    </w:div>
    <w:div w:id="205719756">
      <w:bodyDiv w:val="1"/>
      <w:marLeft w:val="0"/>
      <w:marRight w:val="0"/>
      <w:marTop w:val="0"/>
      <w:marBottom w:val="0"/>
      <w:divBdr>
        <w:top w:val="none" w:sz="0" w:space="0" w:color="auto"/>
        <w:left w:val="none" w:sz="0" w:space="0" w:color="auto"/>
        <w:bottom w:val="none" w:sz="0" w:space="0" w:color="auto"/>
        <w:right w:val="none" w:sz="0" w:space="0" w:color="auto"/>
      </w:divBdr>
    </w:div>
    <w:div w:id="206994263">
      <w:bodyDiv w:val="1"/>
      <w:marLeft w:val="0"/>
      <w:marRight w:val="0"/>
      <w:marTop w:val="0"/>
      <w:marBottom w:val="0"/>
      <w:divBdr>
        <w:top w:val="none" w:sz="0" w:space="0" w:color="auto"/>
        <w:left w:val="none" w:sz="0" w:space="0" w:color="auto"/>
        <w:bottom w:val="none" w:sz="0" w:space="0" w:color="auto"/>
        <w:right w:val="none" w:sz="0" w:space="0" w:color="auto"/>
      </w:divBdr>
    </w:div>
    <w:div w:id="207303476">
      <w:bodyDiv w:val="1"/>
      <w:marLeft w:val="0"/>
      <w:marRight w:val="0"/>
      <w:marTop w:val="0"/>
      <w:marBottom w:val="0"/>
      <w:divBdr>
        <w:top w:val="none" w:sz="0" w:space="0" w:color="auto"/>
        <w:left w:val="none" w:sz="0" w:space="0" w:color="auto"/>
        <w:bottom w:val="none" w:sz="0" w:space="0" w:color="auto"/>
        <w:right w:val="none" w:sz="0" w:space="0" w:color="auto"/>
      </w:divBdr>
    </w:div>
    <w:div w:id="207962177">
      <w:bodyDiv w:val="1"/>
      <w:marLeft w:val="0"/>
      <w:marRight w:val="0"/>
      <w:marTop w:val="0"/>
      <w:marBottom w:val="0"/>
      <w:divBdr>
        <w:top w:val="none" w:sz="0" w:space="0" w:color="auto"/>
        <w:left w:val="none" w:sz="0" w:space="0" w:color="auto"/>
        <w:bottom w:val="none" w:sz="0" w:space="0" w:color="auto"/>
        <w:right w:val="none" w:sz="0" w:space="0" w:color="auto"/>
      </w:divBdr>
    </w:div>
    <w:div w:id="208810668">
      <w:bodyDiv w:val="1"/>
      <w:marLeft w:val="0"/>
      <w:marRight w:val="0"/>
      <w:marTop w:val="0"/>
      <w:marBottom w:val="0"/>
      <w:divBdr>
        <w:top w:val="none" w:sz="0" w:space="0" w:color="auto"/>
        <w:left w:val="none" w:sz="0" w:space="0" w:color="auto"/>
        <w:bottom w:val="none" w:sz="0" w:space="0" w:color="auto"/>
        <w:right w:val="none" w:sz="0" w:space="0" w:color="auto"/>
      </w:divBdr>
    </w:div>
    <w:div w:id="209340263">
      <w:bodyDiv w:val="1"/>
      <w:marLeft w:val="0"/>
      <w:marRight w:val="0"/>
      <w:marTop w:val="0"/>
      <w:marBottom w:val="0"/>
      <w:divBdr>
        <w:top w:val="none" w:sz="0" w:space="0" w:color="auto"/>
        <w:left w:val="none" w:sz="0" w:space="0" w:color="auto"/>
        <w:bottom w:val="none" w:sz="0" w:space="0" w:color="auto"/>
        <w:right w:val="none" w:sz="0" w:space="0" w:color="auto"/>
      </w:divBdr>
    </w:div>
    <w:div w:id="210264515">
      <w:bodyDiv w:val="1"/>
      <w:marLeft w:val="0"/>
      <w:marRight w:val="0"/>
      <w:marTop w:val="0"/>
      <w:marBottom w:val="0"/>
      <w:divBdr>
        <w:top w:val="none" w:sz="0" w:space="0" w:color="auto"/>
        <w:left w:val="none" w:sz="0" w:space="0" w:color="auto"/>
        <w:bottom w:val="none" w:sz="0" w:space="0" w:color="auto"/>
        <w:right w:val="none" w:sz="0" w:space="0" w:color="auto"/>
      </w:divBdr>
    </w:div>
    <w:div w:id="210848844">
      <w:bodyDiv w:val="1"/>
      <w:marLeft w:val="0"/>
      <w:marRight w:val="0"/>
      <w:marTop w:val="0"/>
      <w:marBottom w:val="0"/>
      <w:divBdr>
        <w:top w:val="none" w:sz="0" w:space="0" w:color="auto"/>
        <w:left w:val="none" w:sz="0" w:space="0" w:color="auto"/>
        <w:bottom w:val="none" w:sz="0" w:space="0" w:color="auto"/>
        <w:right w:val="none" w:sz="0" w:space="0" w:color="auto"/>
      </w:divBdr>
    </w:div>
    <w:div w:id="211814289">
      <w:bodyDiv w:val="1"/>
      <w:marLeft w:val="0"/>
      <w:marRight w:val="0"/>
      <w:marTop w:val="0"/>
      <w:marBottom w:val="0"/>
      <w:divBdr>
        <w:top w:val="none" w:sz="0" w:space="0" w:color="auto"/>
        <w:left w:val="none" w:sz="0" w:space="0" w:color="auto"/>
        <w:bottom w:val="none" w:sz="0" w:space="0" w:color="auto"/>
        <w:right w:val="none" w:sz="0" w:space="0" w:color="auto"/>
      </w:divBdr>
    </w:div>
    <w:div w:id="212040781">
      <w:bodyDiv w:val="1"/>
      <w:marLeft w:val="0"/>
      <w:marRight w:val="0"/>
      <w:marTop w:val="0"/>
      <w:marBottom w:val="0"/>
      <w:divBdr>
        <w:top w:val="none" w:sz="0" w:space="0" w:color="auto"/>
        <w:left w:val="none" w:sz="0" w:space="0" w:color="auto"/>
        <w:bottom w:val="none" w:sz="0" w:space="0" w:color="auto"/>
        <w:right w:val="none" w:sz="0" w:space="0" w:color="auto"/>
      </w:divBdr>
    </w:div>
    <w:div w:id="212927008">
      <w:bodyDiv w:val="1"/>
      <w:marLeft w:val="0"/>
      <w:marRight w:val="0"/>
      <w:marTop w:val="0"/>
      <w:marBottom w:val="0"/>
      <w:divBdr>
        <w:top w:val="none" w:sz="0" w:space="0" w:color="auto"/>
        <w:left w:val="none" w:sz="0" w:space="0" w:color="auto"/>
        <w:bottom w:val="none" w:sz="0" w:space="0" w:color="auto"/>
        <w:right w:val="none" w:sz="0" w:space="0" w:color="auto"/>
      </w:divBdr>
    </w:div>
    <w:div w:id="216360962">
      <w:bodyDiv w:val="1"/>
      <w:marLeft w:val="0"/>
      <w:marRight w:val="0"/>
      <w:marTop w:val="0"/>
      <w:marBottom w:val="0"/>
      <w:divBdr>
        <w:top w:val="none" w:sz="0" w:space="0" w:color="auto"/>
        <w:left w:val="none" w:sz="0" w:space="0" w:color="auto"/>
        <w:bottom w:val="none" w:sz="0" w:space="0" w:color="auto"/>
        <w:right w:val="none" w:sz="0" w:space="0" w:color="auto"/>
      </w:divBdr>
    </w:div>
    <w:div w:id="216402367">
      <w:bodyDiv w:val="1"/>
      <w:marLeft w:val="0"/>
      <w:marRight w:val="0"/>
      <w:marTop w:val="0"/>
      <w:marBottom w:val="0"/>
      <w:divBdr>
        <w:top w:val="none" w:sz="0" w:space="0" w:color="auto"/>
        <w:left w:val="none" w:sz="0" w:space="0" w:color="auto"/>
        <w:bottom w:val="none" w:sz="0" w:space="0" w:color="auto"/>
        <w:right w:val="none" w:sz="0" w:space="0" w:color="auto"/>
      </w:divBdr>
    </w:div>
    <w:div w:id="218594565">
      <w:bodyDiv w:val="1"/>
      <w:marLeft w:val="0"/>
      <w:marRight w:val="0"/>
      <w:marTop w:val="0"/>
      <w:marBottom w:val="0"/>
      <w:divBdr>
        <w:top w:val="none" w:sz="0" w:space="0" w:color="auto"/>
        <w:left w:val="none" w:sz="0" w:space="0" w:color="auto"/>
        <w:bottom w:val="none" w:sz="0" w:space="0" w:color="auto"/>
        <w:right w:val="none" w:sz="0" w:space="0" w:color="auto"/>
      </w:divBdr>
    </w:div>
    <w:div w:id="219171416">
      <w:bodyDiv w:val="1"/>
      <w:marLeft w:val="0"/>
      <w:marRight w:val="0"/>
      <w:marTop w:val="0"/>
      <w:marBottom w:val="0"/>
      <w:divBdr>
        <w:top w:val="none" w:sz="0" w:space="0" w:color="auto"/>
        <w:left w:val="none" w:sz="0" w:space="0" w:color="auto"/>
        <w:bottom w:val="none" w:sz="0" w:space="0" w:color="auto"/>
        <w:right w:val="none" w:sz="0" w:space="0" w:color="auto"/>
      </w:divBdr>
    </w:div>
    <w:div w:id="219875070">
      <w:bodyDiv w:val="1"/>
      <w:marLeft w:val="0"/>
      <w:marRight w:val="0"/>
      <w:marTop w:val="0"/>
      <w:marBottom w:val="0"/>
      <w:divBdr>
        <w:top w:val="none" w:sz="0" w:space="0" w:color="auto"/>
        <w:left w:val="none" w:sz="0" w:space="0" w:color="auto"/>
        <w:bottom w:val="none" w:sz="0" w:space="0" w:color="auto"/>
        <w:right w:val="none" w:sz="0" w:space="0" w:color="auto"/>
      </w:divBdr>
    </w:div>
    <w:div w:id="220210463">
      <w:bodyDiv w:val="1"/>
      <w:marLeft w:val="0"/>
      <w:marRight w:val="0"/>
      <w:marTop w:val="0"/>
      <w:marBottom w:val="0"/>
      <w:divBdr>
        <w:top w:val="none" w:sz="0" w:space="0" w:color="auto"/>
        <w:left w:val="none" w:sz="0" w:space="0" w:color="auto"/>
        <w:bottom w:val="none" w:sz="0" w:space="0" w:color="auto"/>
        <w:right w:val="none" w:sz="0" w:space="0" w:color="auto"/>
      </w:divBdr>
    </w:div>
    <w:div w:id="220604030">
      <w:bodyDiv w:val="1"/>
      <w:marLeft w:val="0"/>
      <w:marRight w:val="0"/>
      <w:marTop w:val="0"/>
      <w:marBottom w:val="0"/>
      <w:divBdr>
        <w:top w:val="none" w:sz="0" w:space="0" w:color="auto"/>
        <w:left w:val="none" w:sz="0" w:space="0" w:color="auto"/>
        <w:bottom w:val="none" w:sz="0" w:space="0" w:color="auto"/>
        <w:right w:val="none" w:sz="0" w:space="0" w:color="auto"/>
      </w:divBdr>
    </w:div>
    <w:div w:id="221332272">
      <w:bodyDiv w:val="1"/>
      <w:marLeft w:val="0"/>
      <w:marRight w:val="0"/>
      <w:marTop w:val="0"/>
      <w:marBottom w:val="0"/>
      <w:divBdr>
        <w:top w:val="none" w:sz="0" w:space="0" w:color="auto"/>
        <w:left w:val="none" w:sz="0" w:space="0" w:color="auto"/>
        <w:bottom w:val="none" w:sz="0" w:space="0" w:color="auto"/>
        <w:right w:val="none" w:sz="0" w:space="0" w:color="auto"/>
      </w:divBdr>
    </w:div>
    <w:div w:id="222105912">
      <w:bodyDiv w:val="1"/>
      <w:marLeft w:val="0"/>
      <w:marRight w:val="0"/>
      <w:marTop w:val="0"/>
      <w:marBottom w:val="0"/>
      <w:divBdr>
        <w:top w:val="none" w:sz="0" w:space="0" w:color="auto"/>
        <w:left w:val="none" w:sz="0" w:space="0" w:color="auto"/>
        <w:bottom w:val="none" w:sz="0" w:space="0" w:color="auto"/>
        <w:right w:val="none" w:sz="0" w:space="0" w:color="auto"/>
      </w:divBdr>
    </w:div>
    <w:div w:id="222329045">
      <w:bodyDiv w:val="1"/>
      <w:marLeft w:val="0"/>
      <w:marRight w:val="0"/>
      <w:marTop w:val="0"/>
      <w:marBottom w:val="0"/>
      <w:divBdr>
        <w:top w:val="none" w:sz="0" w:space="0" w:color="auto"/>
        <w:left w:val="none" w:sz="0" w:space="0" w:color="auto"/>
        <w:bottom w:val="none" w:sz="0" w:space="0" w:color="auto"/>
        <w:right w:val="none" w:sz="0" w:space="0" w:color="auto"/>
      </w:divBdr>
    </w:div>
    <w:div w:id="222373603">
      <w:bodyDiv w:val="1"/>
      <w:marLeft w:val="0"/>
      <w:marRight w:val="0"/>
      <w:marTop w:val="0"/>
      <w:marBottom w:val="0"/>
      <w:divBdr>
        <w:top w:val="none" w:sz="0" w:space="0" w:color="auto"/>
        <w:left w:val="none" w:sz="0" w:space="0" w:color="auto"/>
        <w:bottom w:val="none" w:sz="0" w:space="0" w:color="auto"/>
        <w:right w:val="none" w:sz="0" w:space="0" w:color="auto"/>
      </w:divBdr>
    </w:div>
    <w:div w:id="222565559">
      <w:bodyDiv w:val="1"/>
      <w:marLeft w:val="0"/>
      <w:marRight w:val="0"/>
      <w:marTop w:val="0"/>
      <w:marBottom w:val="0"/>
      <w:divBdr>
        <w:top w:val="none" w:sz="0" w:space="0" w:color="auto"/>
        <w:left w:val="none" w:sz="0" w:space="0" w:color="auto"/>
        <w:bottom w:val="none" w:sz="0" w:space="0" w:color="auto"/>
        <w:right w:val="none" w:sz="0" w:space="0" w:color="auto"/>
      </w:divBdr>
    </w:div>
    <w:div w:id="222985971">
      <w:bodyDiv w:val="1"/>
      <w:marLeft w:val="0"/>
      <w:marRight w:val="0"/>
      <w:marTop w:val="0"/>
      <w:marBottom w:val="0"/>
      <w:divBdr>
        <w:top w:val="none" w:sz="0" w:space="0" w:color="auto"/>
        <w:left w:val="none" w:sz="0" w:space="0" w:color="auto"/>
        <w:bottom w:val="none" w:sz="0" w:space="0" w:color="auto"/>
        <w:right w:val="none" w:sz="0" w:space="0" w:color="auto"/>
      </w:divBdr>
    </w:div>
    <w:div w:id="223151107">
      <w:bodyDiv w:val="1"/>
      <w:marLeft w:val="0"/>
      <w:marRight w:val="0"/>
      <w:marTop w:val="0"/>
      <w:marBottom w:val="0"/>
      <w:divBdr>
        <w:top w:val="none" w:sz="0" w:space="0" w:color="auto"/>
        <w:left w:val="none" w:sz="0" w:space="0" w:color="auto"/>
        <w:bottom w:val="none" w:sz="0" w:space="0" w:color="auto"/>
        <w:right w:val="none" w:sz="0" w:space="0" w:color="auto"/>
      </w:divBdr>
    </w:div>
    <w:div w:id="224029955">
      <w:bodyDiv w:val="1"/>
      <w:marLeft w:val="0"/>
      <w:marRight w:val="0"/>
      <w:marTop w:val="0"/>
      <w:marBottom w:val="0"/>
      <w:divBdr>
        <w:top w:val="none" w:sz="0" w:space="0" w:color="auto"/>
        <w:left w:val="none" w:sz="0" w:space="0" w:color="auto"/>
        <w:bottom w:val="none" w:sz="0" w:space="0" w:color="auto"/>
        <w:right w:val="none" w:sz="0" w:space="0" w:color="auto"/>
      </w:divBdr>
    </w:div>
    <w:div w:id="225800770">
      <w:bodyDiv w:val="1"/>
      <w:marLeft w:val="0"/>
      <w:marRight w:val="0"/>
      <w:marTop w:val="0"/>
      <w:marBottom w:val="0"/>
      <w:divBdr>
        <w:top w:val="none" w:sz="0" w:space="0" w:color="auto"/>
        <w:left w:val="none" w:sz="0" w:space="0" w:color="auto"/>
        <w:bottom w:val="none" w:sz="0" w:space="0" w:color="auto"/>
        <w:right w:val="none" w:sz="0" w:space="0" w:color="auto"/>
      </w:divBdr>
    </w:div>
    <w:div w:id="225801461">
      <w:bodyDiv w:val="1"/>
      <w:marLeft w:val="0"/>
      <w:marRight w:val="0"/>
      <w:marTop w:val="0"/>
      <w:marBottom w:val="0"/>
      <w:divBdr>
        <w:top w:val="none" w:sz="0" w:space="0" w:color="auto"/>
        <w:left w:val="none" w:sz="0" w:space="0" w:color="auto"/>
        <w:bottom w:val="none" w:sz="0" w:space="0" w:color="auto"/>
        <w:right w:val="none" w:sz="0" w:space="0" w:color="auto"/>
      </w:divBdr>
    </w:div>
    <w:div w:id="226654256">
      <w:bodyDiv w:val="1"/>
      <w:marLeft w:val="0"/>
      <w:marRight w:val="0"/>
      <w:marTop w:val="0"/>
      <w:marBottom w:val="0"/>
      <w:divBdr>
        <w:top w:val="none" w:sz="0" w:space="0" w:color="auto"/>
        <w:left w:val="none" w:sz="0" w:space="0" w:color="auto"/>
        <w:bottom w:val="none" w:sz="0" w:space="0" w:color="auto"/>
        <w:right w:val="none" w:sz="0" w:space="0" w:color="auto"/>
      </w:divBdr>
    </w:div>
    <w:div w:id="230235929">
      <w:bodyDiv w:val="1"/>
      <w:marLeft w:val="0"/>
      <w:marRight w:val="0"/>
      <w:marTop w:val="0"/>
      <w:marBottom w:val="0"/>
      <w:divBdr>
        <w:top w:val="none" w:sz="0" w:space="0" w:color="auto"/>
        <w:left w:val="none" w:sz="0" w:space="0" w:color="auto"/>
        <w:bottom w:val="none" w:sz="0" w:space="0" w:color="auto"/>
        <w:right w:val="none" w:sz="0" w:space="0" w:color="auto"/>
      </w:divBdr>
    </w:div>
    <w:div w:id="230967549">
      <w:bodyDiv w:val="1"/>
      <w:marLeft w:val="0"/>
      <w:marRight w:val="0"/>
      <w:marTop w:val="0"/>
      <w:marBottom w:val="0"/>
      <w:divBdr>
        <w:top w:val="none" w:sz="0" w:space="0" w:color="auto"/>
        <w:left w:val="none" w:sz="0" w:space="0" w:color="auto"/>
        <w:bottom w:val="none" w:sz="0" w:space="0" w:color="auto"/>
        <w:right w:val="none" w:sz="0" w:space="0" w:color="auto"/>
      </w:divBdr>
    </w:div>
    <w:div w:id="231241111">
      <w:bodyDiv w:val="1"/>
      <w:marLeft w:val="0"/>
      <w:marRight w:val="0"/>
      <w:marTop w:val="0"/>
      <w:marBottom w:val="0"/>
      <w:divBdr>
        <w:top w:val="none" w:sz="0" w:space="0" w:color="auto"/>
        <w:left w:val="none" w:sz="0" w:space="0" w:color="auto"/>
        <w:bottom w:val="none" w:sz="0" w:space="0" w:color="auto"/>
        <w:right w:val="none" w:sz="0" w:space="0" w:color="auto"/>
      </w:divBdr>
    </w:div>
    <w:div w:id="232550583">
      <w:bodyDiv w:val="1"/>
      <w:marLeft w:val="0"/>
      <w:marRight w:val="0"/>
      <w:marTop w:val="0"/>
      <w:marBottom w:val="0"/>
      <w:divBdr>
        <w:top w:val="none" w:sz="0" w:space="0" w:color="auto"/>
        <w:left w:val="none" w:sz="0" w:space="0" w:color="auto"/>
        <w:bottom w:val="none" w:sz="0" w:space="0" w:color="auto"/>
        <w:right w:val="none" w:sz="0" w:space="0" w:color="auto"/>
      </w:divBdr>
    </w:div>
    <w:div w:id="232669129">
      <w:bodyDiv w:val="1"/>
      <w:marLeft w:val="0"/>
      <w:marRight w:val="0"/>
      <w:marTop w:val="0"/>
      <w:marBottom w:val="0"/>
      <w:divBdr>
        <w:top w:val="none" w:sz="0" w:space="0" w:color="auto"/>
        <w:left w:val="none" w:sz="0" w:space="0" w:color="auto"/>
        <w:bottom w:val="none" w:sz="0" w:space="0" w:color="auto"/>
        <w:right w:val="none" w:sz="0" w:space="0" w:color="auto"/>
      </w:divBdr>
    </w:div>
    <w:div w:id="233972803">
      <w:bodyDiv w:val="1"/>
      <w:marLeft w:val="0"/>
      <w:marRight w:val="0"/>
      <w:marTop w:val="0"/>
      <w:marBottom w:val="0"/>
      <w:divBdr>
        <w:top w:val="none" w:sz="0" w:space="0" w:color="auto"/>
        <w:left w:val="none" w:sz="0" w:space="0" w:color="auto"/>
        <w:bottom w:val="none" w:sz="0" w:space="0" w:color="auto"/>
        <w:right w:val="none" w:sz="0" w:space="0" w:color="auto"/>
      </w:divBdr>
    </w:div>
    <w:div w:id="234319315">
      <w:bodyDiv w:val="1"/>
      <w:marLeft w:val="0"/>
      <w:marRight w:val="0"/>
      <w:marTop w:val="0"/>
      <w:marBottom w:val="0"/>
      <w:divBdr>
        <w:top w:val="none" w:sz="0" w:space="0" w:color="auto"/>
        <w:left w:val="none" w:sz="0" w:space="0" w:color="auto"/>
        <w:bottom w:val="none" w:sz="0" w:space="0" w:color="auto"/>
        <w:right w:val="none" w:sz="0" w:space="0" w:color="auto"/>
      </w:divBdr>
    </w:div>
    <w:div w:id="235239594">
      <w:bodyDiv w:val="1"/>
      <w:marLeft w:val="0"/>
      <w:marRight w:val="0"/>
      <w:marTop w:val="0"/>
      <w:marBottom w:val="0"/>
      <w:divBdr>
        <w:top w:val="none" w:sz="0" w:space="0" w:color="auto"/>
        <w:left w:val="none" w:sz="0" w:space="0" w:color="auto"/>
        <w:bottom w:val="none" w:sz="0" w:space="0" w:color="auto"/>
        <w:right w:val="none" w:sz="0" w:space="0" w:color="auto"/>
      </w:divBdr>
    </w:div>
    <w:div w:id="236668729">
      <w:bodyDiv w:val="1"/>
      <w:marLeft w:val="0"/>
      <w:marRight w:val="0"/>
      <w:marTop w:val="0"/>
      <w:marBottom w:val="0"/>
      <w:divBdr>
        <w:top w:val="none" w:sz="0" w:space="0" w:color="auto"/>
        <w:left w:val="none" w:sz="0" w:space="0" w:color="auto"/>
        <w:bottom w:val="none" w:sz="0" w:space="0" w:color="auto"/>
        <w:right w:val="none" w:sz="0" w:space="0" w:color="auto"/>
      </w:divBdr>
    </w:div>
    <w:div w:id="236869031">
      <w:bodyDiv w:val="1"/>
      <w:marLeft w:val="0"/>
      <w:marRight w:val="0"/>
      <w:marTop w:val="0"/>
      <w:marBottom w:val="0"/>
      <w:divBdr>
        <w:top w:val="none" w:sz="0" w:space="0" w:color="auto"/>
        <w:left w:val="none" w:sz="0" w:space="0" w:color="auto"/>
        <w:bottom w:val="none" w:sz="0" w:space="0" w:color="auto"/>
        <w:right w:val="none" w:sz="0" w:space="0" w:color="auto"/>
      </w:divBdr>
    </w:div>
    <w:div w:id="237131332">
      <w:bodyDiv w:val="1"/>
      <w:marLeft w:val="0"/>
      <w:marRight w:val="0"/>
      <w:marTop w:val="0"/>
      <w:marBottom w:val="0"/>
      <w:divBdr>
        <w:top w:val="none" w:sz="0" w:space="0" w:color="auto"/>
        <w:left w:val="none" w:sz="0" w:space="0" w:color="auto"/>
        <w:bottom w:val="none" w:sz="0" w:space="0" w:color="auto"/>
        <w:right w:val="none" w:sz="0" w:space="0" w:color="auto"/>
      </w:divBdr>
    </w:div>
    <w:div w:id="237717665">
      <w:bodyDiv w:val="1"/>
      <w:marLeft w:val="0"/>
      <w:marRight w:val="0"/>
      <w:marTop w:val="0"/>
      <w:marBottom w:val="0"/>
      <w:divBdr>
        <w:top w:val="none" w:sz="0" w:space="0" w:color="auto"/>
        <w:left w:val="none" w:sz="0" w:space="0" w:color="auto"/>
        <w:bottom w:val="none" w:sz="0" w:space="0" w:color="auto"/>
        <w:right w:val="none" w:sz="0" w:space="0" w:color="auto"/>
      </w:divBdr>
    </w:div>
    <w:div w:id="239022021">
      <w:bodyDiv w:val="1"/>
      <w:marLeft w:val="0"/>
      <w:marRight w:val="0"/>
      <w:marTop w:val="0"/>
      <w:marBottom w:val="0"/>
      <w:divBdr>
        <w:top w:val="none" w:sz="0" w:space="0" w:color="auto"/>
        <w:left w:val="none" w:sz="0" w:space="0" w:color="auto"/>
        <w:bottom w:val="none" w:sz="0" w:space="0" w:color="auto"/>
        <w:right w:val="none" w:sz="0" w:space="0" w:color="auto"/>
      </w:divBdr>
    </w:div>
    <w:div w:id="239828085">
      <w:bodyDiv w:val="1"/>
      <w:marLeft w:val="0"/>
      <w:marRight w:val="0"/>
      <w:marTop w:val="0"/>
      <w:marBottom w:val="0"/>
      <w:divBdr>
        <w:top w:val="none" w:sz="0" w:space="0" w:color="auto"/>
        <w:left w:val="none" w:sz="0" w:space="0" w:color="auto"/>
        <w:bottom w:val="none" w:sz="0" w:space="0" w:color="auto"/>
        <w:right w:val="none" w:sz="0" w:space="0" w:color="auto"/>
      </w:divBdr>
    </w:div>
    <w:div w:id="239951412">
      <w:bodyDiv w:val="1"/>
      <w:marLeft w:val="0"/>
      <w:marRight w:val="0"/>
      <w:marTop w:val="0"/>
      <w:marBottom w:val="0"/>
      <w:divBdr>
        <w:top w:val="none" w:sz="0" w:space="0" w:color="auto"/>
        <w:left w:val="none" w:sz="0" w:space="0" w:color="auto"/>
        <w:bottom w:val="none" w:sz="0" w:space="0" w:color="auto"/>
        <w:right w:val="none" w:sz="0" w:space="0" w:color="auto"/>
      </w:divBdr>
    </w:div>
    <w:div w:id="240455291">
      <w:bodyDiv w:val="1"/>
      <w:marLeft w:val="0"/>
      <w:marRight w:val="0"/>
      <w:marTop w:val="0"/>
      <w:marBottom w:val="0"/>
      <w:divBdr>
        <w:top w:val="none" w:sz="0" w:space="0" w:color="auto"/>
        <w:left w:val="none" w:sz="0" w:space="0" w:color="auto"/>
        <w:bottom w:val="none" w:sz="0" w:space="0" w:color="auto"/>
        <w:right w:val="none" w:sz="0" w:space="0" w:color="auto"/>
      </w:divBdr>
    </w:div>
    <w:div w:id="243540759">
      <w:bodyDiv w:val="1"/>
      <w:marLeft w:val="0"/>
      <w:marRight w:val="0"/>
      <w:marTop w:val="0"/>
      <w:marBottom w:val="0"/>
      <w:divBdr>
        <w:top w:val="none" w:sz="0" w:space="0" w:color="auto"/>
        <w:left w:val="none" w:sz="0" w:space="0" w:color="auto"/>
        <w:bottom w:val="none" w:sz="0" w:space="0" w:color="auto"/>
        <w:right w:val="none" w:sz="0" w:space="0" w:color="auto"/>
      </w:divBdr>
    </w:div>
    <w:div w:id="245237321">
      <w:bodyDiv w:val="1"/>
      <w:marLeft w:val="0"/>
      <w:marRight w:val="0"/>
      <w:marTop w:val="0"/>
      <w:marBottom w:val="0"/>
      <w:divBdr>
        <w:top w:val="none" w:sz="0" w:space="0" w:color="auto"/>
        <w:left w:val="none" w:sz="0" w:space="0" w:color="auto"/>
        <w:bottom w:val="none" w:sz="0" w:space="0" w:color="auto"/>
        <w:right w:val="none" w:sz="0" w:space="0" w:color="auto"/>
      </w:divBdr>
    </w:div>
    <w:div w:id="245312043">
      <w:bodyDiv w:val="1"/>
      <w:marLeft w:val="0"/>
      <w:marRight w:val="0"/>
      <w:marTop w:val="0"/>
      <w:marBottom w:val="0"/>
      <w:divBdr>
        <w:top w:val="none" w:sz="0" w:space="0" w:color="auto"/>
        <w:left w:val="none" w:sz="0" w:space="0" w:color="auto"/>
        <w:bottom w:val="none" w:sz="0" w:space="0" w:color="auto"/>
        <w:right w:val="none" w:sz="0" w:space="0" w:color="auto"/>
      </w:divBdr>
    </w:div>
    <w:div w:id="246615427">
      <w:bodyDiv w:val="1"/>
      <w:marLeft w:val="0"/>
      <w:marRight w:val="0"/>
      <w:marTop w:val="0"/>
      <w:marBottom w:val="0"/>
      <w:divBdr>
        <w:top w:val="none" w:sz="0" w:space="0" w:color="auto"/>
        <w:left w:val="none" w:sz="0" w:space="0" w:color="auto"/>
        <w:bottom w:val="none" w:sz="0" w:space="0" w:color="auto"/>
        <w:right w:val="none" w:sz="0" w:space="0" w:color="auto"/>
      </w:divBdr>
    </w:div>
    <w:div w:id="246767239">
      <w:bodyDiv w:val="1"/>
      <w:marLeft w:val="0"/>
      <w:marRight w:val="0"/>
      <w:marTop w:val="0"/>
      <w:marBottom w:val="0"/>
      <w:divBdr>
        <w:top w:val="none" w:sz="0" w:space="0" w:color="auto"/>
        <w:left w:val="none" w:sz="0" w:space="0" w:color="auto"/>
        <w:bottom w:val="none" w:sz="0" w:space="0" w:color="auto"/>
        <w:right w:val="none" w:sz="0" w:space="0" w:color="auto"/>
      </w:divBdr>
    </w:div>
    <w:div w:id="246890528">
      <w:bodyDiv w:val="1"/>
      <w:marLeft w:val="0"/>
      <w:marRight w:val="0"/>
      <w:marTop w:val="0"/>
      <w:marBottom w:val="0"/>
      <w:divBdr>
        <w:top w:val="none" w:sz="0" w:space="0" w:color="auto"/>
        <w:left w:val="none" w:sz="0" w:space="0" w:color="auto"/>
        <w:bottom w:val="none" w:sz="0" w:space="0" w:color="auto"/>
        <w:right w:val="none" w:sz="0" w:space="0" w:color="auto"/>
      </w:divBdr>
    </w:div>
    <w:div w:id="247006982">
      <w:bodyDiv w:val="1"/>
      <w:marLeft w:val="0"/>
      <w:marRight w:val="0"/>
      <w:marTop w:val="0"/>
      <w:marBottom w:val="0"/>
      <w:divBdr>
        <w:top w:val="none" w:sz="0" w:space="0" w:color="auto"/>
        <w:left w:val="none" w:sz="0" w:space="0" w:color="auto"/>
        <w:bottom w:val="none" w:sz="0" w:space="0" w:color="auto"/>
        <w:right w:val="none" w:sz="0" w:space="0" w:color="auto"/>
      </w:divBdr>
    </w:div>
    <w:div w:id="249627019">
      <w:bodyDiv w:val="1"/>
      <w:marLeft w:val="0"/>
      <w:marRight w:val="0"/>
      <w:marTop w:val="0"/>
      <w:marBottom w:val="0"/>
      <w:divBdr>
        <w:top w:val="none" w:sz="0" w:space="0" w:color="auto"/>
        <w:left w:val="none" w:sz="0" w:space="0" w:color="auto"/>
        <w:bottom w:val="none" w:sz="0" w:space="0" w:color="auto"/>
        <w:right w:val="none" w:sz="0" w:space="0" w:color="auto"/>
      </w:divBdr>
    </w:div>
    <w:div w:id="250160720">
      <w:bodyDiv w:val="1"/>
      <w:marLeft w:val="0"/>
      <w:marRight w:val="0"/>
      <w:marTop w:val="0"/>
      <w:marBottom w:val="0"/>
      <w:divBdr>
        <w:top w:val="none" w:sz="0" w:space="0" w:color="auto"/>
        <w:left w:val="none" w:sz="0" w:space="0" w:color="auto"/>
        <w:bottom w:val="none" w:sz="0" w:space="0" w:color="auto"/>
        <w:right w:val="none" w:sz="0" w:space="0" w:color="auto"/>
      </w:divBdr>
    </w:div>
    <w:div w:id="253126572">
      <w:bodyDiv w:val="1"/>
      <w:marLeft w:val="0"/>
      <w:marRight w:val="0"/>
      <w:marTop w:val="0"/>
      <w:marBottom w:val="0"/>
      <w:divBdr>
        <w:top w:val="none" w:sz="0" w:space="0" w:color="auto"/>
        <w:left w:val="none" w:sz="0" w:space="0" w:color="auto"/>
        <w:bottom w:val="none" w:sz="0" w:space="0" w:color="auto"/>
        <w:right w:val="none" w:sz="0" w:space="0" w:color="auto"/>
      </w:divBdr>
    </w:div>
    <w:div w:id="254099415">
      <w:bodyDiv w:val="1"/>
      <w:marLeft w:val="0"/>
      <w:marRight w:val="0"/>
      <w:marTop w:val="0"/>
      <w:marBottom w:val="0"/>
      <w:divBdr>
        <w:top w:val="none" w:sz="0" w:space="0" w:color="auto"/>
        <w:left w:val="none" w:sz="0" w:space="0" w:color="auto"/>
        <w:bottom w:val="none" w:sz="0" w:space="0" w:color="auto"/>
        <w:right w:val="none" w:sz="0" w:space="0" w:color="auto"/>
      </w:divBdr>
    </w:div>
    <w:div w:id="255792990">
      <w:bodyDiv w:val="1"/>
      <w:marLeft w:val="0"/>
      <w:marRight w:val="0"/>
      <w:marTop w:val="0"/>
      <w:marBottom w:val="0"/>
      <w:divBdr>
        <w:top w:val="none" w:sz="0" w:space="0" w:color="auto"/>
        <w:left w:val="none" w:sz="0" w:space="0" w:color="auto"/>
        <w:bottom w:val="none" w:sz="0" w:space="0" w:color="auto"/>
        <w:right w:val="none" w:sz="0" w:space="0" w:color="auto"/>
      </w:divBdr>
    </w:div>
    <w:div w:id="256182674">
      <w:bodyDiv w:val="1"/>
      <w:marLeft w:val="0"/>
      <w:marRight w:val="0"/>
      <w:marTop w:val="0"/>
      <w:marBottom w:val="0"/>
      <w:divBdr>
        <w:top w:val="none" w:sz="0" w:space="0" w:color="auto"/>
        <w:left w:val="none" w:sz="0" w:space="0" w:color="auto"/>
        <w:bottom w:val="none" w:sz="0" w:space="0" w:color="auto"/>
        <w:right w:val="none" w:sz="0" w:space="0" w:color="auto"/>
      </w:divBdr>
    </w:div>
    <w:div w:id="256403939">
      <w:bodyDiv w:val="1"/>
      <w:marLeft w:val="0"/>
      <w:marRight w:val="0"/>
      <w:marTop w:val="0"/>
      <w:marBottom w:val="0"/>
      <w:divBdr>
        <w:top w:val="none" w:sz="0" w:space="0" w:color="auto"/>
        <w:left w:val="none" w:sz="0" w:space="0" w:color="auto"/>
        <w:bottom w:val="none" w:sz="0" w:space="0" w:color="auto"/>
        <w:right w:val="none" w:sz="0" w:space="0" w:color="auto"/>
      </w:divBdr>
    </w:div>
    <w:div w:id="257911345">
      <w:bodyDiv w:val="1"/>
      <w:marLeft w:val="0"/>
      <w:marRight w:val="0"/>
      <w:marTop w:val="0"/>
      <w:marBottom w:val="0"/>
      <w:divBdr>
        <w:top w:val="none" w:sz="0" w:space="0" w:color="auto"/>
        <w:left w:val="none" w:sz="0" w:space="0" w:color="auto"/>
        <w:bottom w:val="none" w:sz="0" w:space="0" w:color="auto"/>
        <w:right w:val="none" w:sz="0" w:space="0" w:color="auto"/>
      </w:divBdr>
    </w:div>
    <w:div w:id="258148726">
      <w:bodyDiv w:val="1"/>
      <w:marLeft w:val="0"/>
      <w:marRight w:val="0"/>
      <w:marTop w:val="0"/>
      <w:marBottom w:val="0"/>
      <w:divBdr>
        <w:top w:val="none" w:sz="0" w:space="0" w:color="auto"/>
        <w:left w:val="none" w:sz="0" w:space="0" w:color="auto"/>
        <w:bottom w:val="none" w:sz="0" w:space="0" w:color="auto"/>
        <w:right w:val="none" w:sz="0" w:space="0" w:color="auto"/>
      </w:divBdr>
    </w:div>
    <w:div w:id="259218037">
      <w:bodyDiv w:val="1"/>
      <w:marLeft w:val="0"/>
      <w:marRight w:val="0"/>
      <w:marTop w:val="0"/>
      <w:marBottom w:val="0"/>
      <w:divBdr>
        <w:top w:val="none" w:sz="0" w:space="0" w:color="auto"/>
        <w:left w:val="none" w:sz="0" w:space="0" w:color="auto"/>
        <w:bottom w:val="none" w:sz="0" w:space="0" w:color="auto"/>
        <w:right w:val="none" w:sz="0" w:space="0" w:color="auto"/>
      </w:divBdr>
    </w:div>
    <w:div w:id="259264207">
      <w:bodyDiv w:val="1"/>
      <w:marLeft w:val="0"/>
      <w:marRight w:val="0"/>
      <w:marTop w:val="0"/>
      <w:marBottom w:val="0"/>
      <w:divBdr>
        <w:top w:val="none" w:sz="0" w:space="0" w:color="auto"/>
        <w:left w:val="none" w:sz="0" w:space="0" w:color="auto"/>
        <w:bottom w:val="none" w:sz="0" w:space="0" w:color="auto"/>
        <w:right w:val="none" w:sz="0" w:space="0" w:color="auto"/>
      </w:divBdr>
    </w:div>
    <w:div w:id="259488313">
      <w:bodyDiv w:val="1"/>
      <w:marLeft w:val="0"/>
      <w:marRight w:val="0"/>
      <w:marTop w:val="0"/>
      <w:marBottom w:val="0"/>
      <w:divBdr>
        <w:top w:val="none" w:sz="0" w:space="0" w:color="auto"/>
        <w:left w:val="none" w:sz="0" w:space="0" w:color="auto"/>
        <w:bottom w:val="none" w:sz="0" w:space="0" w:color="auto"/>
        <w:right w:val="none" w:sz="0" w:space="0" w:color="auto"/>
      </w:divBdr>
    </w:div>
    <w:div w:id="259994761">
      <w:bodyDiv w:val="1"/>
      <w:marLeft w:val="0"/>
      <w:marRight w:val="0"/>
      <w:marTop w:val="0"/>
      <w:marBottom w:val="0"/>
      <w:divBdr>
        <w:top w:val="none" w:sz="0" w:space="0" w:color="auto"/>
        <w:left w:val="none" w:sz="0" w:space="0" w:color="auto"/>
        <w:bottom w:val="none" w:sz="0" w:space="0" w:color="auto"/>
        <w:right w:val="none" w:sz="0" w:space="0" w:color="auto"/>
      </w:divBdr>
    </w:div>
    <w:div w:id="260646757">
      <w:bodyDiv w:val="1"/>
      <w:marLeft w:val="0"/>
      <w:marRight w:val="0"/>
      <w:marTop w:val="0"/>
      <w:marBottom w:val="0"/>
      <w:divBdr>
        <w:top w:val="none" w:sz="0" w:space="0" w:color="auto"/>
        <w:left w:val="none" w:sz="0" w:space="0" w:color="auto"/>
        <w:bottom w:val="none" w:sz="0" w:space="0" w:color="auto"/>
        <w:right w:val="none" w:sz="0" w:space="0" w:color="auto"/>
      </w:divBdr>
    </w:div>
    <w:div w:id="260993895">
      <w:bodyDiv w:val="1"/>
      <w:marLeft w:val="0"/>
      <w:marRight w:val="0"/>
      <w:marTop w:val="0"/>
      <w:marBottom w:val="0"/>
      <w:divBdr>
        <w:top w:val="none" w:sz="0" w:space="0" w:color="auto"/>
        <w:left w:val="none" w:sz="0" w:space="0" w:color="auto"/>
        <w:bottom w:val="none" w:sz="0" w:space="0" w:color="auto"/>
        <w:right w:val="none" w:sz="0" w:space="0" w:color="auto"/>
      </w:divBdr>
    </w:div>
    <w:div w:id="261450891">
      <w:bodyDiv w:val="1"/>
      <w:marLeft w:val="0"/>
      <w:marRight w:val="0"/>
      <w:marTop w:val="0"/>
      <w:marBottom w:val="0"/>
      <w:divBdr>
        <w:top w:val="none" w:sz="0" w:space="0" w:color="auto"/>
        <w:left w:val="none" w:sz="0" w:space="0" w:color="auto"/>
        <w:bottom w:val="none" w:sz="0" w:space="0" w:color="auto"/>
        <w:right w:val="none" w:sz="0" w:space="0" w:color="auto"/>
      </w:divBdr>
    </w:div>
    <w:div w:id="261766661">
      <w:bodyDiv w:val="1"/>
      <w:marLeft w:val="0"/>
      <w:marRight w:val="0"/>
      <w:marTop w:val="0"/>
      <w:marBottom w:val="0"/>
      <w:divBdr>
        <w:top w:val="none" w:sz="0" w:space="0" w:color="auto"/>
        <w:left w:val="none" w:sz="0" w:space="0" w:color="auto"/>
        <w:bottom w:val="none" w:sz="0" w:space="0" w:color="auto"/>
        <w:right w:val="none" w:sz="0" w:space="0" w:color="auto"/>
      </w:divBdr>
    </w:div>
    <w:div w:id="262301527">
      <w:bodyDiv w:val="1"/>
      <w:marLeft w:val="0"/>
      <w:marRight w:val="0"/>
      <w:marTop w:val="0"/>
      <w:marBottom w:val="0"/>
      <w:divBdr>
        <w:top w:val="none" w:sz="0" w:space="0" w:color="auto"/>
        <w:left w:val="none" w:sz="0" w:space="0" w:color="auto"/>
        <w:bottom w:val="none" w:sz="0" w:space="0" w:color="auto"/>
        <w:right w:val="none" w:sz="0" w:space="0" w:color="auto"/>
      </w:divBdr>
    </w:div>
    <w:div w:id="263266243">
      <w:bodyDiv w:val="1"/>
      <w:marLeft w:val="0"/>
      <w:marRight w:val="0"/>
      <w:marTop w:val="0"/>
      <w:marBottom w:val="0"/>
      <w:divBdr>
        <w:top w:val="none" w:sz="0" w:space="0" w:color="auto"/>
        <w:left w:val="none" w:sz="0" w:space="0" w:color="auto"/>
        <w:bottom w:val="none" w:sz="0" w:space="0" w:color="auto"/>
        <w:right w:val="none" w:sz="0" w:space="0" w:color="auto"/>
      </w:divBdr>
    </w:div>
    <w:div w:id="263272487">
      <w:bodyDiv w:val="1"/>
      <w:marLeft w:val="0"/>
      <w:marRight w:val="0"/>
      <w:marTop w:val="0"/>
      <w:marBottom w:val="0"/>
      <w:divBdr>
        <w:top w:val="none" w:sz="0" w:space="0" w:color="auto"/>
        <w:left w:val="none" w:sz="0" w:space="0" w:color="auto"/>
        <w:bottom w:val="none" w:sz="0" w:space="0" w:color="auto"/>
        <w:right w:val="none" w:sz="0" w:space="0" w:color="auto"/>
      </w:divBdr>
    </w:div>
    <w:div w:id="263420774">
      <w:bodyDiv w:val="1"/>
      <w:marLeft w:val="0"/>
      <w:marRight w:val="0"/>
      <w:marTop w:val="0"/>
      <w:marBottom w:val="0"/>
      <w:divBdr>
        <w:top w:val="none" w:sz="0" w:space="0" w:color="auto"/>
        <w:left w:val="none" w:sz="0" w:space="0" w:color="auto"/>
        <w:bottom w:val="none" w:sz="0" w:space="0" w:color="auto"/>
        <w:right w:val="none" w:sz="0" w:space="0" w:color="auto"/>
      </w:divBdr>
    </w:div>
    <w:div w:id="263733134">
      <w:bodyDiv w:val="1"/>
      <w:marLeft w:val="0"/>
      <w:marRight w:val="0"/>
      <w:marTop w:val="0"/>
      <w:marBottom w:val="0"/>
      <w:divBdr>
        <w:top w:val="none" w:sz="0" w:space="0" w:color="auto"/>
        <w:left w:val="none" w:sz="0" w:space="0" w:color="auto"/>
        <w:bottom w:val="none" w:sz="0" w:space="0" w:color="auto"/>
        <w:right w:val="none" w:sz="0" w:space="0" w:color="auto"/>
      </w:divBdr>
    </w:div>
    <w:div w:id="267466109">
      <w:bodyDiv w:val="1"/>
      <w:marLeft w:val="0"/>
      <w:marRight w:val="0"/>
      <w:marTop w:val="0"/>
      <w:marBottom w:val="0"/>
      <w:divBdr>
        <w:top w:val="none" w:sz="0" w:space="0" w:color="auto"/>
        <w:left w:val="none" w:sz="0" w:space="0" w:color="auto"/>
        <w:bottom w:val="none" w:sz="0" w:space="0" w:color="auto"/>
        <w:right w:val="none" w:sz="0" w:space="0" w:color="auto"/>
      </w:divBdr>
    </w:div>
    <w:div w:id="267588984">
      <w:bodyDiv w:val="1"/>
      <w:marLeft w:val="0"/>
      <w:marRight w:val="0"/>
      <w:marTop w:val="0"/>
      <w:marBottom w:val="0"/>
      <w:divBdr>
        <w:top w:val="none" w:sz="0" w:space="0" w:color="auto"/>
        <w:left w:val="none" w:sz="0" w:space="0" w:color="auto"/>
        <w:bottom w:val="none" w:sz="0" w:space="0" w:color="auto"/>
        <w:right w:val="none" w:sz="0" w:space="0" w:color="auto"/>
      </w:divBdr>
    </w:div>
    <w:div w:id="268978130">
      <w:bodyDiv w:val="1"/>
      <w:marLeft w:val="0"/>
      <w:marRight w:val="0"/>
      <w:marTop w:val="0"/>
      <w:marBottom w:val="0"/>
      <w:divBdr>
        <w:top w:val="none" w:sz="0" w:space="0" w:color="auto"/>
        <w:left w:val="none" w:sz="0" w:space="0" w:color="auto"/>
        <w:bottom w:val="none" w:sz="0" w:space="0" w:color="auto"/>
        <w:right w:val="none" w:sz="0" w:space="0" w:color="auto"/>
      </w:divBdr>
    </w:div>
    <w:div w:id="269901847">
      <w:bodyDiv w:val="1"/>
      <w:marLeft w:val="0"/>
      <w:marRight w:val="0"/>
      <w:marTop w:val="0"/>
      <w:marBottom w:val="0"/>
      <w:divBdr>
        <w:top w:val="none" w:sz="0" w:space="0" w:color="auto"/>
        <w:left w:val="none" w:sz="0" w:space="0" w:color="auto"/>
        <w:bottom w:val="none" w:sz="0" w:space="0" w:color="auto"/>
        <w:right w:val="none" w:sz="0" w:space="0" w:color="auto"/>
      </w:divBdr>
    </w:div>
    <w:div w:id="270281445">
      <w:bodyDiv w:val="1"/>
      <w:marLeft w:val="0"/>
      <w:marRight w:val="0"/>
      <w:marTop w:val="0"/>
      <w:marBottom w:val="0"/>
      <w:divBdr>
        <w:top w:val="none" w:sz="0" w:space="0" w:color="auto"/>
        <w:left w:val="none" w:sz="0" w:space="0" w:color="auto"/>
        <w:bottom w:val="none" w:sz="0" w:space="0" w:color="auto"/>
        <w:right w:val="none" w:sz="0" w:space="0" w:color="auto"/>
      </w:divBdr>
    </w:div>
    <w:div w:id="271205186">
      <w:bodyDiv w:val="1"/>
      <w:marLeft w:val="0"/>
      <w:marRight w:val="0"/>
      <w:marTop w:val="0"/>
      <w:marBottom w:val="0"/>
      <w:divBdr>
        <w:top w:val="none" w:sz="0" w:space="0" w:color="auto"/>
        <w:left w:val="none" w:sz="0" w:space="0" w:color="auto"/>
        <w:bottom w:val="none" w:sz="0" w:space="0" w:color="auto"/>
        <w:right w:val="none" w:sz="0" w:space="0" w:color="auto"/>
      </w:divBdr>
    </w:div>
    <w:div w:id="271740872">
      <w:bodyDiv w:val="1"/>
      <w:marLeft w:val="0"/>
      <w:marRight w:val="0"/>
      <w:marTop w:val="0"/>
      <w:marBottom w:val="0"/>
      <w:divBdr>
        <w:top w:val="none" w:sz="0" w:space="0" w:color="auto"/>
        <w:left w:val="none" w:sz="0" w:space="0" w:color="auto"/>
        <w:bottom w:val="none" w:sz="0" w:space="0" w:color="auto"/>
        <w:right w:val="none" w:sz="0" w:space="0" w:color="auto"/>
      </w:divBdr>
    </w:div>
    <w:div w:id="271863403">
      <w:bodyDiv w:val="1"/>
      <w:marLeft w:val="0"/>
      <w:marRight w:val="0"/>
      <w:marTop w:val="0"/>
      <w:marBottom w:val="0"/>
      <w:divBdr>
        <w:top w:val="none" w:sz="0" w:space="0" w:color="auto"/>
        <w:left w:val="none" w:sz="0" w:space="0" w:color="auto"/>
        <w:bottom w:val="none" w:sz="0" w:space="0" w:color="auto"/>
        <w:right w:val="none" w:sz="0" w:space="0" w:color="auto"/>
      </w:divBdr>
    </w:div>
    <w:div w:id="273369713">
      <w:bodyDiv w:val="1"/>
      <w:marLeft w:val="0"/>
      <w:marRight w:val="0"/>
      <w:marTop w:val="0"/>
      <w:marBottom w:val="0"/>
      <w:divBdr>
        <w:top w:val="none" w:sz="0" w:space="0" w:color="auto"/>
        <w:left w:val="none" w:sz="0" w:space="0" w:color="auto"/>
        <w:bottom w:val="none" w:sz="0" w:space="0" w:color="auto"/>
        <w:right w:val="none" w:sz="0" w:space="0" w:color="auto"/>
      </w:divBdr>
    </w:div>
    <w:div w:id="273513844">
      <w:bodyDiv w:val="1"/>
      <w:marLeft w:val="0"/>
      <w:marRight w:val="0"/>
      <w:marTop w:val="0"/>
      <w:marBottom w:val="0"/>
      <w:divBdr>
        <w:top w:val="none" w:sz="0" w:space="0" w:color="auto"/>
        <w:left w:val="none" w:sz="0" w:space="0" w:color="auto"/>
        <w:bottom w:val="none" w:sz="0" w:space="0" w:color="auto"/>
        <w:right w:val="none" w:sz="0" w:space="0" w:color="auto"/>
      </w:divBdr>
    </w:div>
    <w:div w:id="273556026">
      <w:bodyDiv w:val="1"/>
      <w:marLeft w:val="0"/>
      <w:marRight w:val="0"/>
      <w:marTop w:val="0"/>
      <w:marBottom w:val="0"/>
      <w:divBdr>
        <w:top w:val="none" w:sz="0" w:space="0" w:color="auto"/>
        <w:left w:val="none" w:sz="0" w:space="0" w:color="auto"/>
        <w:bottom w:val="none" w:sz="0" w:space="0" w:color="auto"/>
        <w:right w:val="none" w:sz="0" w:space="0" w:color="auto"/>
      </w:divBdr>
    </w:div>
    <w:div w:id="274867084">
      <w:bodyDiv w:val="1"/>
      <w:marLeft w:val="0"/>
      <w:marRight w:val="0"/>
      <w:marTop w:val="0"/>
      <w:marBottom w:val="0"/>
      <w:divBdr>
        <w:top w:val="none" w:sz="0" w:space="0" w:color="auto"/>
        <w:left w:val="none" w:sz="0" w:space="0" w:color="auto"/>
        <w:bottom w:val="none" w:sz="0" w:space="0" w:color="auto"/>
        <w:right w:val="none" w:sz="0" w:space="0" w:color="auto"/>
      </w:divBdr>
    </w:div>
    <w:div w:id="275066717">
      <w:bodyDiv w:val="1"/>
      <w:marLeft w:val="0"/>
      <w:marRight w:val="0"/>
      <w:marTop w:val="0"/>
      <w:marBottom w:val="0"/>
      <w:divBdr>
        <w:top w:val="none" w:sz="0" w:space="0" w:color="auto"/>
        <w:left w:val="none" w:sz="0" w:space="0" w:color="auto"/>
        <w:bottom w:val="none" w:sz="0" w:space="0" w:color="auto"/>
        <w:right w:val="none" w:sz="0" w:space="0" w:color="auto"/>
      </w:divBdr>
    </w:div>
    <w:div w:id="275529591">
      <w:bodyDiv w:val="1"/>
      <w:marLeft w:val="0"/>
      <w:marRight w:val="0"/>
      <w:marTop w:val="0"/>
      <w:marBottom w:val="0"/>
      <w:divBdr>
        <w:top w:val="none" w:sz="0" w:space="0" w:color="auto"/>
        <w:left w:val="none" w:sz="0" w:space="0" w:color="auto"/>
        <w:bottom w:val="none" w:sz="0" w:space="0" w:color="auto"/>
        <w:right w:val="none" w:sz="0" w:space="0" w:color="auto"/>
      </w:divBdr>
    </w:div>
    <w:div w:id="275986789">
      <w:bodyDiv w:val="1"/>
      <w:marLeft w:val="0"/>
      <w:marRight w:val="0"/>
      <w:marTop w:val="0"/>
      <w:marBottom w:val="0"/>
      <w:divBdr>
        <w:top w:val="none" w:sz="0" w:space="0" w:color="auto"/>
        <w:left w:val="none" w:sz="0" w:space="0" w:color="auto"/>
        <w:bottom w:val="none" w:sz="0" w:space="0" w:color="auto"/>
        <w:right w:val="none" w:sz="0" w:space="0" w:color="auto"/>
      </w:divBdr>
    </w:div>
    <w:div w:id="276370629">
      <w:bodyDiv w:val="1"/>
      <w:marLeft w:val="0"/>
      <w:marRight w:val="0"/>
      <w:marTop w:val="0"/>
      <w:marBottom w:val="0"/>
      <w:divBdr>
        <w:top w:val="none" w:sz="0" w:space="0" w:color="auto"/>
        <w:left w:val="none" w:sz="0" w:space="0" w:color="auto"/>
        <w:bottom w:val="none" w:sz="0" w:space="0" w:color="auto"/>
        <w:right w:val="none" w:sz="0" w:space="0" w:color="auto"/>
      </w:divBdr>
    </w:div>
    <w:div w:id="278682836">
      <w:bodyDiv w:val="1"/>
      <w:marLeft w:val="0"/>
      <w:marRight w:val="0"/>
      <w:marTop w:val="0"/>
      <w:marBottom w:val="0"/>
      <w:divBdr>
        <w:top w:val="none" w:sz="0" w:space="0" w:color="auto"/>
        <w:left w:val="none" w:sz="0" w:space="0" w:color="auto"/>
        <w:bottom w:val="none" w:sz="0" w:space="0" w:color="auto"/>
        <w:right w:val="none" w:sz="0" w:space="0" w:color="auto"/>
      </w:divBdr>
    </w:div>
    <w:div w:id="278951869">
      <w:bodyDiv w:val="1"/>
      <w:marLeft w:val="0"/>
      <w:marRight w:val="0"/>
      <w:marTop w:val="0"/>
      <w:marBottom w:val="0"/>
      <w:divBdr>
        <w:top w:val="none" w:sz="0" w:space="0" w:color="auto"/>
        <w:left w:val="none" w:sz="0" w:space="0" w:color="auto"/>
        <w:bottom w:val="none" w:sz="0" w:space="0" w:color="auto"/>
        <w:right w:val="none" w:sz="0" w:space="0" w:color="auto"/>
      </w:divBdr>
    </w:div>
    <w:div w:id="279922436">
      <w:bodyDiv w:val="1"/>
      <w:marLeft w:val="0"/>
      <w:marRight w:val="0"/>
      <w:marTop w:val="0"/>
      <w:marBottom w:val="0"/>
      <w:divBdr>
        <w:top w:val="none" w:sz="0" w:space="0" w:color="auto"/>
        <w:left w:val="none" w:sz="0" w:space="0" w:color="auto"/>
        <w:bottom w:val="none" w:sz="0" w:space="0" w:color="auto"/>
        <w:right w:val="none" w:sz="0" w:space="0" w:color="auto"/>
      </w:divBdr>
    </w:div>
    <w:div w:id="280308522">
      <w:bodyDiv w:val="1"/>
      <w:marLeft w:val="0"/>
      <w:marRight w:val="0"/>
      <w:marTop w:val="0"/>
      <w:marBottom w:val="0"/>
      <w:divBdr>
        <w:top w:val="none" w:sz="0" w:space="0" w:color="auto"/>
        <w:left w:val="none" w:sz="0" w:space="0" w:color="auto"/>
        <w:bottom w:val="none" w:sz="0" w:space="0" w:color="auto"/>
        <w:right w:val="none" w:sz="0" w:space="0" w:color="auto"/>
      </w:divBdr>
    </w:div>
    <w:div w:id="280887713">
      <w:bodyDiv w:val="1"/>
      <w:marLeft w:val="0"/>
      <w:marRight w:val="0"/>
      <w:marTop w:val="0"/>
      <w:marBottom w:val="0"/>
      <w:divBdr>
        <w:top w:val="none" w:sz="0" w:space="0" w:color="auto"/>
        <w:left w:val="none" w:sz="0" w:space="0" w:color="auto"/>
        <w:bottom w:val="none" w:sz="0" w:space="0" w:color="auto"/>
        <w:right w:val="none" w:sz="0" w:space="0" w:color="auto"/>
      </w:divBdr>
    </w:div>
    <w:div w:id="281964863">
      <w:bodyDiv w:val="1"/>
      <w:marLeft w:val="0"/>
      <w:marRight w:val="0"/>
      <w:marTop w:val="0"/>
      <w:marBottom w:val="0"/>
      <w:divBdr>
        <w:top w:val="none" w:sz="0" w:space="0" w:color="auto"/>
        <w:left w:val="none" w:sz="0" w:space="0" w:color="auto"/>
        <w:bottom w:val="none" w:sz="0" w:space="0" w:color="auto"/>
        <w:right w:val="none" w:sz="0" w:space="0" w:color="auto"/>
      </w:divBdr>
    </w:div>
    <w:div w:id="283921973">
      <w:bodyDiv w:val="1"/>
      <w:marLeft w:val="0"/>
      <w:marRight w:val="0"/>
      <w:marTop w:val="0"/>
      <w:marBottom w:val="0"/>
      <w:divBdr>
        <w:top w:val="none" w:sz="0" w:space="0" w:color="auto"/>
        <w:left w:val="none" w:sz="0" w:space="0" w:color="auto"/>
        <w:bottom w:val="none" w:sz="0" w:space="0" w:color="auto"/>
        <w:right w:val="none" w:sz="0" w:space="0" w:color="auto"/>
      </w:divBdr>
    </w:div>
    <w:div w:id="284194829">
      <w:bodyDiv w:val="1"/>
      <w:marLeft w:val="0"/>
      <w:marRight w:val="0"/>
      <w:marTop w:val="0"/>
      <w:marBottom w:val="0"/>
      <w:divBdr>
        <w:top w:val="none" w:sz="0" w:space="0" w:color="auto"/>
        <w:left w:val="none" w:sz="0" w:space="0" w:color="auto"/>
        <w:bottom w:val="none" w:sz="0" w:space="0" w:color="auto"/>
        <w:right w:val="none" w:sz="0" w:space="0" w:color="auto"/>
      </w:divBdr>
    </w:div>
    <w:div w:id="286282596">
      <w:bodyDiv w:val="1"/>
      <w:marLeft w:val="0"/>
      <w:marRight w:val="0"/>
      <w:marTop w:val="0"/>
      <w:marBottom w:val="0"/>
      <w:divBdr>
        <w:top w:val="none" w:sz="0" w:space="0" w:color="auto"/>
        <w:left w:val="none" w:sz="0" w:space="0" w:color="auto"/>
        <w:bottom w:val="none" w:sz="0" w:space="0" w:color="auto"/>
        <w:right w:val="none" w:sz="0" w:space="0" w:color="auto"/>
      </w:divBdr>
    </w:div>
    <w:div w:id="287320969">
      <w:bodyDiv w:val="1"/>
      <w:marLeft w:val="0"/>
      <w:marRight w:val="0"/>
      <w:marTop w:val="0"/>
      <w:marBottom w:val="0"/>
      <w:divBdr>
        <w:top w:val="none" w:sz="0" w:space="0" w:color="auto"/>
        <w:left w:val="none" w:sz="0" w:space="0" w:color="auto"/>
        <w:bottom w:val="none" w:sz="0" w:space="0" w:color="auto"/>
        <w:right w:val="none" w:sz="0" w:space="0" w:color="auto"/>
      </w:divBdr>
    </w:div>
    <w:div w:id="288780301">
      <w:bodyDiv w:val="1"/>
      <w:marLeft w:val="0"/>
      <w:marRight w:val="0"/>
      <w:marTop w:val="0"/>
      <w:marBottom w:val="0"/>
      <w:divBdr>
        <w:top w:val="none" w:sz="0" w:space="0" w:color="auto"/>
        <w:left w:val="none" w:sz="0" w:space="0" w:color="auto"/>
        <w:bottom w:val="none" w:sz="0" w:space="0" w:color="auto"/>
        <w:right w:val="none" w:sz="0" w:space="0" w:color="auto"/>
      </w:divBdr>
    </w:div>
    <w:div w:id="290719597">
      <w:bodyDiv w:val="1"/>
      <w:marLeft w:val="0"/>
      <w:marRight w:val="0"/>
      <w:marTop w:val="0"/>
      <w:marBottom w:val="0"/>
      <w:divBdr>
        <w:top w:val="none" w:sz="0" w:space="0" w:color="auto"/>
        <w:left w:val="none" w:sz="0" w:space="0" w:color="auto"/>
        <w:bottom w:val="none" w:sz="0" w:space="0" w:color="auto"/>
        <w:right w:val="none" w:sz="0" w:space="0" w:color="auto"/>
      </w:divBdr>
    </w:div>
    <w:div w:id="290793058">
      <w:bodyDiv w:val="1"/>
      <w:marLeft w:val="0"/>
      <w:marRight w:val="0"/>
      <w:marTop w:val="0"/>
      <w:marBottom w:val="0"/>
      <w:divBdr>
        <w:top w:val="none" w:sz="0" w:space="0" w:color="auto"/>
        <w:left w:val="none" w:sz="0" w:space="0" w:color="auto"/>
        <w:bottom w:val="none" w:sz="0" w:space="0" w:color="auto"/>
        <w:right w:val="none" w:sz="0" w:space="0" w:color="auto"/>
      </w:divBdr>
    </w:div>
    <w:div w:id="291834367">
      <w:bodyDiv w:val="1"/>
      <w:marLeft w:val="0"/>
      <w:marRight w:val="0"/>
      <w:marTop w:val="0"/>
      <w:marBottom w:val="0"/>
      <w:divBdr>
        <w:top w:val="none" w:sz="0" w:space="0" w:color="auto"/>
        <w:left w:val="none" w:sz="0" w:space="0" w:color="auto"/>
        <w:bottom w:val="none" w:sz="0" w:space="0" w:color="auto"/>
        <w:right w:val="none" w:sz="0" w:space="0" w:color="auto"/>
      </w:divBdr>
    </w:div>
    <w:div w:id="292833626">
      <w:bodyDiv w:val="1"/>
      <w:marLeft w:val="0"/>
      <w:marRight w:val="0"/>
      <w:marTop w:val="0"/>
      <w:marBottom w:val="0"/>
      <w:divBdr>
        <w:top w:val="none" w:sz="0" w:space="0" w:color="auto"/>
        <w:left w:val="none" w:sz="0" w:space="0" w:color="auto"/>
        <w:bottom w:val="none" w:sz="0" w:space="0" w:color="auto"/>
        <w:right w:val="none" w:sz="0" w:space="0" w:color="auto"/>
      </w:divBdr>
    </w:div>
    <w:div w:id="292835516">
      <w:bodyDiv w:val="1"/>
      <w:marLeft w:val="0"/>
      <w:marRight w:val="0"/>
      <w:marTop w:val="0"/>
      <w:marBottom w:val="0"/>
      <w:divBdr>
        <w:top w:val="none" w:sz="0" w:space="0" w:color="auto"/>
        <w:left w:val="none" w:sz="0" w:space="0" w:color="auto"/>
        <w:bottom w:val="none" w:sz="0" w:space="0" w:color="auto"/>
        <w:right w:val="none" w:sz="0" w:space="0" w:color="auto"/>
      </w:divBdr>
    </w:div>
    <w:div w:id="294484386">
      <w:bodyDiv w:val="1"/>
      <w:marLeft w:val="0"/>
      <w:marRight w:val="0"/>
      <w:marTop w:val="0"/>
      <w:marBottom w:val="0"/>
      <w:divBdr>
        <w:top w:val="none" w:sz="0" w:space="0" w:color="auto"/>
        <w:left w:val="none" w:sz="0" w:space="0" w:color="auto"/>
        <w:bottom w:val="none" w:sz="0" w:space="0" w:color="auto"/>
        <w:right w:val="none" w:sz="0" w:space="0" w:color="auto"/>
      </w:divBdr>
    </w:div>
    <w:div w:id="295456603">
      <w:bodyDiv w:val="1"/>
      <w:marLeft w:val="0"/>
      <w:marRight w:val="0"/>
      <w:marTop w:val="0"/>
      <w:marBottom w:val="0"/>
      <w:divBdr>
        <w:top w:val="none" w:sz="0" w:space="0" w:color="auto"/>
        <w:left w:val="none" w:sz="0" w:space="0" w:color="auto"/>
        <w:bottom w:val="none" w:sz="0" w:space="0" w:color="auto"/>
        <w:right w:val="none" w:sz="0" w:space="0" w:color="auto"/>
      </w:divBdr>
    </w:div>
    <w:div w:id="295719737">
      <w:bodyDiv w:val="1"/>
      <w:marLeft w:val="0"/>
      <w:marRight w:val="0"/>
      <w:marTop w:val="0"/>
      <w:marBottom w:val="0"/>
      <w:divBdr>
        <w:top w:val="none" w:sz="0" w:space="0" w:color="auto"/>
        <w:left w:val="none" w:sz="0" w:space="0" w:color="auto"/>
        <w:bottom w:val="none" w:sz="0" w:space="0" w:color="auto"/>
        <w:right w:val="none" w:sz="0" w:space="0" w:color="auto"/>
      </w:divBdr>
    </w:div>
    <w:div w:id="296306078">
      <w:bodyDiv w:val="1"/>
      <w:marLeft w:val="0"/>
      <w:marRight w:val="0"/>
      <w:marTop w:val="0"/>
      <w:marBottom w:val="0"/>
      <w:divBdr>
        <w:top w:val="none" w:sz="0" w:space="0" w:color="auto"/>
        <w:left w:val="none" w:sz="0" w:space="0" w:color="auto"/>
        <w:bottom w:val="none" w:sz="0" w:space="0" w:color="auto"/>
        <w:right w:val="none" w:sz="0" w:space="0" w:color="auto"/>
      </w:divBdr>
    </w:div>
    <w:div w:id="301234726">
      <w:bodyDiv w:val="1"/>
      <w:marLeft w:val="0"/>
      <w:marRight w:val="0"/>
      <w:marTop w:val="0"/>
      <w:marBottom w:val="0"/>
      <w:divBdr>
        <w:top w:val="none" w:sz="0" w:space="0" w:color="auto"/>
        <w:left w:val="none" w:sz="0" w:space="0" w:color="auto"/>
        <w:bottom w:val="none" w:sz="0" w:space="0" w:color="auto"/>
        <w:right w:val="none" w:sz="0" w:space="0" w:color="auto"/>
      </w:divBdr>
    </w:div>
    <w:div w:id="301735186">
      <w:bodyDiv w:val="1"/>
      <w:marLeft w:val="0"/>
      <w:marRight w:val="0"/>
      <w:marTop w:val="0"/>
      <w:marBottom w:val="0"/>
      <w:divBdr>
        <w:top w:val="none" w:sz="0" w:space="0" w:color="auto"/>
        <w:left w:val="none" w:sz="0" w:space="0" w:color="auto"/>
        <w:bottom w:val="none" w:sz="0" w:space="0" w:color="auto"/>
        <w:right w:val="none" w:sz="0" w:space="0" w:color="auto"/>
      </w:divBdr>
    </w:div>
    <w:div w:id="305399614">
      <w:bodyDiv w:val="1"/>
      <w:marLeft w:val="0"/>
      <w:marRight w:val="0"/>
      <w:marTop w:val="0"/>
      <w:marBottom w:val="0"/>
      <w:divBdr>
        <w:top w:val="none" w:sz="0" w:space="0" w:color="auto"/>
        <w:left w:val="none" w:sz="0" w:space="0" w:color="auto"/>
        <w:bottom w:val="none" w:sz="0" w:space="0" w:color="auto"/>
        <w:right w:val="none" w:sz="0" w:space="0" w:color="auto"/>
      </w:divBdr>
    </w:div>
    <w:div w:id="306059685">
      <w:bodyDiv w:val="1"/>
      <w:marLeft w:val="0"/>
      <w:marRight w:val="0"/>
      <w:marTop w:val="0"/>
      <w:marBottom w:val="0"/>
      <w:divBdr>
        <w:top w:val="none" w:sz="0" w:space="0" w:color="auto"/>
        <w:left w:val="none" w:sz="0" w:space="0" w:color="auto"/>
        <w:bottom w:val="none" w:sz="0" w:space="0" w:color="auto"/>
        <w:right w:val="none" w:sz="0" w:space="0" w:color="auto"/>
      </w:divBdr>
    </w:div>
    <w:div w:id="308020342">
      <w:bodyDiv w:val="1"/>
      <w:marLeft w:val="0"/>
      <w:marRight w:val="0"/>
      <w:marTop w:val="0"/>
      <w:marBottom w:val="0"/>
      <w:divBdr>
        <w:top w:val="none" w:sz="0" w:space="0" w:color="auto"/>
        <w:left w:val="none" w:sz="0" w:space="0" w:color="auto"/>
        <w:bottom w:val="none" w:sz="0" w:space="0" w:color="auto"/>
        <w:right w:val="none" w:sz="0" w:space="0" w:color="auto"/>
      </w:divBdr>
    </w:div>
    <w:div w:id="308945621">
      <w:bodyDiv w:val="1"/>
      <w:marLeft w:val="0"/>
      <w:marRight w:val="0"/>
      <w:marTop w:val="0"/>
      <w:marBottom w:val="0"/>
      <w:divBdr>
        <w:top w:val="none" w:sz="0" w:space="0" w:color="auto"/>
        <w:left w:val="none" w:sz="0" w:space="0" w:color="auto"/>
        <w:bottom w:val="none" w:sz="0" w:space="0" w:color="auto"/>
        <w:right w:val="none" w:sz="0" w:space="0" w:color="auto"/>
      </w:divBdr>
    </w:div>
    <w:div w:id="310911961">
      <w:bodyDiv w:val="1"/>
      <w:marLeft w:val="0"/>
      <w:marRight w:val="0"/>
      <w:marTop w:val="0"/>
      <w:marBottom w:val="0"/>
      <w:divBdr>
        <w:top w:val="none" w:sz="0" w:space="0" w:color="auto"/>
        <w:left w:val="none" w:sz="0" w:space="0" w:color="auto"/>
        <w:bottom w:val="none" w:sz="0" w:space="0" w:color="auto"/>
        <w:right w:val="none" w:sz="0" w:space="0" w:color="auto"/>
      </w:divBdr>
    </w:div>
    <w:div w:id="312951284">
      <w:bodyDiv w:val="1"/>
      <w:marLeft w:val="0"/>
      <w:marRight w:val="0"/>
      <w:marTop w:val="0"/>
      <w:marBottom w:val="0"/>
      <w:divBdr>
        <w:top w:val="none" w:sz="0" w:space="0" w:color="auto"/>
        <w:left w:val="none" w:sz="0" w:space="0" w:color="auto"/>
        <w:bottom w:val="none" w:sz="0" w:space="0" w:color="auto"/>
        <w:right w:val="none" w:sz="0" w:space="0" w:color="auto"/>
      </w:divBdr>
    </w:div>
    <w:div w:id="313996931">
      <w:bodyDiv w:val="1"/>
      <w:marLeft w:val="0"/>
      <w:marRight w:val="0"/>
      <w:marTop w:val="0"/>
      <w:marBottom w:val="0"/>
      <w:divBdr>
        <w:top w:val="none" w:sz="0" w:space="0" w:color="auto"/>
        <w:left w:val="none" w:sz="0" w:space="0" w:color="auto"/>
        <w:bottom w:val="none" w:sz="0" w:space="0" w:color="auto"/>
        <w:right w:val="none" w:sz="0" w:space="0" w:color="auto"/>
      </w:divBdr>
    </w:div>
    <w:div w:id="315381354">
      <w:bodyDiv w:val="1"/>
      <w:marLeft w:val="0"/>
      <w:marRight w:val="0"/>
      <w:marTop w:val="0"/>
      <w:marBottom w:val="0"/>
      <w:divBdr>
        <w:top w:val="none" w:sz="0" w:space="0" w:color="auto"/>
        <w:left w:val="none" w:sz="0" w:space="0" w:color="auto"/>
        <w:bottom w:val="none" w:sz="0" w:space="0" w:color="auto"/>
        <w:right w:val="none" w:sz="0" w:space="0" w:color="auto"/>
      </w:divBdr>
    </w:div>
    <w:div w:id="315574235">
      <w:bodyDiv w:val="1"/>
      <w:marLeft w:val="0"/>
      <w:marRight w:val="0"/>
      <w:marTop w:val="0"/>
      <w:marBottom w:val="0"/>
      <w:divBdr>
        <w:top w:val="none" w:sz="0" w:space="0" w:color="auto"/>
        <w:left w:val="none" w:sz="0" w:space="0" w:color="auto"/>
        <w:bottom w:val="none" w:sz="0" w:space="0" w:color="auto"/>
        <w:right w:val="none" w:sz="0" w:space="0" w:color="auto"/>
      </w:divBdr>
    </w:div>
    <w:div w:id="315768965">
      <w:bodyDiv w:val="1"/>
      <w:marLeft w:val="0"/>
      <w:marRight w:val="0"/>
      <w:marTop w:val="0"/>
      <w:marBottom w:val="0"/>
      <w:divBdr>
        <w:top w:val="none" w:sz="0" w:space="0" w:color="auto"/>
        <w:left w:val="none" w:sz="0" w:space="0" w:color="auto"/>
        <w:bottom w:val="none" w:sz="0" w:space="0" w:color="auto"/>
        <w:right w:val="none" w:sz="0" w:space="0" w:color="auto"/>
      </w:divBdr>
    </w:div>
    <w:div w:id="316106253">
      <w:bodyDiv w:val="1"/>
      <w:marLeft w:val="0"/>
      <w:marRight w:val="0"/>
      <w:marTop w:val="0"/>
      <w:marBottom w:val="0"/>
      <w:divBdr>
        <w:top w:val="none" w:sz="0" w:space="0" w:color="auto"/>
        <w:left w:val="none" w:sz="0" w:space="0" w:color="auto"/>
        <w:bottom w:val="none" w:sz="0" w:space="0" w:color="auto"/>
        <w:right w:val="none" w:sz="0" w:space="0" w:color="auto"/>
      </w:divBdr>
    </w:div>
    <w:div w:id="316348423">
      <w:bodyDiv w:val="1"/>
      <w:marLeft w:val="0"/>
      <w:marRight w:val="0"/>
      <w:marTop w:val="0"/>
      <w:marBottom w:val="0"/>
      <w:divBdr>
        <w:top w:val="none" w:sz="0" w:space="0" w:color="auto"/>
        <w:left w:val="none" w:sz="0" w:space="0" w:color="auto"/>
        <w:bottom w:val="none" w:sz="0" w:space="0" w:color="auto"/>
        <w:right w:val="none" w:sz="0" w:space="0" w:color="auto"/>
      </w:divBdr>
    </w:div>
    <w:div w:id="318002749">
      <w:bodyDiv w:val="1"/>
      <w:marLeft w:val="0"/>
      <w:marRight w:val="0"/>
      <w:marTop w:val="0"/>
      <w:marBottom w:val="0"/>
      <w:divBdr>
        <w:top w:val="none" w:sz="0" w:space="0" w:color="auto"/>
        <w:left w:val="none" w:sz="0" w:space="0" w:color="auto"/>
        <w:bottom w:val="none" w:sz="0" w:space="0" w:color="auto"/>
        <w:right w:val="none" w:sz="0" w:space="0" w:color="auto"/>
      </w:divBdr>
    </w:div>
    <w:div w:id="318198780">
      <w:bodyDiv w:val="1"/>
      <w:marLeft w:val="0"/>
      <w:marRight w:val="0"/>
      <w:marTop w:val="0"/>
      <w:marBottom w:val="0"/>
      <w:divBdr>
        <w:top w:val="none" w:sz="0" w:space="0" w:color="auto"/>
        <w:left w:val="none" w:sz="0" w:space="0" w:color="auto"/>
        <w:bottom w:val="none" w:sz="0" w:space="0" w:color="auto"/>
        <w:right w:val="none" w:sz="0" w:space="0" w:color="auto"/>
      </w:divBdr>
    </w:div>
    <w:div w:id="318272950">
      <w:bodyDiv w:val="1"/>
      <w:marLeft w:val="0"/>
      <w:marRight w:val="0"/>
      <w:marTop w:val="0"/>
      <w:marBottom w:val="0"/>
      <w:divBdr>
        <w:top w:val="none" w:sz="0" w:space="0" w:color="auto"/>
        <w:left w:val="none" w:sz="0" w:space="0" w:color="auto"/>
        <w:bottom w:val="none" w:sz="0" w:space="0" w:color="auto"/>
        <w:right w:val="none" w:sz="0" w:space="0" w:color="auto"/>
      </w:divBdr>
    </w:div>
    <w:div w:id="319238450">
      <w:bodyDiv w:val="1"/>
      <w:marLeft w:val="0"/>
      <w:marRight w:val="0"/>
      <w:marTop w:val="0"/>
      <w:marBottom w:val="0"/>
      <w:divBdr>
        <w:top w:val="none" w:sz="0" w:space="0" w:color="auto"/>
        <w:left w:val="none" w:sz="0" w:space="0" w:color="auto"/>
        <w:bottom w:val="none" w:sz="0" w:space="0" w:color="auto"/>
        <w:right w:val="none" w:sz="0" w:space="0" w:color="auto"/>
      </w:divBdr>
    </w:div>
    <w:div w:id="323507141">
      <w:bodyDiv w:val="1"/>
      <w:marLeft w:val="0"/>
      <w:marRight w:val="0"/>
      <w:marTop w:val="0"/>
      <w:marBottom w:val="0"/>
      <w:divBdr>
        <w:top w:val="none" w:sz="0" w:space="0" w:color="auto"/>
        <w:left w:val="none" w:sz="0" w:space="0" w:color="auto"/>
        <w:bottom w:val="none" w:sz="0" w:space="0" w:color="auto"/>
        <w:right w:val="none" w:sz="0" w:space="0" w:color="auto"/>
      </w:divBdr>
    </w:div>
    <w:div w:id="323976146">
      <w:bodyDiv w:val="1"/>
      <w:marLeft w:val="0"/>
      <w:marRight w:val="0"/>
      <w:marTop w:val="0"/>
      <w:marBottom w:val="0"/>
      <w:divBdr>
        <w:top w:val="none" w:sz="0" w:space="0" w:color="auto"/>
        <w:left w:val="none" w:sz="0" w:space="0" w:color="auto"/>
        <w:bottom w:val="none" w:sz="0" w:space="0" w:color="auto"/>
        <w:right w:val="none" w:sz="0" w:space="0" w:color="auto"/>
      </w:divBdr>
    </w:div>
    <w:div w:id="324862237">
      <w:bodyDiv w:val="1"/>
      <w:marLeft w:val="0"/>
      <w:marRight w:val="0"/>
      <w:marTop w:val="0"/>
      <w:marBottom w:val="0"/>
      <w:divBdr>
        <w:top w:val="none" w:sz="0" w:space="0" w:color="auto"/>
        <w:left w:val="none" w:sz="0" w:space="0" w:color="auto"/>
        <w:bottom w:val="none" w:sz="0" w:space="0" w:color="auto"/>
        <w:right w:val="none" w:sz="0" w:space="0" w:color="auto"/>
      </w:divBdr>
    </w:div>
    <w:div w:id="325323517">
      <w:bodyDiv w:val="1"/>
      <w:marLeft w:val="0"/>
      <w:marRight w:val="0"/>
      <w:marTop w:val="0"/>
      <w:marBottom w:val="0"/>
      <w:divBdr>
        <w:top w:val="none" w:sz="0" w:space="0" w:color="auto"/>
        <w:left w:val="none" w:sz="0" w:space="0" w:color="auto"/>
        <w:bottom w:val="none" w:sz="0" w:space="0" w:color="auto"/>
        <w:right w:val="none" w:sz="0" w:space="0" w:color="auto"/>
      </w:divBdr>
    </w:div>
    <w:div w:id="326052661">
      <w:bodyDiv w:val="1"/>
      <w:marLeft w:val="0"/>
      <w:marRight w:val="0"/>
      <w:marTop w:val="0"/>
      <w:marBottom w:val="0"/>
      <w:divBdr>
        <w:top w:val="none" w:sz="0" w:space="0" w:color="auto"/>
        <w:left w:val="none" w:sz="0" w:space="0" w:color="auto"/>
        <w:bottom w:val="none" w:sz="0" w:space="0" w:color="auto"/>
        <w:right w:val="none" w:sz="0" w:space="0" w:color="auto"/>
      </w:divBdr>
    </w:div>
    <w:div w:id="327295467">
      <w:bodyDiv w:val="1"/>
      <w:marLeft w:val="0"/>
      <w:marRight w:val="0"/>
      <w:marTop w:val="0"/>
      <w:marBottom w:val="0"/>
      <w:divBdr>
        <w:top w:val="none" w:sz="0" w:space="0" w:color="auto"/>
        <w:left w:val="none" w:sz="0" w:space="0" w:color="auto"/>
        <w:bottom w:val="none" w:sz="0" w:space="0" w:color="auto"/>
        <w:right w:val="none" w:sz="0" w:space="0" w:color="auto"/>
      </w:divBdr>
    </w:div>
    <w:div w:id="328220468">
      <w:bodyDiv w:val="1"/>
      <w:marLeft w:val="0"/>
      <w:marRight w:val="0"/>
      <w:marTop w:val="0"/>
      <w:marBottom w:val="0"/>
      <w:divBdr>
        <w:top w:val="none" w:sz="0" w:space="0" w:color="auto"/>
        <w:left w:val="none" w:sz="0" w:space="0" w:color="auto"/>
        <w:bottom w:val="none" w:sz="0" w:space="0" w:color="auto"/>
        <w:right w:val="none" w:sz="0" w:space="0" w:color="auto"/>
      </w:divBdr>
    </w:div>
    <w:div w:id="329871392">
      <w:bodyDiv w:val="1"/>
      <w:marLeft w:val="0"/>
      <w:marRight w:val="0"/>
      <w:marTop w:val="0"/>
      <w:marBottom w:val="0"/>
      <w:divBdr>
        <w:top w:val="none" w:sz="0" w:space="0" w:color="auto"/>
        <w:left w:val="none" w:sz="0" w:space="0" w:color="auto"/>
        <w:bottom w:val="none" w:sz="0" w:space="0" w:color="auto"/>
        <w:right w:val="none" w:sz="0" w:space="0" w:color="auto"/>
      </w:divBdr>
    </w:div>
    <w:div w:id="330449032">
      <w:bodyDiv w:val="1"/>
      <w:marLeft w:val="0"/>
      <w:marRight w:val="0"/>
      <w:marTop w:val="0"/>
      <w:marBottom w:val="0"/>
      <w:divBdr>
        <w:top w:val="none" w:sz="0" w:space="0" w:color="auto"/>
        <w:left w:val="none" w:sz="0" w:space="0" w:color="auto"/>
        <w:bottom w:val="none" w:sz="0" w:space="0" w:color="auto"/>
        <w:right w:val="none" w:sz="0" w:space="0" w:color="auto"/>
      </w:divBdr>
    </w:div>
    <w:div w:id="335575221">
      <w:bodyDiv w:val="1"/>
      <w:marLeft w:val="0"/>
      <w:marRight w:val="0"/>
      <w:marTop w:val="0"/>
      <w:marBottom w:val="0"/>
      <w:divBdr>
        <w:top w:val="none" w:sz="0" w:space="0" w:color="auto"/>
        <w:left w:val="none" w:sz="0" w:space="0" w:color="auto"/>
        <w:bottom w:val="none" w:sz="0" w:space="0" w:color="auto"/>
        <w:right w:val="none" w:sz="0" w:space="0" w:color="auto"/>
      </w:divBdr>
    </w:div>
    <w:div w:id="336805757">
      <w:bodyDiv w:val="1"/>
      <w:marLeft w:val="0"/>
      <w:marRight w:val="0"/>
      <w:marTop w:val="0"/>
      <w:marBottom w:val="0"/>
      <w:divBdr>
        <w:top w:val="none" w:sz="0" w:space="0" w:color="auto"/>
        <w:left w:val="none" w:sz="0" w:space="0" w:color="auto"/>
        <w:bottom w:val="none" w:sz="0" w:space="0" w:color="auto"/>
        <w:right w:val="none" w:sz="0" w:space="0" w:color="auto"/>
      </w:divBdr>
    </w:div>
    <w:div w:id="336926211">
      <w:bodyDiv w:val="1"/>
      <w:marLeft w:val="0"/>
      <w:marRight w:val="0"/>
      <w:marTop w:val="0"/>
      <w:marBottom w:val="0"/>
      <w:divBdr>
        <w:top w:val="none" w:sz="0" w:space="0" w:color="auto"/>
        <w:left w:val="none" w:sz="0" w:space="0" w:color="auto"/>
        <w:bottom w:val="none" w:sz="0" w:space="0" w:color="auto"/>
        <w:right w:val="none" w:sz="0" w:space="0" w:color="auto"/>
      </w:divBdr>
    </w:div>
    <w:div w:id="337074443">
      <w:bodyDiv w:val="1"/>
      <w:marLeft w:val="0"/>
      <w:marRight w:val="0"/>
      <w:marTop w:val="0"/>
      <w:marBottom w:val="0"/>
      <w:divBdr>
        <w:top w:val="none" w:sz="0" w:space="0" w:color="auto"/>
        <w:left w:val="none" w:sz="0" w:space="0" w:color="auto"/>
        <w:bottom w:val="none" w:sz="0" w:space="0" w:color="auto"/>
        <w:right w:val="none" w:sz="0" w:space="0" w:color="auto"/>
      </w:divBdr>
    </w:div>
    <w:div w:id="337852540">
      <w:bodyDiv w:val="1"/>
      <w:marLeft w:val="0"/>
      <w:marRight w:val="0"/>
      <w:marTop w:val="0"/>
      <w:marBottom w:val="0"/>
      <w:divBdr>
        <w:top w:val="none" w:sz="0" w:space="0" w:color="auto"/>
        <w:left w:val="none" w:sz="0" w:space="0" w:color="auto"/>
        <w:bottom w:val="none" w:sz="0" w:space="0" w:color="auto"/>
        <w:right w:val="none" w:sz="0" w:space="0" w:color="auto"/>
      </w:divBdr>
    </w:div>
    <w:div w:id="338503192">
      <w:bodyDiv w:val="1"/>
      <w:marLeft w:val="0"/>
      <w:marRight w:val="0"/>
      <w:marTop w:val="0"/>
      <w:marBottom w:val="0"/>
      <w:divBdr>
        <w:top w:val="none" w:sz="0" w:space="0" w:color="auto"/>
        <w:left w:val="none" w:sz="0" w:space="0" w:color="auto"/>
        <w:bottom w:val="none" w:sz="0" w:space="0" w:color="auto"/>
        <w:right w:val="none" w:sz="0" w:space="0" w:color="auto"/>
      </w:divBdr>
    </w:div>
    <w:div w:id="339164123">
      <w:bodyDiv w:val="1"/>
      <w:marLeft w:val="0"/>
      <w:marRight w:val="0"/>
      <w:marTop w:val="0"/>
      <w:marBottom w:val="0"/>
      <w:divBdr>
        <w:top w:val="none" w:sz="0" w:space="0" w:color="auto"/>
        <w:left w:val="none" w:sz="0" w:space="0" w:color="auto"/>
        <w:bottom w:val="none" w:sz="0" w:space="0" w:color="auto"/>
        <w:right w:val="none" w:sz="0" w:space="0" w:color="auto"/>
      </w:divBdr>
    </w:div>
    <w:div w:id="339282558">
      <w:bodyDiv w:val="1"/>
      <w:marLeft w:val="0"/>
      <w:marRight w:val="0"/>
      <w:marTop w:val="0"/>
      <w:marBottom w:val="0"/>
      <w:divBdr>
        <w:top w:val="none" w:sz="0" w:space="0" w:color="auto"/>
        <w:left w:val="none" w:sz="0" w:space="0" w:color="auto"/>
        <w:bottom w:val="none" w:sz="0" w:space="0" w:color="auto"/>
        <w:right w:val="none" w:sz="0" w:space="0" w:color="auto"/>
      </w:divBdr>
    </w:div>
    <w:div w:id="341513093">
      <w:bodyDiv w:val="1"/>
      <w:marLeft w:val="0"/>
      <w:marRight w:val="0"/>
      <w:marTop w:val="0"/>
      <w:marBottom w:val="0"/>
      <w:divBdr>
        <w:top w:val="none" w:sz="0" w:space="0" w:color="auto"/>
        <w:left w:val="none" w:sz="0" w:space="0" w:color="auto"/>
        <w:bottom w:val="none" w:sz="0" w:space="0" w:color="auto"/>
        <w:right w:val="none" w:sz="0" w:space="0" w:color="auto"/>
      </w:divBdr>
    </w:div>
    <w:div w:id="341781748">
      <w:bodyDiv w:val="1"/>
      <w:marLeft w:val="0"/>
      <w:marRight w:val="0"/>
      <w:marTop w:val="0"/>
      <w:marBottom w:val="0"/>
      <w:divBdr>
        <w:top w:val="none" w:sz="0" w:space="0" w:color="auto"/>
        <w:left w:val="none" w:sz="0" w:space="0" w:color="auto"/>
        <w:bottom w:val="none" w:sz="0" w:space="0" w:color="auto"/>
        <w:right w:val="none" w:sz="0" w:space="0" w:color="auto"/>
      </w:divBdr>
    </w:div>
    <w:div w:id="342321859">
      <w:bodyDiv w:val="1"/>
      <w:marLeft w:val="0"/>
      <w:marRight w:val="0"/>
      <w:marTop w:val="0"/>
      <w:marBottom w:val="0"/>
      <w:divBdr>
        <w:top w:val="none" w:sz="0" w:space="0" w:color="auto"/>
        <w:left w:val="none" w:sz="0" w:space="0" w:color="auto"/>
        <w:bottom w:val="none" w:sz="0" w:space="0" w:color="auto"/>
        <w:right w:val="none" w:sz="0" w:space="0" w:color="auto"/>
      </w:divBdr>
    </w:div>
    <w:div w:id="342440287">
      <w:bodyDiv w:val="1"/>
      <w:marLeft w:val="0"/>
      <w:marRight w:val="0"/>
      <w:marTop w:val="0"/>
      <w:marBottom w:val="0"/>
      <w:divBdr>
        <w:top w:val="none" w:sz="0" w:space="0" w:color="auto"/>
        <w:left w:val="none" w:sz="0" w:space="0" w:color="auto"/>
        <w:bottom w:val="none" w:sz="0" w:space="0" w:color="auto"/>
        <w:right w:val="none" w:sz="0" w:space="0" w:color="auto"/>
      </w:divBdr>
    </w:div>
    <w:div w:id="342711814">
      <w:bodyDiv w:val="1"/>
      <w:marLeft w:val="0"/>
      <w:marRight w:val="0"/>
      <w:marTop w:val="0"/>
      <w:marBottom w:val="0"/>
      <w:divBdr>
        <w:top w:val="none" w:sz="0" w:space="0" w:color="auto"/>
        <w:left w:val="none" w:sz="0" w:space="0" w:color="auto"/>
        <w:bottom w:val="none" w:sz="0" w:space="0" w:color="auto"/>
        <w:right w:val="none" w:sz="0" w:space="0" w:color="auto"/>
      </w:divBdr>
    </w:div>
    <w:div w:id="343360690">
      <w:bodyDiv w:val="1"/>
      <w:marLeft w:val="0"/>
      <w:marRight w:val="0"/>
      <w:marTop w:val="0"/>
      <w:marBottom w:val="0"/>
      <w:divBdr>
        <w:top w:val="none" w:sz="0" w:space="0" w:color="auto"/>
        <w:left w:val="none" w:sz="0" w:space="0" w:color="auto"/>
        <w:bottom w:val="none" w:sz="0" w:space="0" w:color="auto"/>
        <w:right w:val="none" w:sz="0" w:space="0" w:color="auto"/>
      </w:divBdr>
    </w:div>
    <w:div w:id="343823340">
      <w:bodyDiv w:val="1"/>
      <w:marLeft w:val="0"/>
      <w:marRight w:val="0"/>
      <w:marTop w:val="0"/>
      <w:marBottom w:val="0"/>
      <w:divBdr>
        <w:top w:val="none" w:sz="0" w:space="0" w:color="auto"/>
        <w:left w:val="none" w:sz="0" w:space="0" w:color="auto"/>
        <w:bottom w:val="none" w:sz="0" w:space="0" w:color="auto"/>
        <w:right w:val="none" w:sz="0" w:space="0" w:color="auto"/>
      </w:divBdr>
    </w:div>
    <w:div w:id="344985958">
      <w:bodyDiv w:val="1"/>
      <w:marLeft w:val="0"/>
      <w:marRight w:val="0"/>
      <w:marTop w:val="0"/>
      <w:marBottom w:val="0"/>
      <w:divBdr>
        <w:top w:val="none" w:sz="0" w:space="0" w:color="auto"/>
        <w:left w:val="none" w:sz="0" w:space="0" w:color="auto"/>
        <w:bottom w:val="none" w:sz="0" w:space="0" w:color="auto"/>
        <w:right w:val="none" w:sz="0" w:space="0" w:color="auto"/>
      </w:divBdr>
    </w:div>
    <w:div w:id="345640649">
      <w:bodyDiv w:val="1"/>
      <w:marLeft w:val="0"/>
      <w:marRight w:val="0"/>
      <w:marTop w:val="0"/>
      <w:marBottom w:val="0"/>
      <w:divBdr>
        <w:top w:val="none" w:sz="0" w:space="0" w:color="auto"/>
        <w:left w:val="none" w:sz="0" w:space="0" w:color="auto"/>
        <w:bottom w:val="none" w:sz="0" w:space="0" w:color="auto"/>
        <w:right w:val="none" w:sz="0" w:space="0" w:color="auto"/>
      </w:divBdr>
    </w:div>
    <w:div w:id="346834865">
      <w:bodyDiv w:val="1"/>
      <w:marLeft w:val="0"/>
      <w:marRight w:val="0"/>
      <w:marTop w:val="0"/>
      <w:marBottom w:val="0"/>
      <w:divBdr>
        <w:top w:val="none" w:sz="0" w:space="0" w:color="auto"/>
        <w:left w:val="none" w:sz="0" w:space="0" w:color="auto"/>
        <w:bottom w:val="none" w:sz="0" w:space="0" w:color="auto"/>
        <w:right w:val="none" w:sz="0" w:space="0" w:color="auto"/>
      </w:divBdr>
    </w:div>
    <w:div w:id="347488685">
      <w:bodyDiv w:val="1"/>
      <w:marLeft w:val="0"/>
      <w:marRight w:val="0"/>
      <w:marTop w:val="0"/>
      <w:marBottom w:val="0"/>
      <w:divBdr>
        <w:top w:val="none" w:sz="0" w:space="0" w:color="auto"/>
        <w:left w:val="none" w:sz="0" w:space="0" w:color="auto"/>
        <w:bottom w:val="none" w:sz="0" w:space="0" w:color="auto"/>
        <w:right w:val="none" w:sz="0" w:space="0" w:color="auto"/>
      </w:divBdr>
    </w:div>
    <w:div w:id="349138318">
      <w:bodyDiv w:val="1"/>
      <w:marLeft w:val="0"/>
      <w:marRight w:val="0"/>
      <w:marTop w:val="0"/>
      <w:marBottom w:val="0"/>
      <w:divBdr>
        <w:top w:val="none" w:sz="0" w:space="0" w:color="auto"/>
        <w:left w:val="none" w:sz="0" w:space="0" w:color="auto"/>
        <w:bottom w:val="none" w:sz="0" w:space="0" w:color="auto"/>
        <w:right w:val="none" w:sz="0" w:space="0" w:color="auto"/>
      </w:divBdr>
    </w:div>
    <w:div w:id="350961756">
      <w:bodyDiv w:val="1"/>
      <w:marLeft w:val="0"/>
      <w:marRight w:val="0"/>
      <w:marTop w:val="0"/>
      <w:marBottom w:val="0"/>
      <w:divBdr>
        <w:top w:val="none" w:sz="0" w:space="0" w:color="auto"/>
        <w:left w:val="none" w:sz="0" w:space="0" w:color="auto"/>
        <w:bottom w:val="none" w:sz="0" w:space="0" w:color="auto"/>
        <w:right w:val="none" w:sz="0" w:space="0" w:color="auto"/>
      </w:divBdr>
    </w:div>
    <w:div w:id="351498716">
      <w:bodyDiv w:val="1"/>
      <w:marLeft w:val="0"/>
      <w:marRight w:val="0"/>
      <w:marTop w:val="0"/>
      <w:marBottom w:val="0"/>
      <w:divBdr>
        <w:top w:val="none" w:sz="0" w:space="0" w:color="auto"/>
        <w:left w:val="none" w:sz="0" w:space="0" w:color="auto"/>
        <w:bottom w:val="none" w:sz="0" w:space="0" w:color="auto"/>
        <w:right w:val="none" w:sz="0" w:space="0" w:color="auto"/>
      </w:divBdr>
    </w:div>
    <w:div w:id="352654716">
      <w:bodyDiv w:val="1"/>
      <w:marLeft w:val="0"/>
      <w:marRight w:val="0"/>
      <w:marTop w:val="0"/>
      <w:marBottom w:val="0"/>
      <w:divBdr>
        <w:top w:val="none" w:sz="0" w:space="0" w:color="auto"/>
        <w:left w:val="none" w:sz="0" w:space="0" w:color="auto"/>
        <w:bottom w:val="none" w:sz="0" w:space="0" w:color="auto"/>
        <w:right w:val="none" w:sz="0" w:space="0" w:color="auto"/>
      </w:divBdr>
    </w:div>
    <w:div w:id="353386923">
      <w:bodyDiv w:val="1"/>
      <w:marLeft w:val="0"/>
      <w:marRight w:val="0"/>
      <w:marTop w:val="0"/>
      <w:marBottom w:val="0"/>
      <w:divBdr>
        <w:top w:val="none" w:sz="0" w:space="0" w:color="auto"/>
        <w:left w:val="none" w:sz="0" w:space="0" w:color="auto"/>
        <w:bottom w:val="none" w:sz="0" w:space="0" w:color="auto"/>
        <w:right w:val="none" w:sz="0" w:space="0" w:color="auto"/>
      </w:divBdr>
    </w:div>
    <w:div w:id="354041568">
      <w:bodyDiv w:val="1"/>
      <w:marLeft w:val="0"/>
      <w:marRight w:val="0"/>
      <w:marTop w:val="0"/>
      <w:marBottom w:val="0"/>
      <w:divBdr>
        <w:top w:val="none" w:sz="0" w:space="0" w:color="auto"/>
        <w:left w:val="none" w:sz="0" w:space="0" w:color="auto"/>
        <w:bottom w:val="none" w:sz="0" w:space="0" w:color="auto"/>
        <w:right w:val="none" w:sz="0" w:space="0" w:color="auto"/>
      </w:divBdr>
    </w:div>
    <w:div w:id="354618028">
      <w:bodyDiv w:val="1"/>
      <w:marLeft w:val="0"/>
      <w:marRight w:val="0"/>
      <w:marTop w:val="0"/>
      <w:marBottom w:val="0"/>
      <w:divBdr>
        <w:top w:val="none" w:sz="0" w:space="0" w:color="auto"/>
        <w:left w:val="none" w:sz="0" w:space="0" w:color="auto"/>
        <w:bottom w:val="none" w:sz="0" w:space="0" w:color="auto"/>
        <w:right w:val="none" w:sz="0" w:space="0" w:color="auto"/>
      </w:divBdr>
    </w:div>
    <w:div w:id="356129188">
      <w:bodyDiv w:val="1"/>
      <w:marLeft w:val="0"/>
      <w:marRight w:val="0"/>
      <w:marTop w:val="0"/>
      <w:marBottom w:val="0"/>
      <w:divBdr>
        <w:top w:val="none" w:sz="0" w:space="0" w:color="auto"/>
        <w:left w:val="none" w:sz="0" w:space="0" w:color="auto"/>
        <w:bottom w:val="none" w:sz="0" w:space="0" w:color="auto"/>
        <w:right w:val="none" w:sz="0" w:space="0" w:color="auto"/>
      </w:divBdr>
    </w:div>
    <w:div w:id="357241849">
      <w:bodyDiv w:val="1"/>
      <w:marLeft w:val="0"/>
      <w:marRight w:val="0"/>
      <w:marTop w:val="0"/>
      <w:marBottom w:val="0"/>
      <w:divBdr>
        <w:top w:val="none" w:sz="0" w:space="0" w:color="auto"/>
        <w:left w:val="none" w:sz="0" w:space="0" w:color="auto"/>
        <w:bottom w:val="none" w:sz="0" w:space="0" w:color="auto"/>
        <w:right w:val="none" w:sz="0" w:space="0" w:color="auto"/>
      </w:divBdr>
    </w:div>
    <w:div w:id="357316124">
      <w:bodyDiv w:val="1"/>
      <w:marLeft w:val="0"/>
      <w:marRight w:val="0"/>
      <w:marTop w:val="0"/>
      <w:marBottom w:val="0"/>
      <w:divBdr>
        <w:top w:val="none" w:sz="0" w:space="0" w:color="auto"/>
        <w:left w:val="none" w:sz="0" w:space="0" w:color="auto"/>
        <w:bottom w:val="none" w:sz="0" w:space="0" w:color="auto"/>
        <w:right w:val="none" w:sz="0" w:space="0" w:color="auto"/>
      </w:divBdr>
    </w:div>
    <w:div w:id="358245361">
      <w:bodyDiv w:val="1"/>
      <w:marLeft w:val="0"/>
      <w:marRight w:val="0"/>
      <w:marTop w:val="0"/>
      <w:marBottom w:val="0"/>
      <w:divBdr>
        <w:top w:val="none" w:sz="0" w:space="0" w:color="auto"/>
        <w:left w:val="none" w:sz="0" w:space="0" w:color="auto"/>
        <w:bottom w:val="none" w:sz="0" w:space="0" w:color="auto"/>
        <w:right w:val="none" w:sz="0" w:space="0" w:color="auto"/>
      </w:divBdr>
    </w:div>
    <w:div w:id="358509445">
      <w:bodyDiv w:val="1"/>
      <w:marLeft w:val="0"/>
      <w:marRight w:val="0"/>
      <w:marTop w:val="0"/>
      <w:marBottom w:val="0"/>
      <w:divBdr>
        <w:top w:val="none" w:sz="0" w:space="0" w:color="auto"/>
        <w:left w:val="none" w:sz="0" w:space="0" w:color="auto"/>
        <w:bottom w:val="none" w:sz="0" w:space="0" w:color="auto"/>
        <w:right w:val="none" w:sz="0" w:space="0" w:color="auto"/>
      </w:divBdr>
    </w:div>
    <w:div w:id="359865629">
      <w:bodyDiv w:val="1"/>
      <w:marLeft w:val="0"/>
      <w:marRight w:val="0"/>
      <w:marTop w:val="0"/>
      <w:marBottom w:val="0"/>
      <w:divBdr>
        <w:top w:val="none" w:sz="0" w:space="0" w:color="auto"/>
        <w:left w:val="none" w:sz="0" w:space="0" w:color="auto"/>
        <w:bottom w:val="none" w:sz="0" w:space="0" w:color="auto"/>
        <w:right w:val="none" w:sz="0" w:space="0" w:color="auto"/>
      </w:divBdr>
    </w:div>
    <w:div w:id="360083892">
      <w:bodyDiv w:val="1"/>
      <w:marLeft w:val="0"/>
      <w:marRight w:val="0"/>
      <w:marTop w:val="0"/>
      <w:marBottom w:val="0"/>
      <w:divBdr>
        <w:top w:val="none" w:sz="0" w:space="0" w:color="auto"/>
        <w:left w:val="none" w:sz="0" w:space="0" w:color="auto"/>
        <w:bottom w:val="none" w:sz="0" w:space="0" w:color="auto"/>
        <w:right w:val="none" w:sz="0" w:space="0" w:color="auto"/>
      </w:divBdr>
    </w:div>
    <w:div w:id="360909028">
      <w:bodyDiv w:val="1"/>
      <w:marLeft w:val="0"/>
      <w:marRight w:val="0"/>
      <w:marTop w:val="0"/>
      <w:marBottom w:val="0"/>
      <w:divBdr>
        <w:top w:val="none" w:sz="0" w:space="0" w:color="auto"/>
        <w:left w:val="none" w:sz="0" w:space="0" w:color="auto"/>
        <w:bottom w:val="none" w:sz="0" w:space="0" w:color="auto"/>
        <w:right w:val="none" w:sz="0" w:space="0" w:color="auto"/>
      </w:divBdr>
    </w:div>
    <w:div w:id="361633650">
      <w:bodyDiv w:val="1"/>
      <w:marLeft w:val="0"/>
      <w:marRight w:val="0"/>
      <w:marTop w:val="0"/>
      <w:marBottom w:val="0"/>
      <w:divBdr>
        <w:top w:val="none" w:sz="0" w:space="0" w:color="auto"/>
        <w:left w:val="none" w:sz="0" w:space="0" w:color="auto"/>
        <w:bottom w:val="none" w:sz="0" w:space="0" w:color="auto"/>
        <w:right w:val="none" w:sz="0" w:space="0" w:color="auto"/>
      </w:divBdr>
    </w:div>
    <w:div w:id="362363057">
      <w:bodyDiv w:val="1"/>
      <w:marLeft w:val="0"/>
      <w:marRight w:val="0"/>
      <w:marTop w:val="0"/>
      <w:marBottom w:val="0"/>
      <w:divBdr>
        <w:top w:val="none" w:sz="0" w:space="0" w:color="auto"/>
        <w:left w:val="none" w:sz="0" w:space="0" w:color="auto"/>
        <w:bottom w:val="none" w:sz="0" w:space="0" w:color="auto"/>
        <w:right w:val="none" w:sz="0" w:space="0" w:color="auto"/>
      </w:divBdr>
    </w:div>
    <w:div w:id="362706016">
      <w:bodyDiv w:val="1"/>
      <w:marLeft w:val="0"/>
      <w:marRight w:val="0"/>
      <w:marTop w:val="0"/>
      <w:marBottom w:val="0"/>
      <w:divBdr>
        <w:top w:val="none" w:sz="0" w:space="0" w:color="auto"/>
        <w:left w:val="none" w:sz="0" w:space="0" w:color="auto"/>
        <w:bottom w:val="none" w:sz="0" w:space="0" w:color="auto"/>
        <w:right w:val="none" w:sz="0" w:space="0" w:color="auto"/>
      </w:divBdr>
    </w:div>
    <w:div w:id="365912141">
      <w:bodyDiv w:val="1"/>
      <w:marLeft w:val="0"/>
      <w:marRight w:val="0"/>
      <w:marTop w:val="0"/>
      <w:marBottom w:val="0"/>
      <w:divBdr>
        <w:top w:val="none" w:sz="0" w:space="0" w:color="auto"/>
        <w:left w:val="none" w:sz="0" w:space="0" w:color="auto"/>
        <w:bottom w:val="none" w:sz="0" w:space="0" w:color="auto"/>
        <w:right w:val="none" w:sz="0" w:space="0" w:color="auto"/>
      </w:divBdr>
    </w:div>
    <w:div w:id="367221293">
      <w:bodyDiv w:val="1"/>
      <w:marLeft w:val="0"/>
      <w:marRight w:val="0"/>
      <w:marTop w:val="0"/>
      <w:marBottom w:val="0"/>
      <w:divBdr>
        <w:top w:val="none" w:sz="0" w:space="0" w:color="auto"/>
        <w:left w:val="none" w:sz="0" w:space="0" w:color="auto"/>
        <w:bottom w:val="none" w:sz="0" w:space="0" w:color="auto"/>
        <w:right w:val="none" w:sz="0" w:space="0" w:color="auto"/>
      </w:divBdr>
    </w:div>
    <w:div w:id="368605132">
      <w:bodyDiv w:val="1"/>
      <w:marLeft w:val="0"/>
      <w:marRight w:val="0"/>
      <w:marTop w:val="0"/>
      <w:marBottom w:val="0"/>
      <w:divBdr>
        <w:top w:val="none" w:sz="0" w:space="0" w:color="auto"/>
        <w:left w:val="none" w:sz="0" w:space="0" w:color="auto"/>
        <w:bottom w:val="none" w:sz="0" w:space="0" w:color="auto"/>
        <w:right w:val="none" w:sz="0" w:space="0" w:color="auto"/>
      </w:divBdr>
    </w:div>
    <w:div w:id="368653181">
      <w:bodyDiv w:val="1"/>
      <w:marLeft w:val="0"/>
      <w:marRight w:val="0"/>
      <w:marTop w:val="0"/>
      <w:marBottom w:val="0"/>
      <w:divBdr>
        <w:top w:val="none" w:sz="0" w:space="0" w:color="auto"/>
        <w:left w:val="none" w:sz="0" w:space="0" w:color="auto"/>
        <w:bottom w:val="none" w:sz="0" w:space="0" w:color="auto"/>
        <w:right w:val="none" w:sz="0" w:space="0" w:color="auto"/>
      </w:divBdr>
    </w:div>
    <w:div w:id="370302190">
      <w:bodyDiv w:val="1"/>
      <w:marLeft w:val="0"/>
      <w:marRight w:val="0"/>
      <w:marTop w:val="0"/>
      <w:marBottom w:val="0"/>
      <w:divBdr>
        <w:top w:val="none" w:sz="0" w:space="0" w:color="auto"/>
        <w:left w:val="none" w:sz="0" w:space="0" w:color="auto"/>
        <w:bottom w:val="none" w:sz="0" w:space="0" w:color="auto"/>
        <w:right w:val="none" w:sz="0" w:space="0" w:color="auto"/>
      </w:divBdr>
    </w:div>
    <w:div w:id="370542003">
      <w:bodyDiv w:val="1"/>
      <w:marLeft w:val="0"/>
      <w:marRight w:val="0"/>
      <w:marTop w:val="0"/>
      <w:marBottom w:val="0"/>
      <w:divBdr>
        <w:top w:val="none" w:sz="0" w:space="0" w:color="auto"/>
        <w:left w:val="none" w:sz="0" w:space="0" w:color="auto"/>
        <w:bottom w:val="none" w:sz="0" w:space="0" w:color="auto"/>
        <w:right w:val="none" w:sz="0" w:space="0" w:color="auto"/>
      </w:divBdr>
    </w:div>
    <w:div w:id="374308505">
      <w:bodyDiv w:val="1"/>
      <w:marLeft w:val="0"/>
      <w:marRight w:val="0"/>
      <w:marTop w:val="0"/>
      <w:marBottom w:val="0"/>
      <w:divBdr>
        <w:top w:val="none" w:sz="0" w:space="0" w:color="auto"/>
        <w:left w:val="none" w:sz="0" w:space="0" w:color="auto"/>
        <w:bottom w:val="none" w:sz="0" w:space="0" w:color="auto"/>
        <w:right w:val="none" w:sz="0" w:space="0" w:color="auto"/>
      </w:divBdr>
    </w:div>
    <w:div w:id="374620497">
      <w:bodyDiv w:val="1"/>
      <w:marLeft w:val="0"/>
      <w:marRight w:val="0"/>
      <w:marTop w:val="0"/>
      <w:marBottom w:val="0"/>
      <w:divBdr>
        <w:top w:val="none" w:sz="0" w:space="0" w:color="auto"/>
        <w:left w:val="none" w:sz="0" w:space="0" w:color="auto"/>
        <w:bottom w:val="none" w:sz="0" w:space="0" w:color="auto"/>
        <w:right w:val="none" w:sz="0" w:space="0" w:color="auto"/>
      </w:divBdr>
    </w:div>
    <w:div w:id="375085339">
      <w:bodyDiv w:val="1"/>
      <w:marLeft w:val="0"/>
      <w:marRight w:val="0"/>
      <w:marTop w:val="0"/>
      <w:marBottom w:val="0"/>
      <w:divBdr>
        <w:top w:val="none" w:sz="0" w:space="0" w:color="auto"/>
        <w:left w:val="none" w:sz="0" w:space="0" w:color="auto"/>
        <w:bottom w:val="none" w:sz="0" w:space="0" w:color="auto"/>
        <w:right w:val="none" w:sz="0" w:space="0" w:color="auto"/>
      </w:divBdr>
    </w:div>
    <w:div w:id="376779594">
      <w:bodyDiv w:val="1"/>
      <w:marLeft w:val="0"/>
      <w:marRight w:val="0"/>
      <w:marTop w:val="0"/>
      <w:marBottom w:val="0"/>
      <w:divBdr>
        <w:top w:val="none" w:sz="0" w:space="0" w:color="auto"/>
        <w:left w:val="none" w:sz="0" w:space="0" w:color="auto"/>
        <w:bottom w:val="none" w:sz="0" w:space="0" w:color="auto"/>
        <w:right w:val="none" w:sz="0" w:space="0" w:color="auto"/>
      </w:divBdr>
    </w:div>
    <w:div w:id="376859413">
      <w:bodyDiv w:val="1"/>
      <w:marLeft w:val="0"/>
      <w:marRight w:val="0"/>
      <w:marTop w:val="0"/>
      <w:marBottom w:val="0"/>
      <w:divBdr>
        <w:top w:val="none" w:sz="0" w:space="0" w:color="auto"/>
        <w:left w:val="none" w:sz="0" w:space="0" w:color="auto"/>
        <w:bottom w:val="none" w:sz="0" w:space="0" w:color="auto"/>
        <w:right w:val="none" w:sz="0" w:space="0" w:color="auto"/>
      </w:divBdr>
    </w:div>
    <w:div w:id="376972442">
      <w:bodyDiv w:val="1"/>
      <w:marLeft w:val="0"/>
      <w:marRight w:val="0"/>
      <w:marTop w:val="0"/>
      <w:marBottom w:val="0"/>
      <w:divBdr>
        <w:top w:val="none" w:sz="0" w:space="0" w:color="auto"/>
        <w:left w:val="none" w:sz="0" w:space="0" w:color="auto"/>
        <w:bottom w:val="none" w:sz="0" w:space="0" w:color="auto"/>
        <w:right w:val="none" w:sz="0" w:space="0" w:color="auto"/>
      </w:divBdr>
    </w:div>
    <w:div w:id="378475009">
      <w:bodyDiv w:val="1"/>
      <w:marLeft w:val="0"/>
      <w:marRight w:val="0"/>
      <w:marTop w:val="0"/>
      <w:marBottom w:val="0"/>
      <w:divBdr>
        <w:top w:val="none" w:sz="0" w:space="0" w:color="auto"/>
        <w:left w:val="none" w:sz="0" w:space="0" w:color="auto"/>
        <w:bottom w:val="none" w:sz="0" w:space="0" w:color="auto"/>
        <w:right w:val="none" w:sz="0" w:space="0" w:color="auto"/>
      </w:divBdr>
    </w:div>
    <w:div w:id="379936860">
      <w:bodyDiv w:val="1"/>
      <w:marLeft w:val="0"/>
      <w:marRight w:val="0"/>
      <w:marTop w:val="0"/>
      <w:marBottom w:val="0"/>
      <w:divBdr>
        <w:top w:val="none" w:sz="0" w:space="0" w:color="auto"/>
        <w:left w:val="none" w:sz="0" w:space="0" w:color="auto"/>
        <w:bottom w:val="none" w:sz="0" w:space="0" w:color="auto"/>
        <w:right w:val="none" w:sz="0" w:space="0" w:color="auto"/>
      </w:divBdr>
    </w:div>
    <w:div w:id="381102483">
      <w:bodyDiv w:val="1"/>
      <w:marLeft w:val="0"/>
      <w:marRight w:val="0"/>
      <w:marTop w:val="0"/>
      <w:marBottom w:val="0"/>
      <w:divBdr>
        <w:top w:val="none" w:sz="0" w:space="0" w:color="auto"/>
        <w:left w:val="none" w:sz="0" w:space="0" w:color="auto"/>
        <w:bottom w:val="none" w:sz="0" w:space="0" w:color="auto"/>
        <w:right w:val="none" w:sz="0" w:space="0" w:color="auto"/>
      </w:divBdr>
    </w:div>
    <w:div w:id="381638445">
      <w:bodyDiv w:val="1"/>
      <w:marLeft w:val="0"/>
      <w:marRight w:val="0"/>
      <w:marTop w:val="0"/>
      <w:marBottom w:val="0"/>
      <w:divBdr>
        <w:top w:val="none" w:sz="0" w:space="0" w:color="auto"/>
        <w:left w:val="none" w:sz="0" w:space="0" w:color="auto"/>
        <w:bottom w:val="none" w:sz="0" w:space="0" w:color="auto"/>
        <w:right w:val="none" w:sz="0" w:space="0" w:color="auto"/>
      </w:divBdr>
    </w:div>
    <w:div w:id="381946942">
      <w:bodyDiv w:val="1"/>
      <w:marLeft w:val="0"/>
      <w:marRight w:val="0"/>
      <w:marTop w:val="0"/>
      <w:marBottom w:val="0"/>
      <w:divBdr>
        <w:top w:val="none" w:sz="0" w:space="0" w:color="auto"/>
        <w:left w:val="none" w:sz="0" w:space="0" w:color="auto"/>
        <w:bottom w:val="none" w:sz="0" w:space="0" w:color="auto"/>
        <w:right w:val="none" w:sz="0" w:space="0" w:color="auto"/>
      </w:divBdr>
    </w:div>
    <w:div w:id="382558945">
      <w:bodyDiv w:val="1"/>
      <w:marLeft w:val="0"/>
      <w:marRight w:val="0"/>
      <w:marTop w:val="0"/>
      <w:marBottom w:val="0"/>
      <w:divBdr>
        <w:top w:val="none" w:sz="0" w:space="0" w:color="auto"/>
        <w:left w:val="none" w:sz="0" w:space="0" w:color="auto"/>
        <w:bottom w:val="none" w:sz="0" w:space="0" w:color="auto"/>
        <w:right w:val="none" w:sz="0" w:space="0" w:color="auto"/>
      </w:divBdr>
    </w:div>
    <w:div w:id="387723659">
      <w:bodyDiv w:val="1"/>
      <w:marLeft w:val="0"/>
      <w:marRight w:val="0"/>
      <w:marTop w:val="0"/>
      <w:marBottom w:val="0"/>
      <w:divBdr>
        <w:top w:val="none" w:sz="0" w:space="0" w:color="auto"/>
        <w:left w:val="none" w:sz="0" w:space="0" w:color="auto"/>
        <w:bottom w:val="none" w:sz="0" w:space="0" w:color="auto"/>
        <w:right w:val="none" w:sz="0" w:space="0" w:color="auto"/>
      </w:divBdr>
    </w:div>
    <w:div w:id="388456704">
      <w:bodyDiv w:val="1"/>
      <w:marLeft w:val="0"/>
      <w:marRight w:val="0"/>
      <w:marTop w:val="0"/>
      <w:marBottom w:val="0"/>
      <w:divBdr>
        <w:top w:val="none" w:sz="0" w:space="0" w:color="auto"/>
        <w:left w:val="none" w:sz="0" w:space="0" w:color="auto"/>
        <w:bottom w:val="none" w:sz="0" w:space="0" w:color="auto"/>
        <w:right w:val="none" w:sz="0" w:space="0" w:color="auto"/>
      </w:divBdr>
    </w:div>
    <w:div w:id="389573256">
      <w:bodyDiv w:val="1"/>
      <w:marLeft w:val="0"/>
      <w:marRight w:val="0"/>
      <w:marTop w:val="0"/>
      <w:marBottom w:val="0"/>
      <w:divBdr>
        <w:top w:val="none" w:sz="0" w:space="0" w:color="auto"/>
        <w:left w:val="none" w:sz="0" w:space="0" w:color="auto"/>
        <w:bottom w:val="none" w:sz="0" w:space="0" w:color="auto"/>
        <w:right w:val="none" w:sz="0" w:space="0" w:color="auto"/>
      </w:divBdr>
    </w:div>
    <w:div w:id="390495868">
      <w:bodyDiv w:val="1"/>
      <w:marLeft w:val="0"/>
      <w:marRight w:val="0"/>
      <w:marTop w:val="0"/>
      <w:marBottom w:val="0"/>
      <w:divBdr>
        <w:top w:val="none" w:sz="0" w:space="0" w:color="auto"/>
        <w:left w:val="none" w:sz="0" w:space="0" w:color="auto"/>
        <w:bottom w:val="none" w:sz="0" w:space="0" w:color="auto"/>
        <w:right w:val="none" w:sz="0" w:space="0" w:color="auto"/>
      </w:divBdr>
    </w:div>
    <w:div w:id="390926318">
      <w:bodyDiv w:val="1"/>
      <w:marLeft w:val="0"/>
      <w:marRight w:val="0"/>
      <w:marTop w:val="0"/>
      <w:marBottom w:val="0"/>
      <w:divBdr>
        <w:top w:val="none" w:sz="0" w:space="0" w:color="auto"/>
        <w:left w:val="none" w:sz="0" w:space="0" w:color="auto"/>
        <w:bottom w:val="none" w:sz="0" w:space="0" w:color="auto"/>
        <w:right w:val="none" w:sz="0" w:space="0" w:color="auto"/>
      </w:divBdr>
    </w:div>
    <w:div w:id="391584231">
      <w:bodyDiv w:val="1"/>
      <w:marLeft w:val="0"/>
      <w:marRight w:val="0"/>
      <w:marTop w:val="0"/>
      <w:marBottom w:val="0"/>
      <w:divBdr>
        <w:top w:val="none" w:sz="0" w:space="0" w:color="auto"/>
        <w:left w:val="none" w:sz="0" w:space="0" w:color="auto"/>
        <w:bottom w:val="none" w:sz="0" w:space="0" w:color="auto"/>
        <w:right w:val="none" w:sz="0" w:space="0" w:color="auto"/>
      </w:divBdr>
    </w:div>
    <w:div w:id="393282520">
      <w:bodyDiv w:val="1"/>
      <w:marLeft w:val="0"/>
      <w:marRight w:val="0"/>
      <w:marTop w:val="0"/>
      <w:marBottom w:val="0"/>
      <w:divBdr>
        <w:top w:val="none" w:sz="0" w:space="0" w:color="auto"/>
        <w:left w:val="none" w:sz="0" w:space="0" w:color="auto"/>
        <w:bottom w:val="none" w:sz="0" w:space="0" w:color="auto"/>
        <w:right w:val="none" w:sz="0" w:space="0" w:color="auto"/>
      </w:divBdr>
    </w:div>
    <w:div w:id="393740331">
      <w:bodyDiv w:val="1"/>
      <w:marLeft w:val="0"/>
      <w:marRight w:val="0"/>
      <w:marTop w:val="0"/>
      <w:marBottom w:val="0"/>
      <w:divBdr>
        <w:top w:val="none" w:sz="0" w:space="0" w:color="auto"/>
        <w:left w:val="none" w:sz="0" w:space="0" w:color="auto"/>
        <w:bottom w:val="none" w:sz="0" w:space="0" w:color="auto"/>
        <w:right w:val="none" w:sz="0" w:space="0" w:color="auto"/>
      </w:divBdr>
    </w:div>
    <w:div w:id="394014495">
      <w:bodyDiv w:val="1"/>
      <w:marLeft w:val="0"/>
      <w:marRight w:val="0"/>
      <w:marTop w:val="0"/>
      <w:marBottom w:val="0"/>
      <w:divBdr>
        <w:top w:val="none" w:sz="0" w:space="0" w:color="auto"/>
        <w:left w:val="none" w:sz="0" w:space="0" w:color="auto"/>
        <w:bottom w:val="none" w:sz="0" w:space="0" w:color="auto"/>
        <w:right w:val="none" w:sz="0" w:space="0" w:color="auto"/>
      </w:divBdr>
    </w:div>
    <w:div w:id="394477983">
      <w:bodyDiv w:val="1"/>
      <w:marLeft w:val="0"/>
      <w:marRight w:val="0"/>
      <w:marTop w:val="0"/>
      <w:marBottom w:val="0"/>
      <w:divBdr>
        <w:top w:val="none" w:sz="0" w:space="0" w:color="auto"/>
        <w:left w:val="none" w:sz="0" w:space="0" w:color="auto"/>
        <w:bottom w:val="none" w:sz="0" w:space="0" w:color="auto"/>
        <w:right w:val="none" w:sz="0" w:space="0" w:color="auto"/>
      </w:divBdr>
    </w:div>
    <w:div w:id="395248769">
      <w:bodyDiv w:val="1"/>
      <w:marLeft w:val="0"/>
      <w:marRight w:val="0"/>
      <w:marTop w:val="0"/>
      <w:marBottom w:val="0"/>
      <w:divBdr>
        <w:top w:val="none" w:sz="0" w:space="0" w:color="auto"/>
        <w:left w:val="none" w:sz="0" w:space="0" w:color="auto"/>
        <w:bottom w:val="none" w:sz="0" w:space="0" w:color="auto"/>
        <w:right w:val="none" w:sz="0" w:space="0" w:color="auto"/>
      </w:divBdr>
    </w:div>
    <w:div w:id="396366527">
      <w:bodyDiv w:val="1"/>
      <w:marLeft w:val="0"/>
      <w:marRight w:val="0"/>
      <w:marTop w:val="0"/>
      <w:marBottom w:val="0"/>
      <w:divBdr>
        <w:top w:val="none" w:sz="0" w:space="0" w:color="auto"/>
        <w:left w:val="none" w:sz="0" w:space="0" w:color="auto"/>
        <w:bottom w:val="none" w:sz="0" w:space="0" w:color="auto"/>
        <w:right w:val="none" w:sz="0" w:space="0" w:color="auto"/>
      </w:divBdr>
    </w:div>
    <w:div w:id="397898790">
      <w:bodyDiv w:val="1"/>
      <w:marLeft w:val="0"/>
      <w:marRight w:val="0"/>
      <w:marTop w:val="0"/>
      <w:marBottom w:val="0"/>
      <w:divBdr>
        <w:top w:val="none" w:sz="0" w:space="0" w:color="auto"/>
        <w:left w:val="none" w:sz="0" w:space="0" w:color="auto"/>
        <w:bottom w:val="none" w:sz="0" w:space="0" w:color="auto"/>
        <w:right w:val="none" w:sz="0" w:space="0" w:color="auto"/>
      </w:divBdr>
    </w:div>
    <w:div w:id="398400888">
      <w:bodyDiv w:val="1"/>
      <w:marLeft w:val="0"/>
      <w:marRight w:val="0"/>
      <w:marTop w:val="0"/>
      <w:marBottom w:val="0"/>
      <w:divBdr>
        <w:top w:val="none" w:sz="0" w:space="0" w:color="auto"/>
        <w:left w:val="none" w:sz="0" w:space="0" w:color="auto"/>
        <w:bottom w:val="none" w:sz="0" w:space="0" w:color="auto"/>
        <w:right w:val="none" w:sz="0" w:space="0" w:color="auto"/>
      </w:divBdr>
    </w:div>
    <w:div w:id="399328227">
      <w:bodyDiv w:val="1"/>
      <w:marLeft w:val="0"/>
      <w:marRight w:val="0"/>
      <w:marTop w:val="0"/>
      <w:marBottom w:val="0"/>
      <w:divBdr>
        <w:top w:val="none" w:sz="0" w:space="0" w:color="auto"/>
        <w:left w:val="none" w:sz="0" w:space="0" w:color="auto"/>
        <w:bottom w:val="none" w:sz="0" w:space="0" w:color="auto"/>
        <w:right w:val="none" w:sz="0" w:space="0" w:color="auto"/>
      </w:divBdr>
    </w:div>
    <w:div w:id="400448643">
      <w:bodyDiv w:val="1"/>
      <w:marLeft w:val="0"/>
      <w:marRight w:val="0"/>
      <w:marTop w:val="0"/>
      <w:marBottom w:val="0"/>
      <w:divBdr>
        <w:top w:val="none" w:sz="0" w:space="0" w:color="auto"/>
        <w:left w:val="none" w:sz="0" w:space="0" w:color="auto"/>
        <w:bottom w:val="none" w:sz="0" w:space="0" w:color="auto"/>
        <w:right w:val="none" w:sz="0" w:space="0" w:color="auto"/>
      </w:divBdr>
    </w:div>
    <w:div w:id="400569397">
      <w:bodyDiv w:val="1"/>
      <w:marLeft w:val="0"/>
      <w:marRight w:val="0"/>
      <w:marTop w:val="0"/>
      <w:marBottom w:val="0"/>
      <w:divBdr>
        <w:top w:val="none" w:sz="0" w:space="0" w:color="auto"/>
        <w:left w:val="none" w:sz="0" w:space="0" w:color="auto"/>
        <w:bottom w:val="none" w:sz="0" w:space="0" w:color="auto"/>
        <w:right w:val="none" w:sz="0" w:space="0" w:color="auto"/>
      </w:divBdr>
    </w:div>
    <w:div w:id="401870410">
      <w:bodyDiv w:val="1"/>
      <w:marLeft w:val="0"/>
      <w:marRight w:val="0"/>
      <w:marTop w:val="0"/>
      <w:marBottom w:val="0"/>
      <w:divBdr>
        <w:top w:val="none" w:sz="0" w:space="0" w:color="auto"/>
        <w:left w:val="none" w:sz="0" w:space="0" w:color="auto"/>
        <w:bottom w:val="none" w:sz="0" w:space="0" w:color="auto"/>
        <w:right w:val="none" w:sz="0" w:space="0" w:color="auto"/>
      </w:divBdr>
    </w:div>
    <w:div w:id="401952009">
      <w:bodyDiv w:val="1"/>
      <w:marLeft w:val="0"/>
      <w:marRight w:val="0"/>
      <w:marTop w:val="0"/>
      <w:marBottom w:val="0"/>
      <w:divBdr>
        <w:top w:val="none" w:sz="0" w:space="0" w:color="auto"/>
        <w:left w:val="none" w:sz="0" w:space="0" w:color="auto"/>
        <w:bottom w:val="none" w:sz="0" w:space="0" w:color="auto"/>
        <w:right w:val="none" w:sz="0" w:space="0" w:color="auto"/>
      </w:divBdr>
    </w:div>
    <w:div w:id="402066096">
      <w:bodyDiv w:val="1"/>
      <w:marLeft w:val="0"/>
      <w:marRight w:val="0"/>
      <w:marTop w:val="0"/>
      <w:marBottom w:val="0"/>
      <w:divBdr>
        <w:top w:val="none" w:sz="0" w:space="0" w:color="auto"/>
        <w:left w:val="none" w:sz="0" w:space="0" w:color="auto"/>
        <w:bottom w:val="none" w:sz="0" w:space="0" w:color="auto"/>
        <w:right w:val="none" w:sz="0" w:space="0" w:color="auto"/>
      </w:divBdr>
    </w:div>
    <w:div w:id="403256332">
      <w:bodyDiv w:val="1"/>
      <w:marLeft w:val="0"/>
      <w:marRight w:val="0"/>
      <w:marTop w:val="0"/>
      <w:marBottom w:val="0"/>
      <w:divBdr>
        <w:top w:val="none" w:sz="0" w:space="0" w:color="auto"/>
        <w:left w:val="none" w:sz="0" w:space="0" w:color="auto"/>
        <w:bottom w:val="none" w:sz="0" w:space="0" w:color="auto"/>
        <w:right w:val="none" w:sz="0" w:space="0" w:color="auto"/>
      </w:divBdr>
    </w:div>
    <w:div w:id="403798184">
      <w:bodyDiv w:val="1"/>
      <w:marLeft w:val="0"/>
      <w:marRight w:val="0"/>
      <w:marTop w:val="0"/>
      <w:marBottom w:val="0"/>
      <w:divBdr>
        <w:top w:val="none" w:sz="0" w:space="0" w:color="auto"/>
        <w:left w:val="none" w:sz="0" w:space="0" w:color="auto"/>
        <w:bottom w:val="none" w:sz="0" w:space="0" w:color="auto"/>
        <w:right w:val="none" w:sz="0" w:space="0" w:color="auto"/>
      </w:divBdr>
    </w:div>
    <w:div w:id="405804344">
      <w:bodyDiv w:val="1"/>
      <w:marLeft w:val="0"/>
      <w:marRight w:val="0"/>
      <w:marTop w:val="0"/>
      <w:marBottom w:val="0"/>
      <w:divBdr>
        <w:top w:val="none" w:sz="0" w:space="0" w:color="auto"/>
        <w:left w:val="none" w:sz="0" w:space="0" w:color="auto"/>
        <w:bottom w:val="none" w:sz="0" w:space="0" w:color="auto"/>
        <w:right w:val="none" w:sz="0" w:space="0" w:color="auto"/>
      </w:divBdr>
    </w:div>
    <w:div w:id="405878311">
      <w:bodyDiv w:val="1"/>
      <w:marLeft w:val="0"/>
      <w:marRight w:val="0"/>
      <w:marTop w:val="0"/>
      <w:marBottom w:val="0"/>
      <w:divBdr>
        <w:top w:val="none" w:sz="0" w:space="0" w:color="auto"/>
        <w:left w:val="none" w:sz="0" w:space="0" w:color="auto"/>
        <w:bottom w:val="none" w:sz="0" w:space="0" w:color="auto"/>
        <w:right w:val="none" w:sz="0" w:space="0" w:color="auto"/>
      </w:divBdr>
    </w:div>
    <w:div w:id="407002319">
      <w:bodyDiv w:val="1"/>
      <w:marLeft w:val="0"/>
      <w:marRight w:val="0"/>
      <w:marTop w:val="0"/>
      <w:marBottom w:val="0"/>
      <w:divBdr>
        <w:top w:val="none" w:sz="0" w:space="0" w:color="auto"/>
        <w:left w:val="none" w:sz="0" w:space="0" w:color="auto"/>
        <w:bottom w:val="none" w:sz="0" w:space="0" w:color="auto"/>
        <w:right w:val="none" w:sz="0" w:space="0" w:color="auto"/>
      </w:divBdr>
    </w:div>
    <w:div w:id="408696065">
      <w:bodyDiv w:val="1"/>
      <w:marLeft w:val="0"/>
      <w:marRight w:val="0"/>
      <w:marTop w:val="0"/>
      <w:marBottom w:val="0"/>
      <w:divBdr>
        <w:top w:val="none" w:sz="0" w:space="0" w:color="auto"/>
        <w:left w:val="none" w:sz="0" w:space="0" w:color="auto"/>
        <w:bottom w:val="none" w:sz="0" w:space="0" w:color="auto"/>
        <w:right w:val="none" w:sz="0" w:space="0" w:color="auto"/>
      </w:divBdr>
    </w:div>
    <w:div w:id="409431110">
      <w:bodyDiv w:val="1"/>
      <w:marLeft w:val="0"/>
      <w:marRight w:val="0"/>
      <w:marTop w:val="0"/>
      <w:marBottom w:val="0"/>
      <w:divBdr>
        <w:top w:val="none" w:sz="0" w:space="0" w:color="auto"/>
        <w:left w:val="none" w:sz="0" w:space="0" w:color="auto"/>
        <w:bottom w:val="none" w:sz="0" w:space="0" w:color="auto"/>
        <w:right w:val="none" w:sz="0" w:space="0" w:color="auto"/>
      </w:divBdr>
    </w:div>
    <w:div w:id="410733643">
      <w:bodyDiv w:val="1"/>
      <w:marLeft w:val="0"/>
      <w:marRight w:val="0"/>
      <w:marTop w:val="0"/>
      <w:marBottom w:val="0"/>
      <w:divBdr>
        <w:top w:val="none" w:sz="0" w:space="0" w:color="auto"/>
        <w:left w:val="none" w:sz="0" w:space="0" w:color="auto"/>
        <w:bottom w:val="none" w:sz="0" w:space="0" w:color="auto"/>
        <w:right w:val="none" w:sz="0" w:space="0" w:color="auto"/>
      </w:divBdr>
    </w:div>
    <w:div w:id="411006548">
      <w:bodyDiv w:val="1"/>
      <w:marLeft w:val="0"/>
      <w:marRight w:val="0"/>
      <w:marTop w:val="0"/>
      <w:marBottom w:val="0"/>
      <w:divBdr>
        <w:top w:val="none" w:sz="0" w:space="0" w:color="auto"/>
        <w:left w:val="none" w:sz="0" w:space="0" w:color="auto"/>
        <w:bottom w:val="none" w:sz="0" w:space="0" w:color="auto"/>
        <w:right w:val="none" w:sz="0" w:space="0" w:color="auto"/>
      </w:divBdr>
    </w:div>
    <w:div w:id="411439937">
      <w:bodyDiv w:val="1"/>
      <w:marLeft w:val="0"/>
      <w:marRight w:val="0"/>
      <w:marTop w:val="0"/>
      <w:marBottom w:val="0"/>
      <w:divBdr>
        <w:top w:val="none" w:sz="0" w:space="0" w:color="auto"/>
        <w:left w:val="none" w:sz="0" w:space="0" w:color="auto"/>
        <w:bottom w:val="none" w:sz="0" w:space="0" w:color="auto"/>
        <w:right w:val="none" w:sz="0" w:space="0" w:color="auto"/>
      </w:divBdr>
    </w:div>
    <w:div w:id="411776365">
      <w:bodyDiv w:val="1"/>
      <w:marLeft w:val="0"/>
      <w:marRight w:val="0"/>
      <w:marTop w:val="0"/>
      <w:marBottom w:val="0"/>
      <w:divBdr>
        <w:top w:val="none" w:sz="0" w:space="0" w:color="auto"/>
        <w:left w:val="none" w:sz="0" w:space="0" w:color="auto"/>
        <w:bottom w:val="none" w:sz="0" w:space="0" w:color="auto"/>
        <w:right w:val="none" w:sz="0" w:space="0" w:color="auto"/>
      </w:divBdr>
    </w:div>
    <w:div w:id="414134345">
      <w:bodyDiv w:val="1"/>
      <w:marLeft w:val="0"/>
      <w:marRight w:val="0"/>
      <w:marTop w:val="0"/>
      <w:marBottom w:val="0"/>
      <w:divBdr>
        <w:top w:val="none" w:sz="0" w:space="0" w:color="auto"/>
        <w:left w:val="none" w:sz="0" w:space="0" w:color="auto"/>
        <w:bottom w:val="none" w:sz="0" w:space="0" w:color="auto"/>
        <w:right w:val="none" w:sz="0" w:space="0" w:color="auto"/>
      </w:divBdr>
    </w:div>
    <w:div w:id="414280690">
      <w:bodyDiv w:val="1"/>
      <w:marLeft w:val="0"/>
      <w:marRight w:val="0"/>
      <w:marTop w:val="0"/>
      <w:marBottom w:val="0"/>
      <w:divBdr>
        <w:top w:val="none" w:sz="0" w:space="0" w:color="auto"/>
        <w:left w:val="none" w:sz="0" w:space="0" w:color="auto"/>
        <w:bottom w:val="none" w:sz="0" w:space="0" w:color="auto"/>
        <w:right w:val="none" w:sz="0" w:space="0" w:color="auto"/>
      </w:divBdr>
    </w:div>
    <w:div w:id="415253920">
      <w:bodyDiv w:val="1"/>
      <w:marLeft w:val="0"/>
      <w:marRight w:val="0"/>
      <w:marTop w:val="0"/>
      <w:marBottom w:val="0"/>
      <w:divBdr>
        <w:top w:val="none" w:sz="0" w:space="0" w:color="auto"/>
        <w:left w:val="none" w:sz="0" w:space="0" w:color="auto"/>
        <w:bottom w:val="none" w:sz="0" w:space="0" w:color="auto"/>
        <w:right w:val="none" w:sz="0" w:space="0" w:color="auto"/>
      </w:divBdr>
    </w:div>
    <w:div w:id="415519745">
      <w:bodyDiv w:val="1"/>
      <w:marLeft w:val="0"/>
      <w:marRight w:val="0"/>
      <w:marTop w:val="0"/>
      <w:marBottom w:val="0"/>
      <w:divBdr>
        <w:top w:val="none" w:sz="0" w:space="0" w:color="auto"/>
        <w:left w:val="none" w:sz="0" w:space="0" w:color="auto"/>
        <w:bottom w:val="none" w:sz="0" w:space="0" w:color="auto"/>
        <w:right w:val="none" w:sz="0" w:space="0" w:color="auto"/>
      </w:divBdr>
    </w:div>
    <w:div w:id="415833017">
      <w:bodyDiv w:val="1"/>
      <w:marLeft w:val="0"/>
      <w:marRight w:val="0"/>
      <w:marTop w:val="0"/>
      <w:marBottom w:val="0"/>
      <w:divBdr>
        <w:top w:val="none" w:sz="0" w:space="0" w:color="auto"/>
        <w:left w:val="none" w:sz="0" w:space="0" w:color="auto"/>
        <w:bottom w:val="none" w:sz="0" w:space="0" w:color="auto"/>
        <w:right w:val="none" w:sz="0" w:space="0" w:color="auto"/>
      </w:divBdr>
    </w:div>
    <w:div w:id="417603081">
      <w:bodyDiv w:val="1"/>
      <w:marLeft w:val="0"/>
      <w:marRight w:val="0"/>
      <w:marTop w:val="0"/>
      <w:marBottom w:val="0"/>
      <w:divBdr>
        <w:top w:val="none" w:sz="0" w:space="0" w:color="auto"/>
        <w:left w:val="none" w:sz="0" w:space="0" w:color="auto"/>
        <w:bottom w:val="none" w:sz="0" w:space="0" w:color="auto"/>
        <w:right w:val="none" w:sz="0" w:space="0" w:color="auto"/>
      </w:divBdr>
    </w:div>
    <w:div w:id="418673219">
      <w:bodyDiv w:val="1"/>
      <w:marLeft w:val="0"/>
      <w:marRight w:val="0"/>
      <w:marTop w:val="0"/>
      <w:marBottom w:val="0"/>
      <w:divBdr>
        <w:top w:val="none" w:sz="0" w:space="0" w:color="auto"/>
        <w:left w:val="none" w:sz="0" w:space="0" w:color="auto"/>
        <w:bottom w:val="none" w:sz="0" w:space="0" w:color="auto"/>
        <w:right w:val="none" w:sz="0" w:space="0" w:color="auto"/>
      </w:divBdr>
    </w:div>
    <w:div w:id="418796647">
      <w:bodyDiv w:val="1"/>
      <w:marLeft w:val="0"/>
      <w:marRight w:val="0"/>
      <w:marTop w:val="0"/>
      <w:marBottom w:val="0"/>
      <w:divBdr>
        <w:top w:val="none" w:sz="0" w:space="0" w:color="auto"/>
        <w:left w:val="none" w:sz="0" w:space="0" w:color="auto"/>
        <w:bottom w:val="none" w:sz="0" w:space="0" w:color="auto"/>
        <w:right w:val="none" w:sz="0" w:space="0" w:color="auto"/>
      </w:divBdr>
    </w:div>
    <w:div w:id="418797398">
      <w:bodyDiv w:val="1"/>
      <w:marLeft w:val="0"/>
      <w:marRight w:val="0"/>
      <w:marTop w:val="0"/>
      <w:marBottom w:val="0"/>
      <w:divBdr>
        <w:top w:val="none" w:sz="0" w:space="0" w:color="auto"/>
        <w:left w:val="none" w:sz="0" w:space="0" w:color="auto"/>
        <w:bottom w:val="none" w:sz="0" w:space="0" w:color="auto"/>
        <w:right w:val="none" w:sz="0" w:space="0" w:color="auto"/>
      </w:divBdr>
    </w:div>
    <w:div w:id="419719070">
      <w:bodyDiv w:val="1"/>
      <w:marLeft w:val="0"/>
      <w:marRight w:val="0"/>
      <w:marTop w:val="0"/>
      <w:marBottom w:val="0"/>
      <w:divBdr>
        <w:top w:val="none" w:sz="0" w:space="0" w:color="auto"/>
        <w:left w:val="none" w:sz="0" w:space="0" w:color="auto"/>
        <w:bottom w:val="none" w:sz="0" w:space="0" w:color="auto"/>
        <w:right w:val="none" w:sz="0" w:space="0" w:color="auto"/>
      </w:divBdr>
    </w:div>
    <w:div w:id="420219978">
      <w:bodyDiv w:val="1"/>
      <w:marLeft w:val="0"/>
      <w:marRight w:val="0"/>
      <w:marTop w:val="0"/>
      <w:marBottom w:val="0"/>
      <w:divBdr>
        <w:top w:val="none" w:sz="0" w:space="0" w:color="auto"/>
        <w:left w:val="none" w:sz="0" w:space="0" w:color="auto"/>
        <w:bottom w:val="none" w:sz="0" w:space="0" w:color="auto"/>
        <w:right w:val="none" w:sz="0" w:space="0" w:color="auto"/>
      </w:divBdr>
    </w:div>
    <w:div w:id="420371597">
      <w:bodyDiv w:val="1"/>
      <w:marLeft w:val="0"/>
      <w:marRight w:val="0"/>
      <w:marTop w:val="0"/>
      <w:marBottom w:val="0"/>
      <w:divBdr>
        <w:top w:val="none" w:sz="0" w:space="0" w:color="auto"/>
        <w:left w:val="none" w:sz="0" w:space="0" w:color="auto"/>
        <w:bottom w:val="none" w:sz="0" w:space="0" w:color="auto"/>
        <w:right w:val="none" w:sz="0" w:space="0" w:color="auto"/>
      </w:divBdr>
    </w:div>
    <w:div w:id="421805827">
      <w:bodyDiv w:val="1"/>
      <w:marLeft w:val="0"/>
      <w:marRight w:val="0"/>
      <w:marTop w:val="0"/>
      <w:marBottom w:val="0"/>
      <w:divBdr>
        <w:top w:val="none" w:sz="0" w:space="0" w:color="auto"/>
        <w:left w:val="none" w:sz="0" w:space="0" w:color="auto"/>
        <w:bottom w:val="none" w:sz="0" w:space="0" w:color="auto"/>
        <w:right w:val="none" w:sz="0" w:space="0" w:color="auto"/>
      </w:divBdr>
    </w:div>
    <w:div w:id="422183860">
      <w:bodyDiv w:val="1"/>
      <w:marLeft w:val="0"/>
      <w:marRight w:val="0"/>
      <w:marTop w:val="0"/>
      <w:marBottom w:val="0"/>
      <w:divBdr>
        <w:top w:val="none" w:sz="0" w:space="0" w:color="auto"/>
        <w:left w:val="none" w:sz="0" w:space="0" w:color="auto"/>
        <w:bottom w:val="none" w:sz="0" w:space="0" w:color="auto"/>
        <w:right w:val="none" w:sz="0" w:space="0" w:color="auto"/>
      </w:divBdr>
    </w:div>
    <w:div w:id="422259551">
      <w:bodyDiv w:val="1"/>
      <w:marLeft w:val="0"/>
      <w:marRight w:val="0"/>
      <w:marTop w:val="0"/>
      <w:marBottom w:val="0"/>
      <w:divBdr>
        <w:top w:val="none" w:sz="0" w:space="0" w:color="auto"/>
        <w:left w:val="none" w:sz="0" w:space="0" w:color="auto"/>
        <w:bottom w:val="none" w:sz="0" w:space="0" w:color="auto"/>
        <w:right w:val="none" w:sz="0" w:space="0" w:color="auto"/>
      </w:divBdr>
    </w:div>
    <w:div w:id="424225320">
      <w:bodyDiv w:val="1"/>
      <w:marLeft w:val="0"/>
      <w:marRight w:val="0"/>
      <w:marTop w:val="0"/>
      <w:marBottom w:val="0"/>
      <w:divBdr>
        <w:top w:val="none" w:sz="0" w:space="0" w:color="auto"/>
        <w:left w:val="none" w:sz="0" w:space="0" w:color="auto"/>
        <w:bottom w:val="none" w:sz="0" w:space="0" w:color="auto"/>
        <w:right w:val="none" w:sz="0" w:space="0" w:color="auto"/>
      </w:divBdr>
    </w:div>
    <w:div w:id="424308388">
      <w:bodyDiv w:val="1"/>
      <w:marLeft w:val="0"/>
      <w:marRight w:val="0"/>
      <w:marTop w:val="0"/>
      <w:marBottom w:val="0"/>
      <w:divBdr>
        <w:top w:val="none" w:sz="0" w:space="0" w:color="auto"/>
        <w:left w:val="none" w:sz="0" w:space="0" w:color="auto"/>
        <w:bottom w:val="none" w:sz="0" w:space="0" w:color="auto"/>
        <w:right w:val="none" w:sz="0" w:space="0" w:color="auto"/>
      </w:divBdr>
    </w:div>
    <w:div w:id="424693267">
      <w:bodyDiv w:val="1"/>
      <w:marLeft w:val="0"/>
      <w:marRight w:val="0"/>
      <w:marTop w:val="0"/>
      <w:marBottom w:val="0"/>
      <w:divBdr>
        <w:top w:val="none" w:sz="0" w:space="0" w:color="auto"/>
        <w:left w:val="none" w:sz="0" w:space="0" w:color="auto"/>
        <w:bottom w:val="none" w:sz="0" w:space="0" w:color="auto"/>
        <w:right w:val="none" w:sz="0" w:space="0" w:color="auto"/>
      </w:divBdr>
    </w:div>
    <w:div w:id="426342829">
      <w:bodyDiv w:val="1"/>
      <w:marLeft w:val="0"/>
      <w:marRight w:val="0"/>
      <w:marTop w:val="0"/>
      <w:marBottom w:val="0"/>
      <w:divBdr>
        <w:top w:val="none" w:sz="0" w:space="0" w:color="auto"/>
        <w:left w:val="none" w:sz="0" w:space="0" w:color="auto"/>
        <w:bottom w:val="none" w:sz="0" w:space="0" w:color="auto"/>
        <w:right w:val="none" w:sz="0" w:space="0" w:color="auto"/>
      </w:divBdr>
    </w:div>
    <w:div w:id="429273675">
      <w:bodyDiv w:val="1"/>
      <w:marLeft w:val="0"/>
      <w:marRight w:val="0"/>
      <w:marTop w:val="0"/>
      <w:marBottom w:val="0"/>
      <w:divBdr>
        <w:top w:val="none" w:sz="0" w:space="0" w:color="auto"/>
        <w:left w:val="none" w:sz="0" w:space="0" w:color="auto"/>
        <w:bottom w:val="none" w:sz="0" w:space="0" w:color="auto"/>
        <w:right w:val="none" w:sz="0" w:space="0" w:color="auto"/>
      </w:divBdr>
    </w:div>
    <w:div w:id="429274412">
      <w:bodyDiv w:val="1"/>
      <w:marLeft w:val="0"/>
      <w:marRight w:val="0"/>
      <w:marTop w:val="0"/>
      <w:marBottom w:val="0"/>
      <w:divBdr>
        <w:top w:val="none" w:sz="0" w:space="0" w:color="auto"/>
        <w:left w:val="none" w:sz="0" w:space="0" w:color="auto"/>
        <w:bottom w:val="none" w:sz="0" w:space="0" w:color="auto"/>
        <w:right w:val="none" w:sz="0" w:space="0" w:color="auto"/>
      </w:divBdr>
    </w:div>
    <w:div w:id="430472867">
      <w:bodyDiv w:val="1"/>
      <w:marLeft w:val="0"/>
      <w:marRight w:val="0"/>
      <w:marTop w:val="0"/>
      <w:marBottom w:val="0"/>
      <w:divBdr>
        <w:top w:val="none" w:sz="0" w:space="0" w:color="auto"/>
        <w:left w:val="none" w:sz="0" w:space="0" w:color="auto"/>
        <w:bottom w:val="none" w:sz="0" w:space="0" w:color="auto"/>
        <w:right w:val="none" w:sz="0" w:space="0" w:color="auto"/>
      </w:divBdr>
    </w:div>
    <w:div w:id="431510691">
      <w:bodyDiv w:val="1"/>
      <w:marLeft w:val="0"/>
      <w:marRight w:val="0"/>
      <w:marTop w:val="0"/>
      <w:marBottom w:val="0"/>
      <w:divBdr>
        <w:top w:val="none" w:sz="0" w:space="0" w:color="auto"/>
        <w:left w:val="none" w:sz="0" w:space="0" w:color="auto"/>
        <w:bottom w:val="none" w:sz="0" w:space="0" w:color="auto"/>
        <w:right w:val="none" w:sz="0" w:space="0" w:color="auto"/>
      </w:divBdr>
    </w:div>
    <w:div w:id="432672075">
      <w:bodyDiv w:val="1"/>
      <w:marLeft w:val="0"/>
      <w:marRight w:val="0"/>
      <w:marTop w:val="0"/>
      <w:marBottom w:val="0"/>
      <w:divBdr>
        <w:top w:val="none" w:sz="0" w:space="0" w:color="auto"/>
        <w:left w:val="none" w:sz="0" w:space="0" w:color="auto"/>
        <w:bottom w:val="none" w:sz="0" w:space="0" w:color="auto"/>
        <w:right w:val="none" w:sz="0" w:space="0" w:color="auto"/>
      </w:divBdr>
    </w:div>
    <w:div w:id="435028930">
      <w:bodyDiv w:val="1"/>
      <w:marLeft w:val="0"/>
      <w:marRight w:val="0"/>
      <w:marTop w:val="0"/>
      <w:marBottom w:val="0"/>
      <w:divBdr>
        <w:top w:val="none" w:sz="0" w:space="0" w:color="auto"/>
        <w:left w:val="none" w:sz="0" w:space="0" w:color="auto"/>
        <w:bottom w:val="none" w:sz="0" w:space="0" w:color="auto"/>
        <w:right w:val="none" w:sz="0" w:space="0" w:color="auto"/>
      </w:divBdr>
    </w:div>
    <w:div w:id="435248435">
      <w:bodyDiv w:val="1"/>
      <w:marLeft w:val="0"/>
      <w:marRight w:val="0"/>
      <w:marTop w:val="0"/>
      <w:marBottom w:val="0"/>
      <w:divBdr>
        <w:top w:val="none" w:sz="0" w:space="0" w:color="auto"/>
        <w:left w:val="none" w:sz="0" w:space="0" w:color="auto"/>
        <w:bottom w:val="none" w:sz="0" w:space="0" w:color="auto"/>
        <w:right w:val="none" w:sz="0" w:space="0" w:color="auto"/>
      </w:divBdr>
    </w:div>
    <w:div w:id="435295418">
      <w:bodyDiv w:val="1"/>
      <w:marLeft w:val="0"/>
      <w:marRight w:val="0"/>
      <w:marTop w:val="0"/>
      <w:marBottom w:val="0"/>
      <w:divBdr>
        <w:top w:val="none" w:sz="0" w:space="0" w:color="auto"/>
        <w:left w:val="none" w:sz="0" w:space="0" w:color="auto"/>
        <w:bottom w:val="none" w:sz="0" w:space="0" w:color="auto"/>
        <w:right w:val="none" w:sz="0" w:space="0" w:color="auto"/>
      </w:divBdr>
    </w:div>
    <w:div w:id="435756681">
      <w:bodyDiv w:val="1"/>
      <w:marLeft w:val="0"/>
      <w:marRight w:val="0"/>
      <w:marTop w:val="0"/>
      <w:marBottom w:val="0"/>
      <w:divBdr>
        <w:top w:val="none" w:sz="0" w:space="0" w:color="auto"/>
        <w:left w:val="none" w:sz="0" w:space="0" w:color="auto"/>
        <w:bottom w:val="none" w:sz="0" w:space="0" w:color="auto"/>
        <w:right w:val="none" w:sz="0" w:space="0" w:color="auto"/>
      </w:divBdr>
    </w:div>
    <w:div w:id="435948106">
      <w:bodyDiv w:val="1"/>
      <w:marLeft w:val="0"/>
      <w:marRight w:val="0"/>
      <w:marTop w:val="0"/>
      <w:marBottom w:val="0"/>
      <w:divBdr>
        <w:top w:val="none" w:sz="0" w:space="0" w:color="auto"/>
        <w:left w:val="none" w:sz="0" w:space="0" w:color="auto"/>
        <w:bottom w:val="none" w:sz="0" w:space="0" w:color="auto"/>
        <w:right w:val="none" w:sz="0" w:space="0" w:color="auto"/>
      </w:divBdr>
    </w:div>
    <w:div w:id="436632717">
      <w:bodyDiv w:val="1"/>
      <w:marLeft w:val="0"/>
      <w:marRight w:val="0"/>
      <w:marTop w:val="0"/>
      <w:marBottom w:val="0"/>
      <w:divBdr>
        <w:top w:val="none" w:sz="0" w:space="0" w:color="auto"/>
        <w:left w:val="none" w:sz="0" w:space="0" w:color="auto"/>
        <w:bottom w:val="none" w:sz="0" w:space="0" w:color="auto"/>
        <w:right w:val="none" w:sz="0" w:space="0" w:color="auto"/>
      </w:divBdr>
    </w:div>
    <w:div w:id="436680844">
      <w:bodyDiv w:val="1"/>
      <w:marLeft w:val="0"/>
      <w:marRight w:val="0"/>
      <w:marTop w:val="0"/>
      <w:marBottom w:val="0"/>
      <w:divBdr>
        <w:top w:val="none" w:sz="0" w:space="0" w:color="auto"/>
        <w:left w:val="none" w:sz="0" w:space="0" w:color="auto"/>
        <w:bottom w:val="none" w:sz="0" w:space="0" w:color="auto"/>
        <w:right w:val="none" w:sz="0" w:space="0" w:color="auto"/>
      </w:divBdr>
    </w:div>
    <w:div w:id="436873851">
      <w:bodyDiv w:val="1"/>
      <w:marLeft w:val="0"/>
      <w:marRight w:val="0"/>
      <w:marTop w:val="0"/>
      <w:marBottom w:val="0"/>
      <w:divBdr>
        <w:top w:val="none" w:sz="0" w:space="0" w:color="auto"/>
        <w:left w:val="none" w:sz="0" w:space="0" w:color="auto"/>
        <w:bottom w:val="none" w:sz="0" w:space="0" w:color="auto"/>
        <w:right w:val="none" w:sz="0" w:space="0" w:color="auto"/>
      </w:divBdr>
    </w:div>
    <w:div w:id="438183548">
      <w:bodyDiv w:val="1"/>
      <w:marLeft w:val="0"/>
      <w:marRight w:val="0"/>
      <w:marTop w:val="0"/>
      <w:marBottom w:val="0"/>
      <w:divBdr>
        <w:top w:val="none" w:sz="0" w:space="0" w:color="auto"/>
        <w:left w:val="none" w:sz="0" w:space="0" w:color="auto"/>
        <w:bottom w:val="none" w:sz="0" w:space="0" w:color="auto"/>
        <w:right w:val="none" w:sz="0" w:space="0" w:color="auto"/>
      </w:divBdr>
    </w:div>
    <w:div w:id="440538349">
      <w:bodyDiv w:val="1"/>
      <w:marLeft w:val="0"/>
      <w:marRight w:val="0"/>
      <w:marTop w:val="0"/>
      <w:marBottom w:val="0"/>
      <w:divBdr>
        <w:top w:val="none" w:sz="0" w:space="0" w:color="auto"/>
        <w:left w:val="none" w:sz="0" w:space="0" w:color="auto"/>
        <w:bottom w:val="none" w:sz="0" w:space="0" w:color="auto"/>
        <w:right w:val="none" w:sz="0" w:space="0" w:color="auto"/>
      </w:divBdr>
    </w:div>
    <w:div w:id="441345482">
      <w:bodyDiv w:val="1"/>
      <w:marLeft w:val="0"/>
      <w:marRight w:val="0"/>
      <w:marTop w:val="0"/>
      <w:marBottom w:val="0"/>
      <w:divBdr>
        <w:top w:val="none" w:sz="0" w:space="0" w:color="auto"/>
        <w:left w:val="none" w:sz="0" w:space="0" w:color="auto"/>
        <w:bottom w:val="none" w:sz="0" w:space="0" w:color="auto"/>
        <w:right w:val="none" w:sz="0" w:space="0" w:color="auto"/>
      </w:divBdr>
    </w:div>
    <w:div w:id="441922997">
      <w:bodyDiv w:val="1"/>
      <w:marLeft w:val="0"/>
      <w:marRight w:val="0"/>
      <w:marTop w:val="0"/>
      <w:marBottom w:val="0"/>
      <w:divBdr>
        <w:top w:val="none" w:sz="0" w:space="0" w:color="auto"/>
        <w:left w:val="none" w:sz="0" w:space="0" w:color="auto"/>
        <w:bottom w:val="none" w:sz="0" w:space="0" w:color="auto"/>
        <w:right w:val="none" w:sz="0" w:space="0" w:color="auto"/>
      </w:divBdr>
    </w:div>
    <w:div w:id="443115794">
      <w:bodyDiv w:val="1"/>
      <w:marLeft w:val="0"/>
      <w:marRight w:val="0"/>
      <w:marTop w:val="0"/>
      <w:marBottom w:val="0"/>
      <w:divBdr>
        <w:top w:val="none" w:sz="0" w:space="0" w:color="auto"/>
        <w:left w:val="none" w:sz="0" w:space="0" w:color="auto"/>
        <w:bottom w:val="none" w:sz="0" w:space="0" w:color="auto"/>
        <w:right w:val="none" w:sz="0" w:space="0" w:color="auto"/>
      </w:divBdr>
    </w:div>
    <w:div w:id="443579463">
      <w:bodyDiv w:val="1"/>
      <w:marLeft w:val="0"/>
      <w:marRight w:val="0"/>
      <w:marTop w:val="0"/>
      <w:marBottom w:val="0"/>
      <w:divBdr>
        <w:top w:val="none" w:sz="0" w:space="0" w:color="auto"/>
        <w:left w:val="none" w:sz="0" w:space="0" w:color="auto"/>
        <w:bottom w:val="none" w:sz="0" w:space="0" w:color="auto"/>
        <w:right w:val="none" w:sz="0" w:space="0" w:color="auto"/>
      </w:divBdr>
    </w:div>
    <w:div w:id="444933319">
      <w:bodyDiv w:val="1"/>
      <w:marLeft w:val="0"/>
      <w:marRight w:val="0"/>
      <w:marTop w:val="0"/>
      <w:marBottom w:val="0"/>
      <w:divBdr>
        <w:top w:val="none" w:sz="0" w:space="0" w:color="auto"/>
        <w:left w:val="none" w:sz="0" w:space="0" w:color="auto"/>
        <w:bottom w:val="none" w:sz="0" w:space="0" w:color="auto"/>
        <w:right w:val="none" w:sz="0" w:space="0" w:color="auto"/>
      </w:divBdr>
    </w:div>
    <w:div w:id="449133789">
      <w:bodyDiv w:val="1"/>
      <w:marLeft w:val="0"/>
      <w:marRight w:val="0"/>
      <w:marTop w:val="0"/>
      <w:marBottom w:val="0"/>
      <w:divBdr>
        <w:top w:val="none" w:sz="0" w:space="0" w:color="auto"/>
        <w:left w:val="none" w:sz="0" w:space="0" w:color="auto"/>
        <w:bottom w:val="none" w:sz="0" w:space="0" w:color="auto"/>
        <w:right w:val="none" w:sz="0" w:space="0" w:color="auto"/>
      </w:divBdr>
    </w:div>
    <w:div w:id="451676434">
      <w:bodyDiv w:val="1"/>
      <w:marLeft w:val="0"/>
      <w:marRight w:val="0"/>
      <w:marTop w:val="0"/>
      <w:marBottom w:val="0"/>
      <w:divBdr>
        <w:top w:val="none" w:sz="0" w:space="0" w:color="auto"/>
        <w:left w:val="none" w:sz="0" w:space="0" w:color="auto"/>
        <w:bottom w:val="none" w:sz="0" w:space="0" w:color="auto"/>
        <w:right w:val="none" w:sz="0" w:space="0" w:color="auto"/>
      </w:divBdr>
    </w:div>
    <w:div w:id="451752773">
      <w:bodyDiv w:val="1"/>
      <w:marLeft w:val="0"/>
      <w:marRight w:val="0"/>
      <w:marTop w:val="0"/>
      <w:marBottom w:val="0"/>
      <w:divBdr>
        <w:top w:val="none" w:sz="0" w:space="0" w:color="auto"/>
        <w:left w:val="none" w:sz="0" w:space="0" w:color="auto"/>
        <w:bottom w:val="none" w:sz="0" w:space="0" w:color="auto"/>
        <w:right w:val="none" w:sz="0" w:space="0" w:color="auto"/>
      </w:divBdr>
    </w:div>
    <w:div w:id="452476968">
      <w:bodyDiv w:val="1"/>
      <w:marLeft w:val="0"/>
      <w:marRight w:val="0"/>
      <w:marTop w:val="0"/>
      <w:marBottom w:val="0"/>
      <w:divBdr>
        <w:top w:val="none" w:sz="0" w:space="0" w:color="auto"/>
        <w:left w:val="none" w:sz="0" w:space="0" w:color="auto"/>
        <w:bottom w:val="none" w:sz="0" w:space="0" w:color="auto"/>
        <w:right w:val="none" w:sz="0" w:space="0" w:color="auto"/>
      </w:divBdr>
    </w:div>
    <w:div w:id="453064068">
      <w:bodyDiv w:val="1"/>
      <w:marLeft w:val="0"/>
      <w:marRight w:val="0"/>
      <w:marTop w:val="0"/>
      <w:marBottom w:val="0"/>
      <w:divBdr>
        <w:top w:val="none" w:sz="0" w:space="0" w:color="auto"/>
        <w:left w:val="none" w:sz="0" w:space="0" w:color="auto"/>
        <w:bottom w:val="none" w:sz="0" w:space="0" w:color="auto"/>
        <w:right w:val="none" w:sz="0" w:space="0" w:color="auto"/>
      </w:divBdr>
    </w:div>
    <w:div w:id="453645579">
      <w:bodyDiv w:val="1"/>
      <w:marLeft w:val="0"/>
      <w:marRight w:val="0"/>
      <w:marTop w:val="0"/>
      <w:marBottom w:val="0"/>
      <w:divBdr>
        <w:top w:val="none" w:sz="0" w:space="0" w:color="auto"/>
        <w:left w:val="none" w:sz="0" w:space="0" w:color="auto"/>
        <w:bottom w:val="none" w:sz="0" w:space="0" w:color="auto"/>
        <w:right w:val="none" w:sz="0" w:space="0" w:color="auto"/>
      </w:divBdr>
    </w:div>
    <w:div w:id="456803414">
      <w:bodyDiv w:val="1"/>
      <w:marLeft w:val="0"/>
      <w:marRight w:val="0"/>
      <w:marTop w:val="0"/>
      <w:marBottom w:val="0"/>
      <w:divBdr>
        <w:top w:val="none" w:sz="0" w:space="0" w:color="auto"/>
        <w:left w:val="none" w:sz="0" w:space="0" w:color="auto"/>
        <w:bottom w:val="none" w:sz="0" w:space="0" w:color="auto"/>
        <w:right w:val="none" w:sz="0" w:space="0" w:color="auto"/>
      </w:divBdr>
    </w:div>
    <w:div w:id="457451979">
      <w:bodyDiv w:val="1"/>
      <w:marLeft w:val="0"/>
      <w:marRight w:val="0"/>
      <w:marTop w:val="0"/>
      <w:marBottom w:val="0"/>
      <w:divBdr>
        <w:top w:val="none" w:sz="0" w:space="0" w:color="auto"/>
        <w:left w:val="none" w:sz="0" w:space="0" w:color="auto"/>
        <w:bottom w:val="none" w:sz="0" w:space="0" w:color="auto"/>
        <w:right w:val="none" w:sz="0" w:space="0" w:color="auto"/>
      </w:divBdr>
    </w:div>
    <w:div w:id="458111323">
      <w:bodyDiv w:val="1"/>
      <w:marLeft w:val="0"/>
      <w:marRight w:val="0"/>
      <w:marTop w:val="0"/>
      <w:marBottom w:val="0"/>
      <w:divBdr>
        <w:top w:val="none" w:sz="0" w:space="0" w:color="auto"/>
        <w:left w:val="none" w:sz="0" w:space="0" w:color="auto"/>
        <w:bottom w:val="none" w:sz="0" w:space="0" w:color="auto"/>
        <w:right w:val="none" w:sz="0" w:space="0" w:color="auto"/>
      </w:divBdr>
    </w:div>
    <w:div w:id="458449860">
      <w:bodyDiv w:val="1"/>
      <w:marLeft w:val="0"/>
      <w:marRight w:val="0"/>
      <w:marTop w:val="0"/>
      <w:marBottom w:val="0"/>
      <w:divBdr>
        <w:top w:val="none" w:sz="0" w:space="0" w:color="auto"/>
        <w:left w:val="none" w:sz="0" w:space="0" w:color="auto"/>
        <w:bottom w:val="none" w:sz="0" w:space="0" w:color="auto"/>
        <w:right w:val="none" w:sz="0" w:space="0" w:color="auto"/>
      </w:divBdr>
    </w:div>
    <w:div w:id="461928955">
      <w:bodyDiv w:val="1"/>
      <w:marLeft w:val="0"/>
      <w:marRight w:val="0"/>
      <w:marTop w:val="0"/>
      <w:marBottom w:val="0"/>
      <w:divBdr>
        <w:top w:val="none" w:sz="0" w:space="0" w:color="auto"/>
        <w:left w:val="none" w:sz="0" w:space="0" w:color="auto"/>
        <w:bottom w:val="none" w:sz="0" w:space="0" w:color="auto"/>
        <w:right w:val="none" w:sz="0" w:space="0" w:color="auto"/>
      </w:divBdr>
    </w:div>
    <w:div w:id="462383254">
      <w:bodyDiv w:val="1"/>
      <w:marLeft w:val="0"/>
      <w:marRight w:val="0"/>
      <w:marTop w:val="0"/>
      <w:marBottom w:val="0"/>
      <w:divBdr>
        <w:top w:val="none" w:sz="0" w:space="0" w:color="auto"/>
        <w:left w:val="none" w:sz="0" w:space="0" w:color="auto"/>
        <w:bottom w:val="none" w:sz="0" w:space="0" w:color="auto"/>
        <w:right w:val="none" w:sz="0" w:space="0" w:color="auto"/>
      </w:divBdr>
    </w:div>
    <w:div w:id="463229991">
      <w:bodyDiv w:val="1"/>
      <w:marLeft w:val="0"/>
      <w:marRight w:val="0"/>
      <w:marTop w:val="0"/>
      <w:marBottom w:val="0"/>
      <w:divBdr>
        <w:top w:val="none" w:sz="0" w:space="0" w:color="auto"/>
        <w:left w:val="none" w:sz="0" w:space="0" w:color="auto"/>
        <w:bottom w:val="none" w:sz="0" w:space="0" w:color="auto"/>
        <w:right w:val="none" w:sz="0" w:space="0" w:color="auto"/>
      </w:divBdr>
    </w:div>
    <w:div w:id="463617440">
      <w:bodyDiv w:val="1"/>
      <w:marLeft w:val="0"/>
      <w:marRight w:val="0"/>
      <w:marTop w:val="0"/>
      <w:marBottom w:val="0"/>
      <w:divBdr>
        <w:top w:val="none" w:sz="0" w:space="0" w:color="auto"/>
        <w:left w:val="none" w:sz="0" w:space="0" w:color="auto"/>
        <w:bottom w:val="none" w:sz="0" w:space="0" w:color="auto"/>
        <w:right w:val="none" w:sz="0" w:space="0" w:color="auto"/>
      </w:divBdr>
    </w:div>
    <w:div w:id="463960348">
      <w:bodyDiv w:val="1"/>
      <w:marLeft w:val="0"/>
      <w:marRight w:val="0"/>
      <w:marTop w:val="0"/>
      <w:marBottom w:val="0"/>
      <w:divBdr>
        <w:top w:val="none" w:sz="0" w:space="0" w:color="auto"/>
        <w:left w:val="none" w:sz="0" w:space="0" w:color="auto"/>
        <w:bottom w:val="none" w:sz="0" w:space="0" w:color="auto"/>
        <w:right w:val="none" w:sz="0" w:space="0" w:color="auto"/>
      </w:divBdr>
    </w:div>
    <w:div w:id="464465207">
      <w:bodyDiv w:val="1"/>
      <w:marLeft w:val="0"/>
      <w:marRight w:val="0"/>
      <w:marTop w:val="0"/>
      <w:marBottom w:val="0"/>
      <w:divBdr>
        <w:top w:val="none" w:sz="0" w:space="0" w:color="auto"/>
        <w:left w:val="none" w:sz="0" w:space="0" w:color="auto"/>
        <w:bottom w:val="none" w:sz="0" w:space="0" w:color="auto"/>
        <w:right w:val="none" w:sz="0" w:space="0" w:color="auto"/>
      </w:divBdr>
    </w:div>
    <w:div w:id="465052475">
      <w:bodyDiv w:val="1"/>
      <w:marLeft w:val="0"/>
      <w:marRight w:val="0"/>
      <w:marTop w:val="0"/>
      <w:marBottom w:val="0"/>
      <w:divBdr>
        <w:top w:val="none" w:sz="0" w:space="0" w:color="auto"/>
        <w:left w:val="none" w:sz="0" w:space="0" w:color="auto"/>
        <w:bottom w:val="none" w:sz="0" w:space="0" w:color="auto"/>
        <w:right w:val="none" w:sz="0" w:space="0" w:color="auto"/>
      </w:divBdr>
    </w:div>
    <w:div w:id="466751062">
      <w:bodyDiv w:val="1"/>
      <w:marLeft w:val="0"/>
      <w:marRight w:val="0"/>
      <w:marTop w:val="0"/>
      <w:marBottom w:val="0"/>
      <w:divBdr>
        <w:top w:val="none" w:sz="0" w:space="0" w:color="auto"/>
        <w:left w:val="none" w:sz="0" w:space="0" w:color="auto"/>
        <w:bottom w:val="none" w:sz="0" w:space="0" w:color="auto"/>
        <w:right w:val="none" w:sz="0" w:space="0" w:color="auto"/>
      </w:divBdr>
    </w:div>
    <w:div w:id="467208260">
      <w:bodyDiv w:val="1"/>
      <w:marLeft w:val="0"/>
      <w:marRight w:val="0"/>
      <w:marTop w:val="0"/>
      <w:marBottom w:val="0"/>
      <w:divBdr>
        <w:top w:val="none" w:sz="0" w:space="0" w:color="auto"/>
        <w:left w:val="none" w:sz="0" w:space="0" w:color="auto"/>
        <w:bottom w:val="none" w:sz="0" w:space="0" w:color="auto"/>
        <w:right w:val="none" w:sz="0" w:space="0" w:color="auto"/>
      </w:divBdr>
    </w:div>
    <w:div w:id="467942999">
      <w:bodyDiv w:val="1"/>
      <w:marLeft w:val="0"/>
      <w:marRight w:val="0"/>
      <w:marTop w:val="0"/>
      <w:marBottom w:val="0"/>
      <w:divBdr>
        <w:top w:val="none" w:sz="0" w:space="0" w:color="auto"/>
        <w:left w:val="none" w:sz="0" w:space="0" w:color="auto"/>
        <w:bottom w:val="none" w:sz="0" w:space="0" w:color="auto"/>
        <w:right w:val="none" w:sz="0" w:space="0" w:color="auto"/>
      </w:divBdr>
    </w:div>
    <w:div w:id="469174135">
      <w:bodyDiv w:val="1"/>
      <w:marLeft w:val="0"/>
      <w:marRight w:val="0"/>
      <w:marTop w:val="0"/>
      <w:marBottom w:val="0"/>
      <w:divBdr>
        <w:top w:val="none" w:sz="0" w:space="0" w:color="auto"/>
        <w:left w:val="none" w:sz="0" w:space="0" w:color="auto"/>
        <w:bottom w:val="none" w:sz="0" w:space="0" w:color="auto"/>
        <w:right w:val="none" w:sz="0" w:space="0" w:color="auto"/>
      </w:divBdr>
    </w:div>
    <w:div w:id="469372587">
      <w:bodyDiv w:val="1"/>
      <w:marLeft w:val="0"/>
      <w:marRight w:val="0"/>
      <w:marTop w:val="0"/>
      <w:marBottom w:val="0"/>
      <w:divBdr>
        <w:top w:val="none" w:sz="0" w:space="0" w:color="auto"/>
        <w:left w:val="none" w:sz="0" w:space="0" w:color="auto"/>
        <w:bottom w:val="none" w:sz="0" w:space="0" w:color="auto"/>
        <w:right w:val="none" w:sz="0" w:space="0" w:color="auto"/>
      </w:divBdr>
    </w:div>
    <w:div w:id="469444799">
      <w:bodyDiv w:val="1"/>
      <w:marLeft w:val="0"/>
      <w:marRight w:val="0"/>
      <w:marTop w:val="0"/>
      <w:marBottom w:val="0"/>
      <w:divBdr>
        <w:top w:val="none" w:sz="0" w:space="0" w:color="auto"/>
        <w:left w:val="none" w:sz="0" w:space="0" w:color="auto"/>
        <w:bottom w:val="none" w:sz="0" w:space="0" w:color="auto"/>
        <w:right w:val="none" w:sz="0" w:space="0" w:color="auto"/>
      </w:divBdr>
    </w:div>
    <w:div w:id="470557021">
      <w:bodyDiv w:val="1"/>
      <w:marLeft w:val="0"/>
      <w:marRight w:val="0"/>
      <w:marTop w:val="0"/>
      <w:marBottom w:val="0"/>
      <w:divBdr>
        <w:top w:val="none" w:sz="0" w:space="0" w:color="auto"/>
        <w:left w:val="none" w:sz="0" w:space="0" w:color="auto"/>
        <w:bottom w:val="none" w:sz="0" w:space="0" w:color="auto"/>
        <w:right w:val="none" w:sz="0" w:space="0" w:color="auto"/>
      </w:divBdr>
    </w:div>
    <w:div w:id="471212342">
      <w:bodyDiv w:val="1"/>
      <w:marLeft w:val="0"/>
      <w:marRight w:val="0"/>
      <w:marTop w:val="0"/>
      <w:marBottom w:val="0"/>
      <w:divBdr>
        <w:top w:val="none" w:sz="0" w:space="0" w:color="auto"/>
        <w:left w:val="none" w:sz="0" w:space="0" w:color="auto"/>
        <w:bottom w:val="none" w:sz="0" w:space="0" w:color="auto"/>
        <w:right w:val="none" w:sz="0" w:space="0" w:color="auto"/>
      </w:divBdr>
    </w:div>
    <w:div w:id="472022654">
      <w:bodyDiv w:val="1"/>
      <w:marLeft w:val="0"/>
      <w:marRight w:val="0"/>
      <w:marTop w:val="0"/>
      <w:marBottom w:val="0"/>
      <w:divBdr>
        <w:top w:val="none" w:sz="0" w:space="0" w:color="auto"/>
        <w:left w:val="none" w:sz="0" w:space="0" w:color="auto"/>
        <w:bottom w:val="none" w:sz="0" w:space="0" w:color="auto"/>
        <w:right w:val="none" w:sz="0" w:space="0" w:color="auto"/>
      </w:divBdr>
    </w:div>
    <w:div w:id="472453515">
      <w:bodyDiv w:val="1"/>
      <w:marLeft w:val="0"/>
      <w:marRight w:val="0"/>
      <w:marTop w:val="0"/>
      <w:marBottom w:val="0"/>
      <w:divBdr>
        <w:top w:val="none" w:sz="0" w:space="0" w:color="auto"/>
        <w:left w:val="none" w:sz="0" w:space="0" w:color="auto"/>
        <w:bottom w:val="none" w:sz="0" w:space="0" w:color="auto"/>
        <w:right w:val="none" w:sz="0" w:space="0" w:color="auto"/>
      </w:divBdr>
    </w:div>
    <w:div w:id="473834891">
      <w:bodyDiv w:val="1"/>
      <w:marLeft w:val="0"/>
      <w:marRight w:val="0"/>
      <w:marTop w:val="0"/>
      <w:marBottom w:val="0"/>
      <w:divBdr>
        <w:top w:val="none" w:sz="0" w:space="0" w:color="auto"/>
        <w:left w:val="none" w:sz="0" w:space="0" w:color="auto"/>
        <w:bottom w:val="none" w:sz="0" w:space="0" w:color="auto"/>
        <w:right w:val="none" w:sz="0" w:space="0" w:color="auto"/>
      </w:divBdr>
    </w:div>
    <w:div w:id="475146734">
      <w:bodyDiv w:val="1"/>
      <w:marLeft w:val="0"/>
      <w:marRight w:val="0"/>
      <w:marTop w:val="0"/>
      <w:marBottom w:val="0"/>
      <w:divBdr>
        <w:top w:val="none" w:sz="0" w:space="0" w:color="auto"/>
        <w:left w:val="none" w:sz="0" w:space="0" w:color="auto"/>
        <w:bottom w:val="none" w:sz="0" w:space="0" w:color="auto"/>
        <w:right w:val="none" w:sz="0" w:space="0" w:color="auto"/>
      </w:divBdr>
    </w:div>
    <w:div w:id="475490429">
      <w:bodyDiv w:val="1"/>
      <w:marLeft w:val="0"/>
      <w:marRight w:val="0"/>
      <w:marTop w:val="0"/>
      <w:marBottom w:val="0"/>
      <w:divBdr>
        <w:top w:val="none" w:sz="0" w:space="0" w:color="auto"/>
        <w:left w:val="none" w:sz="0" w:space="0" w:color="auto"/>
        <w:bottom w:val="none" w:sz="0" w:space="0" w:color="auto"/>
        <w:right w:val="none" w:sz="0" w:space="0" w:color="auto"/>
      </w:divBdr>
    </w:div>
    <w:div w:id="475923253">
      <w:bodyDiv w:val="1"/>
      <w:marLeft w:val="0"/>
      <w:marRight w:val="0"/>
      <w:marTop w:val="0"/>
      <w:marBottom w:val="0"/>
      <w:divBdr>
        <w:top w:val="none" w:sz="0" w:space="0" w:color="auto"/>
        <w:left w:val="none" w:sz="0" w:space="0" w:color="auto"/>
        <w:bottom w:val="none" w:sz="0" w:space="0" w:color="auto"/>
        <w:right w:val="none" w:sz="0" w:space="0" w:color="auto"/>
      </w:divBdr>
    </w:div>
    <w:div w:id="476532448">
      <w:bodyDiv w:val="1"/>
      <w:marLeft w:val="0"/>
      <w:marRight w:val="0"/>
      <w:marTop w:val="0"/>
      <w:marBottom w:val="0"/>
      <w:divBdr>
        <w:top w:val="none" w:sz="0" w:space="0" w:color="auto"/>
        <w:left w:val="none" w:sz="0" w:space="0" w:color="auto"/>
        <w:bottom w:val="none" w:sz="0" w:space="0" w:color="auto"/>
        <w:right w:val="none" w:sz="0" w:space="0" w:color="auto"/>
      </w:divBdr>
    </w:div>
    <w:div w:id="476579424">
      <w:bodyDiv w:val="1"/>
      <w:marLeft w:val="0"/>
      <w:marRight w:val="0"/>
      <w:marTop w:val="0"/>
      <w:marBottom w:val="0"/>
      <w:divBdr>
        <w:top w:val="none" w:sz="0" w:space="0" w:color="auto"/>
        <w:left w:val="none" w:sz="0" w:space="0" w:color="auto"/>
        <w:bottom w:val="none" w:sz="0" w:space="0" w:color="auto"/>
        <w:right w:val="none" w:sz="0" w:space="0" w:color="auto"/>
      </w:divBdr>
    </w:div>
    <w:div w:id="476991615">
      <w:bodyDiv w:val="1"/>
      <w:marLeft w:val="0"/>
      <w:marRight w:val="0"/>
      <w:marTop w:val="0"/>
      <w:marBottom w:val="0"/>
      <w:divBdr>
        <w:top w:val="none" w:sz="0" w:space="0" w:color="auto"/>
        <w:left w:val="none" w:sz="0" w:space="0" w:color="auto"/>
        <w:bottom w:val="none" w:sz="0" w:space="0" w:color="auto"/>
        <w:right w:val="none" w:sz="0" w:space="0" w:color="auto"/>
      </w:divBdr>
    </w:div>
    <w:div w:id="477041815">
      <w:bodyDiv w:val="1"/>
      <w:marLeft w:val="0"/>
      <w:marRight w:val="0"/>
      <w:marTop w:val="0"/>
      <w:marBottom w:val="0"/>
      <w:divBdr>
        <w:top w:val="none" w:sz="0" w:space="0" w:color="auto"/>
        <w:left w:val="none" w:sz="0" w:space="0" w:color="auto"/>
        <w:bottom w:val="none" w:sz="0" w:space="0" w:color="auto"/>
        <w:right w:val="none" w:sz="0" w:space="0" w:color="auto"/>
      </w:divBdr>
    </w:div>
    <w:div w:id="477453782">
      <w:bodyDiv w:val="1"/>
      <w:marLeft w:val="0"/>
      <w:marRight w:val="0"/>
      <w:marTop w:val="0"/>
      <w:marBottom w:val="0"/>
      <w:divBdr>
        <w:top w:val="none" w:sz="0" w:space="0" w:color="auto"/>
        <w:left w:val="none" w:sz="0" w:space="0" w:color="auto"/>
        <w:bottom w:val="none" w:sz="0" w:space="0" w:color="auto"/>
        <w:right w:val="none" w:sz="0" w:space="0" w:color="auto"/>
      </w:divBdr>
    </w:div>
    <w:div w:id="477963665">
      <w:bodyDiv w:val="1"/>
      <w:marLeft w:val="0"/>
      <w:marRight w:val="0"/>
      <w:marTop w:val="0"/>
      <w:marBottom w:val="0"/>
      <w:divBdr>
        <w:top w:val="none" w:sz="0" w:space="0" w:color="auto"/>
        <w:left w:val="none" w:sz="0" w:space="0" w:color="auto"/>
        <w:bottom w:val="none" w:sz="0" w:space="0" w:color="auto"/>
        <w:right w:val="none" w:sz="0" w:space="0" w:color="auto"/>
      </w:divBdr>
    </w:div>
    <w:div w:id="479273440">
      <w:bodyDiv w:val="1"/>
      <w:marLeft w:val="0"/>
      <w:marRight w:val="0"/>
      <w:marTop w:val="0"/>
      <w:marBottom w:val="0"/>
      <w:divBdr>
        <w:top w:val="none" w:sz="0" w:space="0" w:color="auto"/>
        <w:left w:val="none" w:sz="0" w:space="0" w:color="auto"/>
        <w:bottom w:val="none" w:sz="0" w:space="0" w:color="auto"/>
        <w:right w:val="none" w:sz="0" w:space="0" w:color="auto"/>
      </w:divBdr>
    </w:div>
    <w:div w:id="482091258">
      <w:bodyDiv w:val="1"/>
      <w:marLeft w:val="0"/>
      <w:marRight w:val="0"/>
      <w:marTop w:val="0"/>
      <w:marBottom w:val="0"/>
      <w:divBdr>
        <w:top w:val="none" w:sz="0" w:space="0" w:color="auto"/>
        <w:left w:val="none" w:sz="0" w:space="0" w:color="auto"/>
        <w:bottom w:val="none" w:sz="0" w:space="0" w:color="auto"/>
        <w:right w:val="none" w:sz="0" w:space="0" w:color="auto"/>
      </w:divBdr>
    </w:div>
    <w:div w:id="483543288">
      <w:bodyDiv w:val="1"/>
      <w:marLeft w:val="0"/>
      <w:marRight w:val="0"/>
      <w:marTop w:val="0"/>
      <w:marBottom w:val="0"/>
      <w:divBdr>
        <w:top w:val="none" w:sz="0" w:space="0" w:color="auto"/>
        <w:left w:val="none" w:sz="0" w:space="0" w:color="auto"/>
        <w:bottom w:val="none" w:sz="0" w:space="0" w:color="auto"/>
        <w:right w:val="none" w:sz="0" w:space="0" w:color="auto"/>
      </w:divBdr>
    </w:div>
    <w:div w:id="484443004">
      <w:bodyDiv w:val="1"/>
      <w:marLeft w:val="0"/>
      <w:marRight w:val="0"/>
      <w:marTop w:val="0"/>
      <w:marBottom w:val="0"/>
      <w:divBdr>
        <w:top w:val="none" w:sz="0" w:space="0" w:color="auto"/>
        <w:left w:val="none" w:sz="0" w:space="0" w:color="auto"/>
        <w:bottom w:val="none" w:sz="0" w:space="0" w:color="auto"/>
        <w:right w:val="none" w:sz="0" w:space="0" w:color="auto"/>
      </w:divBdr>
    </w:div>
    <w:div w:id="485248032">
      <w:bodyDiv w:val="1"/>
      <w:marLeft w:val="0"/>
      <w:marRight w:val="0"/>
      <w:marTop w:val="0"/>
      <w:marBottom w:val="0"/>
      <w:divBdr>
        <w:top w:val="none" w:sz="0" w:space="0" w:color="auto"/>
        <w:left w:val="none" w:sz="0" w:space="0" w:color="auto"/>
        <w:bottom w:val="none" w:sz="0" w:space="0" w:color="auto"/>
        <w:right w:val="none" w:sz="0" w:space="0" w:color="auto"/>
      </w:divBdr>
    </w:div>
    <w:div w:id="485585146">
      <w:bodyDiv w:val="1"/>
      <w:marLeft w:val="0"/>
      <w:marRight w:val="0"/>
      <w:marTop w:val="0"/>
      <w:marBottom w:val="0"/>
      <w:divBdr>
        <w:top w:val="none" w:sz="0" w:space="0" w:color="auto"/>
        <w:left w:val="none" w:sz="0" w:space="0" w:color="auto"/>
        <w:bottom w:val="none" w:sz="0" w:space="0" w:color="auto"/>
        <w:right w:val="none" w:sz="0" w:space="0" w:color="auto"/>
      </w:divBdr>
    </w:div>
    <w:div w:id="487287370">
      <w:bodyDiv w:val="1"/>
      <w:marLeft w:val="0"/>
      <w:marRight w:val="0"/>
      <w:marTop w:val="0"/>
      <w:marBottom w:val="0"/>
      <w:divBdr>
        <w:top w:val="none" w:sz="0" w:space="0" w:color="auto"/>
        <w:left w:val="none" w:sz="0" w:space="0" w:color="auto"/>
        <w:bottom w:val="none" w:sz="0" w:space="0" w:color="auto"/>
        <w:right w:val="none" w:sz="0" w:space="0" w:color="auto"/>
      </w:divBdr>
    </w:div>
    <w:div w:id="488061688">
      <w:bodyDiv w:val="1"/>
      <w:marLeft w:val="0"/>
      <w:marRight w:val="0"/>
      <w:marTop w:val="0"/>
      <w:marBottom w:val="0"/>
      <w:divBdr>
        <w:top w:val="none" w:sz="0" w:space="0" w:color="auto"/>
        <w:left w:val="none" w:sz="0" w:space="0" w:color="auto"/>
        <w:bottom w:val="none" w:sz="0" w:space="0" w:color="auto"/>
        <w:right w:val="none" w:sz="0" w:space="0" w:color="auto"/>
      </w:divBdr>
    </w:div>
    <w:div w:id="489060073">
      <w:bodyDiv w:val="1"/>
      <w:marLeft w:val="0"/>
      <w:marRight w:val="0"/>
      <w:marTop w:val="0"/>
      <w:marBottom w:val="0"/>
      <w:divBdr>
        <w:top w:val="none" w:sz="0" w:space="0" w:color="auto"/>
        <w:left w:val="none" w:sz="0" w:space="0" w:color="auto"/>
        <w:bottom w:val="none" w:sz="0" w:space="0" w:color="auto"/>
        <w:right w:val="none" w:sz="0" w:space="0" w:color="auto"/>
      </w:divBdr>
    </w:div>
    <w:div w:id="489249209">
      <w:bodyDiv w:val="1"/>
      <w:marLeft w:val="0"/>
      <w:marRight w:val="0"/>
      <w:marTop w:val="0"/>
      <w:marBottom w:val="0"/>
      <w:divBdr>
        <w:top w:val="none" w:sz="0" w:space="0" w:color="auto"/>
        <w:left w:val="none" w:sz="0" w:space="0" w:color="auto"/>
        <w:bottom w:val="none" w:sz="0" w:space="0" w:color="auto"/>
        <w:right w:val="none" w:sz="0" w:space="0" w:color="auto"/>
      </w:divBdr>
    </w:div>
    <w:div w:id="489904533">
      <w:bodyDiv w:val="1"/>
      <w:marLeft w:val="0"/>
      <w:marRight w:val="0"/>
      <w:marTop w:val="0"/>
      <w:marBottom w:val="0"/>
      <w:divBdr>
        <w:top w:val="none" w:sz="0" w:space="0" w:color="auto"/>
        <w:left w:val="none" w:sz="0" w:space="0" w:color="auto"/>
        <w:bottom w:val="none" w:sz="0" w:space="0" w:color="auto"/>
        <w:right w:val="none" w:sz="0" w:space="0" w:color="auto"/>
      </w:divBdr>
    </w:div>
    <w:div w:id="490487176">
      <w:bodyDiv w:val="1"/>
      <w:marLeft w:val="0"/>
      <w:marRight w:val="0"/>
      <w:marTop w:val="0"/>
      <w:marBottom w:val="0"/>
      <w:divBdr>
        <w:top w:val="none" w:sz="0" w:space="0" w:color="auto"/>
        <w:left w:val="none" w:sz="0" w:space="0" w:color="auto"/>
        <w:bottom w:val="none" w:sz="0" w:space="0" w:color="auto"/>
        <w:right w:val="none" w:sz="0" w:space="0" w:color="auto"/>
      </w:divBdr>
    </w:div>
    <w:div w:id="492843678">
      <w:bodyDiv w:val="1"/>
      <w:marLeft w:val="0"/>
      <w:marRight w:val="0"/>
      <w:marTop w:val="0"/>
      <w:marBottom w:val="0"/>
      <w:divBdr>
        <w:top w:val="none" w:sz="0" w:space="0" w:color="auto"/>
        <w:left w:val="none" w:sz="0" w:space="0" w:color="auto"/>
        <w:bottom w:val="none" w:sz="0" w:space="0" w:color="auto"/>
        <w:right w:val="none" w:sz="0" w:space="0" w:color="auto"/>
      </w:divBdr>
    </w:div>
    <w:div w:id="493568962">
      <w:bodyDiv w:val="1"/>
      <w:marLeft w:val="0"/>
      <w:marRight w:val="0"/>
      <w:marTop w:val="0"/>
      <w:marBottom w:val="0"/>
      <w:divBdr>
        <w:top w:val="none" w:sz="0" w:space="0" w:color="auto"/>
        <w:left w:val="none" w:sz="0" w:space="0" w:color="auto"/>
        <w:bottom w:val="none" w:sz="0" w:space="0" w:color="auto"/>
        <w:right w:val="none" w:sz="0" w:space="0" w:color="auto"/>
      </w:divBdr>
    </w:div>
    <w:div w:id="493961383">
      <w:bodyDiv w:val="1"/>
      <w:marLeft w:val="0"/>
      <w:marRight w:val="0"/>
      <w:marTop w:val="0"/>
      <w:marBottom w:val="0"/>
      <w:divBdr>
        <w:top w:val="none" w:sz="0" w:space="0" w:color="auto"/>
        <w:left w:val="none" w:sz="0" w:space="0" w:color="auto"/>
        <w:bottom w:val="none" w:sz="0" w:space="0" w:color="auto"/>
        <w:right w:val="none" w:sz="0" w:space="0" w:color="auto"/>
      </w:divBdr>
    </w:div>
    <w:div w:id="496042876">
      <w:bodyDiv w:val="1"/>
      <w:marLeft w:val="0"/>
      <w:marRight w:val="0"/>
      <w:marTop w:val="0"/>
      <w:marBottom w:val="0"/>
      <w:divBdr>
        <w:top w:val="none" w:sz="0" w:space="0" w:color="auto"/>
        <w:left w:val="none" w:sz="0" w:space="0" w:color="auto"/>
        <w:bottom w:val="none" w:sz="0" w:space="0" w:color="auto"/>
        <w:right w:val="none" w:sz="0" w:space="0" w:color="auto"/>
      </w:divBdr>
    </w:div>
    <w:div w:id="496384721">
      <w:bodyDiv w:val="1"/>
      <w:marLeft w:val="0"/>
      <w:marRight w:val="0"/>
      <w:marTop w:val="0"/>
      <w:marBottom w:val="0"/>
      <w:divBdr>
        <w:top w:val="none" w:sz="0" w:space="0" w:color="auto"/>
        <w:left w:val="none" w:sz="0" w:space="0" w:color="auto"/>
        <w:bottom w:val="none" w:sz="0" w:space="0" w:color="auto"/>
        <w:right w:val="none" w:sz="0" w:space="0" w:color="auto"/>
      </w:divBdr>
    </w:div>
    <w:div w:id="496843558">
      <w:bodyDiv w:val="1"/>
      <w:marLeft w:val="0"/>
      <w:marRight w:val="0"/>
      <w:marTop w:val="0"/>
      <w:marBottom w:val="0"/>
      <w:divBdr>
        <w:top w:val="none" w:sz="0" w:space="0" w:color="auto"/>
        <w:left w:val="none" w:sz="0" w:space="0" w:color="auto"/>
        <w:bottom w:val="none" w:sz="0" w:space="0" w:color="auto"/>
        <w:right w:val="none" w:sz="0" w:space="0" w:color="auto"/>
      </w:divBdr>
    </w:div>
    <w:div w:id="496921669">
      <w:bodyDiv w:val="1"/>
      <w:marLeft w:val="0"/>
      <w:marRight w:val="0"/>
      <w:marTop w:val="0"/>
      <w:marBottom w:val="0"/>
      <w:divBdr>
        <w:top w:val="none" w:sz="0" w:space="0" w:color="auto"/>
        <w:left w:val="none" w:sz="0" w:space="0" w:color="auto"/>
        <w:bottom w:val="none" w:sz="0" w:space="0" w:color="auto"/>
        <w:right w:val="none" w:sz="0" w:space="0" w:color="auto"/>
      </w:divBdr>
    </w:div>
    <w:div w:id="498034396">
      <w:bodyDiv w:val="1"/>
      <w:marLeft w:val="0"/>
      <w:marRight w:val="0"/>
      <w:marTop w:val="0"/>
      <w:marBottom w:val="0"/>
      <w:divBdr>
        <w:top w:val="none" w:sz="0" w:space="0" w:color="auto"/>
        <w:left w:val="none" w:sz="0" w:space="0" w:color="auto"/>
        <w:bottom w:val="none" w:sz="0" w:space="0" w:color="auto"/>
        <w:right w:val="none" w:sz="0" w:space="0" w:color="auto"/>
      </w:divBdr>
    </w:div>
    <w:div w:id="499003526">
      <w:bodyDiv w:val="1"/>
      <w:marLeft w:val="0"/>
      <w:marRight w:val="0"/>
      <w:marTop w:val="0"/>
      <w:marBottom w:val="0"/>
      <w:divBdr>
        <w:top w:val="none" w:sz="0" w:space="0" w:color="auto"/>
        <w:left w:val="none" w:sz="0" w:space="0" w:color="auto"/>
        <w:bottom w:val="none" w:sz="0" w:space="0" w:color="auto"/>
        <w:right w:val="none" w:sz="0" w:space="0" w:color="auto"/>
      </w:divBdr>
    </w:div>
    <w:div w:id="500855461">
      <w:bodyDiv w:val="1"/>
      <w:marLeft w:val="0"/>
      <w:marRight w:val="0"/>
      <w:marTop w:val="0"/>
      <w:marBottom w:val="0"/>
      <w:divBdr>
        <w:top w:val="none" w:sz="0" w:space="0" w:color="auto"/>
        <w:left w:val="none" w:sz="0" w:space="0" w:color="auto"/>
        <w:bottom w:val="none" w:sz="0" w:space="0" w:color="auto"/>
        <w:right w:val="none" w:sz="0" w:space="0" w:color="auto"/>
      </w:divBdr>
    </w:div>
    <w:div w:id="501966863">
      <w:bodyDiv w:val="1"/>
      <w:marLeft w:val="0"/>
      <w:marRight w:val="0"/>
      <w:marTop w:val="0"/>
      <w:marBottom w:val="0"/>
      <w:divBdr>
        <w:top w:val="none" w:sz="0" w:space="0" w:color="auto"/>
        <w:left w:val="none" w:sz="0" w:space="0" w:color="auto"/>
        <w:bottom w:val="none" w:sz="0" w:space="0" w:color="auto"/>
        <w:right w:val="none" w:sz="0" w:space="0" w:color="auto"/>
      </w:divBdr>
    </w:div>
    <w:div w:id="502555336">
      <w:bodyDiv w:val="1"/>
      <w:marLeft w:val="0"/>
      <w:marRight w:val="0"/>
      <w:marTop w:val="0"/>
      <w:marBottom w:val="0"/>
      <w:divBdr>
        <w:top w:val="none" w:sz="0" w:space="0" w:color="auto"/>
        <w:left w:val="none" w:sz="0" w:space="0" w:color="auto"/>
        <w:bottom w:val="none" w:sz="0" w:space="0" w:color="auto"/>
        <w:right w:val="none" w:sz="0" w:space="0" w:color="auto"/>
      </w:divBdr>
    </w:div>
    <w:div w:id="502555441">
      <w:bodyDiv w:val="1"/>
      <w:marLeft w:val="0"/>
      <w:marRight w:val="0"/>
      <w:marTop w:val="0"/>
      <w:marBottom w:val="0"/>
      <w:divBdr>
        <w:top w:val="none" w:sz="0" w:space="0" w:color="auto"/>
        <w:left w:val="none" w:sz="0" w:space="0" w:color="auto"/>
        <w:bottom w:val="none" w:sz="0" w:space="0" w:color="auto"/>
        <w:right w:val="none" w:sz="0" w:space="0" w:color="auto"/>
      </w:divBdr>
    </w:div>
    <w:div w:id="502622428">
      <w:bodyDiv w:val="1"/>
      <w:marLeft w:val="0"/>
      <w:marRight w:val="0"/>
      <w:marTop w:val="0"/>
      <w:marBottom w:val="0"/>
      <w:divBdr>
        <w:top w:val="none" w:sz="0" w:space="0" w:color="auto"/>
        <w:left w:val="none" w:sz="0" w:space="0" w:color="auto"/>
        <w:bottom w:val="none" w:sz="0" w:space="0" w:color="auto"/>
        <w:right w:val="none" w:sz="0" w:space="0" w:color="auto"/>
      </w:divBdr>
    </w:div>
    <w:div w:id="504323024">
      <w:bodyDiv w:val="1"/>
      <w:marLeft w:val="0"/>
      <w:marRight w:val="0"/>
      <w:marTop w:val="0"/>
      <w:marBottom w:val="0"/>
      <w:divBdr>
        <w:top w:val="none" w:sz="0" w:space="0" w:color="auto"/>
        <w:left w:val="none" w:sz="0" w:space="0" w:color="auto"/>
        <w:bottom w:val="none" w:sz="0" w:space="0" w:color="auto"/>
        <w:right w:val="none" w:sz="0" w:space="0" w:color="auto"/>
      </w:divBdr>
    </w:div>
    <w:div w:id="506411691">
      <w:bodyDiv w:val="1"/>
      <w:marLeft w:val="0"/>
      <w:marRight w:val="0"/>
      <w:marTop w:val="0"/>
      <w:marBottom w:val="0"/>
      <w:divBdr>
        <w:top w:val="none" w:sz="0" w:space="0" w:color="auto"/>
        <w:left w:val="none" w:sz="0" w:space="0" w:color="auto"/>
        <w:bottom w:val="none" w:sz="0" w:space="0" w:color="auto"/>
        <w:right w:val="none" w:sz="0" w:space="0" w:color="auto"/>
      </w:divBdr>
    </w:div>
    <w:div w:id="506484568">
      <w:bodyDiv w:val="1"/>
      <w:marLeft w:val="0"/>
      <w:marRight w:val="0"/>
      <w:marTop w:val="0"/>
      <w:marBottom w:val="0"/>
      <w:divBdr>
        <w:top w:val="none" w:sz="0" w:space="0" w:color="auto"/>
        <w:left w:val="none" w:sz="0" w:space="0" w:color="auto"/>
        <w:bottom w:val="none" w:sz="0" w:space="0" w:color="auto"/>
        <w:right w:val="none" w:sz="0" w:space="0" w:color="auto"/>
      </w:divBdr>
    </w:div>
    <w:div w:id="507989692">
      <w:bodyDiv w:val="1"/>
      <w:marLeft w:val="0"/>
      <w:marRight w:val="0"/>
      <w:marTop w:val="0"/>
      <w:marBottom w:val="0"/>
      <w:divBdr>
        <w:top w:val="none" w:sz="0" w:space="0" w:color="auto"/>
        <w:left w:val="none" w:sz="0" w:space="0" w:color="auto"/>
        <w:bottom w:val="none" w:sz="0" w:space="0" w:color="auto"/>
        <w:right w:val="none" w:sz="0" w:space="0" w:color="auto"/>
      </w:divBdr>
    </w:div>
    <w:div w:id="508839641">
      <w:bodyDiv w:val="1"/>
      <w:marLeft w:val="0"/>
      <w:marRight w:val="0"/>
      <w:marTop w:val="0"/>
      <w:marBottom w:val="0"/>
      <w:divBdr>
        <w:top w:val="none" w:sz="0" w:space="0" w:color="auto"/>
        <w:left w:val="none" w:sz="0" w:space="0" w:color="auto"/>
        <w:bottom w:val="none" w:sz="0" w:space="0" w:color="auto"/>
        <w:right w:val="none" w:sz="0" w:space="0" w:color="auto"/>
      </w:divBdr>
    </w:div>
    <w:div w:id="509444084">
      <w:bodyDiv w:val="1"/>
      <w:marLeft w:val="0"/>
      <w:marRight w:val="0"/>
      <w:marTop w:val="0"/>
      <w:marBottom w:val="0"/>
      <w:divBdr>
        <w:top w:val="none" w:sz="0" w:space="0" w:color="auto"/>
        <w:left w:val="none" w:sz="0" w:space="0" w:color="auto"/>
        <w:bottom w:val="none" w:sz="0" w:space="0" w:color="auto"/>
        <w:right w:val="none" w:sz="0" w:space="0" w:color="auto"/>
      </w:divBdr>
    </w:div>
    <w:div w:id="509567257">
      <w:bodyDiv w:val="1"/>
      <w:marLeft w:val="0"/>
      <w:marRight w:val="0"/>
      <w:marTop w:val="0"/>
      <w:marBottom w:val="0"/>
      <w:divBdr>
        <w:top w:val="none" w:sz="0" w:space="0" w:color="auto"/>
        <w:left w:val="none" w:sz="0" w:space="0" w:color="auto"/>
        <w:bottom w:val="none" w:sz="0" w:space="0" w:color="auto"/>
        <w:right w:val="none" w:sz="0" w:space="0" w:color="auto"/>
      </w:divBdr>
    </w:div>
    <w:div w:id="510730049">
      <w:bodyDiv w:val="1"/>
      <w:marLeft w:val="0"/>
      <w:marRight w:val="0"/>
      <w:marTop w:val="0"/>
      <w:marBottom w:val="0"/>
      <w:divBdr>
        <w:top w:val="none" w:sz="0" w:space="0" w:color="auto"/>
        <w:left w:val="none" w:sz="0" w:space="0" w:color="auto"/>
        <w:bottom w:val="none" w:sz="0" w:space="0" w:color="auto"/>
        <w:right w:val="none" w:sz="0" w:space="0" w:color="auto"/>
      </w:divBdr>
    </w:div>
    <w:div w:id="511144386">
      <w:bodyDiv w:val="1"/>
      <w:marLeft w:val="0"/>
      <w:marRight w:val="0"/>
      <w:marTop w:val="0"/>
      <w:marBottom w:val="0"/>
      <w:divBdr>
        <w:top w:val="none" w:sz="0" w:space="0" w:color="auto"/>
        <w:left w:val="none" w:sz="0" w:space="0" w:color="auto"/>
        <w:bottom w:val="none" w:sz="0" w:space="0" w:color="auto"/>
        <w:right w:val="none" w:sz="0" w:space="0" w:color="auto"/>
      </w:divBdr>
    </w:div>
    <w:div w:id="511644974">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5076893">
      <w:bodyDiv w:val="1"/>
      <w:marLeft w:val="0"/>
      <w:marRight w:val="0"/>
      <w:marTop w:val="0"/>
      <w:marBottom w:val="0"/>
      <w:divBdr>
        <w:top w:val="none" w:sz="0" w:space="0" w:color="auto"/>
        <w:left w:val="none" w:sz="0" w:space="0" w:color="auto"/>
        <w:bottom w:val="none" w:sz="0" w:space="0" w:color="auto"/>
        <w:right w:val="none" w:sz="0" w:space="0" w:color="auto"/>
      </w:divBdr>
    </w:div>
    <w:div w:id="518586576">
      <w:bodyDiv w:val="1"/>
      <w:marLeft w:val="0"/>
      <w:marRight w:val="0"/>
      <w:marTop w:val="0"/>
      <w:marBottom w:val="0"/>
      <w:divBdr>
        <w:top w:val="none" w:sz="0" w:space="0" w:color="auto"/>
        <w:left w:val="none" w:sz="0" w:space="0" w:color="auto"/>
        <w:bottom w:val="none" w:sz="0" w:space="0" w:color="auto"/>
        <w:right w:val="none" w:sz="0" w:space="0" w:color="auto"/>
      </w:divBdr>
    </w:div>
    <w:div w:id="518664199">
      <w:bodyDiv w:val="1"/>
      <w:marLeft w:val="0"/>
      <w:marRight w:val="0"/>
      <w:marTop w:val="0"/>
      <w:marBottom w:val="0"/>
      <w:divBdr>
        <w:top w:val="none" w:sz="0" w:space="0" w:color="auto"/>
        <w:left w:val="none" w:sz="0" w:space="0" w:color="auto"/>
        <w:bottom w:val="none" w:sz="0" w:space="0" w:color="auto"/>
        <w:right w:val="none" w:sz="0" w:space="0" w:color="auto"/>
      </w:divBdr>
    </w:div>
    <w:div w:id="519977730">
      <w:bodyDiv w:val="1"/>
      <w:marLeft w:val="0"/>
      <w:marRight w:val="0"/>
      <w:marTop w:val="0"/>
      <w:marBottom w:val="0"/>
      <w:divBdr>
        <w:top w:val="none" w:sz="0" w:space="0" w:color="auto"/>
        <w:left w:val="none" w:sz="0" w:space="0" w:color="auto"/>
        <w:bottom w:val="none" w:sz="0" w:space="0" w:color="auto"/>
        <w:right w:val="none" w:sz="0" w:space="0" w:color="auto"/>
      </w:divBdr>
    </w:div>
    <w:div w:id="521894958">
      <w:bodyDiv w:val="1"/>
      <w:marLeft w:val="0"/>
      <w:marRight w:val="0"/>
      <w:marTop w:val="0"/>
      <w:marBottom w:val="0"/>
      <w:divBdr>
        <w:top w:val="none" w:sz="0" w:space="0" w:color="auto"/>
        <w:left w:val="none" w:sz="0" w:space="0" w:color="auto"/>
        <w:bottom w:val="none" w:sz="0" w:space="0" w:color="auto"/>
        <w:right w:val="none" w:sz="0" w:space="0" w:color="auto"/>
      </w:divBdr>
    </w:div>
    <w:div w:id="523834371">
      <w:bodyDiv w:val="1"/>
      <w:marLeft w:val="0"/>
      <w:marRight w:val="0"/>
      <w:marTop w:val="0"/>
      <w:marBottom w:val="0"/>
      <w:divBdr>
        <w:top w:val="none" w:sz="0" w:space="0" w:color="auto"/>
        <w:left w:val="none" w:sz="0" w:space="0" w:color="auto"/>
        <w:bottom w:val="none" w:sz="0" w:space="0" w:color="auto"/>
        <w:right w:val="none" w:sz="0" w:space="0" w:color="auto"/>
      </w:divBdr>
    </w:div>
    <w:div w:id="524252757">
      <w:bodyDiv w:val="1"/>
      <w:marLeft w:val="0"/>
      <w:marRight w:val="0"/>
      <w:marTop w:val="0"/>
      <w:marBottom w:val="0"/>
      <w:divBdr>
        <w:top w:val="none" w:sz="0" w:space="0" w:color="auto"/>
        <w:left w:val="none" w:sz="0" w:space="0" w:color="auto"/>
        <w:bottom w:val="none" w:sz="0" w:space="0" w:color="auto"/>
        <w:right w:val="none" w:sz="0" w:space="0" w:color="auto"/>
      </w:divBdr>
    </w:div>
    <w:div w:id="524442248">
      <w:bodyDiv w:val="1"/>
      <w:marLeft w:val="0"/>
      <w:marRight w:val="0"/>
      <w:marTop w:val="0"/>
      <w:marBottom w:val="0"/>
      <w:divBdr>
        <w:top w:val="none" w:sz="0" w:space="0" w:color="auto"/>
        <w:left w:val="none" w:sz="0" w:space="0" w:color="auto"/>
        <w:bottom w:val="none" w:sz="0" w:space="0" w:color="auto"/>
        <w:right w:val="none" w:sz="0" w:space="0" w:color="auto"/>
      </w:divBdr>
    </w:div>
    <w:div w:id="525949784">
      <w:bodyDiv w:val="1"/>
      <w:marLeft w:val="0"/>
      <w:marRight w:val="0"/>
      <w:marTop w:val="0"/>
      <w:marBottom w:val="0"/>
      <w:divBdr>
        <w:top w:val="none" w:sz="0" w:space="0" w:color="auto"/>
        <w:left w:val="none" w:sz="0" w:space="0" w:color="auto"/>
        <w:bottom w:val="none" w:sz="0" w:space="0" w:color="auto"/>
        <w:right w:val="none" w:sz="0" w:space="0" w:color="auto"/>
      </w:divBdr>
    </w:div>
    <w:div w:id="527447476">
      <w:bodyDiv w:val="1"/>
      <w:marLeft w:val="0"/>
      <w:marRight w:val="0"/>
      <w:marTop w:val="0"/>
      <w:marBottom w:val="0"/>
      <w:divBdr>
        <w:top w:val="none" w:sz="0" w:space="0" w:color="auto"/>
        <w:left w:val="none" w:sz="0" w:space="0" w:color="auto"/>
        <w:bottom w:val="none" w:sz="0" w:space="0" w:color="auto"/>
        <w:right w:val="none" w:sz="0" w:space="0" w:color="auto"/>
      </w:divBdr>
    </w:div>
    <w:div w:id="527721516">
      <w:bodyDiv w:val="1"/>
      <w:marLeft w:val="0"/>
      <w:marRight w:val="0"/>
      <w:marTop w:val="0"/>
      <w:marBottom w:val="0"/>
      <w:divBdr>
        <w:top w:val="none" w:sz="0" w:space="0" w:color="auto"/>
        <w:left w:val="none" w:sz="0" w:space="0" w:color="auto"/>
        <w:bottom w:val="none" w:sz="0" w:space="0" w:color="auto"/>
        <w:right w:val="none" w:sz="0" w:space="0" w:color="auto"/>
      </w:divBdr>
    </w:div>
    <w:div w:id="527763775">
      <w:bodyDiv w:val="1"/>
      <w:marLeft w:val="0"/>
      <w:marRight w:val="0"/>
      <w:marTop w:val="0"/>
      <w:marBottom w:val="0"/>
      <w:divBdr>
        <w:top w:val="none" w:sz="0" w:space="0" w:color="auto"/>
        <w:left w:val="none" w:sz="0" w:space="0" w:color="auto"/>
        <w:bottom w:val="none" w:sz="0" w:space="0" w:color="auto"/>
        <w:right w:val="none" w:sz="0" w:space="0" w:color="auto"/>
      </w:divBdr>
    </w:div>
    <w:div w:id="527959119">
      <w:bodyDiv w:val="1"/>
      <w:marLeft w:val="0"/>
      <w:marRight w:val="0"/>
      <w:marTop w:val="0"/>
      <w:marBottom w:val="0"/>
      <w:divBdr>
        <w:top w:val="none" w:sz="0" w:space="0" w:color="auto"/>
        <w:left w:val="none" w:sz="0" w:space="0" w:color="auto"/>
        <w:bottom w:val="none" w:sz="0" w:space="0" w:color="auto"/>
        <w:right w:val="none" w:sz="0" w:space="0" w:color="auto"/>
      </w:divBdr>
    </w:div>
    <w:div w:id="528564428">
      <w:bodyDiv w:val="1"/>
      <w:marLeft w:val="0"/>
      <w:marRight w:val="0"/>
      <w:marTop w:val="0"/>
      <w:marBottom w:val="0"/>
      <w:divBdr>
        <w:top w:val="none" w:sz="0" w:space="0" w:color="auto"/>
        <w:left w:val="none" w:sz="0" w:space="0" w:color="auto"/>
        <w:bottom w:val="none" w:sz="0" w:space="0" w:color="auto"/>
        <w:right w:val="none" w:sz="0" w:space="0" w:color="auto"/>
      </w:divBdr>
    </w:div>
    <w:div w:id="528643341">
      <w:bodyDiv w:val="1"/>
      <w:marLeft w:val="0"/>
      <w:marRight w:val="0"/>
      <w:marTop w:val="0"/>
      <w:marBottom w:val="0"/>
      <w:divBdr>
        <w:top w:val="none" w:sz="0" w:space="0" w:color="auto"/>
        <w:left w:val="none" w:sz="0" w:space="0" w:color="auto"/>
        <w:bottom w:val="none" w:sz="0" w:space="0" w:color="auto"/>
        <w:right w:val="none" w:sz="0" w:space="0" w:color="auto"/>
      </w:divBdr>
    </w:div>
    <w:div w:id="532958888">
      <w:bodyDiv w:val="1"/>
      <w:marLeft w:val="0"/>
      <w:marRight w:val="0"/>
      <w:marTop w:val="0"/>
      <w:marBottom w:val="0"/>
      <w:divBdr>
        <w:top w:val="none" w:sz="0" w:space="0" w:color="auto"/>
        <w:left w:val="none" w:sz="0" w:space="0" w:color="auto"/>
        <w:bottom w:val="none" w:sz="0" w:space="0" w:color="auto"/>
        <w:right w:val="none" w:sz="0" w:space="0" w:color="auto"/>
      </w:divBdr>
    </w:div>
    <w:div w:id="533737221">
      <w:bodyDiv w:val="1"/>
      <w:marLeft w:val="0"/>
      <w:marRight w:val="0"/>
      <w:marTop w:val="0"/>
      <w:marBottom w:val="0"/>
      <w:divBdr>
        <w:top w:val="none" w:sz="0" w:space="0" w:color="auto"/>
        <w:left w:val="none" w:sz="0" w:space="0" w:color="auto"/>
        <w:bottom w:val="none" w:sz="0" w:space="0" w:color="auto"/>
        <w:right w:val="none" w:sz="0" w:space="0" w:color="auto"/>
      </w:divBdr>
    </w:div>
    <w:div w:id="535579093">
      <w:bodyDiv w:val="1"/>
      <w:marLeft w:val="0"/>
      <w:marRight w:val="0"/>
      <w:marTop w:val="0"/>
      <w:marBottom w:val="0"/>
      <w:divBdr>
        <w:top w:val="none" w:sz="0" w:space="0" w:color="auto"/>
        <w:left w:val="none" w:sz="0" w:space="0" w:color="auto"/>
        <w:bottom w:val="none" w:sz="0" w:space="0" w:color="auto"/>
        <w:right w:val="none" w:sz="0" w:space="0" w:color="auto"/>
      </w:divBdr>
    </w:div>
    <w:div w:id="536090944">
      <w:bodyDiv w:val="1"/>
      <w:marLeft w:val="0"/>
      <w:marRight w:val="0"/>
      <w:marTop w:val="0"/>
      <w:marBottom w:val="0"/>
      <w:divBdr>
        <w:top w:val="none" w:sz="0" w:space="0" w:color="auto"/>
        <w:left w:val="none" w:sz="0" w:space="0" w:color="auto"/>
        <w:bottom w:val="none" w:sz="0" w:space="0" w:color="auto"/>
        <w:right w:val="none" w:sz="0" w:space="0" w:color="auto"/>
      </w:divBdr>
    </w:div>
    <w:div w:id="537543929">
      <w:bodyDiv w:val="1"/>
      <w:marLeft w:val="0"/>
      <w:marRight w:val="0"/>
      <w:marTop w:val="0"/>
      <w:marBottom w:val="0"/>
      <w:divBdr>
        <w:top w:val="none" w:sz="0" w:space="0" w:color="auto"/>
        <w:left w:val="none" w:sz="0" w:space="0" w:color="auto"/>
        <w:bottom w:val="none" w:sz="0" w:space="0" w:color="auto"/>
        <w:right w:val="none" w:sz="0" w:space="0" w:color="auto"/>
      </w:divBdr>
    </w:div>
    <w:div w:id="537820058">
      <w:bodyDiv w:val="1"/>
      <w:marLeft w:val="0"/>
      <w:marRight w:val="0"/>
      <w:marTop w:val="0"/>
      <w:marBottom w:val="0"/>
      <w:divBdr>
        <w:top w:val="none" w:sz="0" w:space="0" w:color="auto"/>
        <w:left w:val="none" w:sz="0" w:space="0" w:color="auto"/>
        <w:bottom w:val="none" w:sz="0" w:space="0" w:color="auto"/>
        <w:right w:val="none" w:sz="0" w:space="0" w:color="auto"/>
      </w:divBdr>
    </w:div>
    <w:div w:id="537862014">
      <w:bodyDiv w:val="1"/>
      <w:marLeft w:val="0"/>
      <w:marRight w:val="0"/>
      <w:marTop w:val="0"/>
      <w:marBottom w:val="0"/>
      <w:divBdr>
        <w:top w:val="none" w:sz="0" w:space="0" w:color="auto"/>
        <w:left w:val="none" w:sz="0" w:space="0" w:color="auto"/>
        <w:bottom w:val="none" w:sz="0" w:space="0" w:color="auto"/>
        <w:right w:val="none" w:sz="0" w:space="0" w:color="auto"/>
      </w:divBdr>
    </w:div>
    <w:div w:id="539170580">
      <w:bodyDiv w:val="1"/>
      <w:marLeft w:val="0"/>
      <w:marRight w:val="0"/>
      <w:marTop w:val="0"/>
      <w:marBottom w:val="0"/>
      <w:divBdr>
        <w:top w:val="none" w:sz="0" w:space="0" w:color="auto"/>
        <w:left w:val="none" w:sz="0" w:space="0" w:color="auto"/>
        <w:bottom w:val="none" w:sz="0" w:space="0" w:color="auto"/>
        <w:right w:val="none" w:sz="0" w:space="0" w:color="auto"/>
      </w:divBdr>
    </w:div>
    <w:div w:id="541551767">
      <w:bodyDiv w:val="1"/>
      <w:marLeft w:val="0"/>
      <w:marRight w:val="0"/>
      <w:marTop w:val="0"/>
      <w:marBottom w:val="0"/>
      <w:divBdr>
        <w:top w:val="none" w:sz="0" w:space="0" w:color="auto"/>
        <w:left w:val="none" w:sz="0" w:space="0" w:color="auto"/>
        <w:bottom w:val="none" w:sz="0" w:space="0" w:color="auto"/>
        <w:right w:val="none" w:sz="0" w:space="0" w:color="auto"/>
      </w:divBdr>
    </w:div>
    <w:div w:id="541787142">
      <w:bodyDiv w:val="1"/>
      <w:marLeft w:val="0"/>
      <w:marRight w:val="0"/>
      <w:marTop w:val="0"/>
      <w:marBottom w:val="0"/>
      <w:divBdr>
        <w:top w:val="none" w:sz="0" w:space="0" w:color="auto"/>
        <w:left w:val="none" w:sz="0" w:space="0" w:color="auto"/>
        <w:bottom w:val="none" w:sz="0" w:space="0" w:color="auto"/>
        <w:right w:val="none" w:sz="0" w:space="0" w:color="auto"/>
      </w:divBdr>
    </w:div>
    <w:div w:id="543517322">
      <w:bodyDiv w:val="1"/>
      <w:marLeft w:val="0"/>
      <w:marRight w:val="0"/>
      <w:marTop w:val="0"/>
      <w:marBottom w:val="0"/>
      <w:divBdr>
        <w:top w:val="none" w:sz="0" w:space="0" w:color="auto"/>
        <w:left w:val="none" w:sz="0" w:space="0" w:color="auto"/>
        <w:bottom w:val="none" w:sz="0" w:space="0" w:color="auto"/>
        <w:right w:val="none" w:sz="0" w:space="0" w:color="auto"/>
      </w:divBdr>
    </w:div>
    <w:div w:id="543762052">
      <w:bodyDiv w:val="1"/>
      <w:marLeft w:val="0"/>
      <w:marRight w:val="0"/>
      <w:marTop w:val="0"/>
      <w:marBottom w:val="0"/>
      <w:divBdr>
        <w:top w:val="none" w:sz="0" w:space="0" w:color="auto"/>
        <w:left w:val="none" w:sz="0" w:space="0" w:color="auto"/>
        <w:bottom w:val="none" w:sz="0" w:space="0" w:color="auto"/>
        <w:right w:val="none" w:sz="0" w:space="0" w:color="auto"/>
      </w:divBdr>
    </w:div>
    <w:div w:id="545063682">
      <w:bodyDiv w:val="1"/>
      <w:marLeft w:val="0"/>
      <w:marRight w:val="0"/>
      <w:marTop w:val="0"/>
      <w:marBottom w:val="0"/>
      <w:divBdr>
        <w:top w:val="none" w:sz="0" w:space="0" w:color="auto"/>
        <w:left w:val="none" w:sz="0" w:space="0" w:color="auto"/>
        <w:bottom w:val="none" w:sz="0" w:space="0" w:color="auto"/>
        <w:right w:val="none" w:sz="0" w:space="0" w:color="auto"/>
      </w:divBdr>
    </w:div>
    <w:div w:id="545484473">
      <w:bodyDiv w:val="1"/>
      <w:marLeft w:val="0"/>
      <w:marRight w:val="0"/>
      <w:marTop w:val="0"/>
      <w:marBottom w:val="0"/>
      <w:divBdr>
        <w:top w:val="none" w:sz="0" w:space="0" w:color="auto"/>
        <w:left w:val="none" w:sz="0" w:space="0" w:color="auto"/>
        <w:bottom w:val="none" w:sz="0" w:space="0" w:color="auto"/>
        <w:right w:val="none" w:sz="0" w:space="0" w:color="auto"/>
      </w:divBdr>
    </w:div>
    <w:div w:id="546572237">
      <w:bodyDiv w:val="1"/>
      <w:marLeft w:val="0"/>
      <w:marRight w:val="0"/>
      <w:marTop w:val="0"/>
      <w:marBottom w:val="0"/>
      <w:divBdr>
        <w:top w:val="none" w:sz="0" w:space="0" w:color="auto"/>
        <w:left w:val="none" w:sz="0" w:space="0" w:color="auto"/>
        <w:bottom w:val="none" w:sz="0" w:space="0" w:color="auto"/>
        <w:right w:val="none" w:sz="0" w:space="0" w:color="auto"/>
      </w:divBdr>
    </w:div>
    <w:div w:id="546837350">
      <w:bodyDiv w:val="1"/>
      <w:marLeft w:val="0"/>
      <w:marRight w:val="0"/>
      <w:marTop w:val="0"/>
      <w:marBottom w:val="0"/>
      <w:divBdr>
        <w:top w:val="none" w:sz="0" w:space="0" w:color="auto"/>
        <w:left w:val="none" w:sz="0" w:space="0" w:color="auto"/>
        <w:bottom w:val="none" w:sz="0" w:space="0" w:color="auto"/>
        <w:right w:val="none" w:sz="0" w:space="0" w:color="auto"/>
      </w:divBdr>
    </w:div>
    <w:div w:id="547575343">
      <w:bodyDiv w:val="1"/>
      <w:marLeft w:val="0"/>
      <w:marRight w:val="0"/>
      <w:marTop w:val="0"/>
      <w:marBottom w:val="0"/>
      <w:divBdr>
        <w:top w:val="none" w:sz="0" w:space="0" w:color="auto"/>
        <w:left w:val="none" w:sz="0" w:space="0" w:color="auto"/>
        <w:bottom w:val="none" w:sz="0" w:space="0" w:color="auto"/>
        <w:right w:val="none" w:sz="0" w:space="0" w:color="auto"/>
      </w:divBdr>
    </w:div>
    <w:div w:id="548419159">
      <w:bodyDiv w:val="1"/>
      <w:marLeft w:val="0"/>
      <w:marRight w:val="0"/>
      <w:marTop w:val="0"/>
      <w:marBottom w:val="0"/>
      <w:divBdr>
        <w:top w:val="none" w:sz="0" w:space="0" w:color="auto"/>
        <w:left w:val="none" w:sz="0" w:space="0" w:color="auto"/>
        <w:bottom w:val="none" w:sz="0" w:space="0" w:color="auto"/>
        <w:right w:val="none" w:sz="0" w:space="0" w:color="auto"/>
      </w:divBdr>
    </w:div>
    <w:div w:id="548952476">
      <w:bodyDiv w:val="1"/>
      <w:marLeft w:val="0"/>
      <w:marRight w:val="0"/>
      <w:marTop w:val="0"/>
      <w:marBottom w:val="0"/>
      <w:divBdr>
        <w:top w:val="none" w:sz="0" w:space="0" w:color="auto"/>
        <w:left w:val="none" w:sz="0" w:space="0" w:color="auto"/>
        <w:bottom w:val="none" w:sz="0" w:space="0" w:color="auto"/>
        <w:right w:val="none" w:sz="0" w:space="0" w:color="auto"/>
      </w:divBdr>
    </w:div>
    <w:div w:id="552429022">
      <w:bodyDiv w:val="1"/>
      <w:marLeft w:val="0"/>
      <w:marRight w:val="0"/>
      <w:marTop w:val="0"/>
      <w:marBottom w:val="0"/>
      <w:divBdr>
        <w:top w:val="none" w:sz="0" w:space="0" w:color="auto"/>
        <w:left w:val="none" w:sz="0" w:space="0" w:color="auto"/>
        <w:bottom w:val="none" w:sz="0" w:space="0" w:color="auto"/>
        <w:right w:val="none" w:sz="0" w:space="0" w:color="auto"/>
      </w:divBdr>
    </w:div>
    <w:div w:id="553272607">
      <w:bodyDiv w:val="1"/>
      <w:marLeft w:val="0"/>
      <w:marRight w:val="0"/>
      <w:marTop w:val="0"/>
      <w:marBottom w:val="0"/>
      <w:divBdr>
        <w:top w:val="none" w:sz="0" w:space="0" w:color="auto"/>
        <w:left w:val="none" w:sz="0" w:space="0" w:color="auto"/>
        <w:bottom w:val="none" w:sz="0" w:space="0" w:color="auto"/>
        <w:right w:val="none" w:sz="0" w:space="0" w:color="auto"/>
      </w:divBdr>
    </w:div>
    <w:div w:id="553736371">
      <w:bodyDiv w:val="1"/>
      <w:marLeft w:val="0"/>
      <w:marRight w:val="0"/>
      <w:marTop w:val="0"/>
      <w:marBottom w:val="0"/>
      <w:divBdr>
        <w:top w:val="none" w:sz="0" w:space="0" w:color="auto"/>
        <w:left w:val="none" w:sz="0" w:space="0" w:color="auto"/>
        <w:bottom w:val="none" w:sz="0" w:space="0" w:color="auto"/>
        <w:right w:val="none" w:sz="0" w:space="0" w:color="auto"/>
      </w:divBdr>
    </w:div>
    <w:div w:id="554321543">
      <w:bodyDiv w:val="1"/>
      <w:marLeft w:val="0"/>
      <w:marRight w:val="0"/>
      <w:marTop w:val="0"/>
      <w:marBottom w:val="0"/>
      <w:divBdr>
        <w:top w:val="none" w:sz="0" w:space="0" w:color="auto"/>
        <w:left w:val="none" w:sz="0" w:space="0" w:color="auto"/>
        <w:bottom w:val="none" w:sz="0" w:space="0" w:color="auto"/>
        <w:right w:val="none" w:sz="0" w:space="0" w:color="auto"/>
      </w:divBdr>
    </w:div>
    <w:div w:id="555623592">
      <w:bodyDiv w:val="1"/>
      <w:marLeft w:val="0"/>
      <w:marRight w:val="0"/>
      <w:marTop w:val="0"/>
      <w:marBottom w:val="0"/>
      <w:divBdr>
        <w:top w:val="none" w:sz="0" w:space="0" w:color="auto"/>
        <w:left w:val="none" w:sz="0" w:space="0" w:color="auto"/>
        <w:bottom w:val="none" w:sz="0" w:space="0" w:color="auto"/>
        <w:right w:val="none" w:sz="0" w:space="0" w:color="auto"/>
      </w:divBdr>
    </w:div>
    <w:div w:id="555745503">
      <w:bodyDiv w:val="1"/>
      <w:marLeft w:val="0"/>
      <w:marRight w:val="0"/>
      <w:marTop w:val="0"/>
      <w:marBottom w:val="0"/>
      <w:divBdr>
        <w:top w:val="none" w:sz="0" w:space="0" w:color="auto"/>
        <w:left w:val="none" w:sz="0" w:space="0" w:color="auto"/>
        <w:bottom w:val="none" w:sz="0" w:space="0" w:color="auto"/>
        <w:right w:val="none" w:sz="0" w:space="0" w:color="auto"/>
      </w:divBdr>
    </w:div>
    <w:div w:id="558439262">
      <w:bodyDiv w:val="1"/>
      <w:marLeft w:val="0"/>
      <w:marRight w:val="0"/>
      <w:marTop w:val="0"/>
      <w:marBottom w:val="0"/>
      <w:divBdr>
        <w:top w:val="none" w:sz="0" w:space="0" w:color="auto"/>
        <w:left w:val="none" w:sz="0" w:space="0" w:color="auto"/>
        <w:bottom w:val="none" w:sz="0" w:space="0" w:color="auto"/>
        <w:right w:val="none" w:sz="0" w:space="0" w:color="auto"/>
      </w:divBdr>
    </w:div>
    <w:div w:id="558439417">
      <w:bodyDiv w:val="1"/>
      <w:marLeft w:val="0"/>
      <w:marRight w:val="0"/>
      <w:marTop w:val="0"/>
      <w:marBottom w:val="0"/>
      <w:divBdr>
        <w:top w:val="none" w:sz="0" w:space="0" w:color="auto"/>
        <w:left w:val="none" w:sz="0" w:space="0" w:color="auto"/>
        <w:bottom w:val="none" w:sz="0" w:space="0" w:color="auto"/>
        <w:right w:val="none" w:sz="0" w:space="0" w:color="auto"/>
      </w:divBdr>
    </w:div>
    <w:div w:id="558982178">
      <w:bodyDiv w:val="1"/>
      <w:marLeft w:val="0"/>
      <w:marRight w:val="0"/>
      <w:marTop w:val="0"/>
      <w:marBottom w:val="0"/>
      <w:divBdr>
        <w:top w:val="none" w:sz="0" w:space="0" w:color="auto"/>
        <w:left w:val="none" w:sz="0" w:space="0" w:color="auto"/>
        <w:bottom w:val="none" w:sz="0" w:space="0" w:color="auto"/>
        <w:right w:val="none" w:sz="0" w:space="0" w:color="auto"/>
      </w:divBdr>
    </w:div>
    <w:div w:id="559244922">
      <w:bodyDiv w:val="1"/>
      <w:marLeft w:val="0"/>
      <w:marRight w:val="0"/>
      <w:marTop w:val="0"/>
      <w:marBottom w:val="0"/>
      <w:divBdr>
        <w:top w:val="none" w:sz="0" w:space="0" w:color="auto"/>
        <w:left w:val="none" w:sz="0" w:space="0" w:color="auto"/>
        <w:bottom w:val="none" w:sz="0" w:space="0" w:color="auto"/>
        <w:right w:val="none" w:sz="0" w:space="0" w:color="auto"/>
      </w:divBdr>
    </w:div>
    <w:div w:id="559756544">
      <w:bodyDiv w:val="1"/>
      <w:marLeft w:val="0"/>
      <w:marRight w:val="0"/>
      <w:marTop w:val="0"/>
      <w:marBottom w:val="0"/>
      <w:divBdr>
        <w:top w:val="none" w:sz="0" w:space="0" w:color="auto"/>
        <w:left w:val="none" w:sz="0" w:space="0" w:color="auto"/>
        <w:bottom w:val="none" w:sz="0" w:space="0" w:color="auto"/>
        <w:right w:val="none" w:sz="0" w:space="0" w:color="auto"/>
      </w:divBdr>
    </w:div>
    <w:div w:id="559942296">
      <w:bodyDiv w:val="1"/>
      <w:marLeft w:val="0"/>
      <w:marRight w:val="0"/>
      <w:marTop w:val="0"/>
      <w:marBottom w:val="0"/>
      <w:divBdr>
        <w:top w:val="none" w:sz="0" w:space="0" w:color="auto"/>
        <w:left w:val="none" w:sz="0" w:space="0" w:color="auto"/>
        <w:bottom w:val="none" w:sz="0" w:space="0" w:color="auto"/>
        <w:right w:val="none" w:sz="0" w:space="0" w:color="auto"/>
      </w:divBdr>
    </w:div>
    <w:div w:id="562058458">
      <w:bodyDiv w:val="1"/>
      <w:marLeft w:val="0"/>
      <w:marRight w:val="0"/>
      <w:marTop w:val="0"/>
      <w:marBottom w:val="0"/>
      <w:divBdr>
        <w:top w:val="none" w:sz="0" w:space="0" w:color="auto"/>
        <w:left w:val="none" w:sz="0" w:space="0" w:color="auto"/>
        <w:bottom w:val="none" w:sz="0" w:space="0" w:color="auto"/>
        <w:right w:val="none" w:sz="0" w:space="0" w:color="auto"/>
      </w:divBdr>
    </w:div>
    <w:div w:id="563301957">
      <w:bodyDiv w:val="1"/>
      <w:marLeft w:val="0"/>
      <w:marRight w:val="0"/>
      <w:marTop w:val="0"/>
      <w:marBottom w:val="0"/>
      <w:divBdr>
        <w:top w:val="none" w:sz="0" w:space="0" w:color="auto"/>
        <w:left w:val="none" w:sz="0" w:space="0" w:color="auto"/>
        <w:bottom w:val="none" w:sz="0" w:space="0" w:color="auto"/>
        <w:right w:val="none" w:sz="0" w:space="0" w:color="auto"/>
      </w:divBdr>
    </w:div>
    <w:div w:id="566458498">
      <w:bodyDiv w:val="1"/>
      <w:marLeft w:val="0"/>
      <w:marRight w:val="0"/>
      <w:marTop w:val="0"/>
      <w:marBottom w:val="0"/>
      <w:divBdr>
        <w:top w:val="none" w:sz="0" w:space="0" w:color="auto"/>
        <w:left w:val="none" w:sz="0" w:space="0" w:color="auto"/>
        <w:bottom w:val="none" w:sz="0" w:space="0" w:color="auto"/>
        <w:right w:val="none" w:sz="0" w:space="0" w:color="auto"/>
      </w:divBdr>
    </w:div>
    <w:div w:id="566845852">
      <w:bodyDiv w:val="1"/>
      <w:marLeft w:val="0"/>
      <w:marRight w:val="0"/>
      <w:marTop w:val="0"/>
      <w:marBottom w:val="0"/>
      <w:divBdr>
        <w:top w:val="none" w:sz="0" w:space="0" w:color="auto"/>
        <w:left w:val="none" w:sz="0" w:space="0" w:color="auto"/>
        <w:bottom w:val="none" w:sz="0" w:space="0" w:color="auto"/>
        <w:right w:val="none" w:sz="0" w:space="0" w:color="auto"/>
      </w:divBdr>
    </w:div>
    <w:div w:id="566887727">
      <w:bodyDiv w:val="1"/>
      <w:marLeft w:val="0"/>
      <w:marRight w:val="0"/>
      <w:marTop w:val="0"/>
      <w:marBottom w:val="0"/>
      <w:divBdr>
        <w:top w:val="none" w:sz="0" w:space="0" w:color="auto"/>
        <w:left w:val="none" w:sz="0" w:space="0" w:color="auto"/>
        <w:bottom w:val="none" w:sz="0" w:space="0" w:color="auto"/>
        <w:right w:val="none" w:sz="0" w:space="0" w:color="auto"/>
      </w:divBdr>
    </w:div>
    <w:div w:id="567691555">
      <w:bodyDiv w:val="1"/>
      <w:marLeft w:val="0"/>
      <w:marRight w:val="0"/>
      <w:marTop w:val="0"/>
      <w:marBottom w:val="0"/>
      <w:divBdr>
        <w:top w:val="none" w:sz="0" w:space="0" w:color="auto"/>
        <w:left w:val="none" w:sz="0" w:space="0" w:color="auto"/>
        <w:bottom w:val="none" w:sz="0" w:space="0" w:color="auto"/>
        <w:right w:val="none" w:sz="0" w:space="0" w:color="auto"/>
      </w:divBdr>
    </w:div>
    <w:div w:id="567813862">
      <w:bodyDiv w:val="1"/>
      <w:marLeft w:val="0"/>
      <w:marRight w:val="0"/>
      <w:marTop w:val="0"/>
      <w:marBottom w:val="0"/>
      <w:divBdr>
        <w:top w:val="none" w:sz="0" w:space="0" w:color="auto"/>
        <w:left w:val="none" w:sz="0" w:space="0" w:color="auto"/>
        <w:bottom w:val="none" w:sz="0" w:space="0" w:color="auto"/>
        <w:right w:val="none" w:sz="0" w:space="0" w:color="auto"/>
      </w:divBdr>
    </w:div>
    <w:div w:id="568350821">
      <w:bodyDiv w:val="1"/>
      <w:marLeft w:val="0"/>
      <w:marRight w:val="0"/>
      <w:marTop w:val="0"/>
      <w:marBottom w:val="0"/>
      <w:divBdr>
        <w:top w:val="none" w:sz="0" w:space="0" w:color="auto"/>
        <w:left w:val="none" w:sz="0" w:space="0" w:color="auto"/>
        <w:bottom w:val="none" w:sz="0" w:space="0" w:color="auto"/>
        <w:right w:val="none" w:sz="0" w:space="0" w:color="auto"/>
      </w:divBdr>
    </w:div>
    <w:div w:id="569463266">
      <w:bodyDiv w:val="1"/>
      <w:marLeft w:val="0"/>
      <w:marRight w:val="0"/>
      <w:marTop w:val="0"/>
      <w:marBottom w:val="0"/>
      <w:divBdr>
        <w:top w:val="none" w:sz="0" w:space="0" w:color="auto"/>
        <w:left w:val="none" w:sz="0" w:space="0" w:color="auto"/>
        <w:bottom w:val="none" w:sz="0" w:space="0" w:color="auto"/>
        <w:right w:val="none" w:sz="0" w:space="0" w:color="auto"/>
      </w:divBdr>
    </w:div>
    <w:div w:id="570425475">
      <w:bodyDiv w:val="1"/>
      <w:marLeft w:val="0"/>
      <w:marRight w:val="0"/>
      <w:marTop w:val="0"/>
      <w:marBottom w:val="0"/>
      <w:divBdr>
        <w:top w:val="none" w:sz="0" w:space="0" w:color="auto"/>
        <w:left w:val="none" w:sz="0" w:space="0" w:color="auto"/>
        <w:bottom w:val="none" w:sz="0" w:space="0" w:color="auto"/>
        <w:right w:val="none" w:sz="0" w:space="0" w:color="auto"/>
      </w:divBdr>
    </w:div>
    <w:div w:id="570777531">
      <w:bodyDiv w:val="1"/>
      <w:marLeft w:val="0"/>
      <w:marRight w:val="0"/>
      <w:marTop w:val="0"/>
      <w:marBottom w:val="0"/>
      <w:divBdr>
        <w:top w:val="none" w:sz="0" w:space="0" w:color="auto"/>
        <w:left w:val="none" w:sz="0" w:space="0" w:color="auto"/>
        <w:bottom w:val="none" w:sz="0" w:space="0" w:color="auto"/>
        <w:right w:val="none" w:sz="0" w:space="0" w:color="auto"/>
      </w:divBdr>
    </w:div>
    <w:div w:id="571277735">
      <w:bodyDiv w:val="1"/>
      <w:marLeft w:val="0"/>
      <w:marRight w:val="0"/>
      <w:marTop w:val="0"/>
      <w:marBottom w:val="0"/>
      <w:divBdr>
        <w:top w:val="none" w:sz="0" w:space="0" w:color="auto"/>
        <w:left w:val="none" w:sz="0" w:space="0" w:color="auto"/>
        <w:bottom w:val="none" w:sz="0" w:space="0" w:color="auto"/>
        <w:right w:val="none" w:sz="0" w:space="0" w:color="auto"/>
      </w:divBdr>
    </w:div>
    <w:div w:id="572741283">
      <w:bodyDiv w:val="1"/>
      <w:marLeft w:val="0"/>
      <w:marRight w:val="0"/>
      <w:marTop w:val="0"/>
      <w:marBottom w:val="0"/>
      <w:divBdr>
        <w:top w:val="none" w:sz="0" w:space="0" w:color="auto"/>
        <w:left w:val="none" w:sz="0" w:space="0" w:color="auto"/>
        <w:bottom w:val="none" w:sz="0" w:space="0" w:color="auto"/>
        <w:right w:val="none" w:sz="0" w:space="0" w:color="auto"/>
      </w:divBdr>
    </w:div>
    <w:div w:id="573003737">
      <w:bodyDiv w:val="1"/>
      <w:marLeft w:val="0"/>
      <w:marRight w:val="0"/>
      <w:marTop w:val="0"/>
      <w:marBottom w:val="0"/>
      <w:divBdr>
        <w:top w:val="none" w:sz="0" w:space="0" w:color="auto"/>
        <w:left w:val="none" w:sz="0" w:space="0" w:color="auto"/>
        <w:bottom w:val="none" w:sz="0" w:space="0" w:color="auto"/>
        <w:right w:val="none" w:sz="0" w:space="0" w:color="auto"/>
      </w:divBdr>
    </w:div>
    <w:div w:id="573467721">
      <w:bodyDiv w:val="1"/>
      <w:marLeft w:val="0"/>
      <w:marRight w:val="0"/>
      <w:marTop w:val="0"/>
      <w:marBottom w:val="0"/>
      <w:divBdr>
        <w:top w:val="none" w:sz="0" w:space="0" w:color="auto"/>
        <w:left w:val="none" w:sz="0" w:space="0" w:color="auto"/>
        <w:bottom w:val="none" w:sz="0" w:space="0" w:color="auto"/>
        <w:right w:val="none" w:sz="0" w:space="0" w:color="auto"/>
      </w:divBdr>
    </w:div>
    <w:div w:id="573665351">
      <w:bodyDiv w:val="1"/>
      <w:marLeft w:val="0"/>
      <w:marRight w:val="0"/>
      <w:marTop w:val="0"/>
      <w:marBottom w:val="0"/>
      <w:divBdr>
        <w:top w:val="none" w:sz="0" w:space="0" w:color="auto"/>
        <w:left w:val="none" w:sz="0" w:space="0" w:color="auto"/>
        <w:bottom w:val="none" w:sz="0" w:space="0" w:color="auto"/>
        <w:right w:val="none" w:sz="0" w:space="0" w:color="auto"/>
      </w:divBdr>
    </w:div>
    <w:div w:id="575474969">
      <w:bodyDiv w:val="1"/>
      <w:marLeft w:val="0"/>
      <w:marRight w:val="0"/>
      <w:marTop w:val="0"/>
      <w:marBottom w:val="0"/>
      <w:divBdr>
        <w:top w:val="none" w:sz="0" w:space="0" w:color="auto"/>
        <w:left w:val="none" w:sz="0" w:space="0" w:color="auto"/>
        <w:bottom w:val="none" w:sz="0" w:space="0" w:color="auto"/>
        <w:right w:val="none" w:sz="0" w:space="0" w:color="auto"/>
      </w:divBdr>
    </w:div>
    <w:div w:id="575672527">
      <w:bodyDiv w:val="1"/>
      <w:marLeft w:val="0"/>
      <w:marRight w:val="0"/>
      <w:marTop w:val="0"/>
      <w:marBottom w:val="0"/>
      <w:divBdr>
        <w:top w:val="none" w:sz="0" w:space="0" w:color="auto"/>
        <w:left w:val="none" w:sz="0" w:space="0" w:color="auto"/>
        <w:bottom w:val="none" w:sz="0" w:space="0" w:color="auto"/>
        <w:right w:val="none" w:sz="0" w:space="0" w:color="auto"/>
      </w:divBdr>
    </w:div>
    <w:div w:id="576594952">
      <w:bodyDiv w:val="1"/>
      <w:marLeft w:val="0"/>
      <w:marRight w:val="0"/>
      <w:marTop w:val="0"/>
      <w:marBottom w:val="0"/>
      <w:divBdr>
        <w:top w:val="none" w:sz="0" w:space="0" w:color="auto"/>
        <w:left w:val="none" w:sz="0" w:space="0" w:color="auto"/>
        <w:bottom w:val="none" w:sz="0" w:space="0" w:color="auto"/>
        <w:right w:val="none" w:sz="0" w:space="0" w:color="auto"/>
      </w:divBdr>
    </w:div>
    <w:div w:id="576717598">
      <w:bodyDiv w:val="1"/>
      <w:marLeft w:val="0"/>
      <w:marRight w:val="0"/>
      <w:marTop w:val="0"/>
      <w:marBottom w:val="0"/>
      <w:divBdr>
        <w:top w:val="none" w:sz="0" w:space="0" w:color="auto"/>
        <w:left w:val="none" w:sz="0" w:space="0" w:color="auto"/>
        <w:bottom w:val="none" w:sz="0" w:space="0" w:color="auto"/>
        <w:right w:val="none" w:sz="0" w:space="0" w:color="auto"/>
      </w:divBdr>
    </w:div>
    <w:div w:id="577400684">
      <w:bodyDiv w:val="1"/>
      <w:marLeft w:val="0"/>
      <w:marRight w:val="0"/>
      <w:marTop w:val="0"/>
      <w:marBottom w:val="0"/>
      <w:divBdr>
        <w:top w:val="none" w:sz="0" w:space="0" w:color="auto"/>
        <w:left w:val="none" w:sz="0" w:space="0" w:color="auto"/>
        <w:bottom w:val="none" w:sz="0" w:space="0" w:color="auto"/>
        <w:right w:val="none" w:sz="0" w:space="0" w:color="auto"/>
      </w:divBdr>
    </w:div>
    <w:div w:id="577637980">
      <w:bodyDiv w:val="1"/>
      <w:marLeft w:val="0"/>
      <w:marRight w:val="0"/>
      <w:marTop w:val="0"/>
      <w:marBottom w:val="0"/>
      <w:divBdr>
        <w:top w:val="none" w:sz="0" w:space="0" w:color="auto"/>
        <w:left w:val="none" w:sz="0" w:space="0" w:color="auto"/>
        <w:bottom w:val="none" w:sz="0" w:space="0" w:color="auto"/>
        <w:right w:val="none" w:sz="0" w:space="0" w:color="auto"/>
      </w:divBdr>
    </w:div>
    <w:div w:id="578711016">
      <w:bodyDiv w:val="1"/>
      <w:marLeft w:val="0"/>
      <w:marRight w:val="0"/>
      <w:marTop w:val="0"/>
      <w:marBottom w:val="0"/>
      <w:divBdr>
        <w:top w:val="none" w:sz="0" w:space="0" w:color="auto"/>
        <w:left w:val="none" w:sz="0" w:space="0" w:color="auto"/>
        <w:bottom w:val="none" w:sz="0" w:space="0" w:color="auto"/>
        <w:right w:val="none" w:sz="0" w:space="0" w:color="auto"/>
      </w:divBdr>
    </w:div>
    <w:div w:id="580452737">
      <w:bodyDiv w:val="1"/>
      <w:marLeft w:val="0"/>
      <w:marRight w:val="0"/>
      <w:marTop w:val="0"/>
      <w:marBottom w:val="0"/>
      <w:divBdr>
        <w:top w:val="none" w:sz="0" w:space="0" w:color="auto"/>
        <w:left w:val="none" w:sz="0" w:space="0" w:color="auto"/>
        <w:bottom w:val="none" w:sz="0" w:space="0" w:color="auto"/>
        <w:right w:val="none" w:sz="0" w:space="0" w:color="auto"/>
      </w:divBdr>
    </w:div>
    <w:div w:id="581139267">
      <w:bodyDiv w:val="1"/>
      <w:marLeft w:val="0"/>
      <w:marRight w:val="0"/>
      <w:marTop w:val="0"/>
      <w:marBottom w:val="0"/>
      <w:divBdr>
        <w:top w:val="none" w:sz="0" w:space="0" w:color="auto"/>
        <w:left w:val="none" w:sz="0" w:space="0" w:color="auto"/>
        <w:bottom w:val="none" w:sz="0" w:space="0" w:color="auto"/>
        <w:right w:val="none" w:sz="0" w:space="0" w:color="auto"/>
      </w:divBdr>
    </w:div>
    <w:div w:id="582644335">
      <w:bodyDiv w:val="1"/>
      <w:marLeft w:val="0"/>
      <w:marRight w:val="0"/>
      <w:marTop w:val="0"/>
      <w:marBottom w:val="0"/>
      <w:divBdr>
        <w:top w:val="none" w:sz="0" w:space="0" w:color="auto"/>
        <w:left w:val="none" w:sz="0" w:space="0" w:color="auto"/>
        <w:bottom w:val="none" w:sz="0" w:space="0" w:color="auto"/>
        <w:right w:val="none" w:sz="0" w:space="0" w:color="auto"/>
      </w:divBdr>
    </w:div>
    <w:div w:id="584218952">
      <w:bodyDiv w:val="1"/>
      <w:marLeft w:val="0"/>
      <w:marRight w:val="0"/>
      <w:marTop w:val="0"/>
      <w:marBottom w:val="0"/>
      <w:divBdr>
        <w:top w:val="none" w:sz="0" w:space="0" w:color="auto"/>
        <w:left w:val="none" w:sz="0" w:space="0" w:color="auto"/>
        <w:bottom w:val="none" w:sz="0" w:space="0" w:color="auto"/>
        <w:right w:val="none" w:sz="0" w:space="0" w:color="auto"/>
      </w:divBdr>
    </w:div>
    <w:div w:id="584798834">
      <w:bodyDiv w:val="1"/>
      <w:marLeft w:val="0"/>
      <w:marRight w:val="0"/>
      <w:marTop w:val="0"/>
      <w:marBottom w:val="0"/>
      <w:divBdr>
        <w:top w:val="none" w:sz="0" w:space="0" w:color="auto"/>
        <w:left w:val="none" w:sz="0" w:space="0" w:color="auto"/>
        <w:bottom w:val="none" w:sz="0" w:space="0" w:color="auto"/>
        <w:right w:val="none" w:sz="0" w:space="0" w:color="auto"/>
      </w:divBdr>
    </w:div>
    <w:div w:id="585649202">
      <w:bodyDiv w:val="1"/>
      <w:marLeft w:val="0"/>
      <w:marRight w:val="0"/>
      <w:marTop w:val="0"/>
      <w:marBottom w:val="0"/>
      <w:divBdr>
        <w:top w:val="none" w:sz="0" w:space="0" w:color="auto"/>
        <w:left w:val="none" w:sz="0" w:space="0" w:color="auto"/>
        <w:bottom w:val="none" w:sz="0" w:space="0" w:color="auto"/>
        <w:right w:val="none" w:sz="0" w:space="0" w:color="auto"/>
      </w:divBdr>
    </w:div>
    <w:div w:id="585649925">
      <w:bodyDiv w:val="1"/>
      <w:marLeft w:val="0"/>
      <w:marRight w:val="0"/>
      <w:marTop w:val="0"/>
      <w:marBottom w:val="0"/>
      <w:divBdr>
        <w:top w:val="none" w:sz="0" w:space="0" w:color="auto"/>
        <w:left w:val="none" w:sz="0" w:space="0" w:color="auto"/>
        <w:bottom w:val="none" w:sz="0" w:space="0" w:color="auto"/>
        <w:right w:val="none" w:sz="0" w:space="0" w:color="auto"/>
      </w:divBdr>
    </w:div>
    <w:div w:id="587692960">
      <w:bodyDiv w:val="1"/>
      <w:marLeft w:val="0"/>
      <w:marRight w:val="0"/>
      <w:marTop w:val="0"/>
      <w:marBottom w:val="0"/>
      <w:divBdr>
        <w:top w:val="none" w:sz="0" w:space="0" w:color="auto"/>
        <w:left w:val="none" w:sz="0" w:space="0" w:color="auto"/>
        <w:bottom w:val="none" w:sz="0" w:space="0" w:color="auto"/>
        <w:right w:val="none" w:sz="0" w:space="0" w:color="auto"/>
      </w:divBdr>
    </w:div>
    <w:div w:id="588806700">
      <w:bodyDiv w:val="1"/>
      <w:marLeft w:val="0"/>
      <w:marRight w:val="0"/>
      <w:marTop w:val="0"/>
      <w:marBottom w:val="0"/>
      <w:divBdr>
        <w:top w:val="none" w:sz="0" w:space="0" w:color="auto"/>
        <w:left w:val="none" w:sz="0" w:space="0" w:color="auto"/>
        <w:bottom w:val="none" w:sz="0" w:space="0" w:color="auto"/>
        <w:right w:val="none" w:sz="0" w:space="0" w:color="auto"/>
      </w:divBdr>
    </w:div>
    <w:div w:id="589311120">
      <w:bodyDiv w:val="1"/>
      <w:marLeft w:val="0"/>
      <w:marRight w:val="0"/>
      <w:marTop w:val="0"/>
      <w:marBottom w:val="0"/>
      <w:divBdr>
        <w:top w:val="none" w:sz="0" w:space="0" w:color="auto"/>
        <w:left w:val="none" w:sz="0" w:space="0" w:color="auto"/>
        <w:bottom w:val="none" w:sz="0" w:space="0" w:color="auto"/>
        <w:right w:val="none" w:sz="0" w:space="0" w:color="auto"/>
      </w:divBdr>
    </w:div>
    <w:div w:id="591820196">
      <w:bodyDiv w:val="1"/>
      <w:marLeft w:val="0"/>
      <w:marRight w:val="0"/>
      <w:marTop w:val="0"/>
      <w:marBottom w:val="0"/>
      <w:divBdr>
        <w:top w:val="none" w:sz="0" w:space="0" w:color="auto"/>
        <w:left w:val="none" w:sz="0" w:space="0" w:color="auto"/>
        <w:bottom w:val="none" w:sz="0" w:space="0" w:color="auto"/>
        <w:right w:val="none" w:sz="0" w:space="0" w:color="auto"/>
      </w:divBdr>
    </w:div>
    <w:div w:id="592275153">
      <w:bodyDiv w:val="1"/>
      <w:marLeft w:val="0"/>
      <w:marRight w:val="0"/>
      <w:marTop w:val="0"/>
      <w:marBottom w:val="0"/>
      <w:divBdr>
        <w:top w:val="none" w:sz="0" w:space="0" w:color="auto"/>
        <w:left w:val="none" w:sz="0" w:space="0" w:color="auto"/>
        <w:bottom w:val="none" w:sz="0" w:space="0" w:color="auto"/>
        <w:right w:val="none" w:sz="0" w:space="0" w:color="auto"/>
      </w:divBdr>
    </w:div>
    <w:div w:id="592982170">
      <w:bodyDiv w:val="1"/>
      <w:marLeft w:val="0"/>
      <w:marRight w:val="0"/>
      <w:marTop w:val="0"/>
      <w:marBottom w:val="0"/>
      <w:divBdr>
        <w:top w:val="none" w:sz="0" w:space="0" w:color="auto"/>
        <w:left w:val="none" w:sz="0" w:space="0" w:color="auto"/>
        <w:bottom w:val="none" w:sz="0" w:space="0" w:color="auto"/>
        <w:right w:val="none" w:sz="0" w:space="0" w:color="auto"/>
      </w:divBdr>
    </w:div>
    <w:div w:id="593244766">
      <w:bodyDiv w:val="1"/>
      <w:marLeft w:val="0"/>
      <w:marRight w:val="0"/>
      <w:marTop w:val="0"/>
      <w:marBottom w:val="0"/>
      <w:divBdr>
        <w:top w:val="none" w:sz="0" w:space="0" w:color="auto"/>
        <w:left w:val="none" w:sz="0" w:space="0" w:color="auto"/>
        <w:bottom w:val="none" w:sz="0" w:space="0" w:color="auto"/>
        <w:right w:val="none" w:sz="0" w:space="0" w:color="auto"/>
      </w:divBdr>
    </w:div>
    <w:div w:id="597643270">
      <w:bodyDiv w:val="1"/>
      <w:marLeft w:val="0"/>
      <w:marRight w:val="0"/>
      <w:marTop w:val="0"/>
      <w:marBottom w:val="0"/>
      <w:divBdr>
        <w:top w:val="none" w:sz="0" w:space="0" w:color="auto"/>
        <w:left w:val="none" w:sz="0" w:space="0" w:color="auto"/>
        <w:bottom w:val="none" w:sz="0" w:space="0" w:color="auto"/>
        <w:right w:val="none" w:sz="0" w:space="0" w:color="auto"/>
      </w:divBdr>
    </w:div>
    <w:div w:id="597717991">
      <w:bodyDiv w:val="1"/>
      <w:marLeft w:val="0"/>
      <w:marRight w:val="0"/>
      <w:marTop w:val="0"/>
      <w:marBottom w:val="0"/>
      <w:divBdr>
        <w:top w:val="none" w:sz="0" w:space="0" w:color="auto"/>
        <w:left w:val="none" w:sz="0" w:space="0" w:color="auto"/>
        <w:bottom w:val="none" w:sz="0" w:space="0" w:color="auto"/>
        <w:right w:val="none" w:sz="0" w:space="0" w:color="auto"/>
      </w:divBdr>
    </w:div>
    <w:div w:id="600795968">
      <w:bodyDiv w:val="1"/>
      <w:marLeft w:val="0"/>
      <w:marRight w:val="0"/>
      <w:marTop w:val="0"/>
      <w:marBottom w:val="0"/>
      <w:divBdr>
        <w:top w:val="none" w:sz="0" w:space="0" w:color="auto"/>
        <w:left w:val="none" w:sz="0" w:space="0" w:color="auto"/>
        <w:bottom w:val="none" w:sz="0" w:space="0" w:color="auto"/>
        <w:right w:val="none" w:sz="0" w:space="0" w:color="auto"/>
      </w:divBdr>
    </w:div>
    <w:div w:id="602306027">
      <w:bodyDiv w:val="1"/>
      <w:marLeft w:val="0"/>
      <w:marRight w:val="0"/>
      <w:marTop w:val="0"/>
      <w:marBottom w:val="0"/>
      <w:divBdr>
        <w:top w:val="none" w:sz="0" w:space="0" w:color="auto"/>
        <w:left w:val="none" w:sz="0" w:space="0" w:color="auto"/>
        <w:bottom w:val="none" w:sz="0" w:space="0" w:color="auto"/>
        <w:right w:val="none" w:sz="0" w:space="0" w:color="auto"/>
      </w:divBdr>
    </w:div>
    <w:div w:id="603611407">
      <w:bodyDiv w:val="1"/>
      <w:marLeft w:val="0"/>
      <w:marRight w:val="0"/>
      <w:marTop w:val="0"/>
      <w:marBottom w:val="0"/>
      <w:divBdr>
        <w:top w:val="none" w:sz="0" w:space="0" w:color="auto"/>
        <w:left w:val="none" w:sz="0" w:space="0" w:color="auto"/>
        <w:bottom w:val="none" w:sz="0" w:space="0" w:color="auto"/>
        <w:right w:val="none" w:sz="0" w:space="0" w:color="auto"/>
      </w:divBdr>
    </w:div>
    <w:div w:id="605426264">
      <w:bodyDiv w:val="1"/>
      <w:marLeft w:val="0"/>
      <w:marRight w:val="0"/>
      <w:marTop w:val="0"/>
      <w:marBottom w:val="0"/>
      <w:divBdr>
        <w:top w:val="none" w:sz="0" w:space="0" w:color="auto"/>
        <w:left w:val="none" w:sz="0" w:space="0" w:color="auto"/>
        <w:bottom w:val="none" w:sz="0" w:space="0" w:color="auto"/>
        <w:right w:val="none" w:sz="0" w:space="0" w:color="auto"/>
      </w:divBdr>
    </w:div>
    <w:div w:id="608463609">
      <w:bodyDiv w:val="1"/>
      <w:marLeft w:val="0"/>
      <w:marRight w:val="0"/>
      <w:marTop w:val="0"/>
      <w:marBottom w:val="0"/>
      <w:divBdr>
        <w:top w:val="none" w:sz="0" w:space="0" w:color="auto"/>
        <w:left w:val="none" w:sz="0" w:space="0" w:color="auto"/>
        <w:bottom w:val="none" w:sz="0" w:space="0" w:color="auto"/>
        <w:right w:val="none" w:sz="0" w:space="0" w:color="auto"/>
      </w:divBdr>
    </w:div>
    <w:div w:id="608508704">
      <w:bodyDiv w:val="1"/>
      <w:marLeft w:val="0"/>
      <w:marRight w:val="0"/>
      <w:marTop w:val="0"/>
      <w:marBottom w:val="0"/>
      <w:divBdr>
        <w:top w:val="none" w:sz="0" w:space="0" w:color="auto"/>
        <w:left w:val="none" w:sz="0" w:space="0" w:color="auto"/>
        <w:bottom w:val="none" w:sz="0" w:space="0" w:color="auto"/>
        <w:right w:val="none" w:sz="0" w:space="0" w:color="auto"/>
      </w:divBdr>
    </w:div>
    <w:div w:id="611739955">
      <w:bodyDiv w:val="1"/>
      <w:marLeft w:val="0"/>
      <w:marRight w:val="0"/>
      <w:marTop w:val="0"/>
      <w:marBottom w:val="0"/>
      <w:divBdr>
        <w:top w:val="none" w:sz="0" w:space="0" w:color="auto"/>
        <w:left w:val="none" w:sz="0" w:space="0" w:color="auto"/>
        <w:bottom w:val="none" w:sz="0" w:space="0" w:color="auto"/>
        <w:right w:val="none" w:sz="0" w:space="0" w:color="auto"/>
      </w:divBdr>
    </w:div>
    <w:div w:id="611792128">
      <w:bodyDiv w:val="1"/>
      <w:marLeft w:val="0"/>
      <w:marRight w:val="0"/>
      <w:marTop w:val="0"/>
      <w:marBottom w:val="0"/>
      <w:divBdr>
        <w:top w:val="none" w:sz="0" w:space="0" w:color="auto"/>
        <w:left w:val="none" w:sz="0" w:space="0" w:color="auto"/>
        <w:bottom w:val="none" w:sz="0" w:space="0" w:color="auto"/>
        <w:right w:val="none" w:sz="0" w:space="0" w:color="auto"/>
      </w:divBdr>
    </w:div>
    <w:div w:id="611937564">
      <w:bodyDiv w:val="1"/>
      <w:marLeft w:val="0"/>
      <w:marRight w:val="0"/>
      <w:marTop w:val="0"/>
      <w:marBottom w:val="0"/>
      <w:divBdr>
        <w:top w:val="none" w:sz="0" w:space="0" w:color="auto"/>
        <w:left w:val="none" w:sz="0" w:space="0" w:color="auto"/>
        <w:bottom w:val="none" w:sz="0" w:space="0" w:color="auto"/>
        <w:right w:val="none" w:sz="0" w:space="0" w:color="auto"/>
      </w:divBdr>
    </w:div>
    <w:div w:id="612446179">
      <w:bodyDiv w:val="1"/>
      <w:marLeft w:val="0"/>
      <w:marRight w:val="0"/>
      <w:marTop w:val="0"/>
      <w:marBottom w:val="0"/>
      <w:divBdr>
        <w:top w:val="none" w:sz="0" w:space="0" w:color="auto"/>
        <w:left w:val="none" w:sz="0" w:space="0" w:color="auto"/>
        <w:bottom w:val="none" w:sz="0" w:space="0" w:color="auto"/>
        <w:right w:val="none" w:sz="0" w:space="0" w:color="auto"/>
      </w:divBdr>
    </w:div>
    <w:div w:id="615335455">
      <w:bodyDiv w:val="1"/>
      <w:marLeft w:val="0"/>
      <w:marRight w:val="0"/>
      <w:marTop w:val="0"/>
      <w:marBottom w:val="0"/>
      <w:divBdr>
        <w:top w:val="none" w:sz="0" w:space="0" w:color="auto"/>
        <w:left w:val="none" w:sz="0" w:space="0" w:color="auto"/>
        <w:bottom w:val="none" w:sz="0" w:space="0" w:color="auto"/>
        <w:right w:val="none" w:sz="0" w:space="0" w:color="auto"/>
      </w:divBdr>
    </w:div>
    <w:div w:id="615450344">
      <w:bodyDiv w:val="1"/>
      <w:marLeft w:val="0"/>
      <w:marRight w:val="0"/>
      <w:marTop w:val="0"/>
      <w:marBottom w:val="0"/>
      <w:divBdr>
        <w:top w:val="none" w:sz="0" w:space="0" w:color="auto"/>
        <w:left w:val="none" w:sz="0" w:space="0" w:color="auto"/>
        <w:bottom w:val="none" w:sz="0" w:space="0" w:color="auto"/>
        <w:right w:val="none" w:sz="0" w:space="0" w:color="auto"/>
      </w:divBdr>
    </w:div>
    <w:div w:id="615910761">
      <w:bodyDiv w:val="1"/>
      <w:marLeft w:val="0"/>
      <w:marRight w:val="0"/>
      <w:marTop w:val="0"/>
      <w:marBottom w:val="0"/>
      <w:divBdr>
        <w:top w:val="none" w:sz="0" w:space="0" w:color="auto"/>
        <w:left w:val="none" w:sz="0" w:space="0" w:color="auto"/>
        <w:bottom w:val="none" w:sz="0" w:space="0" w:color="auto"/>
        <w:right w:val="none" w:sz="0" w:space="0" w:color="auto"/>
      </w:divBdr>
    </w:div>
    <w:div w:id="615914450">
      <w:bodyDiv w:val="1"/>
      <w:marLeft w:val="0"/>
      <w:marRight w:val="0"/>
      <w:marTop w:val="0"/>
      <w:marBottom w:val="0"/>
      <w:divBdr>
        <w:top w:val="none" w:sz="0" w:space="0" w:color="auto"/>
        <w:left w:val="none" w:sz="0" w:space="0" w:color="auto"/>
        <w:bottom w:val="none" w:sz="0" w:space="0" w:color="auto"/>
        <w:right w:val="none" w:sz="0" w:space="0" w:color="auto"/>
      </w:divBdr>
    </w:div>
    <w:div w:id="615991692">
      <w:bodyDiv w:val="1"/>
      <w:marLeft w:val="0"/>
      <w:marRight w:val="0"/>
      <w:marTop w:val="0"/>
      <w:marBottom w:val="0"/>
      <w:divBdr>
        <w:top w:val="none" w:sz="0" w:space="0" w:color="auto"/>
        <w:left w:val="none" w:sz="0" w:space="0" w:color="auto"/>
        <w:bottom w:val="none" w:sz="0" w:space="0" w:color="auto"/>
        <w:right w:val="none" w:sz="0" w:space="0" w:color="auto"/>
      </w:divBdr>
    </w:div>
    <w:div w:id="618027564">
      <w:bodyDiv w:val="1"/>
      <w:marLeft w:val="0"/>
      <w:marRight w:val="0"/>
      <w:marTop w:val="0"/>
      <w:marBottom w:val="0"/>
      <w:divBdr>
        <w:top w:val="none" w:sz="0" w:space="0" w:color="auto"/>
        <w:left w:val="none" w:sz="0" w:space="0" w:color="auto"/>
        <w:bottom w:val="none" w:sz="0" w:space="0" w:color="auto"/>
        <w:right w:val="none" w:sz="0" w:space="0" w:color="auto"/>
      </w:divBdr>
    </w:div>
    <w:div w:id="618990987">
      <w:bodyDiv w:val="1"/>
      <w:marLeft w:val="0"/>
      <w:marRight w:val="0"/>
      <w:marTop w:val="0"/>
      <w:marBottom w:val="0"/>
      <w:divBdr>
        <w:top w:val="none" w:sz="0" w:space="0" w:color="auto"/>
        <w:left w:val="none" w:sz="0" w:space="0" w:color="auto"/>
        <w:bottom w:val="none" w:sz="0" w:space="0" w:color="auto"/>
        <w:right w:val="none" w:sz="0" w:space="0" w:color="auto"/>
      </w:divBdr>
    </w:div>
    <w:div w:id="619383739">
      <w:bodyDiv w:val="1"/>
      <w:marLeft w:val="0"/>
      <w:marRight w:val="0"/>
      <w:marTop w:val="0"/>
      <w:marBottom w:val="0"/>
      <w:divBdr>
        <w:top w:val="none" w:sz="0" w:space="0" w:color="auto"/>
        <w:left w:val="none" w:sz="0" w:space="0" w:color="auto"/>
        <w:bottom w:val="none" w:sz="0" w:space="0" w:color="auto"/>
        <w:right w:val="none" w:sz="0" w:space="0" w:color="auto"/>
      </w:divBdr>
    </w:div>
    <w:div w:id="620378846">
      <w:bodyDiv w:val="1"/>
      <w:marLeft w:val="0"/>
      <w:marRight w:val="0"/>
      <w:marTop w:val="0"/>
      <w:marBottom w:val="0"/>
      <w:divBdr>
        <w:top w:val="none" w:sz="0" w:space="0" w:color="auto"/>
        <w:left w:val="none" w:sz="0" w:space="0" w:color="auto"/>
        <w:bottom w:val="none" w:sz="0" w:space="0" w:color="auto"/>
        <w:right w:val="none" w:sz="0" w:space="0" w:color="auto"/>
      </w:divBdr>
    </w:div>
    <w:div w:id="620890038">
      <w:bodyDiv w:val="1"/>
      <w:marLeft w:val="0"/>
      <w:marRight w:val="0"/>
      <w:marTop w:val="0"/>
      <w:marBottom w:val="0"/>
      <w:divBdr>
        <w:top w:val="none" w:sz="0" w:space="0" w:color="auto"/>
        <w:left w:val="none" w:sz="0" w:space="0" w:color="auto"/>
        <w:bottom w:val="none" w:sz="0" w:space="0" w:color="auto"/>
        <w:right w:val="none" w:sz="0" w:space="0" w:color="auto"/>
      </w:divBdr>
    </w:div>
    <w:div w:id="621112903">
      <w:bodyDiv w:val="1"/>
      <w:marLeft w:val="0"/>
      <w:marRight w:val="0"/>
      <w:marTop w:val="0"/>
      <w:marBottom w:val="0"/>
      <w:divBdr>
        <w:top w:val="none" w:sz="0" w:space="0" w:color="auto"/>
        <w:left w:val="none" w:sz="0" w:space="0" w:color="auto"/>
        <w:bottom w:val="none" w:sz="0" w:space="0" w:color="auto"/>
        <w:right w:val="none" w:sz="0" w:space="0" w:color="auto"/>
      </w:divBdr>
    </w:div>
    <w:div w:id="621228189">
      <w:bodyDiv w:val="1"/>
      <w:marLeft w:val="0"/>
      <w:marRight w:val="0"/>
      <w:marTop w:val="0"/>
      <w:marBottom w:val="0"/>
      <w:divBdr>
        <w:top w:val="none" w:sz="0" w:space="0" w:color="auto"/>
        <w:left w:val="none" w:sz="0" w:space="0" w:color="auto"/>
        <w:bottom w:val="none" w:sz="0" w:space="0" w:color="auto"/>
        <w:right w:val="none" w:sz="0" w:space="0" w:color="auto"/>
      </w:divBdr>
    </w:div>
    <w:div w:id="621543648">
      <w:bodyDiv w:val="1"/>
      <w:marLeft w:val="0"/>
      <w:marRight w:val="0"/>
      <w:marTop w:val="0"/>
      <w:marBottom w:val="0"/>
      <w:divBdr>
        <w:top w:val="none" w:sz="0" w:space="0" w:color="auto"/>
        <w:left w:val="none" w:sz="0" w:space="0" w:color="auto"/>
        <w:bottom w:val="none" w:sz="0" w:space="0" w:color="auto"/>
        <w:right w:val="none" w:sz="0" w:space="0" w:color="auto"/>
      </w:divBdr>
    </w:div>
    <w:div w:id="622539962">
      <w:bodyDiv w:val="1"/>
      <w:marLeft w:val="0"/>
      <w:marRight w:val="0"/>
      <w:marTop w:val="0"/>
      <w:marBottom w:val="0"/>
      <w:divBdr>
        <w:top w:val="none" w:sz="0" w:space="0" w:color="auto"/>
        <w:left w:val="none" w:sz="0" w:space="0" w:color="auto"/>
        <w:bottom w:val="none" w:sz="0" w:space="0" w:color="auto"/>
        <w:right w:val="none" w:sz="0" w:space="0" w:color="auto"/>
      </w:divBdr>
    </w:div>
    <w:div w:id="623848690">
      <w:bodyDiv w:val="1"/>
      <w:marLeft w:val="0"/>
      <w:marRight w:val="0"/>
      <w:marTop w:val="0"/>
      <w:marBottom w:val="0"/>
      <w:divBdr>
        <w:top w:val="none" w:sz="0" w:space="0" w:color="auto"/>
        <w:left w:val="none" w:sz="0" w:space="0" w:color="auto"/>
        <w:bottom w:val="none" w:sz="0" w:space="0" w:color="auto"/>
        <w:right w:val="none" w:sz="0" w:space="0" w:color="auto"/>
      </w:divBdr>
    </w:div>
    <w:div w:id="624389553">
      <w:bodyDiv w:val="1"/>
      <w:marLeft w:val="0"/>
      <w:marRight w:val="0"/>
      <w:marTop w:val="0"/>
      <w:marBottom w:val="0"/>
      <w:divBdr>
        <w:top w:val="none" w:sz="0" w:space="0" w:color="auto"/>
        <w:left w:val="none" w:sz="0" w:space="0" w:color="auto"/>
        <w:bottom w:val="none" w:sz="0" w:space="0" w:color="auto"/>
        <w:right w:val="none" w:sz="0" w:space="0" w:color="auto"/>
      </w:divBdr>
    </w:div>
    <w:div w:id="624502414">
      <w:bodyDiv w:val="1"/>
      <w:marLeft w:val="0"/>
      <w:marRight w:val="0"/>
      <w:marTop w:val="0"/>
      <w:marBottom w:val="0"/>
      <w:divBdr>
        <w:top w:val="none" w:sz="0" w:space="0" w:color="auto"/>
        <w:left w:val="none" w:sz="0" w:space="0" w:color="auto"/>
        <w:bottom w:val="none" w:sz="0" w:space="0" w:color="auto"/>
        <w:right w:val="none" w:sz="0" w:space="0" w:color="auto"/>
      </w:divBdr>
    </w:div>
    <w:div w:id="624967497">
      <w:bodyDiv w:val="1"/>
      <w:marLeft w:val="0"/>
      <w:marRight w:val="0"/>
      <w:marTop w:val="0"/>
      <w:marBottom w:val="0"/>
      <w:divBdr>
        <w:top w:val="none" w:sz="0" w:space="0" w:color="auto"/>
        <w:left w:val="none" w:sz="0" w:space="0" w:color="auto"/>
        <w:bottom w:val="none" w:sz="0" w:space="0" w:color="auto"/>
        <w:right w:val="none" w:sz="0" w:space="0" w:color="auto"/>
      </w:divBdr>
    </w:div>
    <w:div w:id="625544753">
      <w:bodyDiv w:val="1"/>
      <w:marLeft w:val="0"/>
      <w:marRight w:val="0"/>
      <w:marTop w:val="0"/>
      <w:marBottom w:val="0"/>
      <w:divBdr>
        <w:top w:val="none" w:sz="0" w:space="0" w:color="auto"/>
        <w:left w:val="none" w:sz="0" w:space="0" w:color="auto"/>
        <w:bottom w:val="none" w:sz="0" w:space="0" w:color="auto"/>
        <w:right w:val="none" w:sz="0" w:space="0" w:color="auto"/>
      </w:divBdr>
    </w:div>
    <w:div w:id="626542822">
      <w:bodyDiv w:val="1"/>
      <w:marLeft w:val="0"/>
      <w:marRight w:val="0"/>
      <w:marTop w:val="0"/>
      <w:marBottom w:val="0"/>
      <w:divBdr>
        <w:top w:val="none" w:sz="0" w:space="0" w:color="auto"/>
        <w:left w:val="none" w:sz="0" w:space="0" w:color="auto"/>
        <w:bottom w:val="none" w:sz="0" w:space="0" w:color="auto"/>
        <w:right w:val="none" w:sz="0" w:space="0" w:color="auto"/>
      </w:divBdr>
    </w:div>
    <w:div w:id="627007654">
      <w:bodyDiv w:val="1"/>
      <w:marLeft w:val="0"/>
      <w:marRight w:val="0"/>
      <w:marTop w:val="0"/>
      <w:marBottom w:val="0"/>
      <w:divBdr>
        <w:top w:val="none" w:sz="0" w:space="0" w:color="auto"/>
        <w:left w:val="none" w:sz="0" w:space="0" w:color="auto"/>
        <w:bottom w:val="none" w:sz="0" w:space="0" w:color="auto"/>
        <w:right w:val="none" w:sz="0" w:space="0" w:color="auto"/>
      </w:divBdr>
    </w:div>
    <w:div w:id="627050930">
      <w:bodyDiv w:val="1"/>
      <w:marLeft w:val="0"/>
      <w:marRight w:val="0"/>
      <w:marTop w:val="0"/>
      <w:marBottom w:val="0"/>
      <w:divBdr>
        <w:top w:val="none" w:sz="0" w:space="0" w:color="auto"/>
        <w:left w:val="none" w:sz="0" w:space="0" w:color="auto"/>
        <w:bottom w:val="none" w:sz="0" w:space="0" w:color="auto"/>
        <w:right w:val="none" w:sz="0" w:space="0" w:color="auto"/>
      </w:divBdr>
    </w:div>
    <w:div w:id="627853690">
      <w:bodyDiv w:val="1"/>
      <w:marLeft w:val="0"/>
      <w:marRight w:val="0"/>
      <w:marTop w:val="0"/>
      <w:marBottom w:val="0"/>
      <w:divBdr>
        <w:top w:val="none" w:sz="0" w:space="0" w:color="auto"/>
        <w:left w:val="none" w:sz="0" w:space="0" w:color="auto"/>
        <w:bottom w:val="none" w:sz="0" w:space="0" w:color="auto"/>
        <w:right w:val="none" w:sz="0" w:space="0" w:color="auto"/>
      </w:divBdr>
    </w:div>
    <w:div w:id="630286611">
      <w:bodyDiv w:val="1"/>
      <w:marLeft w:val="0"/>
      <w:marRight w:val="0"/>
      <w:marTop w:val="0"/>
      <w:marBottom w:val="0"/>
      <w:divBdr>
        <w:top w:val="none" w:sz="0" w:space="0" w:color="auto"/>
        <w:left w:val="none" w:sz="0" w:space="0" w:color="auto"/>
        <w:bottom w:val="none" w:sz="0" w:space="0" w:color="auto"/>
        <w:right w:val="none" w:sz="0" w:space="0" w:color="auto"/>
      </w:divBdr>
    </w:div>
    <w:div w:id="630938884">
      <w:bodyDiv w:val="1"/>
      <w:marLeft w:val="0"/>
      <w:marRight w:val="0"/>
      <w:marTop w:val="0"/>
      <w:marBottom w:val="0"/>
      <w:divBdr>
        <w:top w:val="none" w:sz="0" w:space="0" w:color="auto"/>
        <w:left w:val="none" w:sz="0" w:space="0" w:color="auto"/>
        <w:bottom w:val="none" w:sz="0" w:space="0" w:color="auto"/>
        <w:right w:val="none" w:sz="0" w:space="0" w:color="auto"/>
      </w:divBdr>
    </w:div>
    <w:div w:id="631324513">
      <w:bodyDiv w:val="1"/>
      <w:marLeft w:val="0"/>
      <w:marRight w:val="0"/>
      <w:marTop w:val="0"/>
      <w:marBottom w:val="0"/>
      <w:divBdr>
        <w:top w:val="none" w:sz="0" w:space="0" w:color="auto"/>
        <w:left w:val="none" w:sz="0" w:space="0" w:color="auto"/>
        <w:bottom w:val="none" w:sz="0" w:space="0" w:color="auto"/>
        <w:right w:val="none" w:sz="0" w:space="0" w:color="auto"/>
      </w:divBdr>
    </w:div>
    <w:div w:id="632444238">
      <w:bodyDiv w:val="1"/>
      <w:marLeft w:val="0"/>
      <w:marRight w:val="0"/>
      <w:marTop w:val="0"/>
      <w:marBottom w:val="0"/>
      <w:divBdr>
        <w:top w:val="none" w:sz="0" w:space="0" w:color="auto"/>
        <w:left w:val="none" w:sz="0" w:space="0" w:color="auto"/>
        <w:bottom w:val="none" w:sz="0" w:space="0" w:color="auto"/>
        <w:right w:val="none" w:sz="0" w:space="0" w:color="auto"/>
      </w:divBdr>
    </w:div>
    <w:div w:id="633825954">
      <w:bodyDiv w:val="1"/>
      <w:marLeft w:val="0"/>
      <w:marRight w:val="0"/>
      <w:marTop w:val="0"/>
      <w:marBottom w:val="0"/>
      <w:divBdr>
        <w:top w:val="none" w:sz="0" w:space="0" w:color="auto"/>
        <w:left w:val="none" w:sz="0" w:space="0" w:color="auto"/>
        <w:bottom w:val="none" w:sz="0" w:space="0" w:color="auto"/>
        <w:right w:val="none" w:sz="0" w:space="0" w:color="auto"/>
      </w:divBdr>
    </w:div>
    <w:div w:id="634261018">
      <w:bodyDiv w:val="1"/>
      <w:marLeft w:val="0"/>
      <w:marRight w:val="0"/>
      <w:marTop w:val="0"/>
      <w:marBottom w:val="0"/>
      <w:divBdr>
        <w:top w:val="none" w:sz="0" w:space="0" w:color="auto"/>
        <w:left w:val="none" w:sz="0" w:space="0" w:color="auto"/>
        <w:bottom w:val="none" w:sz="0" w:space="0" w:color="auto"/>
        <w:right w:val="none" w:sz="0" w:space="0" w:color="auto"/>
      </w:divBdr>
    </w:div>
    <w:div w:id="634525692">
      <w:bodyDiv w:val="1"/>
      <w:marLeft w:val="0"/>
      <w:marRight w:val="0"/>
      <w:marTop w:val="0"/>
      <w:marBottom w:val="0"/>
      <w:divBdr>
        <w:top w:val="none" w:sz="0" w:space="0" w:color="auto"/>
        <w:left w:val="none" w:sz="0" w:space="0" w:color="auto"/>
        <w:bottom w:val="none" w:sz="0" w:space="0" w:color="auto"/>
        <w:right w:val="none" w:sz="0" w:space="0" w:color="auto"/>
      </w:divBdr>
    </w:div>
    <w:div w:id="634989426">
      <w:bodyDiv w:val="1"/>
      <w:marLeft w:val="0"/>
      <w:marRight w:val="0"/>
      <w:marTop w:val="0"/>
      <w:marBottom w:val="0"/>
      <w:divBdr>
        <w:top w:val="none" w:sz="0" w:space="0" w:color="auto"/>
        <w:left w:val="none" w:sz="0" w:space="0" w:color="auto"/>
        <w:bottom w:val="none" w:sz="0" w:space="0" w:color="auto"/>
        <w:right w:val="none" w:sz="0" w:space="0" w:color="auto"/>
      </w:divBdr>
    </w:div>
    <w:div w:id="635839253">
      <w:bodyDiv w:val="1"/>
      <w:marLeft w:val="0"/>
      <w:marRight w:val="0"/>
      <w:marTop w:val="0"/>
      <w:marBottom w:val="0"/>
      <w:divBdr>
        <w:top w:val="none" w:sz="0" w:space="0" w:color="auto"/>
        <w:left w:val="none" w:sz="0" w:space="0" w:color="auto"/>
        <w:bottom w:val="none" w:sz="0" w:space="0" w:color="auto"/>
        <w:right w:val="none" w:sz="0" w:space="0" w:color="auto"/>
      </w:divBdr>
    </w:div>
    <w:div w:id="635912050">
      <w:bodyDiv w:val="1"/>
      <w:marLeft w:val="0"/>
      <w:marRight w:val="0"/>
      <w:marTop w:val="0"/>
      <w:marBottom w:val="0"/>
      <w:divBdr>
        <w:top w:val="none" w:sz="0" w:space="0" w:color="auto"/>
        <w:left w:val="none" w:sz="0" w:space="0" w:color="auto"/>
        <w:bottom w:val="none" w:sz="0" w:space="0" w:color="auto"/>
        <w:right w:val="none" w:sz="0" w:space="0" w:color="auto"/>
      </w:divBdr>
    </w:div>
    <w:div w:id="636030301">
      <w:bodyDiv w:val="1"/>
      <w:marLeft w:val="0"/>
      <w:marRight w:val="0"/>
      <w:marTop w:val="0"/>
      <w:marBottom w:val="0"/>
      <w:divBdr>
        <w:top w:val="none" w:sz="0" w:space="0" w:color="auto"/>
        <w:left w:val="none" w:sz="0" w:space="0" w:color="auto"/>
        <w:bottom w:val="none" w:sz="0" w:space="0" w:color="auto"/>
        <w:right w:val="none" w:sz="0" w:space="0" w:color="auto"/>
      </w:divBdr>
    </w:div>
    <w:div w:id="636691217">
      <w:bodyDiv w:val="1"/>
      <w:marLeft w:val="0"/>
      <w:marRight w:val="0"/>
      <w:marTop w:val="0"/>
      <w:marBottom w:val="0"/>
      <w:divBdr>
        <w:top w:val="none" w:sz="0" w:space="0" w:color="auto"/>
        <w:left w:val="none" w:sz="0" w:space="0" w:color="auto"/>
        <w:bottom w:val="none" w:sz="0" w:space="0" w:color="auto"/>
        <w:right w:val="none" w:sz="0" w:space="0" w:color="auto"/>
      </w:divBdr>
    </w:div>
    <w:div w:id="637107357">
      <w:bodyDiv w:val="1"/>
      <w:marLeft w:val="0"/>
      <w:marRight w:val="0"/>
      <w:marTop w:val="0"/>
      <w:marBottom w:val="0"/>
      <w:divBdr>
        <w:top w:val="none" w:sz="0" w:space="0" w:color="auto"/>
        <w:left w:val="none" w:sz="0" w:space="0" w:color="auto"/>
        <w:bottom w:val="none" w:sz="0" w:space="0" w:color="auto"/>
        <w:right w:val="none" w:sz="0" w:space="0" w:color="auto"/>
      </w:divBdr>
    </w:div>
    <w:div w:id="637758039">
      <w:bodyDiv w:val="1"/>
      <w:marLeft w:val="0"/>
      <w:marRight w:val="0"/>
      <w:marTop w:val="0"/>
      <w:marBottom w:val="0"/>
      <w:divBdr>
        <w:top w:val="none" w:sz="0" w:space="0" w:color="auto"/>
        <w:left w:val="none" w:sz="0" w:space="0" w:color="auto"/>
        <w:bottom w:val="none" w:sz="0" w:space="0" w:color="auto"/>
        <w:right w:val="none" w:sz="0" w:space="0" w:color="auto"/>
      </w:divBdr>
    </w:div>
    <w:div w:id="637806823">
      <w:bodyDiv w:val="1"/>
      <w:marLeft w:val="0"/>
      <w:marRight w:val="0"/>
      <w:marTop w:val="0"/>
      <w:marBottom w:val="0"/>
      <w:divBdr>
        <w:top w:val="none" w:sz="0" w:space="0" w:color="auto"/>
        <w:left w:val="none" w:sz="0" w:space="0" w:color="auto"/>
        <w:bottom w:val="none" w:sz="0" w:space="0" w:color="auto"/>
        <w:right w:val="none" w:sz="0" w:space="0" w:color="auto"/>
      </w:divBdr>
    </w:div>
    <w:div w:id="640355276">
      <w:bodyDiv w:val="1"/>
      <w:marLeft w:val="0"/>
      <w:marRight w:val="0"/>
      <w:marTop w:val="0"/>
      <w:marBottom w:val="0"/>
      <w:divBdr>
        <w:top w:val="none" w:sz="0" w:space="0" w:color="auto"/>
        <w:left w:val="none" w:sz="0" w:space="0" w:color="auto"/>
        <w:bottom w:val="none" w:sz="0" w:space="0" w:color="auto"/>
        <w:right w:val="none" w:sz="0" w:space="0" w:color="auto"/>
      </w:divBdr>
    </w:div>
    <w:div w:id="640774109">
      <w:bodyDiv w:val="1"/>
      <w:marLeft w:val="0"/>
      <w:marRight w:val="0"/>
      <w:marTop w:val="0"/>
      <w:marBottom w:val="0"/>
      <w:divBdr>
        <w:top w:val="none" w:sz="0" w:space="0" w:color="auto"/>
        <w:left w:val="none" w:sz="0" w:space="0" w:color="auto"/>
        <w:bottom w:val="none" w:sz="0" w:space="0" w:color="auto"/>
        <w:right w:val="none" w:sz="0" w:space="0" w:color="auto"/>
      </w:divBdr>
    </w:div>
    <w:div w:id="641421606">
      <w:bodyDiv w:val="1"/>
      <w:marLeft w:val="0"/>
      <w:marRight w:val="0"/>
      <w:marTop w:val="0"/>
      <w:marBottom w:val="0"/>
      <w:divBdr>
        <w:top w:val="none" w:sz="0" w:space="0" w:color="auto"/>
        <w:left w:val="none" w:sz="0" w:space="0" w:color="auto"/>
        <w:bottom w:val="none" w:sz="0" w:space="0" w:color="auto"/>
        <w:right w:val="none" w:sz="0" w:space="0" w:color="auto"/>
      </w:divBdr>
    </w:div>
    <w:div w:id="642004261">
      <w:bodyDiv w:val="1"/>
      <w:marLeft w:val="0"/>
      <w:marRight w:val="0"/>
      <w:marTop w:val="0"/>
      <w:marBottom w:val="0"/>
      <w:divBdr>
        <w:top w:val="none" w:sz="0" w:space="0" w:color="auto"/>
        <w:left w:val="none" w:sz="0" w:space="0" w:color="auto"/>
        <w:bottom w:val="none" w:sz="0" w:space="0" w:color="auto"/>
        <w:right w:val="none" w:sz="0" w:space="0" w:color="auto"/>
      </w:divBdr>
    </w:div>
    <w:div w:id="642121951">
      <w:bodyDiv w:val="1"/>
      <w:marLeft w:val="0"/>
      <w:marRight w:val="0"/>
      <w:marTop w:val="0"/>
      <w:marBottom w:val="0"/>
      <w:divBdr>
        <w:top w:val="none" w:sz="0" w:space="0" w:color="auto"/>
        <w:left w:val="none" w:sz="0" w:space="0" w:color="auto"/>
        <w:bottom w:val="none" w:sz="0" w:space="0" w:color="auto"/>
        <w:right w:val="none" w:sz="0" w:space="0" w:color="auto"/>
      </w:divBdr>
    </w:div>
    <w:div w:id="643434374">
      <w:bodyDiv w:val="1"/>
      <w:marLeft w:val="0"/>
      <w:marRight w:val="0"/>
      <w:marTop w:val="0"/>
      <w:marBottom w:val="0"/>
      <w:divBdr>
        <w:top w:val="none" w:sz="0" w:space="0" w:color="auto"/>
        <w:left w:val="none" w:sz="0" w:space="0" w:color="auto"/>
        <w:bottom w:val="none" w:sz="0" w:space="0" w:color="auto"/>
        <w:right w:val="none" w:sz="0" w:space="0" w:color="auto"/>
      </w:divBdr>
    </w:div>
    <w:div w:id="644119878">
      <w:bodyDiv w:val="1"/>
      <w:marLeft w:val="0"/>
      <w:marRight w:val="0"/>
      <w:marTop w:val="0"/>
      <w:marBottom w:val="0"/>
      <w:divBdr>
        <w:top w:val="none" w:sz="0" w:space="0" w:color="auto"/>
        <w:left w:val="none" w:sz="0" w:space="0" w:color="auto"/>
        <w:bottom w:val="none" w:sz="0" w:space="0" w:color="auto"/>
        <w:right w:val="none" w:sz="0" w:space="0" w:color="auto"/>
      </w:divBdr>
    </w:div>
    <w:div w:id="644815307">
      <w:bodyDiv w:val="1"/>
      <w:marLeft w:val="0"/>
      <w:marRight w:val="0"/>
      <w:marTop w:val="0"/>
      <w:marBottom w:val="0"/>
      <w:divBdr>
        <w:top w:val="none" w:sz="0" w:space="0" w:color="auto"/>
        <w:left w:val="none" w:sz="0" w:space="0" w:color="auto"/>
        <w:bottom w:val="none" w:sz="0" w:space="0" w:color="auto"/>
        <w:right w:val="none" w:sz="0" w:space="0" w:color="auto"/>
      </w:divBdr>
    </w:div>
    <w:div w:id="646476331">
      <w:bodyDiv w:val="1"/>
      <w:marLeft w:val="0"/>
      <w:marRight w:val="0"/>
      <w:marTop w:val="0"/>
      <w:marBottom w:val="0"/>
      <w:divBdr>
        <w:top w:val="none" w:sz="0" w:space="0" w:color="auto"/>
        <w:left w:val="none" w:sz="0" w:space="0" w:color="auto"/>
        <w:bottom w:val="none" w:sz="0" w:space="0" w:color="auto"/>
        <w:right w:val="none" w:sz="0" w:space="0" w:color="auto"/>
      </w:divBdr>
    </w:div>
    <w:div w:id="647251480">
      <w:bodyDiv w:val="1"/>
      <w:marLeft w:val="0"/>
      <w:marRight w:val="0"/>
      <w:marTop w:val="0"/>
      <w:marBottom w:val="0"/>
      <w:divBdr>
        <w:top w:val="none" w:sz="0" w:space="0" w:color="auto"/>
        <w:left w:val="none" w:sz="0" w:space="0" w:color="auto"/>
        <w:bottom w:val="none" w:sz="0" w:space="0" w:color="auto"/>
        <w:right w:val="none" w:sz="0" w:space="0" w:color="auto"/>
      </w:divBdr>
    </w:div>
    <w:div w:id="648705412">
      <w:bodyDiv w:val="1"/>
      <w:marLeft w:val="0"/>
      <w:marRight w:val="0"/>
      <w:marTop w:val="0"/>
      <w:marBottom w:val="0"/>
      <w:divBdr>
        <w:top w:val="none" w:sz="0" w:space="0" w:color="auto"/>
        <w:left w:val="none" w:sz="0" w:space="0" w:color="auto"/>
        <w:bottom w:val="none" w:sz="0" w:space="0" w:color="auto"/>
        <w:right w:val="none" w:sz="0" w:space="0" w:color="auto"/>
      </w:divBdr>
    </w:div>
    <w:div w:id="649751328">
      <w:bodyDiv w:val="1"/>
      <w:marLeft w:val="0"/>
      <w:marRight w:val="0"/>
      <w:marTop w:val="0"/>
      <w:marBottom w:val="0"/>
      <w:divBdr>
        <w:top w:val="none" w:sz="0" w:space="0" w:color="auto"/>
        <w:left w:val="none" w:sz="0" w:space="0" w:color="auto"/>
        <w:bottom w:val="none" w:sz="0" w:space="0" w:color="auto"/>
        <w:right w:val="none" w:sz="0" w:space="0" w:color="auto"/>
      </w:divBdr>
    </w:div>
    <w:div w:id="652023950">
      <w:bodyDiv w:val="1"/>
      <w:marLeft w:val="0"/>
      <w:marRight w:val="0"/>
      <w:marTop w:val="0"/>
      <w:marBottom w:val="0"/>
      <w:divBdr>
        <w:top w:val="none" w:sz="0" w:space="0" w:color="auto"/>
        <w:left w:val="none" w:sz="0" w:space="0" w:color="auto"/>
        <w:bottom w:val="none" w:sz="0" w:space="0" w:color="auto"/>
        <w:right w:val="none" w:sz="0" w:space="0" w:color="auto"/>
      </w:divBdr>
    </w:div>
    <w:div w:id="652176948">
      <w:bodyDiv w:val="1"/>
      <w:marLeft w:val="0"/>
      <w:marRight w:val="0"/>
      <w:marTop w:val="0"/>
      <w:marBottom w:val="0"/>
      <w:divBdr>
        <w:top w:val="none" w:sz="0" w:space="0" w:color="auto"/>
        <w:left w:val="none" w:sz="0" w:space="0" w:color="auto"/>
        <w:bottom w:val="none" w:sz="0" w:space="0" w:color="auto"/>
        <w:right w:val="none" w:sz="0" w:space="0" w:color="auto"/>
      </w:divBdr>
    </w:div>
    <w:div w:id="652225565">
      <w:bodyDiv w:val="1"/>
      <w:marLeft w:val="0"/>
      <w:marRight w:val="0"/>
      <w:marTop w:val="0"/>
      <w:marBottom w:val="0"/>
      <w:divBdr>
        <w:top w:val="none" w:sz="0" w:space="0" w:color="auto"/>
        <w:left w:val="none" w:sz="0" w:space="0" w:color="auto"/>
        <w:bottom w:val="none" w:sz="0" w:space="0" w:color="auto"/>
        <w:right w:val="none" w:sz="0" w:space="0" w:color="auto"/>
      </w:divBdr>
    </w:div>
    <w:div w:id="653335516">
      <w:bodyDiv w:val="1"/>
      <w:marLeft w:val="0"/>
      <w:marRight w:val="0"/>
      <w:marTop w:val="0"/>
      <w:marBottom w:val="0"/>
      <w:divBdr>
        <w:top w:val="none" w:sz="0" w:space="0" w:color="auto"/>
        <w:left w:val="none" w:sz="0" w:space="0" w:color="auto"/>
        <w:bottom w:val="none" w:sz="0" w:space="0" w:color="auto"/>
        <w:right w:val="none" w:sz="0" w:space="0" w:color="auto"/>
      </w:divBdr>
    </w:div>
    <w:div w:id="653602671">
      <w:bodyDiv w:val="1"/>
      <w:marLeft w:val="0"/>
      <w:marRight w:val="0"/>
      <w:marTop w:val="0"/>
      <w:marBottom w:val="0"/>
      <w:divBdr>
        <w:top w:val="none" w:sz="0" w:space="0" w:color="auto"/>
        <w:left w:val="none" w:sz="0" w:space="0" w:color="auto"/>
        <w:bottom w:val="none" w:sz="0" w:space="0" w:color="auto"/>
        <w:right w:val="none" w:sz="0" w:space="0" w:color="auto"/>
      </w:divBdr>
    </w:div>
    <w:div w:id="653950858">
      <w:bodyDiv w:val="1"/>
      <w:marLeft w:val="0"/>
      <w:marRight w:val="0"/>
      <w:marTop w:val="0"/>
      <w:marBottom w:val="0"/>
      <w:divBdr>
        <w:top w:val="none" w:sz="0" w:space="0" w:color="auto"/>
        <w:left w:val="none" w:sz="0" w:space="0" w:color="auto"/>
        <w:bottom w:val="none" w:sz="0" w:space="0" w:color="auto"/>
        <w:right w:val="none" w:sz="0" w:space="0" w:color="auto"/>
      </w:divBdr>
    </w:div>
    <w:div w:id="654532576">
      <w:bodyDiv w:val="1"/>
      <w:marLeft w:val="0"/>
      <w:marRight w:val="0"/>
      <w:marTop w:val="0"/>
      <w:marBottom w:val="0"/>
      <w:divBdr>
        <w:top w:val="none" w:sz="0" w:space="0" w:color="auto"/>
        <w:left w:val="none" w:sz="0" w:space="0" w:color="auto"/>
        <w:bottom w:val="none" w:sz="0" w:space="0" w:color="auto"/>
        <w:right w:val="none" w:sz="0" w:space="0" w:color="auto"/>
      </w:divBdr>
    </w:div>
    <w:div w:id="654648574">
      <w:bodyDiv w:val="1"/>
      <w:marLeft w:val="0"/>
      <w:marRight w:val="0"/>
      <w:marTop w:val="0"/>
      <w:marBottom w:val="0"/>
      <w:divBdr>
        <w:top w:val="none" w:sz="0" w:space="0" w:color="auto"/>
        <w:left w:val="none" w:sz="0" w:space="0" w:color="auto"/>
        <w:bottom w:val="none" w:sz="0" w:space="0" w:color="auto"/>
        <w:right w:val="none" w:sz="0" w:space="0" w:color="auto"/>
      </w:divBdr>
    </w:div>
    <w:div w:id="656037440">
      <w:bodyDiv w:val="1"/>
      <w:marLeft w:val="0"/>
      <w:marRight w:val="0"/>
      <w:marTop w:val="0"/>
      <w:marBottom w:val="0"/>
      <w:divBdr>
        <w:top w:val="none" w:sz="0" w:space="0" w:color="auto"/>
        <w:left w:val="none" w:sz="0" w:space="0" w:color="auto"/>
        <w:bottom w:val="none" w:sz="0" w:space="0" w:color="auto"/>
        <w:right w:val="none" w:sz="0" w:space="0" w:color="auto"/>
      </w:divBdr>
    </w:div>
    <w:div w:id="656499005">
      <w:bodyDiv w:val="1"/>
      <w:marLeft w:val="0"/>
      <w:marRight w:val="0"/>
      <w:marTop w:val="0"/>
      <w:marBottom w:val="0"/>
      <w:divBdr>
        <w:top w:val="none" w:sz="0" w:space="0" w:color="auto"/>
        <w:left w:val="none" w:sz="0" w:space="0" w:color="auto"/>
        <w:bottom w:val="none" w:sz="0" w:space="0" w:color="auto"/>
        <w:right w:val="none" w:sz="0" w:space="0" w:color="auto"/>
      </w:divBdr>
    </w:div>
    <w:div w:id="656803199">
      <w:bodyDiv w:val="1"/>
      <w:marLeft w:val="0"/>
      <w:marRight w:val="0"/>
      <w:marTop w:val="0"/>
      <w:marBottom w:val="0"/>
      <w:divBdr>
        <w:top w:val="none" w:sz="0" w:space="0" w:color="auto"/>
        <w:left w:val="none" w:sz="0" w:space="0" w:color="auto"/>
        <w:bottom w:val="none" w:sz="0" w:space="0" w:color="auto"/>
        <w:right w:val="none" w:sz="0" w:space="0" w:color="auto"/>
      </w:divBdr>
    </w:div>
    <w:div w:id="656883317">
      <w:bodyDiv w:val="1"/>
      <w:marLeft w:val="0"/>
      <w:marRight w:val="0"/>
      <w:marTop w:val="0"/>
      <w:marBottom w:val="0"/>
      <w:divBdr>
        <w:top w:val="none" w:sz="0" w:space="0" w:color="auto"/>
        <w:left w:val="none" w:sz="0" w:space="0" w:color="auto"/>
        <w:bottom w:val="none" w:sz="0" w:space="0" w:color="auto"/>
        <w:right w:val="none" w:sz="0" w:space="0" w:color="auto"/>
      </w:divBdr>
    </w:div>
    <w:div w:id="657001488">
      <w:bodyDiv w:val="1"/>
      <w:marLeft w:val="0"/>
      <w:marRight w:val="0"/>
      <w:marTop w:val="0"/>
      <w:marBottom w:val="0"/>
      <w:divBdr>
        <w:top w:val="none" w:sz="0" w:space="0" w:color="auto"/>
        <w:left w:val="none" w:sz="0" w:space="0" w:color="auto"/>
        <w:bottom w:val="none" w:sz="0" w:space="0" w:color="auto"/>
        <w:right w:val="none" w:sz="0" w:space="0" w:color="auto"/>
      </w:divBdr>
    </w:div>
    <w:div w:id="657534183">
      <w:bodyDiv w:val="1"/>
      <w:marLeft w:val="0"/>
      <w:marRight w:val="0"/>
      <w:marTop w:val="0"/>
      <w:marBottom w:val="0"/>
      <w:divBdr>
        <w:top w:val="none" w:sz="0" w:space="0" w:color="auto"/>
        <w:left w:val="none" w:sz="0" w:space="0" w:color="auto"/>
        <w:bottom w:val="none" w:sz="0" w:space="0" w:color="auto"/>
        <w:right w:val="none" w:sz="0" w:space="0" w:color="auto"/>
      </w:divBdr>
    </w:div>
    <w:div w:id="657806731">
      <w:bodyDiv w:val="1"/>
      <w:marLeft w:val="0"/>
      <w:marRight w:val="0"/>
      <w:marTop w:val="0"/>
      <w:marBottom w:val="0"/>
      <w:divBdr>
        <w:top w:val="none" w:sz="0" w:space="0" w:color="auto"/>
        <w:left w:val="none" w:sz="0" w:space="0" w:color="auto"/>
        <w:bottom w:val="none" w:sz="0" w:space="0" w:color="auto"/>
        <w:right w:val="none" w:sz="0" w:space="0" w:color="auto"/>
      </w:divBdr>
    </w:div>
    <w:div w:id="658079432">
      <w:bodyDiv w:val="1"/>
      <w:marLeft w:val="0"/>
      <w:marRight w:val="0"/>
      <w:marTop w:val="0"/>
      <w:marBottom w:val="0"/>
      <w:divBdr>
        <w:top w:val="none" w:sz="0" w:space="0" w:color="auto"/>
        <w:left w:val="none" w:sz="0" w:space="0" w:color="auto"/>
        <w:bottom w:val="none" w:sz="0" w:space="0" w:color="auto"/>
        <w:right w:val="none" w:sz="0" w:space="0" w:color="auto"/>
      </w:divBdr>
    </w:div>
    <w:div w:id="658341579">
      <w:bodyDiv w:val="1"/>
      <w:marLeft w:val="0"/>
      <w:marRight w:val="0"/>
      <w:marTop w:val="0"/>
      <w:marBottom w:val="0"/>
      <w:divBdr>
        <w:top w:val="none" w:sz="0" w:space="0" w:color="auto"/>
        <w:left w:val="none" w:sz="0" w:space="0" w:color="auto"/>
        <w:bottom w:val="none" w:sz="0" w:space="0" w:color="auto"/>
        <w:right w:val="none" w:sz="0" w:space="0" w:color="auto"/>
      </w:divBdr>
    </w:div>
    <w:div w:id="660275354">
      <w:bodyDiv w:val="1"/>
      <w:marLeft w:val="0"/>
      <w:marRight w:val="0"/>
      <w:marTop w:val="0"/>
      <w:marBottom w:val="0"/>
      <w:divBdr>
        <w:top w:val="none" w:sz="0" w:space="0" w:color="auto"/>
        <w:left w:val="none" w:sz="0" w:space="0" w:color="auto"/>
        <w:bottom w:val="none" w:sz="0" w:space="0" w:color="auto"/>
        <w:right w:val="none" w:sz="0" w:space="0" w:color="auto"/>
      </w:divBdr>
    </w:div>
    <w:div w:id="660471856">
      <w:bodyDiv w:val="1"/>
      <w:marLeft w:val="0"/>
      <w:marRight w:val="0"/>
      <w:marTop w:val="0"/>
      <w:marBottom w:val="0"/>
      <w:divBdr>
        <w:top w:val="none" w:sz="0" w:space="0" w:color="auto"/>
        <w:left w:val="none" w:sz="0" w:space="0" w:color="auto"/>
        <w:bottom w:val="none" w:sz="0" w:space="0" w:color="auto"/>
        <w:right w:val="none" w:sz="0" w:space="0" w:color="auto"/>
      </w:divBdr>
    </w:div>
    <w:div w:id="661393615">
      <w:bodyDiv w:val="1"/>
      <w:marLeft w:val="0"/>
      <w:marRight w:val="0"/>
      <w:marTop w:val="0"/>
      <w:marBottom w:val="0"/>
      <w:divBdr>
        <w:top w:val="none" w:sz="0" w:space="0" w:color="auto"/>
        <w:left w:val="none" w:sz="0" w:space="0" w:color="auto"/>
        <w:bottom w:val="none" w:sz="0" w:space="0" w:color="auto"/>
        <w:right w:val="none" w:sz="0" w:space="0" w:color="auto"/>
      </w:divBdr>
    </w:div>
    <w:div w:id="661395091">
      <w:bodyDiv w:val="1"/>
      <w:marLeft w:val="0"/>
      <w:marRight w:val="0"/>
      <w:marTop w:val="0"/>
      <w:marBottom w:val="0"/>
      <w:divBdr>
        <w:top w:val="none" w:sz="0" w:space="0" w:color="auto"/>
        <w:left w:val="none" w:sz="0" w:space="0" w:color="auto"/>
        <w:bottom w:val="none" w:sz="0" w:space="0" w:color="auto"/>
        <w:right w:val="none" w:sz="0" w:space="0" w:color="auto"/>
      </w:divBdr>
    </w:div>
    <w:div w:id="662051706">
      <w:bodyDiv w:val="1"/>
      <w:marLeft w:val="0"/>
      <w:marRight w:val="0"/>
      <w:marTop w:val="0"/>
      <w:marBottom w:val="0"/>
      <w:divBdr>
        <w:top w:val="none" w:sz="0" w:space="0" w:color="auto"/>
        <w:left w:val="none" w:sz="0" w:space="0" w:color="auto"/>
        <w:bottom w:val="none" w:sz="0" w:space="0" w:color="auto"/>
        <w:right w:val="none" w:sz="0" w:space="0" w:color="auto"/>
      </w:divBdr>
    </w:div>
    <w:div w:id="662244295">
      <w:bodyDiv w:val="1"/>
      <w:marLeft w:val="0"/>
      <w:marRight w:val="0"/>
      <w:marTop w:val="0"/>
      <w:marBottom w:val="0"/>
      <w:divBdr>
        <w:top w:val="none" w:sz="0" w:space="0" w:color="auto"/>
        <w:left w:val="none" w:sz="0" w:space="0" w:color="auto"/>
        <w:bottom w:val="none" w:sz="0" w:space="0" w:color="auto"/>
        <w:right w:val="none" w:sz="0" w:space="0" w:color="auto"/>
      </w:divBdr>
    </w:div>
    <w:div w:id="665549393">
      <w:bodyDiv w:val="1"/>
      <w:marLeft w:val="0"/>
      <w:marRight w:val="0"/>
      <w:marTop w:val="0"/>
      <w:marBottom w:val="0"/>
      <w:divBdr>
        <w:top w:val="none" w:sz="0" w:space="0" w:color="auto"/>
        <w:left w:val="none" w:sz="0" w:space="0" w:color="auto"/>
        <w:bottom w:val="none" w:sz="0" w:space="0" w:color="auto"/>
        <w:right w:val="none" w:sz="0" w:space="0" w:color="auto"/>
      </w:divBdr>
    </w:div>
    <w:div w:id="666328783">
      <w:bodyDiv w:val="1"/>
      <w:marLeft w:val="0"/>
      <w:marRight w:val="0"/>
      <w:marTop w:val="0"/>
      <w:marBottom w:val="0"/>
      <w:divBdr>
        <w:top w:val="none" w:sz="0" w:space="0" w:color="auto"/>
        <w:left w:val="none" w:sz="0" w:space="0" w:color="auto"/>
        <w:bottom w:val="none" w:sz="0" w:space="0" w:color="auto"/>
        <w:right w:val="none" w:sz="0" w:space="0" w:color="auto"/>
      </w:divBdr>
    </w:div>
    <w:div w:id="667370121">
      <w:bodyDiv w:val="1"/>
      <w:marLeft w:val="0"/>
      <w:marRight w:val="0"/>
      <w:marTop w:val="0"/>
      <w:marBottom w:val="0"/>
      <w:divBdr>
        <w:top w:val="none" w:sz="0" w:space="0" w:color="auto"/>
        <w:left w:val="none" w:sz="0" w:space="0" w:color="auto"/>
        <w:bottom w:val="none" w:sz="0" w:space="0" w:color="auto"/>
        <w:right w:val="none" w:sz="0" w:space="0" w:color="auto"/>
      </w:divBdr>
    </w:div>
    <w:div w:id="667950124">
      <w:bodyDiv w:val="1"/>
      <w:marLeft w:val="0"/>
      <w:marRight w:val="0"/>
      <w:marTop w:val="0"/>
      <w:marBottom w:val="0"/>
      <w:divBdr>
        <w:top w:val="none" w:sz="0" w:space="0" w:color="auto"/>
        <w:left w:val="none" w:sz="0" w:space="0" w:color="auto"/>
        <w:bottom w:val="none" w:sz="0" w:space="0" w:color="auto"/>
        <w:right w:val="none" w:sz="0" w:space="0" w:color="auto"/>
      </w:divBdr>
    </w:div>
    <w:div w:id="670135616">
      <w:bodyDiv w:val="1"/>
      <w:marLeft w:val="0"/>
      <w:marRight w:val="0"/>
      <w:marTop w:val="0"/>
      <w:marBottom w:val="0"/>
      <w:divBdr>
        <w:top w:val="none" w:sz="0" w:space="0" w:color="auto"/>
        <w:left w:val="none" w:sz="0" w:space="0" w:color="auto"/>
        <w:bottom w:val="none" w:sz="0" w:space="0" w:color="auto"/>
        <w:right w:val="none" w:sz="0" w:space="0" w:color="auto"/>
      </w:divBdr>
    </w:div>
    <w:div w:id="671881946">
      <w:bodyDiv w:val="1"/>
      <w:marLeft w:val="0"/>
      <w:marRight w:val="0"/>
      <w:marTop w:val="0"/>
      <w:marBottom w:val="0"/>
      <w:divBdr>
        <w:top w:val="none" w:sz="0" w:space="0" w:color="auto"/>
        <w:left w:val="none" w:sz="0" w:space="0" w:color="auto"/>
        <w:bottom w:val="none" w:sz="0" w:space="0" w:color="auto"/>
        <w:right w:val="none" w:sz="0" w:space="0" w:color="auto"/>
      </w:divBdr>
    </w:div>
    <w:div w:id="672339189">
      <w:bodyDiv w:val="1"/>
      <w:marLeft w:val="0"/>
      <w:marRight w:val="0"/>
      <w:marTop w:val="0"/>
      <w:marBottom w:val="0"/>
      <w:divBdr>
        <w:top w:val="none" w:sz="0" w:space="0" w:color="auto"/>
        <w:left w:val="none" w:sz="0" w:space="0" w:color="auto"/>
        <w:bottom w:val="none" w:sz="0" w:space="0" w:color="auto"/>
        <w:right w:val="none" w:sz="0" w:space="0" w:color="auto"/>
      </w:divBdr>
    </w:div>
    <w:div w:id="673337887">
      <w:bodyDiv w:val="1"/>
      <w:marLeft w:val="0"/>
      <w:marRight w:val="0"/>
      <w:marTop w:val="0"/>
      <w:marBottom w:val="0"/>
      <w:divBdr>
        <w:top w:val="none" w:sz="0" w:space="0" w:color="auto"/>
        <w:left w:val="none" w:sz="0" w:space="0" w:color="auto"/>
        <w:bottom w:val="none" w:sz="0" w:space="0" w:color="auto"/>
        <w:right w:val="none" w:sz="0" w:space="0" w:color="auto"/>
      </w:divBdr>
    </w:div>
    <w:div w:id="673845048">
      <w:bodyDiv w:val="1"/>
      <w:marLeft w:val="0"/>
      <w:marRight w:val="0"/>
      <w:marTop w:val="0"/>
      <w:marBottom w:val="0"/>
      <w:divBdr>
        <w:top w:val="none" w:sz="0" w:space="0" w:color="auto"/>
        <w:left w:val="none" w:sz="0" w:space="0" w:color="auto"/>
        <w:bottom w:val="none" w:sz="0" w:space="0" w:color="auto"/>
        <w:right w:val="none" w:sz="0" w:space="0" w:color="auto"/>
      </w:divBdr>
    </w:div>
    <w:div w:id="675040190">
      <w:bodyDiv w:val="1"/>
      <w:marLeft w:val="0"/>
      <w:marRight w:val="0"/>
      <w:marTop w:val="0"/>
      <w:marBottom w:val="0"/>
      <w:divBdr>
        <w:top w:val="none" w:sz="0" w:space="0" w:color="auto"/>
        <w:left w:val="none" w:sz="0" w:space="0" w:color="auto"/>
        <w:bottom w:val="none" w:sz="0" w:space="0" w:color="auto"/>
        <w:right w:val="none" w:sz="0" w:space="0" w:color="auto"/>
      </w:divBdr>
    </w:div>
    <w:div w:id="678429589">
      <w:bodyDiv w:val="1"/>
      <w:marLeft w:val="0"/>
      <w:marRight w:val="0"/>
      <w:marTop w:val="0"/>
      <w:marBottom w:val="0"/>
      <w:divBdr>
        <w:top w:val="none" w:sz="0" w:space="0" w:color="auto"/>
        <w:left w:val="none" w:sz="0" w:space="0" w:color="auto"/>
        <w:bottom w:val="none" w:sz="0" w:space="0" w:color="auto"/>
        <w:right w:val="none" w:sz="0" w:space="0" w:color="auto"/>
      </w:divBdr>
    </w:div>
    <w:div w:id="679820571">
      <w:bodyDiv w:val="1"/>
      <w:marLeft w:val="0"/>
      <w:marRight w:val="0"/>
      <w:marTop w:val="0"/>
      <w:marBottom w:val="0"/>
      <w:divBdr>
        <w:top w:val="none" w:sz="0" w:space="0" w:color="auto"/>
        <w:left w:val="none" w:sz="0" w:space="0" w:color="auto"/>
        <w:bottom w:val="none" w:sz="0" w:space="0" w:color="auto"/>
        <w:right w:val="none" w:sz="0" w:space="0" w:color="auto"/>
      </w:divBdr>
    </w:div>
    <w:div w:id="679893987">
      <w:bodyDiv w:val="1"/>
      <w:marLeft w:val="0"/>
      <w:marRight w:val="0"/>
      <w:marTop w:val="0"/>
      <w:marBottom w:val="0"/>
      <w:divBdr>
        <w:top w:val="none" w:sz="0" w:space="0" w:color="auto"/>
        <w:left w:val="none" w:sz="0" w:space="0" w:color="auto"/>
        <w:bottom w:val="none" w:sz="0" w:space="0" w:color="auto"/>
        <w:right w:val="none" w:sz="0" w:space="0" w:color="auto"/>
      </w:divBdr>
    </w:div>
    <w:div w:id="681903962">
      <w:bodyDiv w:val="1"/>
      <w:marLeft w:val="0"/>
      <w:marRight w:val="0"/>
      <w:marTop w:val="0"/>
      <w:marBottom w:val="0"/>
      <w:divBdr>
        <w:top w:val="none" w:sz="0" w:space="0" w:color="auto"/>
        <w:left w:val="none" w:sz="0" w:space="0" w:color="auto"/>
        <w:bottom w:val="none" w:sz="0" w:space="0" w:color="auto"/>
        <w:right w:val="none" w:sz="0" w:space="0" w:color="auto"/>
      </w:divBdr>
    </w:div>
    <w:div w:id="684596500">
      <w:bodyDiv w:val="1"/>
      <w:marLeft w:val="0"/>
      <w:marRight w:val="0"/>
      <w:marTop w:val="0"/>
      <w:marBottom w:val="0"/>
      <w:divBdr>
        <w:top w:val="none" w:sz="0" w:space="0" w:color="auto"/>
        <w:left w:val="none" w:sz="0" w:space="0" w:color="auto"/>
        <w:bottom w:val="none" w:sz="0" w:space="0" w:color="auto"/>
        <w:right w:val="none" w:sz="0" w:space="0" w:color="auto"/>
      </w:divBdr>
    </w:div>
    <w:div w:id="684985751">
      <w:bodyDiv w:val="1"/>
      <w:marLeft w:val="0"/>
      <w:marRight w:val="0"/>
      <w:marTop w:val="0"/>
      <w:marBottom w:val="0"/>
      <w:divBdr>
        <w:top w:val="none" w:sz="0" w:space="0" w:color="auto"/>
        <w:left w:val="none" w:sz="0" w:space="0" w:color="auto"/>
        <w:bottom w:val="none" w:sz="0" w:space="0" w:color="auto"/>
        <w:right w:val="none" w:sz="0" w:space="0" w:color="auto"/>
      </w:divBdr>
    </w:div>
    <w:div w:id="686443666">
      <w:bodyDiv w:val="1"/>
      <w:marLeft w:val="0"/>
      <w:marRight w:val="0"/>
      <w:marTop w:val="0"/>
      <w:marBottom w:val="0"/>
      <w:divBdr>
        <w:top w:val="none" w:sz="0" w:space="0" w:color="auto"/>
        <w:left w:val="none" w:sz="0" w:space="0" w:color="auto"/>
        <w:bottom w:val="none" w:sz="0" w:space="0" w:color="auto"/>
        <w:right w:val="none" w:sz="0" w:space="0" w:color="auto"/>
      </w:divBdr>
    </w:div>
    <w:div w:id="687561434">
      <w:bodyDiv w:val="1"/>
      <w:marLeft w:val="0"/>
      <w:marRight w:val="0"/>
      <w:marTop w:val="0"/>
      <w:marBottom w:val="0"/>
      <w:divBdr>
        <w:top w:val="none" w:sz="0" w:space="0" w:color="auto"/>
        <w:left w:val="none" w:sz="0" w:space="0" w:color="auto"/>
        <w:bottom w:val="none" w:sz="0" w:space="0" w:color="auto"/>
        <w:right w:val="none" w:sz="0" w:space="0" w:color="auto"/>
      </w:divBdr>
    </w:div>
    <w:div w:id="690228626">
      <w:bodyDiv w:val="1"/>
      <w:marLeft w:val="0"/>
      <w:marRight w:val="0"/>
      <w:marTop w:val="0"/>
      <w:marBottom w:val="0"/>
      <w:divBdr>
        <w:top w:val="none" w:sz="0" w:space="0" w:color="auto"/>
        <w:left w:val="none" w:sz="0" w:space="0" w:color="auto"/>
        <w:bottom w:val="none" w:sz="0" w:space="0" w:color="auto"/>
        <w:right w:val="none" w:sz="0" w:space="0" w:color="auto"/>
      </w:divBdr>
    </w:div>
    <w:div w:id="692149461">
      <w:bodyDiv w:val="1"/>
      <w:marLeft w:val="0"/>
      <w:marRight w:val="0"/>
      <w:marTop w:val="0"/>
      <w:marBottom w:val="0"/>
      <w:divBdr>
        <w:top w:val="none" w:sz="0" w:space="0" w:color="auto"/>
        <w:left w:val="none" w:sz="0" w:space="0" w:color="auto"/>
        <w:bottom w:val="none" w:sz="0" w:space="0" w:color="auto"/>
        <w:right w:val="none" w:sz="0" w:space="0" w:color="auto"/>
      </w:divBdr>
    </w:div>
    <w:div w:id="693045363">
      <w:bodyDiv w:val="1"/>
      <w:marLeft w:val="0"/>
      <w:marRight w:val="0"/>
      <w:marTop w:val="0"/>
      <w:marBottom w:val="0"/>
      <w:divBdr>
        <w:top w:val="none" w:sz="0" w:space="0" w:color="auto"/>
        <w:left w:val="none" w:sz="0" w:space="0" w:color="auto"/>
        <w:bottom w:val="none" w:sz="0" w:space="0" w:color="auto"/>
        <w:right w:val="none" w:sz="0" w:space="0" w:color="auto"/>
      </w:divBdr>
    </w:div>
    <w:div w:id="693314131">
      <w:bodyDiv w:val="1"/>
      <w:marLeft w:val="0"/>
      <w:marRight w:val="0"/>
      <w:marTop w:val="0"/>
      <w:marBottom w:val="0"/>
      <w:divBdr>
        <w:top w:val="none" w:sz="0" w:space="0" w:color="auto"/>
        <w:left w:val="none" w:sz="0" w:space="0" w:color="auto"/>
        <w:bottom w:val="none" w:sz="0" w:space="0" w:color="auto"/>
        <w:right w:val="none" w:sz="0" w:space="0" w:color="auto"/>
      </w:divBdr>
    </w:div>
    <w:div w:id="694884544">
      <w:bodyDiv w:val="1"/>
      <w:marLeft w:val="0"/>
      <w:marRight w:val="0"/>
      <w:marTop w:val="0"/>
      <w:marBottom w:val="0"/>
      <w:divBdr>
        <w:top w:val="none" w:sz="0" w:space="0" w:color="auto"/>
        <w:left w:val="none" w:sz="0" w:space="0" w:color="auto"/>
        <w:bottom w:val="none" w:sz="0" w:space="0" w:color="auto"/>
        <w:right w:val="none" w:sz="0" w:space="0" w:color="auto"/>
      </w:divBdr>
    </w:div>
    <w:div w:id="696975695">
      <w:bodyDiv w:val="1"/>
      <w:marLeft w:val="0"/>
      <w:marRight w:val="0"/>
      <w:marTop w:val="0"/>
      <w:marBottom w:val="0"/>
      <w:divBdr>
        <w:top w:val="none" w:sz="0" w:space="0" w:color="auto"/>
        <w:left w:val="none" w:sz="0" w:space="0" w:color="auto"/>
        <w:bottom w:val="none" w:sz="0" w:space="0" w:color="auto"/>
        <w:right w:val="none" w:sz="0" w:space="0" w:color="auto"/>
      </w:divBdr>
    </w:div>
    <w:div w:id="697707161">
      <w:bodyDiv w:val="1"/>
      <w:marLeft w:val="0"/>
      <w:marRight w:val="0"/>
      <w:marTop w:val="0"/>
      <w:marBottom w:val="0"/>
      <w:divBdr>
        <w:top w:val="none" w:sz="0" w:space="0" w:color="auto"/>
        <w:left w:val="none" w:sz="0" w:space="0" w:color="auto"/>
        <w:bottom w:val="none" w:sz="0" w:space="0" w:color="auto"/>
        <w:right w:val="none" w:sz="0" w:space="0" w:color="auto"/>
      </w:divBdr>
    </w:div>
    <w:div w:id="69808964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699935151">
      <w:bodyDiv w:val="1"/>
      <w:marLeft w:val="0"/>
      <w:marRight w:val="0"/>
      <w:marTop w:val="0"/>
      <w:marBottom w:val="0"/>
      <w:divBdr>
        <w:top w:val="none" w:sz="0" w:space="0" w:color="auto"/>
        <w:left w:val="none" w:sz="0" w:space="0" w:color="auto"/>
        <w:bottom w:val="none" w:sz="0" w:space="0" w:color="auto"/>
        <w:right w:val="none" w:sz="0" w:space="0" w:color="auto"/>
      </w:divBdr>
    </w:div>
    <w:div w:id="700666424">
      <w:bodyDiv w:val="1"/>
      <w:marLeft w:val="0"/>
      <w:marRight w:val="0"/>
      <w:marTop w:val="0"/>
      <w:marBottom w:val="0"/>
      <w:divBdr>
        <w:top w:val="none" w:sz="0" w:space="0" w:color="auto"/>
        <w:left w:val="none" w:sz="0" w:space="0" w:color="auto"/>
        <w:bottom w:val="none" w:sz="0" w:space="0" w:color="auto"/>
        <w:right w:val="none" w:sz="0" w:space="0" w:color="auto"/>
      </w:divBdr>
    </w:div>
    <w:div w:id="703597443">
      <w:bodyDiv w:val="1"/>
      <w:marLeft w:val="0"/>
      <w:marRight w:val="0"/>
      <w:marTop w:val="0"/>
      <w:marBottom w:val="0"/>
      <w:divBdr>
        <w:top w:val="none" w:sz="0" w:space="0" w:color="auto"/>
        <w:left w:val="none" w:sz="0" w:space="0" w:color="auto"/>
        <w:bottom w:val="none" w:sz="0" w:space="0" w:color="auto"/>
        <w:right w:val="none" w:sz="0" w:space="0" w:color="auto"/>
      </w:divBdr>
    </w:div>
    <w:div w:id="703991882">
      <w:bodyDiv w:val="1"/>
      <w:marLeft w:val="0"/>
      <w:marRight w:val="0"/>
      <w:marTop w:val="0"/>
      <w:marBottom w:val="0"/>
      <w:divBdr>
        <w:top w:val="none" w:sz="0" w:space="0" w:color="auto"/>
        <w:left w:val="none" w:sz="0" w:space="0" w:color="auto"/>
        <w:bottom w:val="none" w:sz="0" w:space="0" w:color="auto"/>
        <w:right w:val="none" w:sz="0" w:space="0" w:color="auto"/>
      </w:divBdr>
    </w:div>
    <w:div w:id="704451330">
      <w:bodyDiv w:val="1"/>
      <w:marLeft w:val="0"/>
      <w:marRight w:val="0"/>
      <w:marTop w:val="0"/>
      <w:marBottom w:val="0"/>
      <w:divBdr>
        <w:top w:val="none" w:sz="0" w:space="0" w:color="auto"/>
        <w:left w:val="none" w:sz="0" w:space="0" w:color="auto"/>
        <w:bottom w:val="none" w:sz="0" w:space="0" w:color="auto"/>
        <w:right w:val="none" w:sz="0" w:space="0" w:color="auto"/>
      </w:divBdr>
    </w:div>
    <w:div w:id="704521214">
      <w:bodyDiv w:val="1"/>
      <w:marLeft w:val="0"/>
      <w:marRight w:val="0"/>
      <w:marTop w:val="0"/>
      <w:marBottom w:val="0"/>
      <w:divBdr>
        <w:top w:val="none" w:sz="0" w:space="0" w:color="auto"/>
        <w:left w:val="none" w:sz="0" w:space="0" w:color="auto"/>
        <w:bottom w:val="none" w:sz="0" w:space="0" w:color="auto"/>
        <w:right w:val="none" w:sz="0" w:space="0" w:color="auto"/>
      </w:divBdr>
    </w:div>
    <w:div w:id="704907596">
      <w:bodyDiv w:val="1"/>
      <w:marLeft w:val="0"/>
      <w:marRight w:val="0"/>
      <w:marTop w:val="0"/>
      <w:marBottom w:val="0"/>
      <w:divBdr>
        <w:top w:val="none" w:sz="0" w:space="0" w:color="auto"/>
        <w:left w:val="none" w:sz="0" w:space="0" w:color="auto"/>
        <w:bottom w:val="none" w:sz="0" w:space="0" w:color="auto"/>
        <w:right w:val="none" w:sz="0" w:space="0" w:color="auto"/>
      </w:divBdr>
    </w:div>
    <w:div w:id="705713370">
      <w:bodyDiv w:val="1"/>
      <w:marLeft w:val="0"/>
      <w:marRight w:val="0"/>
      <w:marTop w:val="0"/>
      <w:marBottom w:val="0"/>
      <w:divBdr>
        <w:top w:val="none" w:sz="0" w:space="0" w:color="auto"/>
        <w:left w:val="none" w:sz="0" w:space="0" w:color="auto"/>
        <w:bottom w:val="none" w:sz="0" w:space="0" w:color="auto"/>
        <w:right w:val="none" w:sz="0" w:space="0" w:color="auto"/>
      </w:divBdr>
    </w:div>
    <w:div w:id="705835166">
      <w:bodyDiv w:val="1"/>
      <w:marLeft w:val="0"/>
      <w:marRight w:val="0"/>
      <w:marTop w:val="0"/>
      <w:marBottom w:val="0"/>
      <w:divBdr>
        <w:top w:val="none" w:sz="0" w:space="0" w:color="auto"/>
        <w:left w:val="none" w:sz="0" w:space="0" w:color="auto"/>
        <w:bottom w:val="none" w:sz="0" w:space="0" w:color="auto"/>
        <w:right w:val="none" w:sz="0" w:space="0" w:color="auto"/>
      </w:divBdr>
    </w:div>
    <w:div w:id="706030362">
      <w:bodyDiv w:val="1"/>
      <w:marLeft w:val="0"/>
      <w:marRight w:val="0"/>
      <w:marTop w:val="0"/>
      <w:marBottom w:val="0"/>
      <w:divBdr>
        <w:top w:val="none" w:sz="0" w:space="0" w:color="auto"/>
        <w:left w:val="none" w:sz="0" w:space="0" w:color="auto"/>
        <w:bottom w:val="none" w:sz="0" w:space="0" w:color="auto"/>
        <w:right w:val="none" w:sz="0" w:space="0" w:color="auto"/>
      </w:divBdr>
    </w:div>
    <w:div w:id="708142134">
      <w:bodyDiv w:val="1"/>
      <w:marLeft w:val="0"/>
      <w:marRight w:val="0"/>
      <w:marTop w:val="0"/>
      <w:marBottom w:val="0"/>
      <w:divBdr>
        <w:top w:val="none" w:sz="0" w:space="0" w:color="auto"/>
        <w:left w:val="none" w:sz="0" w:space="0" w:color="auto"/>
        <w:bottom w:val="none" w:sz="0" w:space="0" w:color="auto"/>
        <w:right w:val="none" w:sz="0" w:space="0" w:color="auto"/>
      </w:divBdr>
    </w:div>
    <w:div w:id="710541449">
      <w:bodyDiv w:val="1"/>
      <w:marLeft w:val="0"/>
      <w:marRight w:val="0"/>
      <w:marTop w:val="0"/>
      <w:marBottom w:val="0"/>
      <w:divBdr>
        <w:top w:val="none" w:sz="0" w:space="0" w:color="auto"/>
        <w:left w:val="none" w:sz="0" w:space="0" w:color="auto"/>
        <w:bottom w:val="none" w:sz="0" w:space="0" w:color="auto"/>
        <w:right w:val="none" w:sz="0" w:space="0" w:color="auto"/>
      </w:divBdr>
    </w:div>
    <w:div w:id="710770654">
      <w:bodyDiv w:val="1"/>
      <w:marLeft w:val="0"/>
      <w:marRight w:val="0"/>
      <w:marTop w:val="0"/>
      <w:marBottom w:val="0"/>
      <w:divBdr>
        <w:top w:val="none" w:sz="0" w:space="0" w:color="auto"/>
        <w:left w:val="none" w:sz="0" w:space="0" w:color="auto"/>
        <w:bottom w:val="none" w:sz="0" w:space="0" w:color="auto"/>
        <w:right w:val="none" w:sz="0" w:space="0" w:color="auto"/>
      </w:divBdr>
    </w:div>
    <w:div w:id="711884683">
      <w:bodyDiv w:val="1"/>
      <w:marLeft w:val="0"/>
      <w:marRight w:val="0"/>
      <w:marTop w:val="0"/>
      <w:marBottom w:val="0"/>
      <w:divBdr>
        <w:top w:val="none" w:sz="0" w:space="0" w:color="auto"/>
        <w:left w:val="none" w:sz="0" w:space="0" w:color="auto"/>
        <w:bottom w:val="none" w:sz="0" w:space="0" w:color="auto"/>
        <w:right w:val="none" w:sz="0" w:space="0" w:color="auto"/>
      </w:divBdr>
    </w:div>
    <w:div w:id="713041470">
      <w:bodyDiv w:val="1"/>
      <w:marLeft w:val="0"/>
      <w:marRight w:val="0"/>
      <w:marTop w:val="0"/>
      <w:marBottom w:val="0"/>
      <w:divBdr>
        <w:top w:val="none" w:sz="0" w:space="0" w:color="auto"/>
        <w:left w:val="none" w:sz="0" w:space="0" w:color="auto"/>
        <w:bottom w:val="none" w:sz="0" w:space="0" w:color="auto"/>
        <w:right w:val="none" w:sz="0" w:space="0" w:color="auto"/>
      </w:divBdr>
    </w:div>
    <w:div w:id="713432955">
      <w:bodyDiv w:val="1"/>
      <w:marLeft w:val="0"/>
      <w:marRight w:val="0"/>
      <w:marTop w:val="0"/>
      <w:marBottom w:val="0"/>
      <w:divBdr>
        <w:top w:val="none" w:sz="0" w:space="0" w:color="auto"/>
        <w:left w:val="none" w:sz="0" w:space="0" w:color="auto"/>
        <w:bottom w:val="none" w:sz="0" w:space="0" w:color="auto"/>
        <w:right w:val="none" w:sz="0" w:space="0" w:color="auto"/>
      </w:divBdr>
    </w:div>
    <w:div w:id="713888417">
      <w:bodyDiv w:val="1"/>
      <w:marLeft w:val="0"/>
      <w:marRight w:val="0"/>
      <w:marTop w:val="0"/>
      <w:marBottom w:val="0"/>
      <w:divBdr>
        <w:top w:val="none" w:sz="0" w:space="0" w:color="auto"/>
        <w:left w:val="none" w:sz="0" w:space="0" w:color="auto"/>
        <w:bottom w:val="none" w:sz="0" w:space="0" w:color="auto"/>
        <w:right w:val="none" w:sz="0" w:space="0" w:color="auto"/>
      </w:divBdr>
    </w:div>
    <w:div w:id="714626222">
      <w:bodyDiv w:val="1"/>
      <w:marLeft w:val="0"/>
      <w:marRight w:val="0"/>
      <w:marTop w:val="0"/>
      <w:marBottom w:val="0"/>
      <w:divBdr>
        <w:top w:val="none" w:sz="0" w:space="0" w:color="auto"/>
        <w:left w:val="none" w:sz="0" w:space="0" w:color="auto"/>
        <w:bottom w:val="none" w:sz="0" w:space="0" w:color="auto"/>
        <w:right w:val="none" w:sz="0" w:space="0" w:color="auto"/>
      </w:divBdr>
    </w:div>
    <w:div w:id="715466860">
      <w:bodyDiv w:val="1"/>
      <w:marLeft w:val="0"/>
      <w:marRight w:val="0"/>
      <w:marTop w:val="0"/>
      <w:marBottom w:val="0"/>
      <w:divBdr>
        <w:top w:val="none" w:sz="0" w:space="0" w:color="auto"/>
        <w:left w:val="none" w:sz="0" w:space="0" w:color="auto"/>
        <w:bottom w:val="none" w:sz="0" w:space="0" w:color="auto"/>
        <w:right w:val="none" w:sz="0" w:space="0" w:color="auto"/>
      </w:divBdr>
    </w:div>
    <w:div w:id="715589828">
      <w:bodyDiv w:val="1"/>
      <w:marLeft w:val="0"/>
      <w:marRight w:val="0"/>
      <w:marTop w:val="0"/>
      <w:marBottom w:val="0"/>
      <w:divBdr>
        <w:top w:val="none" w:sz="0" w:space="0" w:color="auto"/>
        <w:left w:val="none" w:sz="0" w:space="0" w:color="auto"/>
        <w:bottom w:val="none" w:sz="0" w:space="0" w:color="auto"/>
        <w:right w:val="none" w:sz="0" w:space="0" w:color="auto"/>
      </w:divBdr>
    </w:div>
    <w:div w:id="716392568">
      <w:bodyDiv w:val="1"/>
      <w:marLeft w:val="0"/>
      <w:marRight w:val="0"/>
      <w:marTop w:val="0"/>
      <w:marBottom w:val="0"/>
      <w:divBdr>
        <w:top w:val="none" w:sz="0" w:space="0" w:color="auto"/>
        <w:left w:val="none" w:sz="0" w:space="0" w:color="auto"/>
        <w:bottom w:val="none" w:sz="0" w:space="0" w:color="auto"/>
        <w:right w:val="none" w:sz="0" w:space="0" w:color="auto"/>
      </w:divBdr>
    </w:div>
    <w:div w:id="717777092">
      <w:bodyDiv w:val="1"/>
      <w:marLeft w:val="0"/>
      <w:marRight w:val="0"/>
      <w:marTop w:val="0"/>
      <w:marBottom w:val="0"/>
      <w:divBdr>
        <w:top w:val="none" w:sz="0" w:space="0" w:color="auto"/>
        <w:left w:val="none" w:sz="0" w:space="0" w:color="auto"/>
        <w:bottom w:val="none" w:sz="0" w:space="0" w:color="auto"/>
        <w:right w:val="none" w:sz="0" w:space="0" w:color="auto"/>
      </w:divBdr>
    </w:div>
    <w:div w:id="719937415">
      <w:bodyDiv w:val="1"/>
      <w:marLeft w:val="0"/>
      <w:marRight w:val="0"/>
      <w:marTop w:val="0"/>
      <w:marBottom w:val="0"/>
      <w:divBdr>
        <w:top w:val="none" w:sz="0" w:space="0" w:color="auto"/>
        <w:left w:val="none" w:sz="0" w:space="0" w:color="auto"/>
        <w:bottom w:val="none" w:sz="0" w:space="0" w:color="auto"/>
        <w:right w:val="none" w:sz="0" w:space="0" w:color="auto"/>
      </w:divBdr>
    </w:div>
    <w:div w:id="720521307">
      <w:bodyDiv w:val="1"/>
      <w:marLeft w:val="0"/>
      <w:marRight w:val="0"/>
      <w:marTop w:val="0"/>
      <w:marBottom w:val="0"/>
      <w:divBdr>
        <w:top w:val="none" w:sz="0" w:space="0" w:color="auto"/>
        <w:left w:val="none" w:sz="0" w:space="0" w:color="auto"/>
        <w:bottom w:val="none" w:sz="0" w:space="0" w:color="auto"/>
        <w:right w:val="none" w:sz="0" w:space="0" w:color="auto"/>
      </w:divBdr>
    </w:div>
    <w:div w:id="720634662">
      <w:bodyDiv w:val="1"/>
      <w:marLeft w:val="0"/>
      <w:marRight w:val="0"/>
      <w:marTop w:val="0"/>
      <w:marBottom w:val="0"/>
      <w:divBdr>
        <w:top w:val="none" w:sz="0" w:space="0" w:color="auto"/>
        <w:left w:val="none" w:sz="0" w:space="0" w:color="auto"/>
        <w:bottom w:val="none" w:sz="0" w:space="0" w:color="auto"/>
        <w:right w:val="none" w:sz="0" w:space="0" w:color="auto"/>
      </w:divBdr>
    </w:div>
    <w:div w:id="720713130">
      <w:bodyDiv w:val="1"/>
      <w:marLeft w:val="0"/>
      <w:marRight w:val="0"/>
      <w:marTop w:val="0"/>
      <w:marBottom w:val="0"/>
      <w:divBdr>
        <w:top w:val="none" w:sz="0" w:space="0" w:color="auto"/>
        <w:left w:val="none" w:sz="0" w:space="0" w:color="auto"/>
        <w:bottom w:val="none" w:sz="0" w:space="0" w:color="auto"/>
        <w:right w:val="none" w:sz="0" w:space="0" w:color="auto"/>
      </w:divBdr>
    </w:div>
    <w:div w:id="721103354">
      <w:bodyDiv w:val="1"/>
      <w:marLeft w:val="0"/>
      <w:marRight w:val="0"/>
      <w:marTop w:val="0"/>
      <w:marBottom w:val="0"/>
      <w:divBdr>
        <w:top w:val="none" w:sz="0" w:space="0" w:color="auto"/>
        <w:left w:val="none" w:sz="0" w:space="0" w:color="auto"/>
        <w:bottom w:val="none" w:sz="0" w:space="0" w:color="auto"/>
        <w:right w:val="none" w:sz="0" w:space="0" w:color="auto"/>
      </w:divBdr>
    </w:div>
    <w:div w:id="721749838">
      <w:bodyDiv w:val="1"/>
      <w:marLeft w:val="0"/>
      <w:marRight w:val="0"/>
      <w:marTop w:val="0"/>
      <w:marBottom w:val="0"/>
      <w:divBdr>
        <w:top w:val="none" w:sz="0" w:space="0" w:color="auto"/>
        <w:left w:val="none" w:sz="0" w:space="0" w:color="auto"/>
        <w:bottom w:val="none" w:sz="0" w:space="0" w:color="auto"/>
        <w:right w:val="none" w:sz="0" w:space="0" w:color="auto"/>
      </w:divBdr>
    </w:div>
    <w:div w:id="722681781">
      <w:bodyDiv w:val="1"/>
      <w:marLeft w:val="0"/>
      <w:marRight w:val="0"/>
      <w:marTop w:val="0"/>
      <w:marBottom w:val="0"/>
      <w:divBdr>
        <w:top w:val="none" w:sz="0" w:space="0" w:color="auto"/>
        <w:left w:val="none" w:sz="0" w:space="0" w:color="auto"/>
        <w:bottom w:val="none" w:sz="0" w:space="0" w:color="auto"/>
        <w:right w:val="none" w:sz="0" w:space="0" w:color="auto"/>
      </w:divBdr>
    </w:div>
    <w:div w:id="722828950">
      <w:bodyDiv w:val="1"/>
      <w:marLeft w:val="0"/>
      <w:marRight w:val="0"/>
      <w:marTop w:val="0"/>
      <w:marBottom w:val="0"/>
      <w:divBdr>
        <w:top w:val="none" w:sz="0" w:space="0" w:color="auto"/>
        <w:left w:val="none" w:sz="0" w:space="0" w:color="auto"/>
        <w:bottom w:val="none" w:sz="0" w:space="0" w:color="auto"/>
        <w:right w:val="none" w:sz="0" w:space="0" w:color="auto"/>
      </w:divBdr>
    </w:div>
    <w:div w:id="723529829">
      <w:bodyDiv w:val="1"/>
      <w:marLeft w:val="0"/>
      <w:marRight w:val="0"/>
      <w:marTop w:val="0"/>
      <w:marBottom w:val="0"/>
      <w:divBdr>
        <w:top w:val="none" w:sz="0" w:space="0" w:color="auto"/>
        <w:left w:val="none" w:sz="0" w:space="0" w:color="auto"/>
        <w:bottom w:val="none" w:sz="0" w:space="0" w:color="auto"/>
        <w:right w:val="none" w:sz="0" w:space="0" w:color="auto"/>
      </w:divBdr>
    </w:div>
    <w:div w:id="725226277">
      <w:bodyDiv w:val="1"/>
      <w:marLeft w:val="0"/>
      <w:marRight w:val="0"/>
      <w:marTop w:val="0"/>
      <w:marBottom w:val="0"/>
      <w:divBdr>
        <w:top w:val="none" w:sz="0" w:space="0" w:color="auto"/>
        <w:left w:val="none" w:sz="0" w:space="0" w:color="auto"/>
        <w:bottom w:val="none" w:sz="0" w:space="0" w:color="auto"/>
        <w:right w:val="none" w:sz="0" w:space="0" w:color="auto"/>
      </w:divBdr>
    </w:div>
    <w:div w:id="725227189">
      <w:bodyDiv w:val="1"/>
      <w:marLeft w:val="0"/>
      <w:marRight w:val="0"/>
      <w:marTop w:val="0"/>
      <w:marBottom w:val="0"/>
      <w:divBdr>
        <w:top w:val="none" w:sz="0" w:space="0" w:color="auto"/>
        <w:left w:val="none" w:sz="0" w:space="0" w:color="auto"/>
        <w:bottom w:val="none" w:sz="0" w:space="0" w:color="auto"/>
        <w:right w:val="none" w:sz="0" w:space="0" w:color="auto"/>
      </w:divBdr>
    </w:div>
    <w:div w:id="730663496">
      <w:bodyDiv w:val="1"/>
      <w:marLeft w:val="0"/>
      <w:marRight w:val="0"/>
      <w:marTop w:val="0"/>
      <w:marBottom w:val="0"/>
      <w:divBdr>
        <w:top w:val="none" w:sz="0" w:space="0" w:color="auto"/>
        <w:left w:val="none" w:sz="0" w:space="0" w:color="auto"/>
        <w:bottom w:val="none" w:sz="0" w:space="0" w:color="auto"/>
        <w:right w:val="none" w:sz="0" w:space="0" w:color="auto"/>
      </w:divBdr>
    </w:div>
    <w:div w:id="731388842">
      <w:bodyDiv w:val="1"/>
      <w:marLeft w:val="0"/>
      <w:marRight w:val="0"/>
      <w:marTop w:val="0"/>
      <w:marBottom w:val="0"/>
      <w:divBdr>
        <w:top w:val="none" w:sz="0" w:space="0" w:color="auto"/>
        <w:left w:val="none" w:sz="0" w:space="0" w:color="auto"/>
        <w:bottom w:val="none" w:sz="0" w:space="0" w:color="auto"/>
        <w:right w:val="none" w:sz="0" w:space="0" w:color="auto"/>
      </w:divBdr>
    </w:div>
    <w:div w:id="732314917">
      <w:bodyDiv w:val="1"/>
      <w:marLeft w:val="0"/>
      <w:marRight w:val="0"/>
      <w:marTop w:val="0"/>
      <w:marBottom w:val="0"/>
      <w:divBdr>
        <w:top w:val="none" w:sz="0" w:space="0" w:color="auto"/>
        <w:left w:val="none" w:sz="0" w:space="0" w:color="auto"/>
        <w:bottom w:val="none" w:sz="0" w:space="0" w:color="auto"/>
        <w:right w:val="none" w:sz="0" w:space="0" w:color="auto"/>
      </w:divBdr>
    </w:div>
    <w:div w:id="732435756">
      <w:bodyDiv w:val="1"/>
      <w:marLeft w:val="0"/>
      <w:marRight w:val="0"/>
      <w:marTop w:val="0"/>
      <w:marBottom w:val="0"/>
      <w:divBdr>
        <w:top w:val="none" w:sz="0" w:space="0" w:color="auto"/>
        <w:left w:val="none" w:sz="0" w:space="0" w:color="auto"/>
        <w:bottom w:val="none" w:sz="0" w:space="0" w:color="auto"/>
        <w:right w:val="none" w:sz="0" w:space="0" w:color="auto"/>
      </w:divBdr>
    </w:div>
    <w:div w:id="732699623">
      <w:bodyDiv w:val="1"/>
      <w:marLeft w:val="0"/>
      <w:marRight w:val="0"/>
      <w:marTop w:val="0"/>
      <w:marBottom w:val="0"/>
      <w:divBdr>
        <w:top w:val="none" w:sz="0" w:space="0" w:color="auto"/>
        <w:left w:val="none" w:sz="0" w:space="0" w:color="auto"/>
        <w:bottom w:val="none" w:sz="0" w:space="0" w:color="auto"/>
        <w:right w:val="none" w:sz="0" w:space="0" w:color="auto"/>
      </w:divBdr>
    </w:div>
    <w:div w:id="733430925">
      <w:bodyDiv w:val="1"/>
      <w:marLeft w:val="0"/>
      <w:marRight w:val="0"/>
      <w:marTop w:val="0"/>
      <w:marBottom w:val="0"/>
      <w:divBdr>
        <w:top w:val="none" w:sz="0" w:space="0" w:color="auto"/>
        <w:left w:val="none" w:sz="0" w:space="0" w:color="auto"/>
        <w:bottom w:val="none" w:sz="0" w:space="0" w:color="auto"/>
        <w:right w:val="none" w:sz="0" w:space="0" w:color="auto"/>
      </w:divBdr>
    </w:div>
    <w:div w:id="733816251">
      <w:bodyDiv w:val="1"/>
      <w:marLeft w:val="0"/>
      <w:marRight w:val="0"/>
      <w:marTop w:val="0"/>
      <w:marBottom w:val="0"/>
      <w:divBdr>
        <w:top w:val="none" w:sz="0" w:space="0" w:color="auto"/>
        <w:left w:val="none" w:sz="0" w:space="0" w:color="auto"/>
        <w:bottom w:val="none" w:sz="0" w:space="0" w:color="auto"/>
        <w:right w:val="none" w:sz="0" w:space="0" w:color="auto"/>
      </w:divBdr>
    </w:div>
    <w:div w:id="734010755">
      <w:bodyDiv w:val="1"/>
      <w:marLeft w:val="0"/>
      <w:marRight w:val="0"/>
      <w:marTop w:val="0"/>
      <w:marBottom w:val="0"/>
      <w:divBdr>
        <w:top w:val="none" w:sz="0" w:space="0" w:color="auto"/>
        <w:left w:val="none" w:sz="0" w:space="0" w:color="auto"/>
        <w:bottom w:val="none" w:sz="0" w:space="0" w:color="auto"/>
        <w:right w:val="none" w:sz="0" w:space="0" w:color="auto"/>
      </w:divBdr>
    </w:div>
    <w:div w:id="734157779">
      <w:bodyDiv w:val="1"/>
      <w:marLeft w:val="0"/>
      <w:marRight w:val="0"/>
      <w:marTop w:val="0"/>
      <w:marBottom w:val="0"/>
      <w:divBdr>
        <w:top w:val="none" w:sz="0" w:space="0" w:color="auto"/>
        <w:left w:val="none" w:sz="0" w:space="0" w:color="auto"/>
        <w:bottom w:val="none" w:sz="0" w:space="0" w:color="auto"/>
        <w:right w:val="none" w:sz="0" w:space="0" w:color="auto"/>
      </w:divBdr>
    </w:div>
    <w:div w:id="736631315">
      <w:bodyDiv w:val="1"/>
      <w:marLeft w:val="0"/>
      <w:marRight w:val="0"/>
      <w:marTop w:val="0"/>
      <w:marBottom w:val="0"/>
      <w:divBdr>
        <w:top w:val="none" w:sz="0" w:space="0" w:color="auto"/>
        <w:left w:val="none" w:sz="0" w:space="0" w:color="auto"/>
        <w:bottom w:val="none" w:sz="0" w:space="0" w:color="auto"/>
        <w:right w:val="none" w:sz="0" w:space="0" w:color="auto"/>
      </w:divBdr>
    </w:div>
    <w:div w:id="737872253">
      <w:bodyDiv w:val="1"/>
      <w:marLeft w:val="0"/>
      <w:marRight w:val="0"/>
      <w:marTop w:val="0"/>
      <w:marBottom w:val="0"/>
      <w:divBdr>
        <w:top w:val="none" w:sz="0" w:space="0" w:color="auto"/>
        <w:left w:val="none" w:sz="0" w:space="0" w:color="auto"/>
        <w:bottom w:val="none" w:sz="0" w:space="0" w:color="auto"/>
        <w:right w:val="none" w:sz="0" w:space="0" w:color="auto"/>
      </w:divBdr>
    </w:div>
    <w:div w:id="737896989">
      <w:bodyDiv w:val="1"/>
      <w:marLeft w:val="0"/>
      <w:marRight w:val="0"/>
      <w:marTop w:val="0"/>
      <w:marBottom w:val="0"/>
      <w:divBdr>
        <w:top w:val="none" w:sz="0" w:space="0" w:color="auto"/>
        <w:left w:val="none" w:sz="0" w:space="0" w:color="auto"/>
        <w:bottom w:val="none" w:sz="0" w:space="0" w:color="auto"/>
        <w:right w:val="none" w:sz="0" w:space="0" w:color="auto"/>
      </w:divBdr>
    </w:div>
    <w:div w:id="738795921">
      <w:bodyDiv w:val="1"/>
      <w:marLeft w:val="0"/>
      <w:marRight w:val="0"/>
      <w:marTop w:val="0"/>
      <w:marBottom w:val="0"/>
      <w:divBdr>
        <w:top w:val="none" w:sz="0" w:space="0" w:color="auto"/>
        <w:left w:val="none" w:sz="0" w:space="0" w:color="auto"/>
        <w:bottom w:val="none" w:sz="0" w:space="0" w:color="auto"/>
        <w:right w:val="none" w:sz="0" w:space="0" w:color="auto"/>
      </w:divBdr>
    </w:div>
    <w:div w:id="738941763">
      <w:bodyDiv w:val="1"/>
      <w:marLeft w:val="0"/>
      <w:marRight w:val="0"/>
      <w:marTop w:val="0"/>
      <w:marBottom w:val="0"/>
      <w:divBdr>
        <w:top w:val="none" w:sz="0" w:space="0" w:color="auto"/>
        <w:left w:val="none" w:sz="0" w:space="0" w:color="auto"/>
        <w:bottom w:val="none" w:sz="0" w:space="0" w:color="auto"/>
        <w:right w:val="none" w:sz="0" w:space="0" w:color="auto"/>
      </w:divBdr>
    </w:div>
    <w:div w:id="739863754">
      <w:bodyDiv w:val="1"/>
      <w:marLeft w:val="0"/>
      <w:marRight w:val="0"/>
      <w:marTop w:val="0"/>
      <w:marBottom w:val="0"/>
      <w:divBdr>
        <w:top w:val="none" w:sz="0" w:space="0" w:color="auto"/>
        <w:left w:val="none" w:sz="0" w:space="0" w:color="auto"/>
        <w:bottom w:val="none" w:sz="0" w:space="0" w:color="auto"/>
        <w:right w:val="none" w:sz="0" w:space="0" w:color="auto"/>
      </w:divBdr>
    </w:div>
    <w:div w:id="740758122">
      <w:bodyDiv w:val="1"/>
      <w:marLeft w:val="0"/>
      <w:marRight w:val="0"/>
      <w:marTop w:val="0"/>
      <w:marBottom w:val="0"/>
      <w:divBdr>
        <w:top w:val="none" w:sz="0" w:space="0" w:color="auto"/>
        <w:left w:val="none" w:sz="0" w:space="0" w:color="auto"/>
        <w:bottom w:val="none" w:sz="0" w:space="0" w:color="auto"/>
        <w:right w:val="none" w:sz="0" w:space="0" w:color="auto"/>
      </w:divBdr>
    </w:div>
    <w:div w:id="742261171">
      <w:bodyDiv w:val="1"/>
      <w:marLeft w:val="0"/>
      <w:marRight w:val="0"/>
      <w:marTop w:val="0"/>
      <w:marBottom w:val="0"/>
      <w:divBdr>
        <w:top w:val="none" w:sz="0" w:space="0" w:color="auto"/>
        <w:left w:val="none" w:sz="0" w:space="0" w:color="auto"/>
        <w:bottom w:val="none" w:sz="0" w:space="0" w:color="auto"/>
        <w:right w:val="none" w:sz="0" w:space="0" w:color="auto"/>
      </w:divBdr>
    </w:div>
    <w:div w:id="742795570">
      <w:bodyDiv w:val="1"/>
      <w:marLeft w:val="0"/>
      <w:marRight w:val="0"/>
      <w:marTop w:val="0"/>
      <w:marBottom w:val="0"/>
      <w:divBdr>
        <w:top w:val="none" w:sz="0" w:space="0" w:color="auto"/>
        <w:left w:val="none" w:sz="0" w:space="0" w:color="auto"/>
        <w:bottom w:val="none" w:sz="0" w:space="0" w:color="auto"/>
        <w:right w:val="none" w:sz="0" w:space="0" w:color="auto"/>
      </w:divBdr>
    </w:div>
    <w:div w:id="743768409">
      <w:bodyDiv w:val="1"/>
      <w:marLeft w:val="0"/>
      <w:marRight w:val="0"/>
      <w:marTop w:val="0"/>
      <w:marBottom w:val="0"/>
      <w:divBdr>
        <w:top w:val="none" w:sz="0" w:space="0" w:color="auto"/>
        <w:left w:val="none" w:sz="0" w:space="0" w:color="auto"/>
        <w:bottom w:val="none" w:sz="0" w:space="0" w:color="auto"/>
        <w:right w:val="none" w:sz="0" w:space="0" w:color="auto"/>
      </w:divBdr>
    </w:div>
    <w:div w:id="744648627">
      <w:bodyDiv w:val="1"/>
      <w:marLeft w:val="0"/>
      <w:marRight w:val="0"/>
      <w:marTop w:val="0"/>
      <w:marBottom w:val="0"/>
      <w:divBdr>
        <w:top w:val="none" w:sz="0" w:space="0" w:color="auto"/>
        <w:left w:val="none" w:sz="0" w:space="0" w:color="auto"/>
        <w:bottom w:val="none" w:sz="0" w:space="0" w:color="auto"/>
        <w:right w:val="none" w:sz="0" w:space="0" w:color="auto"/>
      </w:divBdr>
    </w:div>
    <w:div w:id="745030066">
      <w:bodyDiv w:val="1"/>
      <w:marLeft w:val="0"/>
      <w:marRight w:val="0"/>
      <w:marTop w:val="0"/>
      <w:marBottom w:val="0"/>
      <w:divBdr>
        <w:top w:val="none" w:sz="0" w:space="0" w:color="auto"/>
        <w:left w:val="none" w:sz="0" w:space="0" w:color="auto"/>
        <w:bottom w:val="none" w:sz="0" w:space="0" w:color="auto"/>
        <w:right w:val="none" w:sz="0" w:space="0" w:color="auto"/>
      </w:divBdr>
    </w:div>
    <w:div w:id="745885482">
      <w:bodyDiv w:val="1"/>
      <w:marLeft w:val="0"/>
      <w:marRight w:val="0"/>
      <w:marTop w:val="0"/>
      <w:marBottom w:val="0"/>
      <w:divBdr>
        <w:top w:val="none" w:sz="0" w:space="0" w:color="auto"/>
        <w:left w:val="none" w:sz="0" w:space="0" w:color="auto"/>
        <w:bottom w:val="none" w:sz="0" w:space="0" w:color="auto"/>
        <w:right w:val="none" w:sz="0" w:space="0" w:color="auto"/>
      </w:divBdr>
    </w:div>
    <w:div w:id="746345575">
      <w:bodyDiv w:val="1"/>
      <w:marLeft w:val="0"/>
      <w:marRight w:val="0"/>
      <w:marTop w:val="0"/>
      <w:marBottom w:val="0"/>
      <w:divBdr>
        <w:top w:val="none" w:sz="0" w:space="0" w:color="auto"/>
        <w:left w:val="none" w:sz="0" w:space="0" w:color="auto"/>
        <w:bottom w:val="none" w:sz="0" w:space="0" w:color="auto"/>
        <w:right w:val="none" w:sz="0" w:space="0" w:color="auto"/>
      </w:divBdr>
    </w:div>
    <w:div w:id="746653751">
      <w:bodyDiv w:val="1"/>
      <w:marLeft w:val="0"/>
      <w:marRight w:val="0"/>
      <w:marTop w:val="0"/>
      <w:marBottom w:val="0"/>
      <w:divBdr>
        <w:top w:val="none" w:sz="0" w:space="0" w:color="auto"/>
        <w:left w:val="none" w:sz="0" w:space="0" w:color="auto"/>
        <w:bottom w:val="none" w:sz="0" w:space="0" w:color="auto"/>
        <w:right w:val="none" w:sz="0" w:space="0" w:color="auto"/>
      </w:divBdr>
    </w:div>
    <w:div w:id="746809116">
      <w:bodyDiv w:val="1"/>
      <w:marLeft w:val="0"/>
      <w:marRight w:val="0"/>
      <w:marTop w:val="0"/>
      <w:marBottom w:val="0"/>
      <w:divBdr>
        <w:top w:val="none" w:sz="0" w:space="0" w:color="auto"/>
        <w:left w:val="none" w:sz="0" w:space="0" w:color="auto"/>
        <w:bottom w:val="none" w:sz="0" w:space="0" w:color="auto"/>
        <w:right w:val="none" w:sz="0" w:space="0" w:color="auto"/>
      </w:divBdr>
    </w:div>
    <w:div w:id="746851088">
      <w:bodyDiv w:val="1"/>
      <w:marLeft w:val="0"/>
      <w:marRight w:val="0"/>
      <w:marTop w:val="0"/>
      <w:marBottom w:val="0"/>
      <w:divBdr>
        <w:top w:val="none" w:sz="0" w:space="0" w:color="auto"/>
        <w:left w:val="none" w:sz="0" w:space="0" w:color="auto"/>
        <w:bottom w:val="none" w:sz="0" w:space="0" w:color="auto"/>
        <w:right w:val="none" w:sz="0" w:space="0" w:color="auto"/>
      </w:divBdr>
    </w:div>
    <w:div w:id="748037073">
      <w:bodyDiv w:val="1"/>
      <w:marLeft w:val="0"/>
      <w:marRight w:val="0"/>
      <w:marTop w:val="0"/>
      <w:marBottom w:val="0"/>
      <w:divBdr>
        <w:top w:val="none" w:sz="0" w:space="0" w:color="auto"/>
        <w:left w:val="none" w:sz="0" w:space="0" w:color="auto"/>
        <w:bottom w:val="none" w:sz="0" w:space="0" w:color="auto"/>
        <w:right w:val="none" w:sz="0" w:space="0" w:color="auto"/>
      </w:divBdr>
    </w:div>
    <w:div w:id="748118884">
      <w:bodyDiv w:val="1"/>
      <w:marLeft w:val="0"/>
      <w:marRight w:val="0"/>
      <w:marTop w:val="0"/>
      <w:marBottom w:val="0"/>
      <w:divBdr>
        <w:top w:val="none" w:sz="0" w:space="0" w:color="auto"/>
        <w:left w:val="none" w:sz="0" w:space="0" w:color="auto"/>
        <w:bottom w:val="none" w:sz="0" w:space="0" w:color="auto"/>
        <w:right w:val="none" w:sz="0" w:space="0" w:color="auto"/>
      </w:divBdr>
    </w:div>
    <w:div w:id="748817166">
      <w:bodyDiv w:val="1"/>
      <w:marLeft w:val="0"/>
      <w:marRight w:val="0"/>
      <w:marTop w:val="0"/>
      <w:marBottom w:val="0"/>
      <w:divBdr>
        <w:top w:val="none" w:sz="0" w:space="0" w:color="auto"/>
        <w:left w:val="none" w:sz="0" w:space="0" w:color="auto"/>
        <w:bottom w:val="none" w:sz="0" w:space="0" w:color="auto"/>
        <w:right w:val="none" w:sz="0" w:space="0" w:color="auto"/>
      </w:divBdr>
    </w:div>
    <w:div w:id="749737791">
      <w:bodyDiv w:val="1"/>
      <w:marLeft w:val="0"/>
      <w:marRight w:val="0"/>
      <w:marTop w:val="0"/>
      <w:marBottom w:val="0"/>
      <w:divBdr>
        <w:top w:val="none" w:sz="0" w:space="0" w:color="auto"/>
        <w:left w:val="none" w:sz="0" w:space="0" w:color="auto"/>
        <w:bottom w:val="none" w:sz="0" w:space="0" w:color="auto"/>
        <w:right w:val="none" w:sz="0" w:space="0" w:color="auto"/>
      </w:divBdr>
    </w:div>
    <w:div w:id="750322083">
      <w:bodyDiv w:val="1"/>
      <w:marLeft w:val="0"/>
      <w:marRight w:val="0"/>
      <w:marTop w:val="0"/>
      <w:marBottom w:val="0"/>
      <w:divBdr>
        <w:top w:val="none" w:sz="0" w:space="0" w:color="auto"/>
        <w:left w:val="none" w:sz="0" w:space="0" w:color="auto"/>
        <w:bottom w:val="none" w:sz="0" w:space="0" w:color="auto"/>
        <w:right w:val="none" w:sz="0" w:space="0" w:color="auto"/>
      </w:divBdr>
    </w:div>
    <w:div w:id="750467855">
      <w:bodyDiv w:val="1"/>
      <w:marLeft w:val="0"/>
      <w:marRight w:val="0"/>
      <w:marTop w:val="0"/>
      <w:marBottom w:val="0"/>
      <w:divBdr>
        <w:top w:val="none" w:sz="0" w:space="0" w:color="auto"/>
        <w:left w:val="none" w:sz="0" w:space="0" w:color="auto"/>
        <w:bottom w:val="none" w:sz="0" w:space="0" w:color="auto"/>
        <w:right w:val="none" w:sz="0" w:space="0" w:color="auto"/>
      </w:divBdr>
    </w:div>
    <w:div w:id="751396013">
      <w:bodyDiv w:val="1"/>
      <w:marLeft w:val="0"/>
      <w:marRight w:val="0"/>
      <w:marTop w:val="0"/>
      <w:marBottom w:val="0"/>
      <w:divBdr>
        <w:top w:val="none" w:sz="0" w:space="0" w:color="auto"/>
        <w:left w:val="none" w:sz="0" w:space="0" w:color="auto"/>
        <w:bottom w:val="none" w:sz="0" w:space="0" w:color="auto"/>
        <w:right w:val="none" w:sz="0" w:space="0" w:color="auto"/>
      </w:divBdr>
    </w:div>
    <w:div w:id="752897789">
      <w:bodyDiv w:val="1"/>
      <w:marLeft w:val="0"/>
      <w:marRight w:val="0"/>
      <w:marTop w:val="0"/>
      <w:marBottom w:val="0"/>
      <w:divBdr>
        <w:top w:val="none" w:sz="0" w:space="0" w:color="auto"/>
        <w:left w:val="none" w:sz="0" w:space="0" w:color="auto"/>
        <w:bottom w:val="none" w:sz="0" w:space="0" w:color="auto"/>
        <w:right w:val="none" w:sz="0" w:space="0" w:color="auto"/>
      </w:divBdr>
    </w:div>
    <w:div w:id="753281014">
      <w:bodyDiv w:val="1"/>
      <w:marLeft w:val="0"/>
      <w:marRight w:val="0"/>
      <w:marTop w:val="0"/>
      <w:marBottom w:val="0"/>
      <w:divBdr>
        <w:top w:val="none" w:sz="0" w:space="0" w:color="auto"/>
        <w:left w:val="none" w:sz="0" w:space="0" w:color="auto"/>
        <w:bottom w:val="none" w:sz="0" w:space="0" w:color="auto"/>
        <w:right w:val="none" w:sz="0" w:space="0" w:color="auto"/>
      </w:divBdr>
    </w:div>
    <w:div w:id="753748090">
      <w:bodyDiv w:val="1"/>
      <w:marLeft w:val="0"/>
      <w:marRight w:val="0"/>
      <w:marTop w:val="0"/>
      <w:marBottom w:val="0"/>
      <w:divBdr>
        <w:top w:val="none" w:sz="0" w:space="0" w:color="auto"/>
        <w:left w:val="none" w:sz="0" w:space="0" w:color="auto"/>
        <w:bottom w:val="none" w:sz="0" w:space="0" w:color="auto"/>
        <w:right w:val="none" w:sz="0" w:space="0" w:color="auto"/>
      </w:divBdr>
    </w:div>
    <w:div w:id="754011901">
      <w:bodyDiv w:val="1"/>
      <w:marLeft w:val="0"/>
      <w:marRight w:val="0"/>
      <w:marTop w:val="0"/>
      <w:marBottom w:val="0"/>
      <w:divBdr>
        <w:top w:val="none" w:sz="0" w:space="0" w:color="auto"/>
        <w:left w:val="none" w:sz="0" w:space="0" w:color="auto"/>
        <w:bottom w:val="none" w:sz="0" w:space="0" w:color="auto"/>
        <w:right w:val="none" w:sz="0" w:space="0" w:color="auto"/>
      </w:divBdr>
    </w:div>
    <w:div w:id="754983080">
      <w:bodyDiv w:val="1"/>
      <w:marLeft w:val="0"/>
      <w:marRight w:val="0"/>
      <w:marTop w:val="0"/>
      <w:marBottom w:val="0"/>
      <w:divBdr>
        <w:top w:val="none" w:sz="0" w:space="0" w:color="auto"/>
        <w:left w:val="none" w:sz="0" w:space="0" w:color="auto"/>
        <w:bottom w:val="none" w:sz="0" w:space="0" w:color="auto"/>
        <w:right w:val="none" w:sz="0" w:space="0" w:color="auto"/>
      </w:divBdr>
    </w:div>
    <w:div w:id="755592383">
      <w:bodyDiv w:val="1"/>
      <w:marLeft w:val="0"/>
      <w:marRight w:val="0"/>
      <w:marTop w:val="0"/>
      <w:marBottom w:val="0"/>
      <w:divBdr>
        <w:top w:val="none" w:sz="0" w:space="0" w:color="auto"/>
        <w:left w:val="none" w:sz="0" w:space="0" w:color="auto"/>
        <w:bottom w:val="none" w:sz="0" w:space="0" w:color="auto"/>
        <w:right w:val="none" w:sz="0" w:space="0" w:color="auto"/>
      </w:divBdr>
    </w:div>
    <w:div w:id="755858387">
      <w:bodyDiv w:val="1"/>
      <w:marLeft w:val="0"/>
      <w:marRight w:val="0"/>
      <w:marTop w:val="0"/>
      <w:marBottom w:val="0"/>
      <w:divBdr>
        <w:top w:val="none" w:sz="0" w:space="0" w:color="auto"/>
        <w:left w:val="none" w:sz="0" w:space="0" w:color="auto"/>
        <w:bottom w:val="none" w:sz="0" w:space="0" w:color="auto"/>
        <w:right w:val="none" w:sz="0" w:space="0" w:color="auto"/>
      </w:divBdr>
    </w:div>
    <w:div w:id="756898662">
      <w:bodyDiv w:val="1"/>
      <w:marLeft w:val="0"/>
      <w:marRight w:val="0"/>
      <w:marTop w:val="0"/>
      <w:marBottom w:val="0"/>
      <w:divBdr>
        <w:top w:val="none" w:sz="0" w:space="0" w:color="auto"/>
        <w:left w:val="none" w:sz="0" w:space="0" w:color="auto"/>
        <w:bottom w:val="none" w:sz="0" w:space="0" w:color="auto"/>
        <w:right w:val="none" w:sz="0" w:space="0" w:color="auto"/>
      </w:divBdr>
    </w:div>
    <w:div w:id="757597852">
      <w:bodyDiv w:val="1"/>
      <w:marLeft w:val="0"/>
      <w:marRight w:val="0"/>
      <w:marTop w:val="0"/>
      <w:marBottom w:val="0"/>
      <w:divBdr>
        <w:top w:val="none" w:sz="0" w:space="0" w:color="auto"/>
        <w:left w:val="none" w:sz="0" w:space="0" w:color="auto"/>
        <w:bottom w:val="none" w:sz="0" w:space="0" w:color="auto"/>
        <w:right w:val="none" w:sz="0" w:space="0" w:color="auto"/>
      </w:divBdr>
    </w:div>
    <w:div w:id="757600705">
      <w:bodyDiv w:val="1"/>
      <w:marLeft w:val="0"/>
      <w:marRight w:val="0"/>
      <w:marTop w:val="0"/>
      <w:marBottom w:val="0"/>
      <w:divBdr>
        <w:top w:val="none" w:sz="0" w:space="0" w:color="auto"/>
        <w:left w:val="none" w:sz="0" w:space="0" w:color="auto"/>
        <w:bottom w:val="none" w:sz="0" w:space="0" w:color="auto"/>
        <w:right w:val="none" w:sz="0" w:space="0" w:color="auto"/>
      </w:divBdr>
    </w:div>
    <w:div w:id="759060945">
      <w:bodyDiv w:val="1"/>
      <w:marLeft w:val="0"/>
      <w:marRight w:val="0"/>
      <w:marTop w:val="0"/>
      <w:marBottom w:val="0"/>
      <w:divBdr>
        <w:top w:val="none" w:sz="0" w:space="0" w:color="auto"/>
        <w:left w:val="none" w:sz="0" w:space="0" w:color="auto"/>
        <w:bottom w:val="none" w:sz="0" w:space="0" w:color="auto"/>
        <w:right w:val="none" w:sz="0" w:space="0" w:color="auto"/>
      </w:divBdr>
    </w:div>
    <w:div w:id="759064405">
      <w:bodyDiv w:val="1"/>
      <w:marLeft w:val="0"/>
      <w:marRight w:val="0"/>
      <w:marTop w:val="0"/>
      <w:marBottom w:val="0"/>
      <w:divBdr>
        <w:top w:val="none" w:sz="0" w:space="0" w:color="auto"/>
        <w:left w:val="none" w:sz="0" w:space="0" w:color="auto"/>
        <w:bottom w:val="none" w:sz="0" w:space="0" w:color="auto"/>
        <w:right w:val="none" w:sz="0" w:space="0" w:color="auto"/>
      </w:divBdr>
    </w:div>
    <w:div w:id="759451647">
      <w:bodyDiv w:val="1"/>
      <w:marLeft w:val="0"/>
      <w:marRight w:val="0"/>
      <w:marTop w:val="0"/>
      <w:marBottom w:val="0"/>
      <w:divBdr>
        <w:top w:val="none" w:sz="0" w:space="0" w:color="auto"/>
        <w:left w:val="none" w:sz="0" w:space="0" w:color="auto"/>
        <w:bottom w:val="none" w:sz="0" w:space="0" w:color="auto"/>
        <w:right w:val="none" w:sz="0" w:space="0" w:color="auto"/>
      </w:divBdr>
    </w:div>
    <w:div w:id="759790974">
      <w:bodyDiv w:val="1"/>
      <w:marLeft w:val="0"/>
      <w:marRight w:val="0"/>
      <w:marTop w:val="0"/>
      <w:marBottom w:val="0"/>
      <w:divBdr>
        <w:top w:val="none" w:sz="0" w:space="0" w:color="auto"/>
        <w:left w:val="none" w:sz="0" w:space="0" w:color="auto"/>
        <w:bottom w:val="none" w:sz="0" w:space="0" w:color="auto"/>
        <w:right w:val="none" w:sz="0" w:space="0" w:color="auto"/>
      </w:divBdr>
    </w:div>
    <w:div w:id="759832992">
      <w:bodyDiv w:val="1"/>
      <w:marLeft w:val="0"/>
      <w:marRight w:val="0"/>
      <w:marTop w:val="0"/>
      <w:marBottom w:val="0"/>
      <w:divBdr>
        <w:top w:val="none" w:sz="0" w:space="0" w:color="auto"/>
        <w:left w:val="none" w:sz="0" w:space="0" w:color="auto"/>
        <w:bottom w:val="none" w:sz="0" w:space="0" w:color="auto"/>
        <w:right w:val="none" w:sz="0" w:space="0" w:color="auto"/>
      </w:divBdr>
    </w:div>
    <w:div w:id="760418781">
      <w:bodyDiv w:val="1"/>
      <w:marLeft w:val="0"/>
      <w:marRight w:val="0"/>
      <w:marTop w:val="0"/>
      <w:marBottom w:val="0"/>
      <w:divBdr>
        <w:top w:val="none" w:sz="0" w:space="0" w:color="auto"/>
        <w:left w:val="none" w:sz="0" w:space="0" w:color="auto"/>
        <w:bottom w:val="none" w:sz="0" w:space="0" w:color="auto"/>
        <w:right w:val="none" w:sz="0" w:space="0" w:color="auto"/>
      </w:divBdr>
    </w:div>
    <w:div w:id="762411395">
      <w:bodyDiv w:val="1"/>
      <w:marLeft w:val="0"/>
      <w:marRight w:val="0"/>
      <w:marTop w:val="0"/>
      <w:marBottom w:val="0"/>
      <w:divBdr>
        <w:top w:val="none" w:sz="0" w:space="0" w:color="auto"/>
        <w:left w:val="none" w:sz="0" w:space="0" w:color="auto"/>
        <w:bottom w:val="none" w:sz="0" w:space="0" w:color="auto"/>
        <w:right w:val="none" w:sz="0" w:space="0" w:color="auto"/>
      </w:divBdr>
    </w:div>
    <w:div w:id="764612568">
      <w:bodyDiv w:val="1"/>
      <w:marLeft w:val="0"/>
      <w:marRight w:val="0"/>
      <w:marTop w:val="0"/>
      <w:marBottom w:val="0"/>
      <w:divBdr>
        <w:top w:val="none" w:sz="0" w:space="0" w:color="auto"/>
        <w:left w:val="none" w:sz="0" w:space="0" w:color="auto"/>
        <w:bottom w:val="none" w:sz="0" w:space="0" w:color="auto"/>
        <w:right w:val="none" w:sz="0" w:space="0" w:color="auto"/>
      </w:divBdr>
    </w:div>
    <w:div w:id="767045808">
      <w:bodyDiv w:val="1"/>
      <w:marLeft w:val="0"/>
      <w:marRight w:val="0"/>
      <w:marTop w:val="0"/>
      <w:marBottom w:val="0"/>
      <w:divBdr>
        <w:top w:val="none" w:sz="0" w:space="0" w:color="auto"/>
        <w:left w:val="none" w:sz="0" w:space="0" w:color="auto"/>
        <w:bottom w:val="none" w:sz="0" w:space="0" w:color="auto"/>
        <w:right w:val="none" w:sz="0" w:space="0" w:color="auto"/>
      </w:divBdr>
    </w:div>
    <w:div w:id="767310732">
      <w:bodyDiv w:val="1"/>
      <w:marLeft w:val="0"/>
      <w:marRight w:val="0"/>
      <w:marTop w:val="0"/>
      <w:marBottom w:val="0"/>
      <w:divBdr>
        <w:top w:val="none" w:sz="0" w:space="0" w:color="auto"/>
        <w:left w:val="none" w:sz="0" w:space="0" w:color="auto"/>
        <w:bottom w:val="none" w:sz="0" w:space="0" w:color="auto"/>
        <w:right w:val="none" w:sz="0" w:space="0" w:color="auto"/>
      </w:divBdr>
    </w:div>
    <w:div w:id="768549465">
      <w:bodyDiv w:val="1"/>
      <w:marLeft w:val="0"/>
      <w:marRight w:val="0"/>
      <w:marTop w:val="0"/>
      <w:marBottom w:val="0"/>
      <w:divBdr>
        <w:top w:val="none" w:sz="0" w:space="0" w:color="auto"/>
        <w:left w:val="none" w:sz="0" w:space="0" w:color="auto"/>
        <w:bottom w:val="none" w:sz="0" w:space="0" w:color="auto"/>
        <w:right w:val="none" w:sz="0" w:space="0" w:color="auto"/>
      </w:divBdr>
    </w:div>
    <w:div w:id="769550532">
      <w:bodyDiv w:val="1"/>
      <w:marLeft w:val="0"/>
      <w:marRight w:val="0"/>
      <w:marTop w:val="0"/>
      <w:marBottom w:val="0"/>
      <w:divBdr>
        <w:top w:val="none" w:sz="0" w:space="0" w:color="auto"/>
        <w:left w:val="none" w:sz="0" w:space="0" w:color="auto"/>
        <w:bottom w:val="none" w:sz="0" w:space="0" w:color="auto"/>
        <w:right w:val="none" w:sz="0" w:space="0" w:color="auto"/>
      </w:divBdr>
    </w:div>
    <w:div w:id="770395368">
      <w:bodyDiv w:val="1"/>
      <w:marLeft w:val="0"/>
      <w:marRight w:val="0"/>
      <w:marTop w:val="0"/>
      <w:marBottom w:val="0"/>
      <w:divBdr>
        <w:top w:val="none" w:sz="0" w:space="0" w:color="auto"/>
        <w:left w:val="none" w:sz="0" w:space="0" w:color="auto"/>
        <w:bottom w:val="none" w:sz="0" w:space="0" w:color="auto"/>
        <w:right w:val="none" w:sz="0" w:space="0" w:color="auto"/>
      </w:divBdr>
    </w:div>
    <w:div w:id="770853832">
      <w:bodyDiv w:val="1"/>
      <w:marLeft w:val="0"/>
      <w:marRight w:val="0"/>
      <w:marTop w:val="0"/>
      <w:marBottom w:val="0"/>
      <w:divBdr>
        <w:top w:val="none" w:sz="0" w:space="0" w:color="auto"/>
        <w:left w:val="none" w:sz="0" w:space="0" w:color="auto"/>
        <w:bottom w:val="none" w:sz="0" w:space="0" w:color="auto"/>
        <w:right w:val="none" w:sz="0" w:space="0" w:color="auto"/>
      </w:divBdr>
    </w:div>
    <w:div w:id="770860057">
      <w:bodyDiv w:val="1"/>
      <w:marLeft w:val="0"/>
      <w:marRight w:val="0"/>
      <w:marTop w:val="0"/>
      <w:marBottom w:val="0"/>
      <w:divBdr>
        <w:top w:val="none" w:sz="0" w:space="0" w:color="auto"/>
        <w:left w:val="none" w:sz="0" w:space="0" w:color="auto"/>
        <w:bottom w:val="none" w:sz="0" w:space="0" w:color="auto"/>
        <w:right w:val="none" w:sz="0" w:space="0" w:color="auto"/>
      </w:divBdr>
    </w:div>
    <w:div w:id="771778221">
      <w:bodyDiv w:val="1"/>
      <w:marLeft w:val="0"/>
      <w:marRight w:val="0"/>
      <w:marTop w:val="0"/>
      <w:marBottom w:val="0"/>
      <w:divBdr>
        <w:top w:val="none" w:sz="0" w:space="0" w:color="auto"/>
        <w:left w:val="none" w:sz="0" w:space="0" w:color="auto"/>
        <w:bottom w:val="none" w:sz="0" w:space="0" w:color="auto"/>
        <w:right w:val="none" w:sz="0" w:space="0" w:color="auto"/>
      </w:divBdr>
    </w:div>
    <w:div w:id="774130634">
      <w:bodyDiv w:val="1"/>
      <w:marLeft w:val="0"/>
      <w:marRight w:val="0"/>
      <w:marTop w:val="0"/>
      <w:marBottom w:val="0"/>
      <w:divBdr>
        <w:top w:val="none" w:sz="0" w:space="0" w:color="auto"/>
        <w:left w:val="none" w:sz="0" w:space="0" w:color="auto"/>
        <w:bottom w:val="none" w:sz="0" w:space="0" w:color="auto"/>
        <w:right w:val="none" w:sz="0" w:space="0" w:color="auto"/>
      </w:divBdr>
    </w:div>
    <w:div w:id="775249669">
      <w:bodyDiv w:val="1"/>
      <w:marLeft w:val="0"/>
      <w:marRight w:val="0"/>
      <w:marTop w:val="0"/>
      <w:marBottom w:val="0"/>
      <w:divBdr>
        <w:top w:val="none" w:sz="0" w:space="0" w:color="auto"/>
        <w:left w:val="none" w:sz="0" w:space="0" w:color="auto"/>
        <w:bottom w:val="none" w:sz="0" w:space="0" w:color="auto"/>
        <w:right w:val="none" w:sz="0" w:space="0" w:color="auto"/>
      </w:divBdr>
    </w:div>
    <w:div w:id="777143327">
      <w:bodyDiv w:val="1"/>
      <w:marLeft w:val="0"/>
      <w:marRight w:val="0"/>
      <w:marTop w:val="0"/>
      <w:marBottom w:val="0"/>
      <w:divBdr>
        <w:top w:val="none" w:sz="0" w:space="0" w:color="auto"/>
        <w:left w:val="none" w:sz="0" w:space="0" w:color="auto"/>
        <w:bottom w:val="none" w:sz="0" w:space="0" w:color="auto"/>
        <w:right w:val="none" w:sz="0" w:space="0" w:color="auto"/>
      </w:divBdr>
    </w:div>
    <w:div w:id="778572015">
      <w:bodyDiv w:val="1"/>
      <w:marLeft w:val="0"/>
      <w:marRight w:val="0"/>
      <w:marTop w:val="0"/>
      <w:marBottom w:val="0"/>
      <w:divBdr>
        <w:top w:val="none" w:sz="0" w:space="0" w:color="auto"/>
        <w:left w:val="none" w:sz="0" w:space="0" w:color="auto"/>
        <w:bottom w:val="none" w:sz="0" w:space="0" w:color="auto"/>
        <w:right w:val="none" w:sz="0" w:space="0" w:color="auto"/>
      </w:divBdr>
    </w:div>
    <w:div w:id="780223350">
      <w:bodyDiv w:val="1"/>
      <w:marLeft w:val="0"/>
      <w:marRight w:val="0"/>
      <w:marTop w:val="0"/>
      <w:marBottom w:val="0"/>
      <w:divBdr>
        <w:top w:val="none" w:sz="0" w:space="0" w:color="auto"/>
        <w:left w:val="none" w:sz="0" w:space="0" w:color="auto"/>
        <w:bottom w:val="none" w:sz="0" w:space="0" w:color="auto"/>
        <w:right w:val="none" w:sz="0" w:space="0" w:color="auto"/>
      </w:divBdr>
    </w:div>
    <w:div w:id="780227715">
      <w:bodyDiv w:val="1"/>
      <w:marLeft w:val="0"/>
      <w:marRight w:val="0"/>
      <w:marTop w:val="0"/>
      <w:marBottom w:val="0"/>
      <w:divBdr>
        <w:top w:val="none" w:sz="0" w:space="0" w:color="auto"/>
        <w:left w:val="none" w:sz="0" w:space="0" w:color="auto"/>
        <w:bottom w:val="none" w:sz="0" w:space="0" w:color="auto"/>
        <w:right w:val="none" w:sz="0" w:space="0" w:color="auto"/>
      </w:divBdr>
    </w:div>
    <w:div w:id="781146857">
      <w:bodyDiv w:val="1"/>
      <w:marLeft w:val="0"/>
      <w:marRight w:val="0"/>
      <w:marTop w:val="0"/>
      <w:marBottom w:val="0"/>
      <w:divBdr>
        <w:top w:val="none" w:sz="0" w:space="0" w:color="auto"/>
        <w:left w:val="none" w:sz="0" w:space="0" w:color="auto"/>
        <w:bottom w:val="none" w:sz="0" w:space="0" w:color="auto"/>
        <w:right w:val="none" w:sz="0" w:space="0" w:color="auto"/>
      </w:divBdr>
    </w:div>
    <w:div w:id="781848878">
      <w:bodyDiv w:val="1"/>
      <w:marLeft w:val="0"/>
      <w:marRight w:val="0"/>
      <w:marTop w:val="0"/>
      <w:marBottom w:val="0"/>
      <w:divBdr>
        <w:top w:val="none" w:sz="0" w:space="0" w:color="auto"/>
        <w:left w:val="none" w:sz="0" w:space="0" w:color="auto"/>
        <w:bottom w:val="none" w:sz="0" w:space="0" w:color="auto"/>
        <w:right w:val="none" w:sz="0" w:space="0" w:color="auto"/>
      </w:divBdr>
    </w:div>
    <w:div w:id="782308708">
      <w:bodyDiv w:val="1"/>
      <w:marLeft w:val="0"/>
      <w:marRight w:val="0"/>
      <w:marTop w:val="0"/>
      <w:marBottom w:val="0"/>
      <w:divBdr>
        <w:top w:val="none" w:sz="0" w:space="0" w:color="auto"/>
        <w:left w:val="none" w:sz="0" w:space="0" w:color="auto"/>
        <w:bottom w:val="none" w:sz="0" w:space="0" w:color="auto"/>
        <w:right w:val="none" w:sz="0" w:space="0" w:color="auto"/>
      </w:divBdr>
    </w:div>
    <w:div w:id="782917563">
      <w:bodyDiv w:val="1"/>
      <w:marLeft w:val="0"/>
      <w:marRight w:val="0"/>
      <w:marTop w:val="0"/>
      <w:marBottom w:val="0"/>
      <w:divBdr>
        <w:top w:val="none" w:sz="0" w:space="0" w:color="auto"/>
        <w:left w:val="none" w:sz="0" w:space="0" w:color="auto"/>
        <w:bottom w:val="none" w:sz="0" w:space="0" w:color="auto"/>
        <w:right w:val="none" w:sz="0" w:space="0" w:color="auto"/>
      </w:divBdr>
    </w:div>
    <w:div w:id="783965538">
      <w:bodyDiv w:val="1"/>
      <w:marLeft w:val="0"/>
      <w:marRight w:val="0"/>
      <w:marTop w:val="0"/>
      <w:marBottom w:val="0"/>
      <w:divBdr>
        <w:top w:val="none" w:sz="0" w:space="0" w:color="auto"/>
        <w:left w:val="none" w:sz="0" w:space="0" w:color="auto"/>
        <w:bottom w:val="none" w:sz="0" w:space="0" w:color="auto"/>
        <w:right w:val="none" w:sz="0" w:space="0" w:color="auto"/>
      </w:divBdr>
    </w:div>
    <w:div w:id="784078710">
      <w:bodyDiv w:val="1"/>
      <w:marLeft w:val="0"/>
      <w:marRight w:val="0"/>
      <w:marTop w:val="0"/>
      <w:marBottom w:val="0"/>
      <w:divBdr>
        <w:top w:val="none" w:sz="0" w:space="0" w:color="auto"/>
        <w:left w:val="none" w:sz="0" w:space="0" w:color="auto"/>
        <w:bottom w:val="none" w:sz="0" w:space="0" w:color="auto"/>
        <w:right w:val="none" w:sz="0" w:space="0" w:color="auto"/>
      </w:divBdr>
    </w:div>
    <w:div w:id="784468091">
      <w:bodyDiv w:val="1"/>
      <w:marLeft w:val="0"/>
      <w:marRight w:val="0"/>
      <w:marTop w:val="0"/>
      <w:marBottom w:val="0"/>
      <w:divBdr>
        <w:top w:val="none" w:sz="0" w:space="0" w:color="auto"/>
        <w:left w:val="none" w:sz="0" w:space="0" w:color="auto"/>
        <w:bottom w:val="none" w:sz="0" w:space="0" w:color="auto"/>
        <w:right w:val="none" w:sz="0" w:space="0" w:color="auto"/>
      </w:divBdr>
    </w:div>
    <w:div w:id="784538427">
      <w:bodyDiv w:val="1"/>
      <w:marLeft w:val="0"/>
      <w:marRight w:val="0"/>
      <w:marTop w:val="0"/>
      <w:marBottom w:val="0"/>
      <w:divBdr>
        <w:top w:val="none" w:sz="0" w:space="0" w:color="auto"/>
        <w:left w:val="none" w:sz="0" w:space="0" w:color="auto"/>
        <w:bottom w:val="none" w:sz="0" w:space="0" w:color="auto"/>
        <w:right w:val="none" w:sz="0" w:space="0" w:color="auto"/>
      </w:divBdr>
    </w:div>
    <w:div w:id="785081862">
      <w:bodyDiv w:val="1"/>
      <w:marLeft w:val="0"/>
      <w:marRight w:val="0"/>
      <w:marTop w:val="0"/>
      <w:marBottom w:val="0"/>
      <w:divBdr>
        <w:top w:val="none" w:sz="0" w:space="0" w:color="auto"/>
        <w:left w:val="none" w:sz="0" w:space="0" w:color="auto"/>
        <w:bottom w:val="none" w:sz="0" w:space="0" w:color="auto"/>
        <w:right w:val="none" w:sz="0" w:space="0" w:color="auto"/>
      </w:divBdr>
    </w:div>
    <w:div w:id="785469236">
      <w:bodyDiv w:val="1"/>
      <w:marLeft w:val="0"/>
      <w:marRight w:val="0"/>
      <w:marTop w:val="0"/>
      <w:marBottom w:val="0"/>
      <w:divBdr>
        <w:top w:val="none" w:sz="0" w:space="0" w:color="auto"/>
        <w:left w:val="none" w:sz="0" w:space="0" w:color="auto"/>
        <w:bottom w:val="none" w:sz="0" w:space="0" w:color="auto"/>
        <w:right w:val="none" w:sz="0" w:space="0" w:color="auto"/>
      </w:divBdr>
    </w:div>
    <w:div w:id="786657777">
      <w:bodyDiv w:val="1"/>
      <w:marLeft w:val="0"/>
      <w:marRight w:val="0"/>
      <w:marTop w:val="0"/>
      <w:marBottom w:val="0"/>
      <w:divBdr>
        <w:top w:val="none" w:sz="0" w:space="0" w:color="auto"/>
        <w:left w:val="none" w:sz="0" w:space="0" w:color="auto"/>
        <w:bottom w:val="none" w:sz="0" w:space="0" w:color="auto"/>
        <w:right w:val="none" w:sz="0" w:space="0" w:color="auto"/>
      </w:divBdr>
    </w:div>
    <w:div w:id="788159625">
      <w:bodyDiv w:val="1"/>
      <w:marLeft w:val="0"/>
      <w:marRight w:val="0"/>
      <w:marTop w:val="0"/>
      <w:marBottom w:val="0"/>
      <w:divBdr>
        <w:top w:val="none" w:sz="0" w:space="0" w:color="auto"/>
        <w:left w:val="none" w:sz="0" w:space="0" w:color="auto"/>
        <w:bottom w:val="none" w:sz="0" w:space="0" w:color="auto"/>
        <w:right w:val="none" w:sz="0" w:space="0" w:color="auto"/>
      </w:divBdr>
      <w:divsChild>
        <w:div w:id="899826747">
          <w:marLeft w:val="0"/>
          <w:marRight w:val="0"/>
          <w:marTop w:val="0"/>
          <w:marBottom w:val="0"/>
          <w:divBdr>
            <w:top w:val="none" w:sz="0" w:space="0" w:color="auto"/>
            <w:left w:val="none" w:sz="0" w:space="0" w:color="auto"/>
            <w:bottom w:val="none" w:sz="0" w:space="0" w:color="auto"/>
            <w:right w:val="none" w:sz="0" w:space="0" w:color="auto"/>
          </w:divBdr>
        </w:div>
        <w:div w:id="1438792573">
          <w:marLeft w:val="0"/>
          <w:marRight w:val="0"/>
          <w:marTop w:val="0"/>
          <w:marBottom w:val="0"/>
          <w:divBdr>
            <w:top w:val="none" w:sz="0" w:space="0" w:color="auto"/>
            <w:left w:val="none" w:sz="0" w:space="0" w:color="auto"/>
            <w:bottom w:val="none" w:sz="0" w:space="0" w:color="auto"/>
            <w:right w:val="none" w:sz="0" w:space="0" w:color="auto"/>
          </w:divBdr>
        </w:div>
      </w:divsChild>
    </w:div>
    <w:div w:id="788356399">
      <w:bodyDiv w:val="1"/>
      <w:marLeft w:val="0"/>
      <w:marRight w:val="0"/>
      <w:marTop w:val="0"/>
      <w:marBottom w:val="0"/>
      <w:divBdr>
        <w:top w:val="none" w:sz="0" w:space="0" w:color="auto"/>
        <w:left w:val="none" w:sz="0" w:space="0" w:color="auto"/>
        <w:bottom w:val="none" w:sz="0" w:space="0" w:color="auto"/>
        <w:right w:val="none" w:sz="0" w:space="0" w:color="auto"/>
      </w:divBdr>
    </w:div>
    <w:div w:id="788933622">
      <w:bodyDiv w:val="1"/>
      <w:marLeft w:val="0"/>
      <w:marRight w:val="0"/>
      <w:marTop w:val="0"/>
      <w:marBottom w:val="0"/>
      <w:divBdr>
        <w:top w:val="none" w:sz="0" w:space="0" w:color="auto"/>
        <w:left w:val="none" w:sz="0" w:space="0" w:color="auto"/>
        <w:bottom w:val="none" w:sz="0" w:space="0" w:color="auto"/>
        <w:right w:val="none" w:sz="0" w:space="0" w:color="auto"/>
      </w:divBdr>
    </w:div>
    <w:div w:id="790242120">
      <w:bodyDiv w:val="1"/>
      <w:marLeft w:val="0"/>
      <w:marRight w:val="0"/>
      <w:marTop w:val="0"/>
      <w:marBottom w:val="0"/>
      <w:divBdr>
        <w:top w:val="none" w:sz="0" w:space="0" w:color="auto"/>
        <w:left w:val="none" w:sz="0" w:space="0" w:color="auto"/>
        <w:bottom w:val="none" w:sz="0" w:space="0" w:color="auto"/>
        <w:right w:val="none" w:sz="0" w:space="0" w:color="auto"/>
      </w:divBdr>
    </w:div>
    <w:div w:id="790787490">
      <w:bodyDiv w:val="1"/>
      <w:marLeft w:val="0"/>
      <w:marRight w:val="0"/>
      <w:marTop w:val="0"/>
      <w:marBottom w:val="0"/>
      <w:divBdr>
        <w:top w:val="none" w:sz="0" w:space="0" w:color="auto"/>
        <w:left w:val="none" w:sz="0" w:space="0" w:color="auto"/>
        <w:bottom w:val="none" w:sz="0" w:space="0" w:color="auto"/>
        <w:right w:val="none" w:sz="0" w:space="0" w:color="auto"/>
      </w:divBdr>
    </w:div>
    <w:div w:id="791898866">
      <w:bodyDiv w:val="1"/>
      <w:marLeft w:val="0"/>
      <w:marRight w:val="0"/>
      <w:marTop w:val="0"/>
      <w:marBottom w:val="0"/>
      <w:divBdr>
        <w:top w:val="none" w:sz="0" w:space="0" w:color="auto"/>
        <w:left w:val="none" w:sz="0" w:space="0" w:color="auto"/>
        <w:bottom w:val="none" w:sz="0" w:space="0" w:color="auto"/>
        <w:right w:val="none" w:sz="0" w:space="0" w:color="auto"/>
      </w:divBdr>
    </w:div>
    <w:div w:id="793138992">
      <w:bodyDiv w:val="1"/>
      <w:marLeft w:val="0"/>
      <w:marRight w:val="0"/>
      <w:marTop w:val="0"/>
      <w:marBottom w:val="0"/>
      <w:divBdr>
        <w:top w:val="none" w:sz="0" w:space="0" w:color="auto"/>
        <w:left w:val="none" w:sz="0" w:space="0" w:color="auto"/>
        <w:bottom w:val="none" w:sz="0" w:space="0" w:color="auto"/>
        <w:right w:val="none" w:sz="0" w:space="0" w:color="auto"/>
      </w:divBdr>
    </w:div>
    <w:div w:id="793718011">
      <w:bodyDiv w:val="1"/>
      <w:marLeft w:val="0"/>
      <w:marRight w:val="0"/>
      <w:marTop w:val="0"/>
      <w:marBottom w:val="0"/>
      <w:divBdr>
        <w:top w:val="none" w:sz="0" w:space="0" w:color="auto"/>
        <w:left w:val="none" w:sz="0" w:space="0" w:color="auto"/>
        <w:bottom w:val="none" w:sz="0" w:space="0" w:color="auto"/>
        <w:right w:val="none" w:sz="0" w:space="0" w:color="auto"/>
      </w:divBdr>
    </w:div>
    <w:div w:id="793868399">
      <w:bodyDiv w:val="1"/>
      <w:marLeft w:val="0"/>
      <w:marRight w:val="0"/>
      <w:marTop w:val="0"/>
      <w:marBottom w:val="0"/>
      <w:divBdr>
        <w:top w:val="none" w:sz="0" w:space="0" w:color="auto"/>
        <w:left w:val="none" w:sz="0" w:space="0" w:color="auto"/>
        <w:bottom w:val="none" w:sz="0" w:space="0" w:color="auto"/>
        <w:right w:val="none" w:sz="0" w:space="0" w:color="auto"/>
      </w:divBdr>
    </w:div>
    <w:div w:id="793906853">
      <w:bodyDiv w:val="1"/>
      <w:marLeft w:val="0"/>
      <w:marRight w:val="0"/>
      <w:marTop w:val="0"/>
      <w:marBottom w:val="0"/>
      <w:divBdr>
        <w:top w:val="none" w:sz="0" w:space="0" w:color="auto"/>
        <w:left w:val="none" w:sz="0" w:space="0" w:color="auto"/>
        <w:bottom w:val="none" w:sz="0" w:space="0" w:color="auto"/>
        <w:right w:val="none" w:sz="0" w:space="0" w:color="auto"/>
      </w:divBdr>
    </w:div>
    <w:div w:id="794910097">
      <w:bodyDiv w:val="1"/>
      <w:marLeft w:val="0"/>
      <w:marRight w:val="0"/>
      <w:marTop w:val="0"/>
      <w:marBottom w:val="0"/>
      <w:divBdr>
        <w:top w:val="none" w:sz="0" w:space="0" w:color="auto"/>
        <w:left w:val="none" w:sz="0" w:space="0" w:color="auto"/>
        <w:bottom w:val="none" w:sz="0" w:space="0" w:color="auto"/>
        <w:right w:val="none" w:sz="0" w:space="0" w:color="auto"/>
      </w:divBdr>
    </w:div>
    <w:div w:id="795562666">
      <w:bodyDiv w:val="1"/>
      <w:marLeft w:val="0"/>
      <w:marRight w:val="0"/>
      <w:marTop w:val="0"/>
      <w:marBottom w:val="0"/>
      <w:divBdr>
        <w:top w:val="none" w:sz="0" w:space="0" w:color="auto"/>
        <w:left w:val="none" w:sz="0" w:space="0" w:color="auto"/>
        <w:bottom w:val="none" w:sz="0" w:space="0" w:color="auto"/>
        <w:right w:val="none" w:sz="0" w:space="0" w:color="auto"/>
      </w:divBdr>
    </w:div>
    <w:div w:id="796803756">
      <w:bodyDiv w:val="1"/>
      <w:marLeft w:val="0"/>
      <w:marRight w:val="0"/>
      <w:marTop w:val="0"/>
      <w:marBottom w:val="0"/>
      <w:divBdr>
        <w:top w:val="none" w:sz="0" w:space="0" w:color="auto"/>
        <w:left w:val="none" w:sz="0" w:space="0" w:color="auto"/>
        <w:bottom w:val="none" w:sz="0" w:space="0" w:color="auto"/>
        <w:right w:val="none" w:sz="0" w:space="0" w:color="auto"/>
      </w:divBdr>
    </w:div>
    <w:div w:id="796988239">
      <w:bodyDiv w:val="1"/>
      <w:marLeft w:val="0"/>
      <w:marRight w:val="0"/>
      <w:marTop w:val="0"/>
      <w:marBottom w:val="0"/>
      <w:divBdr>
        <w:top w:val="none" w:sz="0" w:space="0" w:color="auto"/>
        <w:left w:val="none" w:sz="0" w:space="0" w:color="auto"/>
        <w:bottom w:val="none" w:sz="0" w:space="0" w:color="auto"/>
        <w:right w:val="none" w:sz="0" w:space="0" w:color="auto"/>
      </w:divBdr>
    </w:div>
    <w:div w:id="797072675">
      <w:bodyDiv w:val="1"/>
      <w:marLeft w:val="0"/>
      <w:marRight w:val="0"/>
      <w:marTop w:val="0"/>
      <w:marBottom w:val="0"/>
      <w:divBdr>
        <w:top w:val="none" w:sz="0" w:space="0" w:color="auto"/>
        <w:left w:val="none" w:sz="0" w:space="0" w:color="auto"/>
        <w:bottom w:val="none" w:sz="0" w:space="0" w:color="auto"/>
        <w:right w:val="none" w:sz="0" w:space="0" w:color="auto"/>
      </w:divBdr>
    </w:div>
    <w:div w:id="799036443">
      <w:bodyDiv w:val="1"/>
      <w:marLeft w:val="0"/>
      <w:marRight w:val="0"/>
      <w:marTop w:val="0"/>
      <w:marBottom w:val="0"/>
      <w:divBdr>
        <w:top w:val="none" w:sz="0" w:space="0" w:color="auto"/>
        <w:left w:val="none" w:sz="0" w:space="0" w:color="auto"/>
        <w:bottom w:val="none" w:sz="0" w:space="0" w:color="auto"/>
        <w:right w:val="none" w:sz="0" w:space="0" w:color="auto"/>
      </w:divBdr>
    </w:div>
    <w:div w:id="799149930">
      <w:bodyDiv w:val="1"/>
      <w:marLeft w:val="0"/>
      <w:marRight w:val="0"/>
      <w:marTop w:val="0"/>
      <w:marBottom w:val="0"/>
      <w:divBdr>
        <w:top w:val="none" w:sz="0" w:space="0" w:color="auto"/>
        <w:left w:val="none" w:sz="0" w:space="0" w:color="auto"/>
        <w:bottom w:val="none" w:sz="0" w:space="0" w:color="auto"/>
        <w:right w:val="none" w:sz="0" w:space="0" w:color="auto"/>
      </w:divBdr>
    </w:div>
    <w:div w:id="799806039">
      <w:bodyDiv w:val="1"/>
      <w:marLeft w:val="0"/>
      <w:marRight w:val="0"/>
      <w:marTop w:val="0"/>
      <w:marBottom w:val="0"/>
      <w:divBdr>
        <w:top w:val="none" w:sz="0" w:space="0" w:color="auto"/>
        <w:left w:val="none" w:sz="0" w:space="0" w:color="auto"/>
        <w:bottom w:val="none" w:sz="0" w:space="0" w:color="auto"/>
        <w:right w:val="none" w:sz="0" w:space="0" w:color="auto"/>
      </w:divBdr>
    </w:div>
    <w:div w:id="799809535">
      <w:bodyDiv w:val="1"/>
      <w:marLeft w:val="0"/>
      <w:marRight w:val="0"/>
      <w:marTop w:val="0"/>
      <w:marBottom w:val="0"/>
      <w:divBdr>
        <w:top w:val="none" w:sz="0" w:space="0" w:color="auto"/>
        <w:left w:val="none" w:sz="0" w:space="0" w:color="auto"/>
        <w:bottom w:val="none" w:sz="0" w:space="0" w:color="auto"/>
        <w:right w:val="none" w:sz="0" w:space="0" w:color="auto"/>
      </w:divBdr>
    </w:div>
    <w:div w:id="800542052">
      <w:bodyDiv w:val="1"/>
      <w:marLeft w:val="0"/>
      <w:marRight w:val="0"/>
      <w:marTop w:val="0"/>
      <w:marBottom w:val="0"/>
      <w:divBdr>
        <w:top w:val="none" w:sz="0" w:space="0" w:color="auto"/>
        <w:left w:val="none" w:sz="0" w:space="0" w:color="auto"/>
        <w:bottom w:val="none" w:sz="0" w:space="0" w:color="auto"/>
        <w:right w:val="none" w:sz="0" w:space="0" w:color="auto"/>
      </w:divBdr>
    </w:div>
    <w:div w:id="802691873">
      <w:bodyDiv w:val="1"/>
      <w:marLeft w:val="0"/>
      <w:marRight w:val="0"/>
      <w:marTop w:val="0"/>
      <w:marBottom w:val="0"/>
      <w:divBdr>
        <w:top w:val="none" w:sz="0" w:space="0" w:color="auto"/>
        <w:left w:val="none" w:sz="0" w:space="0" w:color="auto"/>
        <w:bottom w:val="none" w:sz="0" w:space="0" w:color="auto"/>
        <w:right w:val="none" w:sz="0" w:space="0" w:color="auto"/>
      </w:divBdr>
    </w:div>
    <w:div w:id="802891240">
      <w:bodyDiv w:val="1"/>
      <w:marLeft w:val="0"/>
      <w:marRight w:val="0"/>
      <w:marTop w:val="0"/>
      <w:marBottom w:val="0"/>
      <w:divBdr>
        <w:top w:val="none" w:sz="0" w:space="0" w:color="auto"/>
        <w:left w:val="none" w:sz="0" w:space="0" w:color="auto"/>
        <w:bottom w:val="none" w:sz="0" w:space="0" w:color="auto"/>
        <w:right w:val="none" w:sz="0" w:space="0" w:color="auto"/>
      </w:divBdr>
    </w:div>
    <w:div w:id="803235456">
      <w:bodyDiv w:val="1"/>
      <w:marLeft w:val="0"/>
      <w:marRight w:val="0"/>
      <w:marTop w:val="0"/>
      <w:marBottom w:val="0"/>
      <w:divBdr>
        <w:top w:val="none" w:sz="0" w:space="0" w:color="auto"/>
        <w:left w:val="none" w:sz="0" w:space="0" w:color="auto"/>
        <w:bottom w:val="none" w:sz="0" w:space="0" w:color="auto"/>
        <w:right w:val="none" w:sz="0" w:space="0" w:color="auto"/>
      </w:divBdr>
    </w:div>
    <w:div w:id="805857342">
      <w:bodyDiv w:val="1"/>
      <w:marLeft w:val="0"/>
      <w:marRight w:val="0"/>
      <w:marTop w:val="0"/>
      <w:marBottom w:val="0"/>
      <w:divBdr>
        <w:top w:val="none" w:sz="0" w:space="0" w:color="auto"/>
        <w:left w:val="none" w:sz="0" w:space="0" w:color="auto"/>
        <w:bottom w:val="none" w:sz="0" w:space="0" w:color="auto"/>
        <w:right w:val="none" w:sz="0" w:space="0" w:color="auto"/>
      </w:divBdr>
    </w:div>
    <w:div w:id="805977271">
      <w:bodyDiv w:val="1"/>
      <w:marLeft w:val="0"/>
      <w:marRight w:val="0"/>
      <w:marTop w:val="0"/>
      <w:marBottom w:val="0"/>
      <w:divBdr>
        <w:top w:val="none" w:sz="0" w:space="0" w:color="auto"/>
        <w:left w:val="none" w:sz="0" w:space="0" w:color="auto"/>
        <w:bottom w:val="none" w:sz="0" w:space="0" w:color="auto"/>
        <w:right w:val="none" w:sz="0" w:space="0" w:color="auto"/>
      </w:divBdr>
    </w:div>
    <w:div w:id="809327966">
      <w:bodyDiv w:val="1"/>
      <w:marLeft w:val="0"/>
      <w:marRight w:val="0"/>
      <w:marTop w:val="0"/>
      <w:marBottom w:val="0"/>
      <w:divBdr>
        <w:top w:val="none" w:sz="0" w:space="0" w:color="auto"/>
        <w:left w:val="none" w:sz="0" w:space="0" w:color="auto"/>
        <w:bottom w:val="none" w:sz="0" w:space="0" w:color="auto"/>
        <w:right w:val="none" w:sz="0" w:space="0" w:color="auto"/>
      </w:divBdr>
    </w:div>
    <w:div w:id="811289347">
      <w:bodyDiv w:val="1"/>
      <w:marLeft w:val="0"/>
      <w:marRight w:val="0"/>
      <w:marTop w:val="0"/>
      <w:marBottom w:val="0"/>
      <w:divBdr>
        <w:top w:val="none" w:sz="0" w:space="0" w:color="auto"/>
        <w:left w:val="none" w:sz="0" w:space="0" w:color="auto"/>
        <w:bottom w:val="none" w:sz="0" w:space="0" w:color="auto"/>
        <w:right w:val="none" w:sz="0" w:space="0" w:color="auto"/>
      </w:divBdr>
    </w:div>
    <w:div w:id="811795126">
      <w:bodyDiv w:val="1"/>
      <w:marLeft w:val="0"/>
      <w:marRight w:val="0"/>
      <w:marTop w:val="0"/>
      <w:marBottom w:val="0"/>
      <w:divBdr>
        <w:top w:val="none" w:sz="0" w:space="0" w:color="auto"/>
        <w:left w:val="none" w:sz="0" w:space="0" w:color="auto"/>
        <w:bottom w:val="none" w:sz="0" w:space="0" w:color="auto"/>
        <w:right w:val="none" w:sz="0" w:space="0" w:color="auto"/>
      </w:divBdr>
    </w:div>
    <w:div w:id="811941539">
      <w:bodyDiv w:val="1"/>
      <w:marLeft w:val="0"/>
      <w:marRight w:val="0"/>
      <w:marTop w:val="0"/>
      <w:marBottom w:val="0"/>
      <w:divBdr>
        <w:top w:val="none" w:sz="0" w:space="0" w:color="auto"/>
        <w:left w:val="none" w:sz="0" w:space="0" w:color="auto"/>
        <w:bottom w:val="none" w:sz="0" w:space="0" w:color="auto"/>
        <w:right w:val="none" w:sz="0" w:space="0" w:color="auto"/>
      </w:divBdr>
    </w:div>
    <w:div w:id="815604339">
      <w:bodyDiv w:val="1"/>
      <w:marLeft w:val="0"/>
      <w:marRight w:val="0"/>
      <w:marTop w:val="0"/>
      <w:marBottom w:val="0"/>
      <w:divBdr>
        <w:top w:val="none" w:sz="0" w:space="0" w:color="auto"/>
        <w:left w:val="none" w:sz="0" w:space="0" w:color="auto"/>
        <w:bottom w:val="none" w:sz="0" w:space="0" w:color="auto"/>
        <w:right w:val="none" w:sz="0" w:space="0" w:color="auto"/>
      </w:divBdr>
    </w:div>
    <w:div w:id="815948093">
      <w:bodyDiv w:val="1"/>
      <w:marLeft w:val="0"/>
      <w:marRight w:val="0"/>
      <w:marTop w:val="0"/>
      <w:marBottom w:val="0"/>
      <w:divBdr>
        <w:top w:val="none" w:sz="0" w:space="0" w:color="auto"/>
        <w:left w:val="none" w:sz="0" w:space="0" w:color="auto"/>
        <w:bottom w:val="none" w:sz="0" w:space="0" w:color="auto"/>
        <w:right w:val="none" w:sz="0" w:space="0" w:color="auto"/>
      </w:divBdr>
    </w:div>
    <w:div w:id="816340008">
      <w:bodyDiv w:val="1"/>
      <w:marLeft w:val="0"/>
      <w:marRight w:val="0"/>
      <w:marTop w:val="0"/>
      <w:marBottom w:val="0"/>
      <w:divBdr>
        <w:top w:val="none" w:sz="0" w:space="0" w:color="auto"/>
        <w:left w:val="none" w:sz="0" w:space="0" w:color="auto"/>
        <w:bottom w:val="none" w:sz="0" w:space="0" w:color="auto"/>
        <w:right w:val="none" w:sz="0" w:space="0" w:color="auto"/>
      </w:divBdr>
    </w:div>
    <w:div w:id="816343137">
      <w:bodyDiv w:val="1"/>
      <w:marLeft w:val="0"/>
      <w:marRight w:val="0"/>
      <w:marTop w:val="0"/>
      <w:marBottom w:val="0"/>
      <w:divBdr>
        <w:top w:val="none" w:sz="0" w:space="0" w:color="auto"/>
        <w:left w:val="none" w:sz="0" w:space="0" w:color="auto"/>
        <w:bottom w:val="none" w:sz="0" w:space="0" w:color="auto"/>
        <w:right w:val="none" w:sz="0" w:space="0" w:color="auto"/>
      </w:divBdr>
    </w:div>
    <w:div w:id="816801096">
      <w:bodyDiv w:val="1"/>
      <w:marLeft w:val="0"/>
      <w:marRight w:val="0"/>
      <w:marTop w:val="0"/>
      <w:marBottom w:val="0"/>
      <w:divBdr>
        <w:top w:val="none" w:sz="0" w:space="0" w:color="auto"/>
        <w:left w:val="none" w:sz="0" w:space="0" w:color="auto"/>
        <w:bottom w:val="none" w:sz="0" w:space="0" w:color="auto"/>
        <w:right w:val="none" w:sz="0" w:space="0" w:color="auto"/>
      </w:divBdr>
    </w:div>
    <w:div w:id="817310327">
      <w:bodyDiv w:val="1"/>
      <w:marLeft w:val="0"/>
      <w:marRight w:val="0"/>
      <w:marTop w:val="0"/>
      <w:marBottom w:val="0"/>
      <w:divBdr>
        <w:top w:val="none" w:sz="0" w:space="0" w:color="auto"/>
        <w:left w:val="none" w:sz="0" w:space="0" w:color="auto"/>
        <w:bottom w:val="none" w:sz="0" w:space="0" w:color="auto"/>
        <w:right w:val="none" w:sz="0" w:space="0" w:color="auto"/>
      </w:divBdr>
    </w:div>
    <w:div w:id="819344869">
      <w:bodyDiv w:val="1"/>
      <w:marLeft w:val="0"/>
      <w:marRight w:val="0"/>
      <w:marTop w:val="0"/>
      <w:marBottom w:val="0"/>
      <w:divBdr>
        <w:top w:val="none" w:sz="0" w:space="0" w:color="auto"/>
        <w:left w:val="none" w:sz="0" w:space="0" w:color="auto"/>
        <w:bottom w:val="none" w:sz="0" w:space="0" w:color="auto"/>
        <w:right w:val="none" w:sz="0" w:space="0" w:color="auto"/>
      </w:divBdr>
    </w:div>
    <w:div w:id="819346978">
      <w:bodyDiv w:val="1"/>
      <w:marLeft w:val="0"/>
      <w:marRight w:val="0"/>
      <w:marTop w:val="0"/>
      <w:marBottom w:val="0"/>
      <w:divBdr>
        <w:top w:val="none" w:sz="0" w:space="0" w:color="auto"/>
        <w:left w:val="none" w:sz="0" w:space="0" w:color="auto"/>
        <w:bottom w:val="none" w:sz="0" w:space="0" w:color="auto"/>
        <w:right w:val="none" w:sz="0" w:space="0" w:color="auto"/>
      </w:divBdr>
    </w:div>
    <w:div w:id="819351002">
      <w:bodyDiv w:val="1"/>
      <w:marLeft w:val="0"/>
      <w:marRight w:val="0"/>
      <w:marTop w:val="0"/>
      <w:marBottom w:val="0"/>
      <w:divBdr>
        <w:top w:val="none" w:sz="0" w:space="0" w:color="auto"/>
        <w:left w:val="none" w:sz="0" w:space="0" w:color="auto"/>
        <w:bottom w:val="none" w:sz="0" w:space="0" w:color="auto"/>
        <w:right w:val="none" w:sz="0" w:space="0" w:color="auto"/>
      </w:divBdr>
    </w:div>
    <w:div w:id="820341699">
      <w:bodyDiv w:val="1"/>
      <w:marLeft w:val="0"/>
      <w:marRight w:val="0"/>
      <w:marTop w:val="0"/>
      <w:marBottom w:val="0"/>
      <w:divBdr>
        <w:top w:val="none" w:sz="0" w:space="0" w:color="auto"/>
        <w:left w:val="none" w:sz="0" w:space="0" w:color="auto"/>
        <w:bottom w:val="none" w:sz="0" w:space="0" w:color="auto"/>
        <w:right w:val="none" w:sz="0" w:space="0" w:color="auto"/>
      </w:divBdr>
    </w:div>
    <w:div w:id="822232632">
      <w:bodyDiv w:val="1"/>
      <w:marLeft w:val="0"/>
      <w:marRight w:val="0"/>
      <w:marTop w:val="0"/>
      <w:marBottom w:val="0"/>
      <w:divBdr>
        <w:top w:val="none" w:sz="0" w:space="0" w:color="auto"/>
        <w:left w:val="none" w:sz="0" w:space="0" w:color="auto"/>
        <w:bottom w:val="none" w:sz="0" w:space="0" w:color="auto"/>
        <w:right w:val="none" w:sz="0" w:space="0" w:color="auto"/>
      </w:divBdr>
    </w:div>
    <w:div w:id="824005767">
      <w:bodyDiv w:val="1"/>
      <w:marLeft w:val="0"/>
      <w:marRight w:val="0"/>
      <w:marTop w:val="0"/>
      <w:marBottom w:val="0"/>
      <w:divBdr>
        <w:top w:val="none" w:sz="0" w:space="0" w:color="auto"/>
        <w:left w:val="none" w:sz="0" w:space="0" w:color="auto"/>
        <w:bottom w:val="none" w:sz="0" w:space="0" w:color="auto"/>
        <w:right w:val="none" w:sz="0" w:space="0" w:color="auto"/>
      </w:divBdr>
    </w:div>
    <w:div w:id="824055738">
      <w:bodyDiv w:val="1"/>
      <w:marLeft w:val="0"/>
      <w:marRight w:val="0"/>
      <w:marTop w:val="0"/>
      <w:marBottom w:val="0"/>
      <w:divBdr>
        <w:top w:val="none" w:sz="0" w:space="0" w:color="auto"/>
        <w:left w:val="none" w:sz="0" w:space="0" w:color="auto"/>
        <w:bottom w:val="none" w:sz="0" w:space="0" w:color="auto"/>
        <w:right w:val="none" w:sz="0" w:space="0" w:color="auto"/>
      </w:divBdr>
    </w:div>
    <w:div w:id="824980663">
      <w:bodyDiv w:val="1"/>
      <w:marLeft w:val="0"/>
      <w:marRight w:val="0"/>
      <w:marTop w:val="0"/>
      <w:marBottom w:val="0"/>
      <w:divBdr>
        <w:top w:val="none" w:sz="0" w:space="0" w:color="auto"/>
        <w:left w:val="none" w:sz="0" w:space="0" w:color="auto"/>
        <w:bottom w:val="none" w:sz="0" w:space="0" w:color="auto"/>
        <w:right w:val="none" w:sz="0" w:space="0" w:color="auto"/>
      </w:divBdr>
    </w:div>
    <w:div w:id="825164560">
      <w:bodyDiv w:val="1"/>
      <w:marLeft w:val="0"/>
      <w:marRight w:val="0"/>
      <w:marTop w:val="0"/>
      <w:marBottom w:val="0"/>
      <w:divBdr>
        <w:top w:val="none" w:sz="0" w:space="0" w:color="auto"/>
        <w:left w:val="none" w:sz="0" w:space="0" w:color="auto"/>
        <w:bottom w:val="none" w:sz="0" w:space="0" w:color="auto"/>
        <w:right w:val="none" w:sz="0" w:space="0" w:color="auto"/>
      </w:divBdr>
    </w:div>
    <w:div w:id="828013489">
      <w:bodyDiv w:val="1"/>
      <w:marLeft w:val="0"/>
      <w:marRight w:val="0"/>
      <w:marTop w:val="0"/>
      <w:marBottom w:val="0"/>
      <w:divBdr>
        <w:top w:val="none" w:sz="0" w:space="0" w:color="auto"/>
        <w:left w:val="none" w:sz="0" w:space="0" w:color="auto"/>
        <w:bottom w:val="none" w:sz="0" w:space="0" w:color="auto"/>
        <w:right w:val="none" w:sz="0" w:space="0" w:color="auto"/>
      </w:divBdr>
    </w:div>
    <w:div w:id="832179265">
      <w:bodyDiv w:val="1"/>
      <w:marLeft w:val="0"/>
      <w:marRight w:val="0"/>
      <w:marTop w:val="0"/>
      <w:marBottom w:val="0"/>
      <w:divBdr>
        <w:top w:val="none" w:sz="0" w:space="0" w:color="auto"/>
        <w:left w:val="none" w:sz="0" w:space="0" w:color="auto"/>
        <w:bottom w:val="none" w:sz="0" w:space="0" w:color="auto"/>
        <w:right w:val="none" w:sz="0" w:space="0" w:color="auto"/>
      </w:divBdr>
    </w:div>
    <w:div w:id="832181300">
      <w:bodyDiv w:val="1"/>
      <w:marLeft w:val="0"/>
      <w:marRight w:val="0"/>
      <w:marTop w:val="0"/>
      <w:marBottom w:val="0"/>
      <w:divBdr>
        <w:top w:val="none" w:sz="0" w:space="0" w:color="auto"/>
        <w:left w:val="none" w:sz="0" w:space="0" w:color="auto"/>
        <w:bottom w:val="none" w:sz="0" w:space="0" w:color="auto"/>
        <w:right w:val="none" w:sz="0" w:space="0" w:color="auto"/>
      </w:divBdr>
    </w:div>
    <w:div w:id="833952287">
      <w:bodyDiv w:val="1"/>
      <w:marLeft w:val="0"/>
      <w:marRight w:val="0"/>
      <w:marTop w:val="0"/>
      <w:marBottom w:val="0"/>
      <w:divBdr>
        <w:top w:val="none" w:sz="0" w:space="0" w:color="auto"/>
        <w:left w:val="none" w:sz="0" w:space="0" w:color="auto"/>
        <w:bottom w:val="none" w:sz="0" w:space="0" w:color="auto"/>
        <w:right w:val="none" w:sz="0" w:space="0" w:color="auto"/>
      </w:divBdr>
    </w:div>
    <w:div w:id="835070926">
      <w:bodyDiv w:val="1"/>
      <w:marLeft w:val="0"/>
      <w:marRight w:val="0"/>
      <w:marTop w:val="0"/>
      <w:marBottom w:val="0"/>
      <w:divBdr>
        <w:top w:val="none" w:sz="0" w:space="0" w:color="auto"/>
        <w:left w:val="none" w:sz="0" w:space="0" w:color="auto"/>
        <w:bottom w:val="none" w:sz="0" w:space="0" w:color="auto"/>
        <w:right w:val="none" w:sz="0" w:space="0" w:color="auto"/>
      </w:divBdr>
    </w:div>
    <w:div w:id="836112953">
      <w:bodyDiv w:val="1"/>
      <w:marLeft w:val="0"/>
      <w:marRight w:val="0"/>
      <w:marTop w:val="0"/>
      <w:marBottom w:val="0"/>
      <w:divBdr>
        <w:top w:val="none" w:sz="0" w:space="0" w:color="auto"/>
        <w:left w:val="none" w:sz="0" w:space="0" w:color="auto"/>
        <w:bottom w:val="none" w:sz="0" w:space="0" w:color="auto"/>
        <w:right w:val="none" w:sz="0" w:space="0" w:color="auto"/>
      </w:divBdr>
    </w:div>
    <w:div w:id="837042684">
      <w:bodyDiv w:val="1"/>
      <w:marLeft w:val="0"/>
      <w:marRight w:val="0"/>
      <w:marTop w:val="0"/>
      <w:marBottom w:val="0"/>
      <w:divBdr>
        <w:top w:val="none" w:sz="0" w:space="0" w:color="auto"/>
        <w:left w:val="none" w:sz="0" w:space="0" w:color="auto"/>
        <w:bottom w:val="none" w:sz="0" w:space="0" w:color="auto"/>
        <w:right w:val="none" w:sz="0" w:space="0" w:color="auto"/>
      </w:divBdr>
    </w:div>
    <w:div w:id="837504487">
      <w:bodyDiv w:val="1"/>
      <w:marLeft w:val="0"/>
      <w:marRight w:val="0"/>
      <w:marTop w:val="0"/>
      <w:marBottom w:val="0"/>
      <w:divBdr>
        <w:top w:val="none" w:sz="0" w:space="0" w:color="auto"/>
        <w:left w:val="none" w:sz="0" w:space="0" w:color="auto"/>
        <w:bottom w:val="none" w:sz="0" w:space="0" w:color="auto"/>
        <w:right w:val="none" w:sz="0" w:space="0" w:color="auto"/>
      </w:divBdr>
    </w:div>
    <w:div w:id="839391169">
      <w:bodyDiv w:val="1"/>
      <w:marLeft w:val="0"/>
      <w:marRight w:val="0"/>
      <w:marTop w:val="0"/>
      <w:marBottom w:val="0"/>
      <w:divBdr>
        <w:top w:val="none" w:sz="0" w:space="0" w:color="auto"/>
        <w:left w:val="none" w:sz="0" w:space="0" w:color="auto"/>
        <w:bottom w:val="none" w:sz="0" w:space="0" w:color="auto"/>
        <w:right w:val="none" w:sz="0" w:space="0" w:color="auto"/>
      </w:divBdr>
    </w:div>
    <w:div w:id="839582973">
      <w:bodyDiv w:val="1"/>
      <w:marLeft w:val="0"/>
      <w:marRight w:val="0"/>
      <w:marTop w:val="0"/>
      <w:marBottom w:val="0"/>
      <w:divBdr>
        <w:top w:val="none" w:sz="0" w:space="0" w:color="auto"/>
        <w:left w:val="none" w:sz="0" w:space="0" w:color="auto"/>
        <w:bottom w:val="none" w:sz="0" w:space="0" w:color="auto"/>
        <w:right w:val="none" w:sz="0" w:space="0" w:color="auto"/>
      </w:divBdr>
    </w:div>
    <w:div w:id="841553460">
      <w:bodyDiv w:val="1"/>
      <w:marLeft w:val="0"/>
      <w:marRight w:val="0"/>
      <w:marTop w:val="0"/>
      <w:marBottom w:val="0"/>
      <w:divBdr>
        <w:top w:val="none" w:sz="0" w:space="0" w:color="auto"/>
        <w:left w:val="none" w:sz="0" w:space="0" w:color="auto"/>
        <w:bottom w:val="none" w:sz="0" w:space="0" w:color="auto"/>
        <w:right w:val="none" w:sz="0" w:space="0" w:color="auto"/>
      </w:divBdr>
    </w:div>
    <w:div w:id="841891909">
      <w:bodyDiv w:val="1"/>
      <w:marLeft w:val="0"/>
      <w:marRight w:val="0"/>
      <w:marTop w:val="0"/>
      <w:marBottom w:val="0"/>
      <w:divBdr>
        <w:top w:val="none" w:sz="0" w:space="0" w:color="auto"/>
        <w:left w:val="none" w:sz="0" w:space="0" w:color="auto"/>
        <w:bottom w:val="none" w:sz="0" w:space="0" w:color="auto"/>
        <w:right w:val="none" w:sz="0" w:space="0" w:color="auto"/>
      </w:divBdr>
    </w:div>
    <w:div w:id="843978340">
      <w:bodyDiv w:val="1"/>
      <w:marLeft w:val="0"/>
      <w:marRight w:val="0"/>
      <w:marTop w:val="0"/>
      <w:marBottom w:val="0"/>
      <w:divBdr>
        <w:top w:val="none" w:sz="0" w:space="0" w:color="auto"/>
        <w:left w:val="none" w:sz="0" w:space="0" w:color="auto"/>
        <w:bottom w:val="none" w:sz="0" w:space="0" w:color="auto"/>
        <w:right w:val="none" w:sz="0" w:space="0" w:color="auto"/>
      </w:divBdr>
    </w:div>
    <w:div w:id="844124918">
      <w:bodyDiv w:val="1"/>
      <w:marLeft w:val="0"/>
      <w:marRight w:val="0"/>
      <w:marTop w:val="0"/>
      <w:marBottom w:val="0"/>
      <w:divBdr>
        <w:top w:val="none" w:sz="0" w:space="0" w:color="auto"/>
        <w:left w:val="none" w:sz="0" w:space="0" w:color="auto"/>
        <w:bottom w:val="none" w:sz="0" w:space="0" w:color="auto"/>
        <w:right w:val="none" w:sz="0" w:space="0" w:color="auto"/>
      </w:divBdr>
    </w:div>
    <w:div w:id="846167451">
      <w:bodyDiv w:val="1"/>
      <w:marLeft w:val="0"/>
      <w:marRight w:val="0"/>
      <w:marTop w:val="0"/>
      <w:marBottom w:val="0"/>
      <w:divBdr>
        <w:top w:val="none" w:sz="0" w:space="0" w:color="auto"/>
        <w:left w:val="none" w:sz="0" w:space="0" w:color="auto"/>
        <w:bottom w:val="none" w:sz="0" w:space="0" w:color="auto"/>
        <w:right w:val="none" w:sz="0" w:space="0" w:color="auto"/>
      </w:divBdr>
    </w:div>
    <w:div w:id="847713939">
      <w:bodyDiv w:val="1"/>
      <w:marLeft w:val="0"/>
      <w:marRight w:val="0"/>
      <w:marTop w:val="0"/>
      <w:marBottom w:val="0"/>
      <w:divBdr>
        <w:top w:val="none" w:sz="0" w:space="0" w:color="auto"/>
        <w:left w:val="none" w:sz="0" w:space="0" w:color="auto"/>
        <w:bottom w:val="none" w:sz="0" w:space="0" w:color="auto"/>
        <w:right w:val="none" w:sz="0" w:space="0" w:color="auto"/>
      </w:divBdr>
    </w:div>
    <w:div w:id="847984995">
      <w:bodyDiv w:val="1"/>
      <w:marLeft w:val="0"/>
      <w:marRight w:val="0"/>
      <w:marTop w:val="0"/>
      <w:marBottom w:val="0"/>
      <w:divBdr>
        <w:top w:val="none" w:sz="0" w:space="0" w:color="auto"/>
        <w:left w:val="none" w:sz="0" w:space="0" w:color="auto"/>
        <w:bottom w:val="none" w:sz="0" w:space="0" w:color="auto"/>
        <w:right w:val="none" w:sz="0" w:space="0" w:color="auto"/>
      </w:divBdr>
    </w:div>
    <w:div w:id="849174166">
      <w:bodyDiv w:val="1"/>
      <w:marLeft w:val="0"/>
      <w:marRight w:val="0"/>
      <w:marTop w:val="0"/>
      <w:marBottom w:val="0"/>
      <w:divBdr>
        <w:top w:val="none" w:sz="0" w:space="0" w:color="auto"/>
        <w:left w:val="none" w:sz="0" w:space="0" w:color="auto"/>
        <w:bottom w:val="none" w:sz="0" w:space="0" w:color="auto"/>
        <w:right w:val="none" w:sz="0" w:space="0" w:color="auto"/>
      </w:divBdr>
    </w:div>
    <w:div w:id="850489231">
      <w:bodyDiv w:val="1"/>
      <w:marLeft w:val="0"/>
      <w:marRight w:val="0"/>
      <w:marTop w:val="0"/>
      <w:marBottom w:val="0"/>
      <w:divBdr>
        <w:top w:val="none" w:sz="0" w:space="0" w:color="auto"/>
        <w:left w:val="none" w:sz="0" w:space="0" w:color="auto"/>
        <w:bottom w:val="none" w:sz="0" w:space="0" w:color="auto"/>
        <w:right w:val="none" w:sz="0" w:space="0" w:color="auto"/>
      </w:divBdr>
    </w:div>
    <w:div w:id="851260215">
      <w:bodyDiv w:val="1"/>
      <w:marLeft w:val="0"/>
      <w:marRight w:val="0"/>
      <w:marTop w:val="0"/>
      <w:marBottom w:val="0"/>
      <w:divBdr>
        <w:top w:val="none" w:sz="0" w:space="0" w:color="auto"/>
        <w:left w:val="none" w:sz="0" w:space="0" w:color="auto"/>
        <w:bottom w:val="none" w:sz="0" w:space="0" w:color="auto"/>
        <w:right w:val="none" w:sz="0" w:space="0" w:color="auto"/>
      </w:divBdr>
    </w:div>
    <w:div w:id="851649701">
      <w:bodyDiv w:val="1"/>
      <w:marLeft w:val="0"/>
      <w:marRight w:val="0"/>
      <w:marTop w:val="0"/>
      <w:marBottom w:val="0"/>
      <w:divBdr>
        <w:top w:val="none" w:sz="0" w:space="0" w:color="auto"/>
        <w:left w:val="none" w:sz="0" w:space="0" w:color="auto"/>
        <w:bottom w:val="none" w:sz="0" w:space="0" w:color="auto"/>
        <w:right w:val="none" w:sz="0" w:space="0" w:color="auto"/>
      </w:divBdr>
    </w:div>
    <w:div w:id="851801076">
      <w:bodyDiv w:val="1"/>
      <w:marLeft w:val="0"/>
      <w:marRight w:val="0"/>
      <w:marTop w:val="0"/>
      <w:marBottom w:val="0"/>
      <w:divBdr>
        <w:top w:val="none" w:sz="0" w:space="0" w:color="auto"/>
        <w:left w:val="none" w:sz="0" w:space="0" w:color="auto"/>
        <w:bottom w:val="none" w:sz="0" w:space="0" w:color="auto"/>
        <w:right w:val="none" w:sz="0" w:space="0" w:color="auto"/>
      </w:divBdr>
    </w:div>
    <w:div w:id="851844773">
      <w:bodyDiv w:val="1"/>
      <w:marLeft w:val="0"/>
      <w:marRight w:val="0"/>
      <w:marTop w:val="0"/>
      <w:marBottom w:val="0"/>
      <w:divBdr>
        <w:top w:val="none" w:sz="0" w:space="0" w:color="auto"/>
        <w:left w:val="none" w:sz="0" w:space="0" w:color="auto"/>
        <w:bottom w:val="none" w:sz="0" w:space="0" w:color="auto"/>
        <w:right w:val="none" w:sz="0" w:space="0" w:color="auto"/>
      </w:divBdr>
    </w:div>
    <w:div w:id="852766643">
      <w:bodyDiv w:val="1"/>
      <w:marLeft w:val="0"/>
      <w:marRight w:val="0"/>
      <w:marTop w:val="0"/>
      <w:marBottom w:val="0"/>
      <w:divBdr>
        <w:top w:val="none" w:sz="0" w:space="0" w:color="auto"/>
        <w:left w:val="none" w:sz="0" w:space="0" w:color="auto"/>
        <w:bottom w:val="none" w:sz="0" w:space="0" w:color="auto"/>
        <w:right w:val="none" w:sz="0" w:space="0" w:color="auto"/>
      </w:divBdr>
    </w:div>
    <w:div w:id="855727480">
      <w:bodyDiv w:val="1"/>
      <w:marLeft w:val="0"/>
      <w:marRight w:val="0"/>
      <w:marTop w:val="0"/>
      <w:marBottom w:val="0"/>
      <w:divBdr>
        <w:top w:val="none" w:sz="0" w:space="0" w:color="auto"/>
        <w:left w:val="none" w:sz="0" w:space="0" w:color="auto"/>
        <w:bottom w:val="none" w:sz="0" w:space="0" w:color="auto"/>
        <w:right w:val="none" w:sz="0" w:space="0" w:color="auto"/>
      </w:divBdr>
    </w:div>
    <w:div w:id="856696820">
      <w:bodyDiv w:val="1"/>
      <w:marLeft w:val="0"/>
      <w:marRight w:val="0"/>
      <w:marTop w:val="0"/>
      <w:marBottom w:val="0"/>
      <w:divBdr>
        <w:top w:val="none" w:sz="0" w:space="0" w:color="auto"/>
        <w:left w:val="none" w:sz="0" w:space="0" w:color="auto"/>
        <w:bottom w:val="none" w:sz="0" w:space="0" w:color="auto"/>
        <w:right w:val="none" w:sz="0" w:space="0" w:color="auto"/>
      </w:divBdr>
      <w:divsChild>
        <w:div w:id="919026637">
          <w:marLeft w:val="0"/>
          <w:marRight w:val="0"/>
          <w:marTop w:val="0"/>
          <w:marBottom w:val="0"/>
          <w:divBdr>
            <w:top w:val="none" w:sz="0" w:space="0" w:color="auto"/>
            <w:left w:val="none" w:sz="0" w:space="0" w:color="auto"/>
            <w:bottom w:val="none" w:sz="0" w:space="0" w:color="auto"/>
            <w:right w:val="none" w:sz="0" w:space="0" w:color="auto"/>
          </w:divBdr>
        </w:div>
      </w:divsChild>
    </w:div>
    <w:div w:id="857501481">
      <w:bodyDiv w:val="1"/>
      <w:marLeft w:val="0"/>
      <w:marRight w:val="0"/>
      <w:marTop w:val="0"/>
      <w:marBottom w:val="0"/>
      <w:divBdr>
        <w:top w:val="none" w:sz="0" w:space="0" w:color="auto"/>
        <w:left w:val="none" w:sz="0" w:space="0" w:color="auto"/>
        <w:bottom w:val="none" w:sz="0" w:space="0" w:color="auto"/>
        <w:right w:val="none" w:sz="0" w:space="0" w:color="auto"/>
      </w:divBdr>
    </w:div>
    <w:div w:id="857813937">
      <w:bodyDiv w:val="1"/>
      <w:marLeft w:val="0"/>
      <w:marRight w:val="0"/>
      <w:marTop w:val="0"/>
      <w:marBottom w:val="0"/>
      <w:divBdr>
        <w:top w:val="none" w:sz="0" w:space="0" w:color="auto"/>
        <w:left w:val="none" w:sz="0" w:space="0" w:color="auto"/>
        <w:bottom w:val="none" w:sz="0" w:space="0" w:color="auto"/>
        <w:right w:val="none" w:sz="0" w:space="0" w:color="auto"/>
      </w:divBdr>
    </w:div>
    <w:div w:id="858816485">
      <w:bodyDiv w:val="1"/>
      <w:marLeft w:val="0"/>
      <w:marRight w:val="0"/>
      <w:marTop w:val="0"/>
      <w:marBottom w:val="0"/>
      <w:divBdr>
        <w:top w:val="none" w:sz="0" w:space="0" w:color="auto"/>
        <w:left w:val="none" w:sz="0" w:space="0" w:color="auto"/>
        <w:bottom w:val="none" w:sz="0" w:space="0" w:color="auto"/>
        <w:right w:val="none" w:sz="0" w:space="0" w:color="auto"/>
      </w:divBdr>
    </w:div>
    <w:div w:id="859899121">
      <w:bodyDiv w:val="1"/>
      <w:marLeft w:val="0"/>
      <w:marRight w:val="0"/>
      <w:marTop w:val="0"/>
      <w:marBottom w:val="0"/>
      <w:divBdr>
        <w:top w:val="none" w:sz="0" w:space="0" w:color="auto"/>
        <w:left w:val="none" w:sz="0" w:space="0" w:color="auto"/>
        <w:bottom w:val="none" w:sz="0" w:space="0" w:color="auto"/>
        <w:right w:val="none" w:sz="0" w:space="0" w:color="auto"/>
      </w:divBdr>
    </w:div>
    <w:div w:id="860095848">
      <w:bodyDiv w:val="1"/>
      <w:marLeft w:val="0"/>
      <w:marRight w:val="0"/>
      <w:marTop w:val="0"/>
      <w:marBottom w:val="0"/>
      <w:divBdr>
        <w:top w:val="none" w:sz="0" w:space="0" w:color="auto"/>
        <w:left w:val="none" w:sz="0" w:space="0" w:color="auto"/>
        <w:bottom w:val="none" w:sz="0" w:space="0" w:color="auto"/>
        <w:right w:val="none" w:sz="0" w:space="0" w:color="auto"/>
      </w:divBdr>
    </w:div>
    <w:div w:id="860585064">
      <w:bodyDiv w:val="1"/>
      <w:marLeft w:val="0"/>
      <w:marRight w:val="0"/>
      <w:marTop w:val="0"/>
      <w:marBottom w:val="0"/>
      <w:divBdr>
        <w:top w:val="none" w:sz="0" w:space="0" w:color="auto"/>
        <w:left w:val="none" w:sz="0" w:space="0" w:color="auto"/>
        <w:bottom w:val="none" w:sz="0" w:space="0" w:color="auto"/>
        <w:right w:val="none" w:sz="0" w:space="0" w:color="auto"/>
      </w:divBdr>
    </w:div>
    <w:div w:id="861472850">
      <w:bodyDiv w:val="1"/>
      <w:marLeft w:val="0"/>
      <w:marRight w:val="0"/>
      <w:marTop w:val="0"/>
      <w:marBottom w:val="0"/>
      <w:divBdr>
        <w:top w:val="none" w:sz="0" w:space="0" w:color="auto"/>
        <w:left w:val="none" w:sz="0" w:space="0" w:color="auto"/>
        <w:bottom w:val="none" w:sz="0" w:space="0" w:color="auto"/>
        <w:right w:val="none" w:sz="0" w:space="0" w:color="auto"/>
      </w:divBdr>
    </w:div>
    <w:div w:id="861824542">
      <w:bodyDiv w:val="1"/>
      <w:marLeft w:val="0"/>
      <w:marRight w:val="0"/>
      <w:marTop w:val="0"/>
      <w:marBottom w:val="0"/>
      <w:divBdr>
        <w:top w:val="none" w:sz="0" w:space="0" w:color="auto"/>
        <w:left w:val="none" w:sz="0" w:space="0" w:color="auto"/>
        <w:bottom w:val="none" w:sz="0" w:space="0" w:color="auto"/>
        <w:right w:val="none" w:sz="0" w:space="0" w:color="auto"/>
      </w:divBdr>
    </w:div>
    <w:div w:id="863832235">
      <w:bodyDiv w:val="1"/>
      <w:marLeft w:val="0"/>
      <w:marRight w:val="0"/>
      <w:marTop w:val="0"/>
      <w:marBottom w:val="0"/>
      <w:divBdr>
        <w:top w:val="none" w:sz="0" w:space="0" w:color="auto"/>
        <w:left w:val="none" w:sz="0" w:space="0" w:color="auto"/>
        <w:bottom w:val="none" w:sz="0" w:space="0" w:color="auto"/>
        <w:right w:val="none" w:sz="0" w:space="0" w:color="auto"/>
      </w:divBdr>
    </w:div>
    <w:div w:id="865481436">
      <w:bodyDiv w:val="1"/>
      <w:marLeft w:val="0"/>
      <w:marRight w:val="0"/>
      <w:marTop w:val="0"/>
      <w:marBottom w:val="0"/>
      <w:divBdr>
        <w:top w:val="none" w:sz="0" w:space="0" w:color="auto"/>
        <w:left w:val="none" w:sz="0" w:space="0" w:color="auto"/>
        <w:bottom w:val="none" w:sz="0" w:space="0" w:color="auto"/>
        <w:right w:val="none" w:sz="0" w:space="0" w:color="auto"/>
      </w:divBdr>
    </w:div>
    <w:div w:id="866143854">
      <w:bodyDiv w:val="1"/>
      <w:marLeft w:val="0"/>
      <w:marRight w:val="0"/>
      <w:marTop w:val="0"/>
      <w:marBottom w:val="0"/>
      <w:divBdr>
        <w:top w:val="none" w:sz="0" w:space="0" w:color="auto"/>
        <w:left w:val="none" w:sz="0" w:space="0" w:color="auto"/>
        <w:bottom w:val="none" w:sz="0" w:space="0" w:color="auto"/>
        <w:right w:val="none" w:sz="0" w:space="0" w:color="auto"/>
      </w:divBdr>
    </w:div>
    <w:div w:id="866334907">
      <w:bodyDiv w:val="1"/>
      <w:marLeft w:val="0"/>
      <w:marRight w:val="0"/>
      <w:marTop w:val="0"/>
      <w:marBottom w:val="0"/>
      <w:divBdr>
        <w:top w:val="none" w:sz="0" w:space="0" w:color="auto"/>
        <w:left w:val="none" w:sz="0" w:space="0" w:color="auto"/>
        <w:bottom w:val="none" w:sz="0" w:space="0" w:color="auto"/>
        <w:right w:val="none" w:sz="0" w:space="0" w:color="auto"/>
      </w:divBdr>
    </w:div>
    <w:div w:id="867837814">
      <w:bodyDiv w:val="1"/>
      <w:marLeft w:val="0"/>
      <w:marRight w:val="0"/>
      <w:marTop w:val="0"/>
      <w:marBottom w:val="0"/>
      <w:divBdr>
        <w:top w:val="none" w:sz="0" w:space="0" w:color="auto"/>
        <w:left w:val="none" w:sz="0" w:space="0" w:color="auto"/>
        <w:bottom w:val="none" w:sz="0" w:space="0" w:color="auto"/>
        <w:right w:val="none" w:sz="0" w:space="0" w:color="auto"/>
      </w:divBdr>
    </w:div>
    <w:div w:id="868490211">
      <w:bodyDiv w:val="1"/>
      <w:marLeft w:val="0"/>
      <w:marRight w:val="0"/>
      <w:marTop w:val="0"/>
      <w:marBottom w:val="0"/>
      <w:divBdr>
        <w:top w:val="none" w:sz="0" w:space="0" w:color="auto"/>
        <w:left w:val="none" w:sz="0" w:space="0" w:color="auto"/>
        <w:bottom w:val="none" w:sz="0" w:space="0" w:color="auto"/>
        <w:right w:val="none" w:sz="0" w:space="0" w:color="auto"/>
      </w:divBdr>
    </w:div>
    <w:div w:id="871262510">
      <w:bodyDiv w:val="1"/>
      <w:marLeft w:val="0"/>
      <w:marRight w:val="0"/>
      <w:marTop w:val="0"/>
      <w:marBottom w:val="0"/>
      <w:divBdr>
        <w:top w:val="none" w:sz="0" w:space="0" w:color="auto"/>
        <w:left w:val="none" w:sz="0" w:space="0" w:color="auto"/>
        <w:bottom w:val="none" w:sz="0" w:space="0" w:color="auto"/>
        <w:right w:val="none" w:sz="0" w:space="0" w:color="auto"/>
      </w:divBdr>
    </w:div>
    <w:div w:id="871303673">
      <w:bodyDiv w:val="1"/>
      <w:marLeft w:val="0"/>
      <w:marRight w:val="0"/>
      <w:marTop w:val="0"/>
      <w:marBottom w:val="0"/>
      <w:divBdr>
        <w:top w:val="none" w:sz="0" w:space="0" w:color="auto"/>
        <w:left w:val="none" w:sz="0" w:space="0" w:color="auto"/>
        <w:bottom w:val="none" w:sz="0" w:space="0" w:color="auto"/>
        <w:right w:val="none" w:sz="0" w:space="0" w:color="auto"/>
      </w:divBdr>
    </w:div>
    <w:div w:id="872813772">
      <w:bodyDiv w:val="1"/>
      <w:marLeft w:val="0"/>
      <w:marRight w:val="0"/>
      <w:marTop w:val="0"/>
      <w:marBottom w:val="0"/>
      <w:divBdr>
        <w:top w:val="none" w:sz="0" w:space="0" w:color="auto"/>
        <w:left w:val="none" w:sz="0" w:space="0" w:color="auto"/>
        <w:bottom w:val="none" w:sz="0" w:space="0" w:color="auto"/>
        <w:right w:val="none" w:sz="0" w:space="0" w:color="auto"/>
      </w:divBdr>
    </w:div>
    <w:div w:id="874461642">
      <w:bodyDiv w:val="1"/>
      <w:marLeft w:val="0"/>
      <w:marRight w:val="0"/>
      <w:marTop w:val="0"/>
      <w:marBottom w:val="0"/>
      <w:divBdr>
        <w:top w:val="none" w:sz="0" w:space="0" w:color="auto"/>
        <w:left w:val="none" w:sz="0" w:space="0" w:color="auto"/>
        <w:bottom w:val="none" w:sz="0" w:space="0" w:color="auto"/>
        <w:right w:val="none" w:sz="0" w:space="0" w:color="auto"/>
      </w:divBdr>
    </w:div>
    <w:div w:id="875432792">
      <w:bodyDiv w:val="1"/>
      <w:marLeft w:val="0"/>
      <w:marRight w:val="0"/>
      <w:marTop w:val="0"/>
      <w:marBottom w:val="0"/>
      <w:divBdr>
        <w:top w:val="none" w:sz="0" w:space="0" w:color="auto"/>
        <w:left w:val="none" w:sz="0" w:space="0" w:color="auto"/>
        <w:bottom w:val="none" w:sz="0" w:space="0" w:color="auto"/>
        <w:right w:val="none" w:sz="0" w:space="0" w:color="auto"/>
      </w:divBdr>
    </w:div>
    <w:div w:id="875507721">
      <w:bodyDiv w:val="1"/>
      <w:marLeft w:val="0"/>
      <w:marRight w:val="0"/>
      <w:marTop w:val="0"/>
      <w:marBottom w:val="0"/>
      <w:divBdr>
        <w:top w:val="none" w:sz="0" w:space="0" w:color="auto"/>
        <w:left w:val="none" w:sz="0" w:space="0" w:color="auto"/>
        <w:bottom w:val="none" w:sz="0" w:space="0" w:color="auto"/>
        <w:right w:val="none" w:sz="0" w:space="0" w:color="auto"/>
      </w:divBdr>
    </w:div>
    <w:div w:id="876313675">
      <w:bodyDiv w:val="1"/>
      <w:marLeft w:val="0"/>
      <w:marRight w:val="0"/>
      <w:marTop w:val="0"/>
      <w:marBottom w:val="0"/>
      <w:divBdr>
        <w:top w:val="none" w:sz="0" w:space="0" w:color="auto"/>
        <w:left w:val="none" w:sz="0" w:space="0" w:color="auto"/>
        <w:bottom w:val="none" w:sz="0" w:space="0" w:color="auto"/>
        <w:right w:val="none" w:sz="0" w:space="0" w:color="auto"/>
      </w:divBdr>
    </w:div>
    <w:div w:id="877472086">
      <w:bodyDiv w:val="1"/>
      <w:marLeft w:val="0"/>
      <w:marRight w:val="0"/>
      <w:marTop w:val="0"/>
      <w:marBottom w:val="0"/>
      <w:divBdr>
        <w:top w:val="none" w:sz="0" w:space="0" w:color="auto"/>
        <w:left w:val="none" w:sz="0" w:space="0" w:color="auto"/>
        <w:bottom w:val="none" w:sz="0" w:space="0" w:color="auto"/>
        <w:right w:val="none" w:sz="0" w:space="0" w:color="auto"/>
      </w:divBdr>
    </w:div>
    <w:div w:id="880435175">
      <w:bodyDiv w:val="1"/>
      <w:marLeft w:val="0"/>
      <w:marRight w:val="0"/>
      <w:marTop w:val="0"/>
      <w:marBottom w:val="0"/>
      <w:divBdr>
        <w:top w:val="none" w:sz="0" w:space="0" w:color="auto"/>
        <w:left w:val="none" w:sz="0" w:space="0" w:color="auto"/>
        <w:bottom w:val="none" w:sz="0" w:space="0" w:color="auto"/>
        <w:right w:val="none" w:sz="0" w:space="0" w:color="auto"/>
      </w:divBdr>
    </w:div>
    <w:div w:id="887498680">
      <w:bodyDiv w:val="1"/>
      <w:marLeft w:val="0"/>
      <w:marRight w:val="0"/>
      <w:marTop w:val="0"/>
      <w:marBottom w:val="0"/>
      <w:divBdr>
        <w:top w:val="none" w:sz="0" w:space="0" w:color="auto"/>
        <w:left w:val="none" w:sz="0" w:space="0" w:color="auto"/>
        <w:bottom w:val="none" w:sz="0" w:space="0" w:color="auto"/>
        <w:right w:val="none" w:sz="0" w:space="0" w:color="auto"/>
      </w:divBdr>
    </w:div>
    <w:div w:id="887690766">
      <w:bodyDiv w:val="1"/>
      <w:marLeft w:val="0"/>
      <w:marRight w:val="0"/>
      <w:marTop w:val="0"/>
      <w:marBottom w:val="0"/>
      <w:divBdr>
        <w:top w:val="none" w:sz="0" w:space="0" w:color="auto"/>
        <w:left w:val="none" w:sz="0" w:space="0" w:color="auto"/>
        <w:bottom w:val="none" w:sz="0" w:space="0" w:color="auto"/>
        <w:right w:val="none" w:sz="0" w:space="0" w:color="auto"/>
      </w:divBdr>
    </w:div>
    <w:div w:id="887765785">
      <w:bodyDiv w:val="1"/>
      <w:marLeft w:val="0"/>
      <w:marRight w:val="0"/>
      <w:marTop w:val="0"/>
      <w:marBottom w:val="0"/>
      <w:divBdr>
        <w:top w:val="none" w:sz="0" w:space="0" w:color="auto"/>
        <w:left w:val="none" w:sz="0" w:space="0" w:color="auto"/>
        <w:bottom w:val="none" w:sz="0" w:space="0" w:color="auto"/>
        <w:right w:val="none" w:sz="0" w:space="0" w:color="auto"/>
      </w:divBdr>
    </w:div>
    <w:div w:id="888998426">
      <w:bodyDiv w:val="1"/>
      <w:marLeft w:val="0"/>
      <w:marRight w:val="0"/>
      <w:marTop w:val="0"/>
      <w:marBottom w:val="0"/>
      <w:divBdr>
        <w:top w:val="none" w:sz="0" w:space="0" w:color="auto"/>
        <w:left w:val="none" w:sz="0" w:space="0" w:color="auto"/>
        <w:bottom w:val="none" w:sz="0" w:space="0" w:color="auto"/>
        <w:right w:val="none" w:sz="0" w:space="0" w:color="auto"/>
      </w:divBdr>
    </w:div>
    <w:div w:id="890270539">
      <w:bodyDiv w:val="1"/>
      <w:marLeft w:val="0"/>
      <w:marRight w:val="0"/>
      <w:marTop w:val="0"/>
      <w:marBottom w:val="0"/>
      <w:divBdr>
        <w:top w:val="none" w:sz="0" w:space="0" w:color="auto"/>
        <w:left w:val="none" w:sz="0" w:space="0" w:color="auto"/>
        <w:bottom w:val="none" w:sz="0" w:space="0" w:color="auto"/>
        <w:right w:val="none" w:sz="0" w:space="0" w:color="auto"/>
      </w:divBdr>
    </w:div>
    <w:div w:id="890579355">
      <w:bodyDiv w:val="1"/>
      <w:marLeft w:val="0"/>
      <w:marRight w:val="0"/>
      <w:marTop w:val="0"/>
      <w:marBottom w:val="0"/>
      <w:divBdr>
        <w:top w:val="none" w:sz="0" w:space="0" w:color="auto"/>
        <w:left w:val="none" w:sz="0" w:space="0" w:color="auto"/>
        <w:bottom w:val="none" w:sz="0" w:space="0" w:color="auto"/>
        <w:right w:val="none" w:sz="0" w:space="0" w:color="auto"/>
      </w:divBdr>
    </w:div>
    <w:div w:id="895161543">
      <w:bodyDiv w:val="1"/>
      <w:marLeft w:val="0"/>
      <w:marRight w:val="0"/>
      <w:marTop w:val="0"/>
      <w:marBottom w:val="0"/>
      <w:divBdr>
        <w:top w:val="none" w:sz="0" w:space="0" w:color="auto"/>
        <w:left w:val="none" w:sz="0" w:space="0" w:color="auto"/>
        <w:bottom w:val="none" w:sz="0" w:space="0" w:color="auto"/>
        <w:right w:val="none" w:sz="0" w:space="0" w:color="auto"/>
      </w:divBdr>
    </w:div>
    <w:div w:id="895509645">
      <w:bodyDiv w:val="1"/>
      <w:marLeft w:val="0"/>
      <w:marRight w:val="0"/>
      <w:marTop w:val="0"/>
      <w:marBottom w:val="0"/>
      <w:divBdr>
        <w:top w:val="none" w:sz="0" w:space="0" w:color="auto"/>
        <w:left w:val="none" w:sz="0" w:space="0" w:color="auto"/>
        <w:bottom w:val="none" w:sz="0" w:space="0" w:color="auto"/>
        <w:right w:val="none" w:sz="0" w:space="0" w:color="auto"/>
      </w:divBdr>
    </w:div>
    <w:div w:id="895967451">
      <w:bodyDiv w:val="1"/>
      <w:marLeft w:val="0"/>
      <w:marRight w:val="0"/>
      <w:marTop w:val="0"/>
      <w:marBottom w:val="0"/>
      <w:divBdr>
        <w:top w:val="none" w:sz="0" w:space="0" w:color="auto"/>
        <w:left w:val="none" w:sz="0" w:space="0" w:color="auto"/>
        <w:bottom w:val="none" w:sz="0" w:space="0" w:color="auto"/>
        <w:right w:val="none" w:sz="0" w:space="0" w:color="auto"/>
      </w:divBdr>
    </w:div>
    <w:div w:id="897207546">
      <w:bodyDiv w:val="1"/>
      <w:marLeft w:val="0"/>
      <w:marRight w:val="0"/>
      <w:marTop w:val="0"/>
      <w:marBottom w:val="0"/>
      <w:divBdr>
        <w:top w:val="none" w:sz="0" w:space="0" w:color="auto"/>
        <w:left w:val="none" w:sz="0" w:space="0" w:color="auto"/>
        <w:bottom w:val="none" w:sz="0" w:space="0" w:color="auto"/>
        <w:right w:val="none" w:sz="0" w:space="0" w:color="auto"/>
      </w:divBdr>
    </w:div>
    <w:div w:id="897785552">
      <w:bodyDiv w:val="1"/>
      <w:marLeft w:val="0"/>
      <w:marRight w:val="0"/>
      <w:marTop w:val="0"/>
      <w:marBottom w:val="0"/>
      <w:divBdr>
        <w:top w:val="none" w:sz="0" w:space="0" w:color="auto"/>
        <w:left w:val="none" w:sz="0" w:space="0" w:color="auto"/>
        <w:bottom w:val="none" w:sz="0" w:space="0" w:color="auto"/>
        <w:right w:val="none" w:sz="0" w:space="0" w:color="auto"/>
      </w:divBdr>
    </w:div>
    <w:div w:id="898131910">
      <w:bodyDiv w:val="1"/>
      <w:marLeft w:val="0"/>
      <w:marRight w:val="0"/>
      <w:marTop w:val="0"/>
      <w:marBottom w:val="0"/>
      <w:divBdr>
        <w:top w:val="none" w:sz="0" w:space="0" w:color="auto"/>
        <w:left w:val="none" w:sz="0" w:space="0" w:color="auto"/>
        <w:bottom w:val="none" w:sz="0" w:space="0" w:color="auto"/>
        <w:right w:val="none" w:sz="0" w:space="0" w:color="auto"/>
      </w:divBdr>
    </w:div>
    <w:div w:id="898710691">
      <w:bodyDiv w:val="1"/>
      <w:marLeft w:val="0"/>
      <w:marRight w:val="0"/>
      <w:marTop w:val="0"/>
      <w:marBottom w:val="0"/>
      <w:divBdr>
        <w:top w:val="none" w:sz="0" w:space="0" w:color="auto"/>
        <w:left w:val="none" w:sz="0" w:space="0" w:color="auto"/>
        <w:bottom w:val="none" w:sz="0" w:space="0" w:color="auto"/>
        <w:right w:val="none" w:sz="0" w:space="0" w:color="auto"/>
      </w:divBdr>
    </w:div>
    <w:div w:id="899098561">
      <w:bodyDiv w:val="1"/>
      <w:marLeft w:val="0"/>
      <w:marRight w:val="0"/>
      <w:marTop w:val="0"/>
      <w:marBottom w:val="0"/>
      <w:divBdr>
        <w:top w:val="none" w:sz="0" w:space="0" w:color="auto"/>
        <w:left w:val="none" w:sz="0" w:space="0" w:color="auto"/>
        <w:bottom w:val="none" w:sz="0" w:space="0" w:color="auto"/>
        <w:right w:val="none" w:sz="0" w:space="0" w:color="auto"/>
      </w:divBdr>
    </w:div>
    <w:div w:id="899099076">
      <w:bodyDiv w:val="1"/>
      <w:marLeft w:val="0"/>
      <w:marRight w:val="0"/>
      <w:marTop w:val="0"/>
      <w:marBottom w:val="0"/>
      <w:divBdr>
        <w:top w:val="none" w:sz="0" w:space="0" w:color="auto"/>
        <w:left w:val="none" w:sz="0" w:space="0" w:color="auto"/>
        <w:bottom w:val="none" w:sz="0" w:space="0" w:color="auto"/>
        <w:right w:val="none" w:sz="0" w:space="0" w:color="auto"/>
      </w:divBdr>
    </w:div>
    <w:div w:id="900097086">
      <w:bodyDiv w:val="1"/>
      <w:marLeft w:val="0"/>
      <w:marRight w:val="0"/>
      <w:marTop w:val="0"/>
      <w:marBottom w:val="0"/>
      <w:divBdr>
        <w:top w:val="none" w:sz="0" w:space="0" w:color="auto"/>
        <w:left w:val="none" w:sz="0" w:space="0" w:color="auto"/>
        <w:bottom w:val="none" w:sz="0" w:space="0" w:color="auto"/>
        <w:right w:val="none" w:sz="0" w:space="0" w:color="auto"/>
      </w:divBdr>
    </w:div>
    <w:div w:id="902528168">
      <w:bodyDiv w:val="1"/>
      <w:marLeft w:val="0"/>
      <w:marRight w:val="0"/>
      <w:marTop w:val="0"/>
      <w:marBottom w:val="0"/>
      <w:divBdr>
        <w:top w:val="none" w:sz="0" w:space="0" w:color="auto"/>
        <w:left w:val="none" w:sz="0" w:space="0" w:color="auto"/>
        <w:bottom w:val="none" w:sz="0" w:space="0" w:color="auto"/>
        <w:right w:val="none" w:sz="0" w:space="0" w:color="auto"/>
      </w:divBdr>
    </w:div>
    <w:div w:id="903026268">
      <w:bodyDiv w:val="1"/>
      <w:marLeft w:val="0"/>
      <w:marRight w:val="0"/>
      <w:marTop w:val="0"/>
      <w:marBottom w:val="0"/>
      <w:divBdr>
        <w:top w:val="none" w:sz="0" w:space="0" w:color="auto"/>
        <w:left w:val="none" w:sz="0" w:space="0" w:color="auto"/>
        <w:bottom w:val="none" w:sz="0" w:space="0" w:color="auto"/>
        <w:right w:val="none" w:sz="0" w:space="0" w:color="auto"/>
      </w:divBdr>
    </w:div>
    <w:div w:id="904995466">
      <w:bodyDiv w:val="1"/>
      <w:marLeft w:val="0"/>
      <w:marRight w:val="0"/>
      <w:marTop w:val="0"/>
      <w:marBottom w:val="0"/>
      <w:divBdr>
        <w:top w:val="none" w:sz="0" w:space="0" w:color="auto"/>
        <w:left w:val="none" w:sz="0" w:space="0" w:color="auto"/>
        <w:bottom w:val="none" w:sz="0" w:space="0" w:color="auto"/>
        <w:right w:val="none" w:sz="0" w:space="0" w:color="auto"/>
      </w:divBdr>
    </w:div>
    <w:div w:id="906652698">
      <w:bodyDiv w:val="1"/>
      <w:marLeft w:val="0"/>
      <w:marRight w:val="0"/>
      <w:marTop w:val="0"/>
      <w:marBottom w:val="0"/>
      <w:divBdr>
        <w:top w:val="none" w:sz="0" w:space="0" w:color="auto"/>
        <w:left w:val="none" w:sz="0" w:space="0" w:color="auto"/>
        <w:bottom w:val="none" w:sz="0" w:space="0" w:color="auto"/>
        <w:right w:val="none" w:sz="0" w:space="0" w:color="auto"/>
      </w:divBdr>
    </w:div>
    <w:div w:id="907882721">
      <w:bodyDiv w:val="1"/>
      <w:marLeft w:val="0"/>
      <w:marRight w:val="0"/>
      <w:marTop w:val="0"/>
      <w:marBottom w:val="0"/>
      <w:divBdr>
        <w:top w:val="none" w:sz="0" w:space="0" w:color="auto"/>
        <w:left w:val="none" w:sz="0" w:space="0" w:color="auto"/>
        <w:bottom w:val="none" w:sz="0" w:space="0" w:color="auto"/>
        <w:right w:val="none" w:sz="0" w:space="0" w:color="auto"/>
      </w:divBdr>
    </w:div>
    <w:div w:id="909081208">
      <w:bodyDiv w:val="1"/>
      <w:marLeft w:val="0"/>
      <w:marRight w:val="0"/>
      <w:marTop w:val="0"/>
      <w:marBottom w:val="0"/>
      <w:divBdr>
        <w:top w:val="none" w:sz="0" w:space="0" w:color="auto"/>
        <w:left w:val="none" w:sz="0" w:space="0" w:color="auto"/>
        <w:bottom w:val="none" w:sz="0" w:space="0" w:color="auto"/>
        <w:right w:val="none" w:sz="0" w:space="0" w:color="auto"/>
      </w:divBdr>
    </w:div>
    <w:div w:id="909120238">
      <w:bodyDiv w:val="1"/>
      <w:marLeft w:val="0"/>
      <w:marRight w:val="0"/>
      <w:marTop w:val="0"/>
      <w:marBottom w:val="0"/>
      <w:divBdr>
        <w:top w:val="none" w:sz="0" w:space="0" w:color="auto"/>
        <w:left w:val="none" w:sz="0" w:space="0" w:color="auto"/>
        <w:bottom w:val="none" w:sz="0" w:space="0" w:color="auto"/>
        <w:right w:val="none" w:sz="0" w:space="0" w:color="auto"/>
      </w:divBdr>
    </w:div>
    <w:div w:id="909147205">
      <w:bodyDiv w:val="1"/>
      <w:marLeft w:val="0"/>
      <w:marRight w:val="0"/>
      <w:marTop w:val="0"/>
      <w:marBottom w:val="0"/>
      <w:divBdr>
        <w:top w:val="none" w:sz="0" w:space="0" w:color="auto"/>
        <w:left w:val="none" w:sz="0" w:space="0" w:color="auto"/>
        <w:bottom w:val="none" w:sz="0" w:space="0" w:color="auto"/>
        <w:right w:val="none" w:sz="0" w:space="0" w:color="auto"/>
      </w:divBdr>
    </w:div>
    <w:div w:id="909971894">
      <w:bodyDiv w:val="1"/>
      <w:marLeft w:val="0"/>
      <w:marRight w:val="0"/>
      <w:marTop w:val="0"/>
      <w:marBottom w:val="0"/>
      <w:divBdr>
        <w:top w:val="none" w:sz="0" w:space="0" w:color="auto"/>
        <w:left w:val="none" w:sz="0" w:space="0" w:color="auto"/>
        <w:bottom w:val="none" w:sz="0" w:space="0" w:color="auto"/>
        <w:right w:val="none" w:sz="0" w:space="0" w:color="auto"/>
      </w:divBdr>
    </w:div>
    <w:div w:id="910038887">
      <w:bodyDiv w:val="1"/>
      <w:marLeft w:val="0"/>
      <w:marRight w:val="0"/>
      <w:marTop w:val="0"/>
      <w:marBottom w:val="0"/>
      <w:divBdr>
        <w:top w:val="none" w:sz="0" w:space="0" w:color="auto"/>
        <w:left w:val="none" w:sz="0" w:space="0" w:color="auto"/>
        <w:bottom w:val="none" w:sz="0" w:space="0" w:color="auto"/>
        <w:right w:val="none" w:sz="0" w:space="0" w:color="auto"/>
      </w:divBdr>
    </w:div>
    <w:div w:id="912813736">
      <w:bodyDiv w:val="1"/>
      <w:marLeft w:val="0"/>
      <w:marRight w:val="0"/>
      <w:marTop w:val="0"/>
      <w:marBottom w:val="0"/>
      <w:divBdr>
        <w:top w:val="none" w:sz="0" w:space="0" w:color="auto"/>
        <w:left w:val="none" w:sz="0" w:space="0" w:color="auto"/>
        <w:bottom w:val="none" w:sz="0" w:space="0" w:color="auto"/>
        <w:right w:val="none" w:sz="0" w:space="0" w:color="auto"/>
      </w:divBdr>
    </w:div>
    <w:div w:id="912861539">
      <w:bodyDiv w:val="1"/>
      <w:marLeft w:val="0"/>
      <w:marRight w:val="0"/>
      <w:marTop w:val="0"/>
      <w:marBottom w:val="0"/>
      <w:divBdr>
        <w:top w:val="none" w:sz="0" w:space="0" w:color="auto"/>
        <w:left w:val="none" w:sz="0" w:space="0" w:color="auto"/>
        <w:bottom w:val="none" w:sz="0" w:space="0" w:color="auto"/>
        <w:right w:val="none" w:sz="0" w:space="0" w:color="auto"/>
      </w:divBdr>
    </w:div>
    <w:div w:id="915093703">
      <w:bodyDiv w:val="1"/>
      <w:marLeft w:val="0"/>
      <w:marRight w:val="0"/>
      <w:marTop w:val="0"/>
      <w:marBottom w:val="0"/>
      <w:divBdr>
        <w:top w:val="none" w:sz="0" w:space="0" w:color="auto"/>
        <w:left w:val="none" w:sz="0" w:space="0" w:color="auto"/>
        <w:bottom w:val="none" w:sz="0" w:space="0" w:color="auto"/>
        <w:right w:val="none" w:sz="0" w:space="0" w:color="auto"/>
      </w:divBdr>
    </w:div>
    <w:div w:id="915555307">
      <w:bodyDiv w:val="1"/>
      <w:marLeft w:val="0"/>
      <w:marRight w:val="0"/>
      <w:marTop w:val="0"/>
      <w:marBottom w:val="0"/>
      <w:divBdr>
        <w:top w:val="none" w:sz="0" w:space="0" w:color="auto"/>
        <w:left w:val="none" w:sz="0" w:space="0" w:color="auto"/>
        <w:bottom w:val="none" w:sz="0" w:space="0" w:color="auto"/>
        <w:right w:val="none" w:sz="0" w:space="0" w:color="auto"/>
      </w:divBdr>
    </w:div>
    <w:div w:id="915745739">
      <w:bodyDiv w:val="1"/>
      <w:marLeft w:val="0"/>
      <w:marRight w:val="0"/>
      <w:marTop w:val="0"/>
      <w:marBottom w:val="0"/>
      <w:divBdr>
        <w:top w:val="none" w:sz="0" w:space="0" w:color="auto"/>
        <w:left w:val="none" w:sz="0" w:space="0" w:color="auto"/>
        <w:bottom w:val="none" w:sz="0" w:space="0" w:color="auto"/>
        <w:right w:val="none" w:sz="0" w:space="0" w:color="auto"/>
      </w:divBdr>
    </w:div>
    <w:div w:id="916591815">
      <w:bodyDiv w:val="1"/>
      <w:marLeft w:val="0"/>
      <w:marRight w:val="0"/>
      <w:marTop w:val="0"/>
      <w:marBottom w:val="0"/>
      <w:divBdr>
        <w:top w:val="none" w:sz="0" w:space="0" w:color="auto"/>
        <w:left w:val="none" w:sz="0" w:space="0" w:color="auto"/>
        <w:bottom w:val="none" w:sz="0" w:space="0" w:color="auto"/>
        <w:right w:val="none" w:sz="0" w:space="0" w:color="auto"/>
      </w:divBdr>
    </w:div>
    <w:div w:id="917636273">
      <w:bodyDiv w:val="1"/>
      <w:marLeft w:val="0"/>
      <w:marRight w:val="0"/>
      <w:marTop w:val="0"/>
      <w:marBottom w:val="0"/>
      <w:divBdr>
        <w:top w:val="none" w:sz="0" w:space="0" w:color="auto"/>
        <w:left w:val="none" w:sz="0" w:space="0" w:color="auto"/>
        <w:bottom w:val="none" w:sz="0" w:space="0" w:color="auto"/>
        <w:right w:val="none" w:sz="0" w:space="0" w:color="auto"/>
      </w:divBdr>
    </w:div>
    <w:div w:id="917862996">
      <w:bodyDiv w:val="1"/>
      <w:marLeft w:val="0"/>
      <w:marRight w:val="0"/>
      <w:marTop w:val="0"/>
      <w:marBottom w:val="0"/>
      <w:divBdr>
        <w:top w:val="none" w:sz="0" w:space="0" w:color="auto"/>
        <w:left w:val="none" w:sz="0" w:space="0" w:color="auto"/>
        <w:bottom w:val="none" w:sz="0" w:space="0" w:color="auto"/>
        <w:right w:val="none" w:sz="0" w:space="0" w:color="auto"/>
      </w:divBdr>
    </w:div>
    <w:div w:id="918368121">
      <w:bodyDiv w:val="1"/>
      <w:marLeft w:val="0"/>
      <w:marRight w:val="0"/>
      <w:marTop w:val="0"/>
      <w:marBottom w:val="0"/>
      <w:divBdr>
        <w:top w:val="none" w:sz="0" w:space="0" w:color="auto"/>
        <w:left w:val="none" w:sz="0" w:space="0" w:color="auto"/>
        <w:bottom w:val="none" w:sz="0" w:space="0" w:color="auto"/>
        <w:right w:val="none" w:sz="0" w:space="0" w:color="auto"/>
      </w:divBdr>
    </w:div>
    <w:div w:id="920526319">
      <w:bodyDiv w:val="1"/>
      <w:marLeft w:val="0"/>
      <w:marRight w:val="0"/>
      <w:marTop w:val="0"/>
      <w:marBottom w:val="0"/>
      <w:divBdr>
        <w:top w:val="none" w:sz="0" w:space="0" w:color="auto"/>
        <w:left w:val="none" w:sz="0" w:space="0" w:color="auto"/>
        <w:bottom w:val="none" w:sz="0" w:space="0" w:color="auto"/>
        <w:right w:val="none" w:sz="0" w:space="0" w:color="auto"/>
      </w:divBdr>
    </w:div>
    <w:div w:id="921261044">
      <w:bodyDiv w:val="1"/>
      <w:marLeft w:val="0"/>
      <w:marRight w:val="0"/>
      <w:marTop w:val="0"/>
      <w:marBottom w:val="0"/>
      <w:divBdr>
        <w:top w:val="none" w:sz="0" w:space="0" w:color="auto"/>
        <w:left w:val="none" w:sz="0" w:space="0" w:color="auto"/>
        <w:bottom w:val="none" w:sz="0" w:space="0" w:color="auto"/>
        <w:right w:val="none" w:sz="0" w:space="0" w:color="auto"/>
      </w:divBdr>
    </w:div>
    <w:div w:id="921983774">
      <w:bodyDiv w:val="1"/>
      <w:marLeft w:val="0"/>
      <w:marRight w:val="0"/>
      <w:marTop w:val="0"/>
      <w:marBottom w:val="0"/>
      <w:divBdr>
        <w:top w:val="none" w:sz="0" w:space="0" w:color="auto"/>
        <w:left w:val="none" w:sz="0" w:space="0" w:color="auto"/>
        <w:bottom w:val="none" w:sz="0" w:space="0" w:color="auto"/>
        <w:right w:val="none" w:sz="0" w:space="0" w:color="auto"/>
      </w:divBdr>
    </w:div>
    <w:div w:id="923808030">
      <w:bodyDiv w:val="1"/>
      <w:marLeft w:val="0"/>
      <w:marRight w:val="0"/>
      <w:marTop w:val="0"/>
      <w:marBottom w:val="0"/>
      <w:divBdr>
        <w:top w:val="none" w:sz="0" w:space="0" w:color="auto"/>
        <w:left w:val="none" w:sz="0" w:space="0" w:color="auto"/>
        <w:bottom w:val="none" w:sz="0" w:space="0" w:color="auto"/>
        <w:right w:val="none" w:sz="0" w:space="0" w:color="auto"/>
      </w:divBdr>
    </w:div>
    <w:div w:id="924923508">
      <w:bodyDiv w:val="1"/>
      <w:marLeft w:val="0"/>
      <w:marRight w:val="0"/>
      <w:marTop w:val="0"/>
      <w:marBottom w:val="0"/>
      <w:divBdr>
        <w:top w:val="none" w:sz="0" w:space="0" w:color="auto"/>
        <w:left w:val="none" w:sz="0" w:space="0" w:color="auto"/>
        <w:bottom w:val="none" w:sz="0" w:space="0" w:color="auto"/>
        <w:right w:val="none" w:sz="0" w:space="0" w:color="auto"/>
      </w:divBdr>
    </w:div>
    <w:div w:id="926961262">
      <w:bodyDiv w:val="1"/>
      <w:marLeft w:val="0"/>
      <w:marRight w:val="0"/>
      <w:marTop w:val="0"/>
      <w:marBottom w:val="0"/>
      <w:divBdr>
        <w:top w:val="none" w:sz="0" w:space="0" w:color="auto"/>
        <w:left w:val="none" w:sz="0" w:space="0" w:color="auto"/>
        <w:bottom w:val="none" w:sz="0" w:space="0" w:color="auto"/>
        <w:right w:val="none" w:sz="0" w:space="0" w:color="auto"/>
      </w:divBdr>
    </w:div>
    <w:div w:id="929047926">
      <w:bodyDiv w:val="1"/>
      <w:marLeft w:val="0"/>
      <w:marRight w:val="0"/>
      <w:marTop w:val="0"/>
      <w:marBottom w:val="0"/>
      <w:divBdr>
        <w:top w:val="none" w:sz="0" w:space="0" w:color="auto"/>
        <w:left w:val="none" w:sz="0" w:space="0" w:color="auto"/>
        <w:bottom w:val="none" w:sz="0" w:space="0" w:color="auto"/>
        <w:right w:val="none" w:sz="0" w:space="0" w:color="auto"/>
      </w:divBdr>
    </w:div>
    <w:div w:id="929241009">
      <w:bodyDiv w:val="1"/>
      <w:marLeft w:val="0"/>
      <w:marRight w:val="0"/>
      <w:marTop w:val="0"/>
      <w:marBottom w:val="0"/>
      <w:divBdr>
        <w:top w:val="none" w:sz="0" w:space="0" w:color="auto"/>
        <w:left w:val="none" w:sz="0" w:space="0" w:color="auto"/>
        <w:bottom w:val="none" w:sz="0" w:space="0" w:color="auto"/>
        <w:right w:val="none" w:sz="0" w:space="0" w:color="auto"/>
      </w:divBdr>
    </w:div>
    <w:div w:id="930314732">
      <w:bodyDiv w:val="1"/>
      <w:marLeft w:val="0"/>
      <w:marRight w:val="0"/>
      <w:marTop w:val="0"/>
      <w:marBottom w:val="0"/>
      <w:divBdr>
        <w:top w:val="none" w:sz="0" w:space="0" w:color="auto"/>
        <w:left w:val="none" w:sz="0" w:space="0" w:color="auto"/>
        <w:bottom w:val="none" w:sz="0" w:space="0" w:color="auto"/>
        <w:right w:val="none" w:sz="0" w:space="0" w:color="auto"/>
      </w:divBdr>
    </w:div>
    <w:div w:id="931738252">
      <w:bodyDiv w:val="1"/>
      <w:marLeft w:val="0"/>
      <w:marRight w:val="0"/>
      <w:marTop w:val="0"/>
      <w:marBottom w:val="0"/>
      <w:divBdr>
        <w:top w:val="none" w:sz="0" w:space="0" w:color="auto"/>
        <w:left w:val="none" w:sz="0" w:space="0" w:color="auto"/>
        <w:bottom w:val="none" w:sz="0" w:space="0" w:color="auto"/>
        <w:right w:val="none" w:sz="0" w:space="0" w:color="auto"/>
      </w:divBdr>
    </w:div>
    <w:div w:id="932057289">
      <w:bodyDiv w:val="1"/>
      <w:marLeft w:val="0"/>
      <w:marRight w:val="0"/>
      <w:marTop w:val="0"/>
      <w:marBottom w:val="0"/>
      <w:divBdr>
        <w:top w:val="none" w:sz="0" w:space="0" w:color="auto"/>
        <w:left w:val="none" w:sz="0" w:space="0" w:color="auto"/>
        <w:bottom w:val="none" w:sz="0" w:space="0" w:color="auto"/>
        <w:right w:val="none" w:sz="0" w:space="0" w:color="auto"/>
      </w:divBdr>
    </w:div>
    <w:div w:id="932204271">
      <w:bodyDiv w:val="1"/>
      <w:marLeft w:val="0"/>
      <w:marRight w:val="0"/>
      <w:marTop w:val="0"/>
      <w:marBottom w:val="0"/>
      <w:divBdr>
        <w:top w:val="none" w:sz="0" w:space="0" w:color="auto"/>
        <w:left w:val="none" w:sz="0" w:space="0" w:color="auto"/>
        <w:bottom w:val="none" w:sz="0" w:space="0" w:color="auto"/>
        <w:right w:val="none" w:sz="0" w:space="0" w:color="auto"/>
      </w:divBdr>
    </w:div>
    <w:div w:id="933124095">
      <w:bodyDiv w:val="1"/>
      <w:marLeft w:val="0"/>
      <w:marRight w:val="0"/>
      <w:marTop w:val="0"/>
      <w:marBottom w:val="0"/>
      <w:divBdr>
        <w:top w:val="none" w:sz="0" w:space="0" w:color="auto"/>
        <w:left w:val="none" w:sz="0" w:space="0" w:color="auto"/>
        <w:bottom w:val="none" w:sz="0" w:space="0" w:color="auto"/>
        <w:right w:val="none" w:sz="0" w:space="0" w:color="auto"/>
      </w:divBdr>
    </w:div>
    <w:div w:id="933320523">
      <w:bodyDiv w:val="1"/>
      <w:marLeft w:val="0"/>
      <w:marRight w:val="0"/>
      <w:marTop w:val="0"/>
      <w:marBottom w:val="0"/>
      <w:divBdr>
        <w:top w:val="none" w:sz="0" w:space="0" w:color="auto"/>
        <w:left w:val="none" w:sz="0" w:space="0" w:color="auto"/>
        <w:bottom w:val="none" w:sz="0" w:space="0" w:color="auto"/>
        <w:right w:val="none" w:sz="0" w:space="0" w:color="auto"/>
      </w:divBdr>
    </w:div>
    <w:div w:id="934096630">
      <w:bodyDiv w:val="1"/>
      <w:marLeft w:val="0"/>
      <w:marRight w:val="0"/>
      <w:marTop w:val="0"/>
      <w:marBottom w:val="0"/>
      <w:divBdr>
        <w:top w:val="none" w:sz="0" w:space="0" w:color="auto"/>
        <w:left w:val="none" w:sz="0" w:space="0" w:color="auto"/>
        <w:bottom w:val="none" w:sz="0" w:space="0" w:color="auto"/>
        <w:right w:val="none" w:sz="0" w:space="0" w:color="auto"/>
      </w:divBdr>
    </w:div>
    <w:div w:id="934365371">
      <w:bodyDiv w:val="1"/>
      <w:marLeft w:val="0"/>
      <w:marRight w:val="0"/>
      <w:marTop w:val="0"/>
      <w:marBottom w:val="0"/>
      <w:divBdr>
        <w:top w:val="none" w:sz="0" w:space="0" w:color="auto"/>
        <w:left w:val="none" w:sz="0" w:space="0" w:color="auto"/>
        <w:bottom w:val="none" w:sz="0" w:space="0" w:color="auto"/>
        <w:right w:val="none" w:sz="0" w:space="0" w:color="auto"/>
      </w:divBdr>
    </w:div>
    <w:div w:id="934480038">
      <w:bodyDiv w:val="1"/>
      <w:marLeft w:val="0"/>
      <w:marRight w:val="0"/>
      <w:marTop w:val="0"/>
      <w:marBottom w:val="0"/>
      <w:divBdr>
        <w:top w:val="none" w:sz="0" w:space="0" w:color="auto"/>
        <w:left w:val="none" w:sz="0" w:space="0" w:color="auto"/>
        <w:bottom w:val="none" w:sz="0" w:space="0" w:color="auto"/>
        <w:right w:val="none" w:sz="0" w:space="0" w:color="auto"/>
      </w:divBdr>
    </w:div>
    <w:div w:id="935555180">
      <w:bodyDiv w:val="1"/>
      <w:marLeft w:val="0"/>
      <w:marRight w:val="0"/>
      <w:marTop w:val="0"/>
      <w:marBottom w:val="0"/>
      <w:divBdr>
        <w:top w:val="none" w:sz="0" w:space="0" w:color="auto"/>
        <w:left w:val="none" w:sz="0" w:space="0" w:color="auto"/>
        <w:bottom w:val="none" w:sz="0" w:space="0" w:color="auto"/>
        <w:right w:val="none" w:sz="0" w:space="0" w:color="auto"/>
      </w:divBdr>
    </w:div>
    <w:div w:id="936905330">
      <w:bodyDiv w:val="1"/>
      <w:marLeft w:val="0"/>
      <w:marRight w:val="0"/>
      <w:marTop w:val="0"/>
      <w:marBottom w:val="0"/>
      <w:divBdr>
        <w:top w:val="none" w:sz="0" w:space="0" w:color="auto"/>
        <w:left w:val="none" w:sz="0" w:space="0" w:color="auto"/>
        <w:bottom w:val="none" w:sz="0" w:space="0" w:color="auto"/>
        <w:right w:val="none" w:sz="0" w:space="0" w:color="auto"/>
      </w:divBdr>
    </w:div>
    <w:div w:id="938947147">
      <w:bodyDiv w:val="1"/>
      <w:marLeft w:val="0"/>
      <w:marRight w:val="0"/>
      <w:marTop w:val="0"/>
      <w:marBottom w:val="0"/>
      <w:divBdr>
        <w:top w:val="none" w:sz="0" w:space="0" w:color="auto"/>
        <w:left w:val="none" w:sz="0" w:space="0" w:color="auto"/>
        <w:bottom w:val="none" w:sz="0" w:space="0" w:color="auto"/>
        <w:right w:val="none" w:sz="0" w:space="0" w:color="auto"/>
      </w:divBdr>
    </w:div>
    <w:div w:id="938949731">
      <w:bodyDiv w:val="1"/>
      <w:marLeft w:val="0"/>
      <w:marRight w:val="0"/>
      <w:marTop w:val="0"/>
      <w:marBottom w:val="0"/>
      <w:divBdr>
        <w:top w:val="none" w:sz="0" w:space="0" w:color="auto"/>
        <w:left w:val="none" w:sz="0" w:space="0" w:color="auto"/>
        <w:bottom w:val="none" w:sz="0" w:space="0" w:color="auto"/>
        <w:right w:val="none" w:sz="0" w:space="0" w:color="auto"/>
      </w:divBdr>
    </w:div>
    <w:div w:id="939293588">
      <w:bodyDiv w:val="1"/>
      <w:marLeft w:val="0"/>
      <w:marRight w:val="0"/>
      <w:marTop w:val="0"/>
      <w:marBottom w:val="0"/>
      <w:divBdr>
        <w:top w:val="none" w:sz="0" w:space="0" w:color="auto"/>
        <w:left w:val="none" w:sz="0" w:space="0" w:color="auto"/>
        <w:bottom w:val="none" w:sz="0" w:space="0" w:color="auto"/>
        <w:right w:val="none" w:sz="0" w:space="0" w:color="auto"/>
      </w:divBdr>
    </w:div>
    <w:div w:id="939684372">
      <w:bodyDiv w:val="1"/>
      <w:marLeft w:val="0"/>
      <w:marRight w:val="0"/>
      <w:marTop w:val="0"/>
      <w:marBottom w:val="0"/>
      <w:divBdr>
        <w:top w:val="none" w:sz="0" w:space="0" w:color="auto"/>
        <w:left w:val="none" w:sz="0" w:space="0" w:color="auto"/>
        <w:bottom w:val="none" w:sz="0" w:space="0" w:color="auto"/>
        <w:right w:val="none" w:sz="0" w:space="0" w:color="auto"/>
      </w:divBdr>
    </w:div>
    <w:div w:id="941256721">
      <w:bodyDiv w:val="1"/>
      <w:marLeft w:val="0"/>
      <w:marRight w:val="0"/>
      <w:marTop w:val="0"/>
      <w:marBottom w:val="0"/>
      <w:divBdr>
        <w:top w:val="none" w:sz="0" w:space="0" w:color="auto"/>
        <w:left w:val="none" w:sz="0" w:space="0" w:color="auto"/>
        <w:bottom w:val="none" w:sz="0" w:space="0" w:color="auto"/>
        <w:right w:val="none" w:sz="0" w:space="0" w:color="auto"/>
      </w:divBdr>
    </w:div>
    <w:div w:id="945119011">
      <w:bodyDiv w:val="1"/>
      <w:marLeft w:val="0"/>
      <w:marRight w:val="0"/>
      <w:marTop w:val="0"/>
      <w:marBottom w:val="0"/>
      <w:divBdr>
        <w:top w:val="none" w:sz="0" w:space="0" w:color="auto"/>
        <w:left w:val="none" w:sz="0" w:space="0" w:color="auto"/>
        <w:bottom w:val="none" w:sz="0" w:space="0" w:color="auto"/>
        <w:right w:val="none" w:sz="0" w:space="0" w:color="auto"/>
      </w:divBdr>
    </w:div>
    <w:div w:id="945649656">
      <w:bodyDiv w:val="1"/>
      <w:marLeft w:val="0"/>
      <w:marRight w:val="0"/>
      <w:marTop w:val="0"/>
      <w:marBottom w:val="0"/>
      <w:divBdr>
        <w:top w:val="none" w:sz="0" w:space="0" w:color="auto"/>
        <w:left w:val="none" w:sz="0" w:space="0" w:color="auto"/>
        <w:bottom w:val="none" w:sz="0" w:space="0" w:color="auto"/>
        <w:right w:val="none" w:sz="0" w:space="0" w:color="auto"/>
      </w:divBdr>
    </w:div>
    <w:div w:id="946692657">
      <w:bodyDiv w:val="1"/>
      <w:marLeft w:val="0"/>
      <w:marRight w:val="0"/>
      <w:marTop w:val="0"/>
      <w:marBottom w:val="0"/>
      <w:divBdr>
        <w:top w:val="none" w:sz="0" w:space="0" w:color="auto"/>
        <w:left w:val="none" w:sz="0" w:space="0" w:color="auto"/>
        <w:bottom w:val="none" w:sz="0" w:space="0" w:color="auto"/>
        <w:right w:val="none" w:sz="0" w:space="0" w:color="auto"/>
      </w:divBdr>
    </w:div>
    <w:div w:id="946930903">
      <w:bodyDiv w:val="1"/>
      <w:marLeft w:val="0"/>
      <w:marRight w:val="0"/>
      <w:marTop w:val="0"/>
      <w:marBottom w:val="0"/>
      <w:divBdr>
        <w:top w:val="none" w:sz="0" w:space="0" w:color="auto"/>
        <w:left w:val="none" w:sz="0" w:space="0" w:color="auto"/>
        <w:bottom w:val="none" w:sz="0" w:space="0" w:color="auto"/>
        <w:right w:val="none" w:sz="0" w:space="0" w:color="auto"/>
      </w:divBdr>
    </w:div>
    <w:div w:id="947926457">
      <w:bodyDiv w:val="1"/>
      <w:marLeft w:val="0"/>
      <w:marRight w:val="0"/>
      <w:marTop w:val="0"/>
      <w:marBottom w:val="0"/>
      <w:divBdr>
        <w:top w:val="none" w:sz="0" w:space="0" w:color="auto"/>
        <w:left w:val="none" w:sz="0" w:space="0" w:color="auto"/>
        <w:bottom w:val="none" w:sz="0" w:space="0" w:color="auto"/>
        <w:right w:val="none" w:sz="0" w:space="0" w:color="auto"/>
      </w:divBdr>
    </w:div>
    <w:div w:id="948855877">
      <w:bodyDiv w:val="1"/>
      <w:marLeft w:val="0"/>
      <w:marRight w:val="0"/>
      <w:marTop w:val="0"/>
      <w:marBottom w:val="0"/>
      <w:divBdr>
        <w:top w:val="none" w:sz="0" w:space="0" w:color="auto"/>
        <w:left w:val="none" w:sz="0" w:space="0" w:color="auto"/>
        <w:bottom w:val="none" w:sz="0" w:space="0" w:color="auto"/>
        <w:right w:val="none" w:sz="0" w:space="0" w:color="auto"/>
      </w:divBdr>
    </w:div>
    <w:div w:id="949122487">
      <w:bodyDiv w:val="1"/>
      <w:marLeft w:val="0"/>
      <w:marRight w:val="0"/>
      <w:marTop w:val="0"/>
      <w:marBottom w:val="0"/>
      <w:divBdr>
        <w:top w:val="none" w:sz="0" w:space="0" w:color="auto"/>
        <w:left w:val="none" w:sz="0" w:space="0" w:color="auto"/>
        <w:bottom w:val="none" w:sz="0" w:space="0" w:color="auto"/>
        <w:right w:val="none" w:sz="0" w:space="0" w:color="auto"/>
      </w:divBdr>
    </w:div>
    <w:div w:id="949749723">
      <w:bodyDiv w:val="1"/>
      <w:marLeft w:val="0"/>
      <w:marRight w:val="0"/>
      <w:marTop w:val="0"/>
      <w:marBottom w:val="0"/>
      <w:divBdr>
        <w:top w:val="none" w:sz="0" w:space="0" w:color="auto"/>
        <w:left w:val="none" w:sz="0" w:space="0" w:color="auto"/>
        <w:bottom w:val="none" w:sz="0" w:space="0" w:color="auto"/>
        <w:right w:val="none" w:sz="0" w:space="0" w:color="auto"/>
      </w:divBdr>
    </w:div>
    <w:div w:id="951933595">
      <w:bodyDiv w:val="1"/>
      <w:marLeft w:val="0"/>
      <w:marRight w:val="0"/>
      <w:marTop w:val="0"/>
      <w:marBottom w:val="0"/>
      <w:divBdr>
        <w:top w:val="none" w:sz="0" w:space="0" w:color="auto"/>
        <w:left w:val="none" w:sz="0" w:space="0" w:color="auto"/>
        <w:bottom w:val="none" w:sz="0" w:space="0" w:color="auto"/>
        <w:right w:val="none" w:sz="0" w:space="0" w:color="auto"/>
      </w:divBdr>
    </w:div>
    <w:div w:id="952597630">
      <w:bodyDiv w:val="1"/>
      <w:marLeft w:val="0"/>
      <w:marRight w:val="0"/>
      <w:marTop w:val="0"/>
      <w:marBottom w:val="0"/>
      <w:divBdr>
        <w:top w:val="none" w:sz="0" w:space="0" w:color="auto"/>
        <w:left w:val="none" w:sz="0" w:space="0" w:color="auto"/>
        <w:bottom w:val="none" w:sz="0" w:space="0" w:color="auto"/>
        <w:right w:val="none" w:sz="0" w:space="0" w:color="auto"/>
      </w:divBdr>
    </w:div>
    <w:div w:id="952832844">
      <w:bodyDiv w:val="1"/>
      <w:marLeft w:val="0"/>
      <w:marRight w:val="0"/>
      <w:marTop w:val="0"/>
      <w:marBottom w:val="0"/>
      <w:divBdr>
        <w:top w:val="none" w:sz="0" w:space="0" w:color="auto"/>
        <w:left w:val="none" w:sz="0" w:space="0" w:color="auto"/>
        <w:bottom w:val="none" w:sz="0" w:space="0" w:color="auto"/>
        <w:right w:val="none" w:sz="0" w:space="0" w:color="auto"/>
      </w:divBdr>
    </w:div>
    <w:div w:id="954555756">
      <w:bodyDiv w:val="1"/>
      <w:marLeft w:val="0"/>
      <w:marRight w:val="0"/>
      <w:marTop w:val="0"/>
      <w:marBottom w:val="0"/>
      <w:divBdr>
        <w:top w:val="none" w:sz="0" w:space="0" w:color="auto"/>
        <w:left w:val="none" w:sz="0" w:space="0" w:color="auto"/>
        <w:bottom w:val="none" w:sz="0" w:space="0" w:color="auto"/>
        <w:right w:val="none" w:sz="0" w:space="0" w:color="auto"/>
      </w:divBdr>
    </w:div>
    <w:div w:id="955142509">
      <w:bodyDiv w:val="1"/>
      <w:marLeft w:val="0"/>
      <w:marRight w:val="0"/>
      <w:marTop w:val="0"/>
      <w:marBottom w:val="0"/>
      <w:divBdr>
        <w:top w:val="none" w:sz="0" w:space="0" w:color="auto"/>
        <w:left w:val="none" w:sz="0" w:space="0" w:color="auto"/>
        <w:bottom w:val="none" w:sz="0" w:space="0" w:color="auto"/>
        <w:right w:val="none" w:sz="0" w:space="0" w:color="auto"/>
      </w:divBdr>
    </w:div>
    <w:div w:id="956790710">
      <w:bodyDiv w:val="1"/>
      <w:marLeft w:val="0"/>
      <w:marRight w:val="0"/>
      <w:marTop w:val="0"/>
      <w:marBottom w:val="0"/>
      <w:divBdr>
        <w:top w:val="none" w:sz="0" w:space="0" w:color="auto"/>
        <w:left w:val="none" w:sz="0" w:space="0" w:color="auto"/>
        <w:bottom w:val="none" w:sz="0" w:space="0" w:color="auto"/>
        <w:right w:val="none" w:sz="0" w:space="0" w:color="auto"/>
      </w:divBdr>
    </w:div>
    <w:div w:id="957293723">
      <w:bodyDiv w:val="1"/>
      <w:marLeft w:val="0"/>
      <w:marRight w:val="0"/>
      <w:marTop w:val="0"/>
      <w:marBottom w:val="0"/>
      <w:divBdr>
        <w:top w:val="none" w:sz="0" w:space="0" w:color="auto"/>
        <w:left w:val="none" w:sz="0" w:space="0" w:color="auto"/>
        <w:bottom w:val="none" w:sz="0" w:space="0" w:color="auto"/>
        <w:right w:val="none" w:sz="0" w:space="0" w:color="auto"/>
      </w:divBdr>
    </w:div>
    <w:div w:id="958074165">
      <w:bodyDiv w:val="1"/>
      <w:marLeft w:val="0"/>
      <w:marRight w:val="0"/>
      <w:marTop w:val="0"/>
      <w:marBottom w:val="0"/>
      <w:divBdr>
        <w:top w:val="none" w:sz="0" w:space="0" w:color="auto"/>
        <w:left w:val="none" w:sz="0" w:space="0" w:color="auto"/>
        <w:bottom w:val="none" w:sz="0" w:space="0" w:color="auto"/>
        <w:right w:val="none" w:sz="0" w:space="0" w:color="auto"/>
      </w:divBdr>
    </w:div>
    <w:div w:id="958954724">
      <w:bodyDiv w:val="1"/>
      <w:marLeft w:val="0"/>
      <w:marRight w:val="0"/>
      <w:marTop w:val="0"/>
      <w:marBottom w:val="0"/>
      <w:divBdr>
        <w:top w:val="none" w:sz="0" w:space="0" w:color="auto"/>
        <w:left w:val="none" w:sz="0" w:space="0" w:color="auto"/>
        <w:bottom w:val="none" w:sz="0" w:space="0" w:color="auto"/>
        <w:right w:val="none" w:sz="0" w:space="0" w:color="auto"/>
      </w:divBdr>
    </w:div>
    <w:div w:id="960961544">
      <w:bodyDiv w:val="1"/>
      <w:marLeft w:val="0"/>
      <w:marRight w:val="0"/>
      <w:marTop w:val="0"/>
      <w:marBottom w:val="0"/>
      <w:divBdr>
        <w:top w:val="none" w:sz="0" w:space="0" w:color="auto"/>
        <w:left w:val="none" w:sz="0" w:space="0" w:color="auto"/>
        <w:bottom w:val="none" w:sz="0" w:space="0" w:color="auto"/>
        <w:right w:val="none" w:sz="0" w:space="0" w:color="auto"/>
      </w:divBdr>
    </w:div>
    <w:div w:id="961495664">
      <w:bodyDiv w:val="1"/>
      <w:marLeft w:val="0"/>
      <w:marRight w:val="0"/>
      <w:marTop w:val="0"/>
      <w:marBottom w:val="0"/>
      <w:divBdr>
        <w:top w:val="none" w:sz="0" w:space="0" w:color="auto"/>
        <w:left w:val="none" w:sz="0" w:space="0" w:color="auto"/>
        <w:bottom w:val="none" w:sz="0" w:space="0" w:color="auto"/>
        <w:right w:val="none" w:sz="0" w:space="0" w:color="auto"/>
      </w:divBdr>
    </w:div>
    <w:div w:id="962035131">
      <w:bodyDiv w:val="1"/>
      <w:marLeft w:val="0"/>
      <w:marRight w:val="0"/>
      <w:marTop w:val="0"/>
      <w:marBottom w:val="0"/>
      <w:divBdr>
        <w:top w:val="none" w:sz="0" w:space="0" w:color="auto"/>
        <w:left w:val="none" w:sz="0" w:space="0" w:color="auto"/>
        <w:bottom w:val="none" w:sz="0" w:space="0" w:color="auto"/>
        <w:right w:val="none" w:sz="0" w:space="0" w:color="auto"/>
      </w:divBdr>
    </w:div>
    <w:div w:id="962619310">
      <w:bodyDiv w:val="1"/>
      <w:marLeft w:val="0"/>
      <w:marRight w:val="0"/>
      <w:marTop w:val="0"/>
      <w:marBottom w:val="0"/>
      <w:divBdr>
        <w:top w:val="none" w:sz="0" w:space="0" w:color="auto"/>
        <w:left w:val="none" w:sz="0" w:space="0" w:color="auto"/>
        <w:bottom w:val="none" w:sz="0" w:space="0" w:color="auto"/>
        <w:right w:val="none" w:sz="0" w:space="0" w:color="auto"/>
      </w:divBdr>
    </w:div>
    <w:div w:id="966591055">
      <w:bodyDiv w:val="1"/>
      <w:marLeft w:val="0"/>
      <w:marRight w:val="0"/>
      <w:marTop w:val="0"/>
      <w:marBottom w:val="0"/>
      <w:divBdr>
        <w:top w:val="none" w:sz="0" w:space="0" w:color="auto"/>
        <w:left w:val="none" w:sz="0" w:space="0" w:color="auto"/>
        <w:bottom w:val="none" w:sz="0" w:space="0" w:color="auto"/>
        <w:right w:val="none" w:sz="0" w:space="0" w:color="auto"/>
      </w:divBdr>
    </w:div>
    <w:div w:id="966743153">
      <w:bodyDiv w:val="1"/>
      <w:marLeft w:val="0"/>
      <w:marRight w:val="0"/>
      <w:marTop w:val="0"/>
      <w:marBottom w:val="0"/>
      <w:divBdr>
        <w:top w:val="none" w:sz="0" w:space="0" w:color="auto"/>
        <w:left w:val="none" w:sz="0" w:space="0" w:color="auto"/>
        <w:bottom w:val="none" w:sz="0" w:space="0" w:color="auto"/>
        <w:right w:val="none" w:sz="0" w:space="0" w:color="auto"/>
      </w:divBdr>
    </w:div>
    <w:div w:id="967008414">
      <w:bodyDiv w:val="1"/>
      <w:marLeft w:val="0"/>
      <w:marRight w:val="0"/>
      <w:marTop w:val="0"/>
      <w:marBottom w:val="0"/>
      <w:divBdr>
        <w:top w:val="none" w:sz="0" w:space="0" w:color="auto"/>
        <w:left w:val="none" w:sz="0" w:space="0" w:color="auto"/>
        <w:bottom w:val="none" w:sz="0" w:space="0" w:color="auto"/>
        <w:right w:val="none" w:sz="0" w:space="0" w:color="auto"/>
      </w:divBdr>
    </w:div>
    <w:div w:id="967858799">
      <w:bodyDiv w:val="1"/>
      <w:marLeft w:val="0"/>
      <w:marRight w:val="0"/>
      <w:marTop w:val="0"/>
      <w:marBottom w:val="0"/>
      <w:divBdr>
        <w:top w:val="none" w:sz="0" w:space="0" w:color="auto"/>
        <w:left w:val="none" w:sz="0" w:space="0" w:color="auto"/>
        <w:bottom w:val="none" w:sz="0" w:space="0" w:color="auto"/>
        <w:right w:val="none" w:sz="0" w:space="0" w:color="auto"/>
      </w:divBdr>
    </w:div>
    <w:div w:id="968245595">
      <w:bodyDiv w:val="1"/>
      <w:marLeft w:val="0"/>
      <w:marRight w:val="0"/>
      <w:marTop w:val="0"/>
      <w:marBottom w:val="0"/>
      <w:divBdr>
        <w:top w:val="none" w:sz="0" w:space="0" w:color="auto"/>
        <w:left w:val="none" w:sz="0" w:space="0" w:color="auto"/>
        <w:bottom w:val="none" w:sz="0" w:space="0" w:color="auto"/>
        <w:right w:val="none" w:sz="0" w:space="0" w:color="auto"/>
      </w:divBdr>
    </w:div>
    <w:div w:id="968315397">
      <w:bodyDiv w:val="1"/>
      <w:marLeft w:val="0"/>
      <w:marRight w:val="0"/>
      <w:marTop w:val="0"/>
      <w:marBottom w:val="0"/>
      <w:divBdr>
        <w:top w:val="none" w:sz="0" w:space="0" w:color="auto"/>
        <w:left w:val="none" w:sz="0" w:space="0" w:color="auto"/>
        <w:bottom w:val="none" w:sz="0" w:space="0" w:color="auto"/>
        <w:right w:val="none" w:sz="0" w:space="0" w:color="auto"/>
      </w:divBdr>
    </w:div>
    <w:div w:id="969823819">
      <w:bodyDiv w:val="1"/>
      <w:marLeft w:val="0"/>
      <w:marRight w:val="0"/>
      <w:marTop w:val="0"/>
      <w:marBottom w:val="0"/>
      <w:divBdr>
        <w:top w:val="none" w:sz="0" w:space="0" w:color="auto"/>
        <w:left w:val="none" w:sz="0" w:space="0" w:color="auto"/>
        <w:bottom w:val="none" w:sz="0" w:space="0" w:color="auto"/>
        <w:right w:val="none" w:sz="0" w:space="0" w:color="auto"/>
      </w:divBdr>
    </w:div>
    <w:div w:id="971012816">
      <w:bodyDiv w:val="1"/>
      <w:marLeft w:val="0"/>
      <w:marRight w:val="0"/>
      <w:marTop w:val="0"/>
      <w:marBottom w:val="0"/>
      <w:divBdr>
        <w:top w:val="none" w:sz="0" w:space="0" w:color="auto"/>
        <w:left w:val="none" w:sz="0" w:space="0" w:color="auto"/>
        <w:bottom w:val="none" w:sz="0" w:space="0" w:color="auto"/>
        <w:right w:val="none" w:sz="0" w:space="0" w:color="auto"/>
      </w:divBdr>
    </w:div>
    <w:div w:id="971012818">
      <w:bodyDiv w:val="1"/>
      <w:marLeft w:val="0"/>
      <w:marRight w:val="0"/>
      <w:marTop w:val="0"/>
      <w:marBottom w:val="0"/>
      <w:divBdr>
        <w:top w:val="none" w:sz="0" w:space="0" w:color="auto"/>
        <w:left w:val="none" w:sz="0" w:space="0" w:color="auto"/>
        <w:bottom w:val="none" w:sz="0" w:space="0" w:color="auto"/>
        <w:right w:val="none" w:sz="0" w:space="0" w:color="auto"/>
      </w:divBdr>
    </w:div>
    <w:div w:id="971712806">
      <w:bodyDiv w:val="1"/>
      <w:marLeft w:val="0"/>
      <w:marRight w:val="0"/>
      <w:marTop w:val="0"/>
      <w:marBottom w:val="0"/>
      <w:divBdr>
        <w:top w:val="none" w:sz="0" w:space="0" w:color="auto"/>
        <w:left w:val="none" w:sz="0" w:space="0" w:color="auto"/>
        <w:bottom w:val="none" w:sz="0" w:space="0" w:color="auto"/>
        <w:right w:val="none" w:sz="0" w:space="0" w:color="auto"/>
      </w:divBdr>
    </w:div>
    <w:div w:id="972364172">
      <w:bodyDiv w:val="1"/>
      <w:marLeft w:val="0"/>
      <w:marRight w:val="0"/>
      <w:marTop w:val="0"/>
      <w:marBottom w:val="0"/>
      <w:divBdr>
        <w:top w:val="none" w:sz="0" w:space="0" w:color="auto"/>
        <w:left w:val="none" w:sz="0" w:space="0" w:color="auto"/>
        <w:bottom w:val="none" w:sz="0" w:space="0" w:color="auto"/>
        <w:right w:val="none" w:sz="0" w:space="0" w:color="auto"/>
      </w:divBdr>
    </w:div>
    <w:div w:id="972557290">
      <w:bodyDiv w:val="1"/>
      <w:marLeft w:val="0"/>
      <w:marRight w:val="0"/>
      <w:marTop w:val="0"/>
      <w:marBottom w:val="0"/>
      <w:divBdr>
        <w:top w:val="none" w:sz="0" w:space="0" w:color="auto"/>
        <w:left w:val="none" w:sz="0" w:space="0" w:color="auto"/>
        <w:bottom w:val="none" w:sz="0" w:space="0" w:color="auto"/>
        <w:right w:val="none" w:sz="0" w:space="0" w:color="auto"/>
      </w:divBdr>
    </w:div>
    <w:div w:id="973171710">
      <w:bodyDiv w:val="1"/>
      <w:marLeft w:val="0"/>
      <w:marRight w:val="0"/>
      <w:marTop w:val="0"/>
      <w:marBottom w:val="0"/>
      <w:divBdr>
        <w:top w:val="none" w:sz="0" w:space="0" w:color="auto"/>
        <w:left w:val="none" w:sz="0" w:space="0" w:color="auto"/>
        <w:bottom w:val="none" w:sz="0" w:space="0" w:color="auto"/>
        <w:right w:val="none" w:sz="0" w:space="0" w:color="auto"/>
      </w:divBdr>
    </w:div>
    <w:div w:id="973410211">
      <w:bodyDiv w:val="1"/>
      <w:marLeft w:val="0"/>
      <w:marRight w:val="0"/>
      <w:marTop w:val="0"/>
      <w:marBottom w:val="0"/>
      <w:divBdr>
        <w:top w:val="none" w:sz="0" w:space="0" w:color="auto"/>
        <w:left w:val="none" w:sz="0" w:space="0" w:color="auto"/>
        <w:bottom w:val="none" w:sz="0" w:space="0" w:color="auto"/>
        <w:right w:val="none" w:sz="0" w:space="0" w:color="auto"/>
      </w:divBdr>
    </w:div>
    <w:div w:id="975138441">
      <w:bodyDiv w:val="1"/>
      <w:marLeft w:val="0"/>
      <w:marRight w:val="0"/>
      <w:marTop w:val="0"/>
      <w:marBottom w:val="0"/>
      <w:divBdr>
        <w:top w:val="none" w:sz="0" w:space="0" w:color="auto"/>
        <w:left w:val="none" w:sz="0" w:space="0" w:color="auto"/>
        <w:bottom w:val="none" w:sz="0" w:space="0" w:color="auto"/>
        <w:right w:val="none" w:sz="0" w:space="0" w:color="auto"/>
      </w:divBdr>
    </w:div>
    <w:div w:id="975984299">
      <w:bodyDiv w:val="1"/>
      <w:marLeft w:val="0"/>
      <w:marRight w:val="0"/>
      <w:marTop w:val="0"/>
      <w:marBottom w:val="0"/>
      <w:divBdr>
        <w:top w:val="none" w:sz="0" w:space="0" w:color="auto"/>
        <w:left w:val="none" w:sz="0" w:space="0" w:color="auto"/>
        <w:bottom w:val="none" w:sz="0" w:space="0" w:color="auto"/>
        <w:right w:val="none" w:sz="0" w:space="0" w:color="auto"/>
      </w:divBdr>
    </w:div>
    <w:div w:id="978336966">
      <w:bodyDiv w:val="1"/>
      <w:marLeft w:val="0"/>
      <w:marRight w:val="0"/>
      <w:marTop w:val="0"/>
      <w:marBottom w:val="0"/>
      <w:divBdr>
        <w:top w:val="none" w:sz="0" w:space="0" w:color="auto"/>
        <w:left w:val="none" w:sz="0" w:space="0" w:color="auto"/>
        <w:bottom w:val="none" w:sz="0" w:space="0" w:color="auto"/>
        <w:right w:val="none" w:sz="0" w:space="0" w:color="auto"/>
      </w:divBdr>
    </w:div>
    <w:div w:id="979530350">
      <w:bodyDiv w:val="1"/>
      <w:marLeft w:val="0"/>
      <w:marRight w:val="0"/>
      <w:marTop w:val="0"/>
      <w:marBottom w:val="0"/>
      <w:divBdr>
        <w:top w:val="none" w:sz="0" w:space="0" w:color="auto"/>
        <w:left w:val="none" w:sz="0" w:space="0" w:color="auto"/>
        <w:bottom w:val="none" w:sz="0" w:space="0" w:color="auto"/>
        <w:right w:val="none" w:sz="0" w:space="0" w:color="auto"/>
      </w:divBdr>
    </w:div>
    <w:div w:id="980963165">
      <w:bodyDiv w:val="1"/>
      <w:marLeft w:val="0"/>
      <w:marRight w:val="0"/>
      <w:marTop w:val="0"/>
      <w:marBottom w:val="0"/>
      <w:divBdr>
        <w:top w:val="none" w:sz="0" w:space="0" w:color="auto"/>
        <w:left w:val="none" w:sz="0" w:space="0" w:color="auto"/>
        <w:bottom w:val="none" w:sz="0" w:space="0" w:color="auto"/>
        <w:right w:val="none" w:sz="0" w:space="0" w:color="auto"/>
      </w:divBdr>
    </w:div>
    <w:div w:id="983045331">
      <w:bodyDiv w:val="1"/>
      <w:marLeft w:val="0"/>
      <w:marRight w:val="0"/>
      <w:marTop w:val="0"/>
      <w:marBottom w:val="0"/>
      <w:divBdr>
        <w:top w:val="none" w:sz="0" w:space="0" w:color="auto"/>
        <w:left w:val="none" w:sz="0" w:space="0" w:color="auto"/>
        <w:bottom w:val="none" w:sz="0" w:space="0" w:color="auto"/>
        <w:right w:val="none" w:sz="0" w:space="0" w:color="auto"/>
      </w:divBdr>
    </w:div>
    <w:div w:id="983045596">
      <w:bodyDiv w:val="1"/>
      <w:marLeft w:val="0"/>
      <w:marRight w:val="0"/>
      <w:marTop w:val="0"/>
      <w:marBottom w:val="0"/>
      <w:divBdr>
        <w:top w:val="none" w:sz="0" w:space="0" w:color="auto"/>
        <w:left w:val="none" w:sz="0" w:space="0" w:color="auto"/>
        <w:bottom w:val="none" w:sz="0" w:space="0" w:color="auto"/>
        <w:right w:val="none" w:sz="0" w:space="0" w:color="auto"/>
      </w:divBdr>
    </w:div>
    <w:div w:id="984353123">
      <w:bodyDiv w:val="1"/>
      <w:marLeft w:val="0"/>
      <w:marRight w:val="0"/>
      <w:marTop w:val="0"/>
      <w:marBottom w:val="0"/>
      <w:divBdr>
        <w:top w:val="none" w:sz="0" w:space="0" w:color="auto"/>
        <w:left w:val="none" w:sz="0" w:space="0" w:color="auto"/>
        <w:bottom w:val="none" w:sz="0" w:space="0" w:color="auto"/>
        <w:right w:val="none" w:sz="0" w:space="0" w:color="auto"/>
      </w:divBdr>
    </w:div>
    <w:div w:id="990015175">
      <w:bodyDiv w:val="1"/>
      <w:marLeft w:val="0"/>
      <w:marRight w:val="0"/>
      <w:marTop w:val="0"/>
      <w:marBottom w:val="0"/>
      <w:divBdr>
        <w:top w:val="none" w:sz="0" w:space="0" w:color="auto"/>
        <w:left w:val="none" w:sz="0" w:space="0" w:color="auto"/>
        <w:bottom w:val="none" w:sz="0" w:space="0" w:color="auto"/>
        <w:right w:val="none" w:sz="0" w:space="0" w:color="auto"/>
      </w:divBdr>
    </w:div>
    <w:div w:id="990253435">
      <w:bodyDiv w:val="1"/>
      <w:marLeft w:val="0"/>
      <w:marRight w:val="0"/>
      <w:marTop w:val="0"/>
      <w:marBottom w:val="0"/>
      <w:divBdr>
        <w:top w:val="none" w:sz="0" w:space="0" w:color="auto"/>
        <w:left w:val="none" w:sz="0" w:space="0" w:color="auto"/>
        <w:bottom w:val="none" w:sz="0" w:space="0" w:color="auto"/>
        <w:right w:val="none" w:sz="0" w:space="0" w:color="auto"/>
      </w:divBdr>
    </w:div>
    <w:div w:id="990642644">
      <w:bodyDiv w:val="1"/>
      <w:marLeft w:val="0"/>
      <w:marRight w:val="0"/>
      <w:marTop w:val="0"/>
      <w:marBottom w:val="0"/>
      <w:divBdr>
        <w:top w:val="none" w:sz="0" w:space="0" w:color="auto"/>
        <w:left w:val="none" w:sz="0" w:space="0" w:color="auto"/>
        <w:bottom w:val="none" w:sz="0" w:space="0" w:color="auto"/>
        <w:right w:val="none" w:sz="0" w:space="0" w:color="auto"/>
      </w:divBdr>
    </w:div>
    <w:div w:id="991829624">
      <w:bodyDiv w:val="1"/>
      <w:marLeft w:val="0"/>
      <w:marRight w:val="0"/>
      <w:marTop w:val="0"/>
      <w:marBottom w:val="0"/>
      <w:divBdr>
        <w:top w:val="none" w:sz="0" w:space="0" w:color="auto"/>
        <w:left w:val="none" w:sz="0" w:space="0" w:color="auto"/>
        <w:bottom w:val="none" w:sz="0" w:space="0" w:color="auto"/>
        <w:right w:val="none" w:sz="0" w:space="0" w:color="auto"/>
      </w:divBdr>
    </w:div>
    <w:div w:id="992563279">
      <w:bodyDiv w:val="1"/>
      <w:marLeft w:val="0"/>
      <w:marRight w:val="0"/>
      <w:marTop w:val="0"/>
      <w:marBottom w:val="0"/>
      <w:divBdr>
        <w:top w:val="none" w:sz="0" w:space="0" w:color="auto"/>
        <w:left w:val="none" w:sz="0" w:space="0" w:color="auto"/>
        <w:bottom w:val="none" w:sz="0" w:space="0" w:color="auto"/>
        <w:right w:val="none" w:sz="0" w:space="0" w:color="auto"/>
      </w:divBdr>
    </w:div>
    <w:div w:id="993221129">
      <w:bodyDiv w:val="1"/>
      <w:marLeft w:val="0"/>
      <w:marRight w:val="0"/>
      <w:marTop w:val="0"/>
      <w:marBottom w:val="0"/>
      <w:divBdr>
        <w:top w:val="none" w:sz="0" w:space="0" w:color="auto"/>
        <w:left w:val="none" w:sz="0" w:space="0" w:color="auto"/>
        <w:bottom w:val="none" w:sz="0" w:space="0" w:color="auto"/>
        <w:right w:val="none" w:sz="0" w:space="0" w:color="auto"/>
      </w:divBdr>
    </w:div>
    <w:div w:id="993685366">
      <w:bodyDiv w:val="1"/>
      <w:marLeft w:val="0"/>
      <w:marRight w:val="0"/>
      <w:marTop w:val="0"/>
      <w:marBottom w:val="0"/>
      <w:divBdr>
        <w:top w:val="none" w:sz="0" w:space="0" w:color="auto"/>
        <w:left w:val="none" w:sz="0" w:space="0" w:color="auto"/>
        <w:bottom w:val="none" w:sz="0" w:space="0" w:color="auto"/>
        <w:right w:val="none" w:sz="0" w:space="0" w:color="auto"/>
      </w:divBdr>
    </w:div>
    <w:div w:id="995689262">
      <w:bodyDiv w:val="1"/>
      <w:marLeft w:val="0"/>
      <w:marRight w:val="0"/>
      <w:marTop w:val="0"/>
      <w:marBottom w:val="0"/>
      <w:divBdr>
        <w:top w:val="none" w:sz="0" w:space="0" w:color="auto"/>
        <w:left w:val="none" w:sz="0" w:space="0" w:color="auto"/>
        <w:bottom w:val="none" w:sz="0" w:space="0" w:color="auto"/>
        <w:right w:val="none" w:sz="0" w:space="0" w:color="auto"/>
      </w:divBdr>
    </w:div>
    <w:div w:id="997073059">
      <w:bodyDiv w:val="1"/>
      <w:marLeft w:val="0"/>
      <w:marRight w:val="0"/>
      <w:marTop w:val="0"/>
      <w:marBottom w:val="0"/>
      <w:divBdr>
        <w:top w:val="none" w:sz="0" w:space="0" w:color="auto"/>
        <w:left w:val="none" w:sz="0" w:space="0" w:color="auto"/>
        <w:bottom w:val="none" w:sz="0" w:space="0" w:color="auto"/>
        <w:right w:val="none" w:sz="0" w:space="0" w:color="auto"/>
      </w:divBdr>
    </w:div>
    <w:div w:id="997152740">
      <w:bodyDiv w:val="1"/>
      <w:marLeft w:val="0"/>
      <w:marRight w:val="0"/>
      <w:marTop w:val="0"/>
      <w:marBottom w:val="0"/>
      <w:divBdr>
        <w:top w:val="none" w:sz="0" w:space="0" w:color="auto"/>
        <w:left w:val="none" w:sz="0" w:space="0" w:color="auto"/>
        <w:bottom w:val="none" w:sz="0" w:space="0" w:color="auto"/>
        <w:right w:val="none" w:sz="0" w:space="0" w:color="auto"/>
      </w:divBdr>
    </w:div>
    <w:div w:id="998995977">
      <w:bodyDiv w:val="1"/>
      <w:marLeft w:val="0"/>
      <w:marRight w:val="0"/>
      <w:marTop w:val="0"/>
      <w:marBottom w:val="0"/>
      <w:divBdr>
        <w:top w:val="none" w:sz="0" w:space="0" w:color="auto"/>
        <w:left w:val="none" w:sz="0" w:space="0" w:color="auto"/>
        <w:bottom w:val="none" w:sz="0" w:space="0" w:color="auto"/>
        <w:right w:val="none" w:sz="0" w:space="0" w:color="auto"/>
      </w:divBdr>
    </w:div>
    <w:div w:id="999042542">
      <w:bodyDiv w:val="1"/>
      <w:marLeft w:val="0"/>
      <w:marRight w:val="0"/>
      <w:marTop w:val="0"/>
      <w:marBottom w:val="0"/>
      <w:divBdr>
        <w:top w:val="none" w:sz="0" w:space="0" w:color="auto"/>
        <w:left w:val="none" w:sz="0" w:space="0" w:color="auto"/>
        <w:bottom w:val="none" w:sz="0" w:space="0" w:color="auto"/>
        <w:right w:val="none" w:sz="0" w:space="0" w:color="auto"/>
      </w:divBdr>
    </w:div>
    <w:div w:id="999576021">
      <w:bodyDiv w:val="1"/>
      <w:marLeft w:val="0"/>
      <w:marRight w:val="0"/>
      <w:marTop w:val="0"/>
      <w:marBottom w:val="0"/>
      <w:divBdr>
        <w:top w:val="none" w:sz="0" w:space="0" w:color="auto"/>
        <w:left w:val="none" w:sz="0" w:space="0" w:color="auto"/>
        <w:bottom w:val="none" w:sz="0" w:space="0" w:color="auto"/>
        <w:right w:val="none" w:sz="0" w:space="0" w:color="auto"/>
      </w:divBdr>
    </w:div>
    <w:div w:id="1000088247">
      <w:bodyDiv w:val="1"/>
      <w:marLeft w:val="0"/>
      <w:marRight w:val="0"/>
      <w:marTop w:val="0"/>
      <w:marBottom w:val="0"/>
      <w:divBdr>
        <w:top w:val="none" w:sz="0" w:space="0" w:color="auto"/>
        <w:left w:val="none" w:sz="0" w:space="0" w:color="auto"/>
        <w:bottom w:val="none" w:sz="0" w:space="0" w:color="auto"/>
        <w:right w:val="none" w:sz="0" w:space="0" w:color="auto"/>
      </w:divBdr>
    </w:div>
    <w:div w:id="1000623002">
      <w:bodyDiv w:val="1"/>
      <w:marLeft w:val="0"/>
      <w:marRight w:val="0"/>
      <w:marTop w:val="0"/>
      <w:marBottom w:val="0"/>
      <w:divBdr>
        <w:top w:val="none" w:sz="0" w:space="0" w:color="auto"/>
        <w:left w:val="none" w:sz="0" w:space="0" w:color="auto"/>
        <w:bottom w:val="none" w:sz="0" w:space="0" w:color="auto"/>
        <w:right w:val="none" w:sz="0" w:space="0" w:color="auto"/>
      </w:divBdr>
    </w:div>
    <w:div w:id="1002510923">
      <w:bodyDiv w:val="1"/>
      <w:marLeft w:val="0"/>
      <w:marRight w:val="0"/>
      <w:marTop w:val="0"/>
      <w:marBottom w:val="0"/>
      <w:divBdr>
        <w:top w:val="none" w:sz="0" w:space="0" w:color="auto"/>
        <w:left w:val="none" w:sz="0" w:space="0" w:color="auto"/>
        <w:bottom w:val="none" w:sz="0" w:space="0" w:color="auto"/>
        <w:right w:val="none" w:sz="0" w:space="0" w:color="auto"/>
      </w:divBdr>
    </w:div>
    <w:div w:id="1002659733">
      <w:bodyDiv w:val="1"/>
      <w:marLeft w:val="0"/>
      <w:marRight w:val="0"/>
      <w:marTop w:val="0"/>
      <w:marBottom w:val="0"/>
      <w:divBdr>
        <w:top w:val="none" w:sz="0" w:space="0" w:color="auto"/>
        <w:left w:val="none" w:sz="0" w:space="0" w:color="auto"/>
        <w:bottom w:val="none" w:sz="0" w:space="0" w:color="auto"/>
        <w:right w:val="none" w:sz="0" w:space="0" w:color="auto"/>
      </w:divBdr>
    </w:div>
    <w:div w:id="1003119247">
      <w:bodyDiv w:val="1"/>
      <w:marLeft w:val="0"/>
      <w:marRight w:val="0"/>
      <w:marTop w:val="0"/>
      <w:marBottom w:val="0"/>
      <w:divBdr>
        <w:top w:val="none" w:sz="0" w:space="0" w:color="auto"/>
        <w:left w:val="none" w:sz="0" w:space="0" w:color="auto"/>
        <w:bottom w:val="none" w:sz="0" w:space="0" w:color="auto"/>
        <w:right w:val="none" w:sz="0" w:space="0" w:color="auto"/>
      </w:divBdr>
    </w:div>
    <w:div w:id="1004821475">
      <w:bodyDiv w:val="1"/>
      <w:marLeft w:val="0"/>
      <w:marRight w:val="0"/>
      <w:marTop w:val="0"/>
      <w:marBottom w:val="0"/>
      <w:divBdr>
        <w:top w:val="none" w:sz="0" w:space="0" w:color="auto"/>
        <w:left w:val="none" w:sz="0" w:space="0" w:color="auto"/>
        <w:bottom w:val="none" w:sz="0" w:space="0" w:color="auto"/>
        <w:right w:val="none" w:sz="0" w:space="0" w:color="auto"/>
      </w:divBdr>
    </w:div>
    <w:div w:id="1004934064">
      <w:bodyDiv w:val="1"/>
      <w:marLeft w:val="0"/>
      <w:marRight w:val="0"/>
      <w:marTop w:val="0"/>
      <w:marBottom w:val="0"/>
      <w:divBdr>
        <w:top w:val="none" w:sz="0" w:space="0" w:color="auto"/>
        <w:left w:val="none" w:sz="0" w:space="0" w:color="auto"/>
        <w:bottom w:val="none" w:sz="0" w:space="0" w:color="auto"/>
        <w:right w:val="none" w:sz="0" w:space="0" w:color="auto"/>
      </w:divBdr>
    </w:div>
    <w:div w:id="1005478379">
      <w:bodyDiv w:val="1"/>
      <w:marLeft w:val="0"/>
      <w:marRight w:val="0"/>
      <w:marTop w:val="0"/>
      <w:marBottom w:val="0"/>
      <w:divBdr>
        <w:top w:val="none" w:sz="0" w:space="0" w:color="auto"/>
        <w:left w:val="none" w:sz="0" w:space="0" w:color="auto"/>
        <w:bottom w:val="none" w:sz="0" w:space="0" w:color="auto"/>
        <w:right w:val="none" w:sz="0" w:space="0" w:color="auto"/>
      </w:divBdr>
    </w:div>
    <w:div w:id="1008676116">
      <w:bodyDiv w:val="1"/>
      <w:marLeft w:val="0"/>
      <w:marRight w:val="0"/>
      <w:marTop w:val="0"/>
      <w:marBottom w:val="0"/>
      <w:divBdr>
        <w:top w:val="none" w:sz="0" w:space="0" w:color="auto"/>
        <w:left w:val="none" w:sz="0" w:space="0" w:color="auto"/>
        <w:bottom w:val="none" w:sz="0" w:space="0" w:color="auto"/>
        <w:right w:val="none" w:sz="0" w:space="0" w:color="auto"/>
      </w:divBdr>
    </w:div>
    <w:div w:id="1011027440">
      <w:bodyDiv w:val="1"/>
      <w:marLeft w:val="0"/>
      <w:marRight w:val="0"/>
      <w:marTop w:val="0"/>
      <w:marBottom w:val="0"/>
      <w:divBdr>
        <w:top w:val="none" w:sz="0" w:space="0" w:color="auto"/>
        <w:left w:val="none" w:sz="0" w:space="0" w:color="auto"/>
        <w:bottom w:val="none" w:sz="0" w:space="0" w:color="auto"/>
        <w:right w:val="none" w:sz="0" w:space="0" w:color="auto"/>
      </w:divBdr>
    </w:div>
    <w:div w:id="1011759114">
      <w:bodyDiv w:val="1"/>
      <w:marLeft w:val="0"/>
      <w:marRight w:val="0"/>
      <w:marTop w:val="0"/>
      <w:marBottom w:val="0"/>
      <w:divBdr>
        <w:top w:val="none" w:sz="0" w:space="0" w:color="auto"/>
        <w:left w:val="none" w:sz="0" w:space="0" w:color="auto"/>
        <w:bottom w:val="none" w:sz="0" w:space="0" w:color="auto"/>
        <w:right w:val="none" w:sz="0" w:space="0" w:color="auto"/>
      </w:divBdr>
    </w:div>
    <w:div w:id="1012218670">
      <w:bodyDiv w:val="1"/>
      <w:marLeft w:val="0"/>
      <w:marRight w:val="0"/>
      <w:marTop w:val="0"/>
      <w:marBottom w:val="0"/>
      <w:divBdr>
        <w:top w:val="none" w:sz="0" w:space="0" w:color="auto"/>
        <w:left w:val="none" w:sz="0" w:space="0" w:color="auto"/>
        <w:bottom w:val="none" w:sz="0" w:space="0" w:color="auto"/>
        <w:right w:val="none" w:sz="0" w:space="0" w:color="auto"/>
      </w:divBdr>
    </w:div>
    <w:div w:id="1012995669">
      <w:bodyDiv w:val="1"/>
      <w:marLeft w:val="0"/>
      <w:marRight w:val="0"/>
      <w:marTop w:val="0"/>
      <w:marBottom w:val="0"/>
      <w:divBdr>
        <w:top w:val="none" w:sz="0" w:space="0" w:color="auto"/>
        <w:left w:val="none" w:sz="0" w:space="0" w:color="auto"/>
        <w:bottom w:val="none" w:sz="0" w:space="0" w:color="auto"/>
        <w:right w:val="none" w:sz="0" w:space="0" w:color="auto"/>
      </w:divBdr>
    </w:div>
    <w:div w:id="1013191095">
      <w:bodyDiv w:val="1"/>
      <w:marLeft w:val="0"/>
      <w:marRight w:val="0"/>
      <w:marTop w:val="0"/>
      <w:marBottom w:val="0"/>
      <w:divBdr>
        <w:top w:val="none" w:sz="0" w:space="0" w:color="auto"/>
        <w:left w:val="none" w:sz="0" w:space="0" w:color="auto"/>
        <w:bottom w:val="none" w:sz="0" w:space="0" w:color="auto"/>
        <w:right w:val="none" w:sz="0" w:space="0" w:color="auto"/>
      </w:divBdr>
    </w:div>
    <w:div w:id="1013728278">
      <w:bodyDiv w:val="1"/>
      <w:marLeft w:val="0"/>
      <w:marRight w:val="0"/>
      <w:marTop w:val="0"/>
      <w:marBottom w:val="0"/>
      <w:divBdr>
        <w:top w:val="none" w:sz="0" w:space="0" w:color="auto"/>
        <w:left w:val="none" w:sz="0" w:space="0" w:color="auto"/>
        <w:bottom w:val="none" w:sz="0" w:space="0" w:color="auto"/>
        <w:right w:val="none" w:sz="0" w:space="0" w:color="auto"/>
      </w:divBdr>
    </w:div>
    <w:div w:id="1014648590">
      <w:bodyDiv w:val="1"/>
      <w:marLeft w:val="0"/>
      <w:marRight w:val="0"/>
      <w:marTop w:val="0"/>
      <w:marBottom w:val="0"/>
      <w:divBdr>
        <w:top w:val="none" w:sz="0" w:space="0" w:color="auto"/>
        <w:left w:val="none" w:sz="0" w:space="0" w:color="auto"/>
        <w:bottom w:val="none" w:sz="0" w:space="0" w:color="auto"/>
        <w:right w:val="none" w:sz="0" w:space="0" w:color="auto"/>
      </w:divBdr>
    </w:div>
    <w:div w:id="1015423530">
      <w:bodyDiv w:val="1"/>
      <w:marLeft w:val="0"/>
      <w:marRight w:val="0"/>
      <w:marTop w:val="0"/>
      <w:marBottom w:val="0"/>
      <w:divBdr>
        <w:top w:val="none" w:sz="0" w:space="0" w:color="auto"/>
        <w:left w:val="none" w:sz="0" w:space="0" w:color="auto"/>
        <w:bottom w:val="none" w:sz="0" w:space="0" w:color="auto"/>
        <w:right w:val="none" w:sz="0" w:space="0" w:color="auto"/>
      </w:divBdr>
    </w:div>
    <w:div w:id="1016999617">
      <w:bodyDiv w:val="1"/>
      <w:marLeft w:val="0"/>
      <w:marRight w:val="0"/>
      <w:marTop w:val="0"/>
      <w:marBottom w:val="0"/>
      <w:divBdr>
        <w:top w:val="none" w:sz="0" w:space="0" w:color="auto"/>
        <w:left w:val="none" w:sz="0" w:space="0" w:color="auto"/>
        <w:bottom w:val="none" w:sz="0" w:space="0" w:color="auto"/>
        <w:right w:val="none" w:sz="0" w:space="0" w:color="auto"/>
      </w:divBdr>
    </w:div>
    <w:div w:id="1017274338">
      <w:bodyDiv w:val="1"/>
      <w:marLeft w:val="0"/>
      <w:marRight w:val="0"/>
      <w:marTop w:val="0"/>
      <w:marBottom w:val="0"/>
      <w:divBdr>
        <w:top w:val="none" w:sz="0" w:space="0" w:color="auto"/>
        <w:left w:val="none" w:sz="0" w:space="0" w:color="auto"/>
        <w:bottom w:val="none" w:sz="0" w:space="0" w:color="auto"/>
        <w:right w:val="none" w:sz="0" w:space="0" w:color="auto"/>
      </w:divBdr>
    </w:div>
    <w:div w:id="1017973226">
      <w:bodyDiv w:val="1"/>
      <w:marLeft w:val="0"/>
      <w:marRight w:val="0"/>
      <w:marTop w:val="0"/>
      <w:marBottom w:val="0"/>
      <w:divBdr>
        <w:top w:val="none" w:sz="0" w:space="0" w:color="auto"/>
        <w:left w:val="none" w:sz="0" w:space="0" w:color="auto"/>
        <w:bottom w:val="none" w:sz="0" w:space="0" w:color="auto"/>
        <w:right w:val="none" w:sz="0" w:space="0" w:color="auto"/>
      </w:divBdr>
    </w:div>
    <w:div w:id="1019550213">
      <w:bodyDiv w:val="1"/>
      <w:marLeft w:val="0"/>
      <w:marRight w:val="0"/>
      <w:marTop w:val="0"/>
      <w:marBottom w:val="0"/>
      <w:divBdr>
        <w:top w:val="none" w:sz="0" w:space="0" w:color="auto"/>
        <w:left w:val="none" w:sz="0" w:space="0" w:color="auto"/>
        <w:bottom w:val="none" w:sz="0" w:space="0" w:color="auto"/>
        <w:right w:val="none" w:sz="0" w:space="0" w:color="auto"/>
      </w:divBdr>
    </w:div>
    <w:div w:id="1020618657">
      <w:bodyDiv w:val="1"/>
      <w:marLeft w:val="0"/>
      <w:marRight w:val="0"/>
      <w:marTop w:val="0"/>
      <w:marBottom w:val="0"/>
      <w:divBdr>
        <w:top w:val="none" w:sz="0" w:space="0" w:color="auto"/>
        <w:left w:val="none" w:sz="0" w:space="0" w:color="auto"/>
        <w:bottom w:val="none" w:sz="0" w:space="0" w:color="auto"/>
        <w:right w:val="none" w:sz="0" w:space="0" w:color="auto"/>
      </w:divBdr>
    </w:div>
    <w:div w:id="1020813697">
      <w:bodyDiv w:val="1"/>
      <w:marLeft w:val="0"/>
      <w:marRight w:val="0"/>
      <w:marTop w:val="0"/>
      <w:marBottom w:val="0"/>
      <w:divBdr>
        <w:top w:val="none" w:sz="0" w:space="0" w:color="auto"/>
        <w:left w:val="none" w:sz="0" w:space="0" w:color="auto"/>
        <w:bottom w:val="none" w:sz="0" w:space="0" w:color="auto"/>
        <w:right w:val="none" w:sz="0" w:space="0" w:color="auto"/>
      </w:divBdr>
    </w:div>
    <w:div w:id="1021934921">
      <w:bodyDiv w:val="1"/>
      <w:marLeft w:val="0"/>
      <w:marRight w:val="0"/>
      <w:marTop w:val="0"/>
      <w:marBottom w:val="0"/>
      <w:divBdr>
        <w:top w:val="none" w:sz="0" w:space="0" w:color="auto"/>
        <w:left w:val="none" w:sz="0" w:space="0" w:color="auto"/>
        <w:bottom w:val="none" w:sz="0" w:space="0" w:color="auto"/>
        <w:right w:val="none" w:sz="0" w:space="0" w:color="auto"/>
      </w:divBdr>
    </w:div>
    <w:div w:id="1024329776">
      <w:bodyDiv w:val="1"/>
      <w:marLeft w:val="0"/>
      <w:marRight w:val="0"/>
      <w:marTop w:val="0"/>
      <w:marBottom w:val="0"/>
      <w:divBdr>
        <w:top w:val="none" w:sz="0" w:space="0" w:color="auto"/>
        <w:left w:val="none" w:sz="0" w:space="0" w:color="auto"/>
        <w:bottom w:val="none" w:sz="0" w:space="0" w:color="auto"/>
        <w:right w:val="none" w:sz="0" w:space="0" w:color="auto"/>
      </w:divBdr>
    </w:div>
    <w:div w:id="1024597590">
      <w:bodyDiv w:val="1"/>
      <w:marLeft w:val="0"/>
      <w:marRight w:val="0"/>
      <w:marTop w:val="0"/>
      <w:marBottom w:val="0"/>
      <w:divBdr>
        <w:top w:val="none" w:sz="0" w:space="0" w:color="auto"/>
        <w:left w:val="none" w:sz="0" w:space="0" w:color="auto"/>
        <w:bottom w:val="none" w:sz="0" w:space="0" w:color="auto"/>
        <w:right w:val="none" w:sz="0" w:space="0" w:color="auto"/>
      </w:divBdr>
    </w:div>
    <w:div w:id="1025442782">
      <w:bodyDiv w:val="1"/>
      <w:marLeft w:val="0"/>
      <w:marRight w:val="0"/>
      <w:marTop w:val="0"/>
      <w:marBottom w:val="0"/>
      <w:divBdr>
        <w:top w:val="none" w:sz="0" w:space="0" w:color="auto"/>
        <w:left w:val="none" w:sz="0" w:space="0" w:color="auto"/>
        <w:bottom w:val="none" w:sz="0" w:space="0" w:color="auto"/>
        <w:right w:val="none" w:sz="0" w:space="0" w:color="auto"/>
      </w:divBdr>
    </w:div>
    <w:div w:id="1026640832">
      <w:bodyDiv w:val="1"/>
      <w:marLeft w:val="0"/>
      <w:marRight w:val="0"/>
      <w:marTop w:val="0"/>
      <w:marBottom w:val="0"/>
      <w:divBdr>
        <w:top w:val="none" w:sz="0" w:space="0" w:color="auto"/>
        <w:left w:val="none" w:sz="0" w:space="0" w:color="auto"/>
        <w:bottom w:val="none" w:sz="0" w:space="0" w:color="auto"/>
        <w:right w:val="none" w:sz="0" w:space="0" w:color="auto"/>
      </w:divBdr>
    </w:div>
    <w:div w:id="1027371027">
      <w:bodyDiv w:val="1"/>
      <w:marLeft w:val="0"/>
      <w:marRight w:val="0"/>
      <w:marTop w:val="0"/>
      <w:marBottom w:val="0"/>
      <w:divBdr>
        <w:top w:val="none" w:sz="0" w:space="0" w:color="auto"/>
        <w:left w:val="none" w:sz="0" w:space="0" w:color="auto"/>
        <w:bottom w:val="none" w:sz="0" w:space="0" w:color="auto"/>
        <w:right w:val="none" w:sz="0" w:space="0" w:color="auto"/>
      </w:divBdr>
    </w:div>
    <w:div w:id="1028143200">
      <w:bodyDiv w:val="1"/>
      <w:marLeft w:val="0"/>
      <w:marRight w:val="0"/>
      <w:marTop w:val="0"/>
      <w:marBottom w:val="0"/>
      <w:divBdr>
        <w:top w:val="none" w:sz="0" w:space="0" w:color="auto"/>
        <w:left w:val="none" w:sz="0" w:space="0" w:color="auto"/>
        <w:bottom w:val="none" w:sz="0" w:space="0" w:color="auto"/>
        <w:right w:val="none" w:sz="0" w:space="0" w:color="auto"/>
      </w:divBdr>
    </w:div>
    <w:div w:id="1029449247">
      <w:bodyDiv w:val="1"/>
      <w:marLeft w:val="0"/>
      <w:marRight w:val="0"/>
      <w:marTop w:val="0"/>
      <w:marBottom w:val="0"/>
      <w:divBdr>
        <w:top w:val="none" w:sz="0" w:space="0" w:color="auto"/>
        <w:left w:val="none" w:sz="0" w:space="0" w:color="auto"/>
        <w:bottom w:val="none" w:sz="0" w:space="0" w:color="auto"/>
        <w:right w:val="none" w:sz="0" w:space="0" w:color="auto"/>
      </w:divBdr>
    </w:div>
    <w:div w:id="1030913090">
      <w:bodyDiv w:val="1"/>
      <w:marLeft w:val="0"/>
      <w:marRight w:val="0"/>
      <w:marTop w:val="0"/>
      <w:marBottom w:val="0"/>
      <w:divBdr>
        <w:top w:val="none" w:sz="0" w:space="0" w:color="auto"/>
        <w:left w:val="none" w:sz="0" w:space="0" w:color="auto"/>
        <w:bottom w:val="none" w:sz="0" w:space="0" w:color="auto"/>
        <w:right w:val="none" w:sz="0" w:space="0" w:color="auto"/>
      </w:divBdr>
    </w:div>
    <w:div w:id="1030959335">
      <w:bodyDiv w:val="1"/>
      <w:marLeft w:val="0"/>
      <w:marRight w:val="0"/>
      <w:marTop w:val="0"/>
      <w:marBottom w:val="0"/>
      <w:divBdr>
        <w:top w:val="none" w:sz="0" w:space="0" w:color="auto"/>
        <w:left w:val="none" w:sz="0" w:space="0" w:color="auto"/>
        <w:bottom w:val="none" w:sz="0" w:space="0" w:color="auto"/>
        <w:right w:val="none" w:sz="0" w:space="0" w:color="auto"/>
      </w:divBdr>
    </w:div>
    <w:div w:id="1032413783">
      <w:bodyDiv w:val="1"/>
      <w:marLeft w:val="0"/>
      <w:marRight w:val="0"/>
      <w:marTop w:val="0"/>
      <w:marBottom w:val="0"/>
      <w:divBdr>
        <w:top w:val="none" w:sz="0" w:space="0" w:color="auto"/>
        <w:left w:val="none" w:sz="0" w:space="0" w:color="auto"/>
        <w:bottom w:val="none" w:sz="0" w:space="0" w:color="auto"/>
        <w:right w:val="none" w:sz="0" w:space="0" w:color="auto"/>
      </w:divBdr>
    </w:div>
    <w:div w:id="1033118501">
      <w:bodyDiv w:val="1"/>
      <w:marLeft w:val="0"/>
      <w:marRight w:val="0"/>
      <w:marTop w:val="0"/>
      <w:marBottom w:val="0"/>
      <w:divBdr>
        <w:top w:val="none" w:sz="0" w:space="0" w:color="auto"/>
        <w:left w:val="none" w:sz="0" w:space="0" w:color="auto"/>
        <w:bottom w:val="none" w:sz="0" w:space="0" w:color="auto"/>
        <w:right w:val="none" w:sz="0" w:space="0" w:color="auto"/>
      </w:divBdr>
    </w:div>
    <w:div w:id="1033766144">
      <w:bodyDiv w:val="1"/>
      <w:marLeft w:val="0"/>
      <w:marRight w:val="0"/>
      <w:marTop w:val="0"/>
      <w:marBottom w:val="0"/>
      <w:divBdr>
        <w:top w:val="none" w:sz="0" w:space="0" w:color="auto"/>
        <w:left w:val="none" w:sz="0" w:space="0" w:color="auto"/>
        <w:bottom w:val="none" w:sz="0" w:space="0" w:color="auto"/>
        <w:right w:val="none" w:sz="0" w:space="0" w:color="auto"/>
      </w:divBdr>
    </w:div>
    <w:div w:id="1034498977">
      <w:bodyDiv w:val="1"/>
      <w:marLeft w:val="0"/>
      <w:marRight w:val="0"/>
      <w:marTop w:val="0"/>
      <w:marBottom w:val="0"/>
      <w:divBdr>
        <w:top w:val="none" w:sz="0" w:space="0" w:color="auto"/>
        <w:left w:val="none" w:sz="0" w:space="0" w:color="auto"/>
        <w:bottom w:val="none" w:sz="0" w:space="0" w:color="auto"/>
        <w:right w:val="none" w:sz="0" w:space="0" w:color="auto"/>
      </w:divBdr>
    </w:div>
    <w:div w:id="1034698848">
      <w:bodyDiv w:val="1"/>
      <w:marLeft w:val="0"/>
      <w:marRight w:val="0"/>
      <w:marTop w:val="0"/>
      <w:marBottom w:val="0"/>
      <w:divBdr>
        <w:top w:val="none" w:sz="0" w:space="0" w:color="auto"/>
        <w:left w:val="none" w:sz="0" w:space="0" w:color="auto"/>
        <w:bottom w:val="none" w:sz="0" w:space="0" w:color="auto"/>
        <w:right w:val="none" w:sz="0" w:space="0" w:color="auto"/>
      </w:divBdr>
    </w:div>
    <w:div w:id="1034699466">
      <w:bodyDiv w:val="1"/>
      <w:marLeft w:val="0"/>
      <w:marRight w:val="0"/>
      <w:marTop w:val="0"/>
      <w:marBottom w:val="0"/>
      <w:divBdr>
        <w:top w:val="none" w:sz="0" w:space="0" w:color="auto"/>
        <w:left w:val="none" w:sz="0" w:space="0" w:color="auto"/>
        <w:bottom w:val="none" w:sz="0" w:space="0" w:color="auto"/>
        <w:right w:val="none" w:sz="0" w:space="0" w:color="auto"/>
      </w:divBdr>
    </w:div>
    <w:div w:id="1034765707">
      <w:bodyDiv w:val="1"/>
      <w:marLeft w:val="0"/>
      <w:marRight w:val="0"/>
      <w:marTop w:val="0"/>
      <w:marBottom w:val="0"/>
      <w:divBdr>
        <w:top w:val="none" w:sz="0" w:space="0" w:color="auto"/>
        <w:left w:val="none" w:sz="0" w:space="0" w:color="auto"/>
        <w:bottom w:val="none" w:sz="0" w:space="0" w:color="auto"/>
        <w:right w:val="none" w:sz="0" w:space="0" w:color="auto"/>
      </w:divBdr>
    </w:div>
    <w:div w:id="1035158986">
      <w:bodyDiv w:val="1"/>
      <w:marLeft w:val="0"/>
      <w:marRight w:val="0"/>
      <w:marTop w:val="0"/>
      <w:marBottom w:val="0"/>
      <w:divBdr>
        <w:top w:val="none" w:sz="0" w:space="0" w:color="auto"/>
        <w:left w:val="none" w:sz="0" w:space="0" w:color="auto"/>
        <w:bottom w:val="none" w:sz="0" w:space="0" w:color="auto"/>
        <w:right w:val="none" w:sz="0" w:space="0" w:color="auto"/>
      </w:divBdr>
    </w:div>
    <w:div w:id="1035469018">
      <w:bodyDiv w:val="1"/>
      <w:marLeft w:val="0"/>
      <w:marRight w:val="0"/>
      <w:marTop w:val="0"/>
      <w:marBottom w:val="0"/>
      <w:divBdr>
        <w:top w:val="none" w:sz="0" w:space="0" w:color="auto"/>
        <w:left w:val="none" w:sz="0" w:space="0" w:color="auto"/>
        <w:bottom w:val="none" w:sz="0" w:space="0" w:color="auto"/>
        <w:right w:val="none" w:sz="0" w:space="0" w:color="auto"/>
      </w:divBdr>
    </w:div>
    <w:div w:id="1035622382">
      <w:bodyDiv w:val="1"/>
      <w:marLeft w:val="0"/>
      <w:marRight w:val="0"/>
      <w:marTop w:val="0"/>
      <w:marBottom w:val="0"/>
      <w:divBdr>
        <w:top w:val="none" w:sz="0" w:space="0" w:color="auto"/>
        <w:left w:val="none" w:sz="0" w:space="0" w:color="auto"/>
        <w:bottom w:val="none" w:sz="0" w:space="0" w:color="auto"/>
        <w:right w:val="none" w:sz="0" w:space="0" w:color="auto"/>
      </w:divBdr>
    </w:div>
    <w:div w:id="1037975048">
      <w:bodyDiv w:val="1"/>
      <w:marLeft w:val="0"/>
      <w:marRight w:val="0"/>
      <w:marTop w:val="0"/>
      <w:marBottom w:val="0"/>
      <w:divBdr>
        <w:top w:val="none" w:sz="0" w:space="0" w:color="auto"/>
        <w:left w:val="none" w:sz="0" w:space="0" w:color="auto"/>
        <w:bottom w:val="none" w:sz="0" w:space="0" w:color="auto"/>
        <w:right w:val="none" w:sz="0" w:space="0" w:color="auto"/>
      </w:divBdr>
    </w:div>
    <w:div w:id="1038239666">
      <w:bodyDiv w:val="1"/>
      <w:marLeft w:val="0"/>
      <w:marRight w:val="0"/>
      <w:marTop w:val="0"/>
      <w:marBottom w:val="0"/>
      <w:divBdr>
        <w:top w:val="none" w:sz="0" w:space="0" w:color="auto"/>
        <w:left w:val="none" w:sz="0" w:space="0" w:color="auto"/>
        <w:bottom w:val="none" w:sz="0" w:space="0" w:color="auto"/>
        <w:right w:val="none" w:sz="0" w:space="0" w:color="auto"/>
      </w:divBdr>
    </w:div>
    <w:div w:id="1038505358">
      <w:bodyDiv w:val="1"/>
      <w:marLeft w:val="0"/>
      <w:marRight w:val="0"/>
      <w:marTop w:val="0"/>
      <w:marBottom w:val="0"/>
      <w:divBdr>
        <w:top w:val="none" w:sz="0" w:space="0" w:color="auto"/>
        <w:left w:val="none" w:sz="0" w:space="0" w:color="auto"/>
        <w:bottom w:val="none" w:sz="0" w:space="0" w:color="auto"/>
        <w:right w:val="none" w:sz="0" w:space="0" w:color="auto"/>
      </w:divBdr>
    </w:div>
    <w:div w:id="1040016615">
      <w:bodyDiv w:val="1"/>
      <w:marLeft w:val="0"/>
      <w:marRight w:val="0"/>
      <w:marTop w:val="0"/>
      <w:marBottom w:val="0"/>
      <w:divBdr>
        <w:top w:val="none" w:sz="0" w:space="0" w:color="auto"/>
        <w:left w:val="none" w:sz="0" w:space="0" w:color="auto"/>
        <w:bottom w:val="none" w:sz="0" w:space="0" w:color="auto"/>
        <w:right w:val="none" w:sz="0" w:space="0" w:color="auto"/>
      </w:divBdr>
    </w:div>
    <w:div w:id="1040588392">
      <w:bodyDiv w:val="1"/>
      <w:marLeft w:val="0"/>
      <w:marRight w:val="0"/>
      <w:marTop w:val="0"/>
      <w:marBottom w:val="0"/>
      <w:divBdr>
        <w:top w:val="none" w:sz="0" w:space="0" w:color="auto"/>
        <w:left w:val="none" w:sz="0" w:space="0" w:color="auto"/>
        <w:bottom w:val="none" w:sz="0" w:space="0" w:color="auto"/>
        <w:right w:val="none" w:sz="0" w:space="0" w:color="auto"/>
      </w:divBdr>
    </w:div>
    <w:div w:id="1042905055">
      <w:bodyDiv w:val="1"/>
      <w:marLeft w:val="0"/>
      <w:marRight w:val="0"/>
      <w:marTop w:val="0"/>
      <w:marBottom w:val="0"/>
      <w:divBdr>
        <w:top w:val="none" w:sz="0" w:space="0" w:color="auto"/>
        <w:left w:val="none" w:sz="0" w:space="0" w:color="auto"/>
        <w:bottom w:val="none" w:sz="0" w:space="0" w:color="auto"/>
        <w:right w:val="none" w:sz="0" w:space="0" w:color="auto"/>
      </w:divBdr>
    </w:div>
    <w:div w:id="1042941727">
      <w:bodyDiv w:val="1"/>
      <w:marLeft w:val="0"/>
      <w:marRight w:val="0"/>
      <w:marTop w:val="0"/>
      <w:marBottom w:val="0"/>
      <w:divBdr>
        <w:top w:val="none" w:sz="0" w:space="0" w:color="auto"/>
        <w:left w:val="none" w:sz="0" w:space="0" w:color="auto"/>
        <w:bottom w:val="none" w:sz="0" w:space="0" w:color="auto"/>
        <w:right w:val="none" w:sz="0" w:space="0" w:color="auto"/>
      </w:divBdr>
    </w:div>
    <w:div w:id="1042972624">
      <w:bodyDiv w:val="1"/>
      <w:marLeft w:val="0"/>
      <w:marRight w:val="0"/>
      <w:marTop w:val="0"/>
      <w:marBottom w:val="0"/>
      <w:divBdr>
        <w:top w:val="none" w:sz="0" w:space="0" w:color="auto"/>
        <w:left w:val="none" w:sz="0" w:space="0" w:color="auto"/>
        <w:bottom w:val="none" w:sz="0" w:space="0" w:color="auto"/>
        <w:right w:val="none" w:sz="0" w:space="0" w:color="auto"/>
      </w:divBdr>
    </w:div>
    <w:div w:id="1044645826">
      <w:bodyDiv w:val="1"/>
      <w:marLeft w:val="0"/>
      <w:marRight w:val="0"/>
      <w:marTop w:val="0"/>
      <w:marBottom w:val="0"/>
      <w:divBdr>
        <w:top w:val="none" w:sz="0" w:space="0" w:color="auto"/>
        <w:left w:val="none" w:sz="0" w:space="0" w:color="auto"/>
        <w:bottom w:val="none" w:sz="0" w:space="0" w:color="auto"/>
        <w:right w:val="none" w:sz="0" w:space="0" w:color="auto"/>
      </w:divBdr>
    </w:div>
    <w:div w:id="1044794509">
      <w:bodyDiv w:val="1"/>
      <w:marLeft w:val="0"/>
      <w:marRight w:val="0"/>
      <w:marTop w:val="0"/>
      <w:marBottom w:val="0"/>
      <w:divBdr>
        <w:top w:val="none" w:sz="0" w:space="0" w:color="auto"/>
        <w:left w:val="none" w:sz="0" w:space="0" w:color="auto"/>
        <w:bottom w:val="none" w:sz="0" w:space="0" w:color="auto"/>
        <w:right w:val="none" w:sz="0" w:space="0" w:color="auto"/>
      </w:divBdr>
    </w:div>
    <w:div w:id="1045251510">
      <w:bodyDiv w:val="1"/>
      <w:marLeft w:val="0"/>
      <w:marRight w:val="0"/>
      <w:marTop w:val="0"/>
      <w:marBottom w:val="0"/>
      <w:divBdr>
        <w:top w:val="none" w:sz="0" w:space="0" w:color="auto"/>
        <w:left w:val="none" w:sz="0" w:space="0" w:color="auto"/>
        <w:bottom w:val="none" w:sz="0" w:space="0" w:color="auto"/>
        <w:right w:val="none" w:sz="0" w:space="0" w:color="auto"/>
      </w:divBdr>
    </w:div>
    <w:div w:id="1045375189">
      <w:bodyDiv w:val="1"/>
      <w:marLeft w:val="0"/>
      <w:marRight w:val="0"/>
      <w:marTop w:val="0"/>
      <w:marBottom w:val="0"/>
      <w:divBdr>
        <w:top w:val="none" w:sz="0" w:space="0" w:color="auto"/>
        <w:left w:val="none" w:sz="0" w:space="0" w:color="auto"/>
        <w:bottom w:val="none" w:sz="0" w:space="0" w:color="auto"/>
        <w:right w:val="none" w:sz="0" w:space="0" w:color="auto"/>
      </w:divBdr>
    </w:div>
    <w:div w:id="1045719717">
      <w:bodyDiv w:val="1"/>
      <w:marLeft w:val="0"/>
      <w:marRight w:val="0"/>
      <w:marTop w:val="0"/>
      <w:marBottom w:val="0"/>
      <w:divBdr>
        <w:top w:val="none" w:sz="0" w:space="0" w:color="auto"/>
        <w:left w:val="none" w:sz="0" w:space="0" w:color="auto"/>
        <w:bottom w:val="none" w:sz="0" w:space="0" w:color="auto"/>
        <w:right w:val="none" w:sz="0" w:space="0" w:color="auto"/>
      </w:divBdr>
    </w:div>
    <w:div w:id="1046025280">
      <w:bodyDiv w:val="1"/>
      <w:marLeft w:val="0"/>
      <w:marRight w:val="0"/>
      <w:marTop w:val="0"/>
      <w:marBottom w:val="0"/>
      <w:divBdr>
        <w:top w:val="none" w:sz="0" w:space="0" w:color="auto"/>
        <w:left w:val="none" w:sz="0" w:space="0" w:color="auto"/>
        <w:bottom w:val="none" w:sz="0" w:space="0" w:color="auto"/>
        <w:right w:val="none" w:sz="0" w:space="0" w:color="auto"/>
      </w:divBdr>
    </w:div>
    <w:div w:id="1046104773">
      <w:bodyDiv w:val="1"/>
      <w:marLeft w:val="0"/>
      <w:marRight w:val="0"/>
      <w:marTop w:val="0"/>
      <w:marBottom w:val="0"/>
      <w:divBdr>
        <w:top w:val="none" w:sz="0" w:space="0" w:color="auto"/>
        <w:left w:val="none" w:sz="0" w:space="0" w:color="auto"/>
        <w:bottom w:val="none" w:sz="0" w:space="0" w:color="auto"/>
        <w:right w:val="none" w:sz="0" w:space="0" w:color="auto"/>
      </w:divBdr>
    </w:div>
    <w:div w:id="1047797115">
      <w:bodyDiv w:val="1"/>
      <w:marLeft w:val="0"/>
      <w:marRight w:val="0"/>
      <w:marTop w:val="0"/>
      <w:marBottom w:val="0"/>
      <w:divBdr>
        <w:top w:val="none" w:sz="0" w:space="0" w:color="auto"/>
        <w:left w:val="none" w:sz="0" w:space="0" w:color="auto"/>
        <w:bottom w:val="none" w:sz="0" w:space="0" w:color="auto"/>
        <w:right w:val="none" w:sz="0" w:space="0" w:color="auto"/>
      </w:divBdr>
    </w:div>
    <w:div w:id="1047991254">
      <w:bodyDiv w:val="1"/>
      <w:marLeft w:val="0"/>
      <w:marRight w:val="0"/>
      <w:marTop w:val="0"/>
      <w:marBottom w:val="0"/>
      <w:divBdr>
        <w:top w:val="none" w:sz="0" w:space="0" w:color="auto"/>
        <w:left w:val="none" w:sz="0" w:space="0" w:color="auto"/>
        <w:bottom w:val="none" w:sz="0" w:space="0" w:color="auto"/>
        <w:right w:val="none" w:sz="0" w:space="0" w:color="auto"/>
      </w:divBdr>
    </w:div>
    <w:div w:id="1048604535">
      <w:bodyDiv w:val="1"/>
      <w:marLeft w:val="0"/>
      <w:marRight w:val="0"/>
      <w:marTop w:val="0"/>
      <w:marBottom w:val="0"/>
      <w:divBdr>
        <w:top w:val="none" w:sz="0" w:space="0" w:color="auto"/>
        <w:left w:val="none" w:sz="0" w:space="0" w:color="auto"/>
        <w:bottom w:val="none" w:sz="0" w:space="0" w:color="auto"/>
        <w:right w:val="none" w:sz="0" w:space="0" w:color="auto"/>
      </w:divBdr>
    </w:div>
    <w:div w:id="1049375722">
      <w:bodyDiv w:val="1"/>
      <w:marLeft w:val="0"/>
      <w:marRight w:val="0"/>
      <w:marTop w:val="0"/>
      <w:marBottom w:val="0"/>
      <w:divBdr>
        <w:top w:val="none" w:sz="0" w:space="0" w:color="auto"/>
        <w:left w:val="none" w:sz="0" w:space="0" w:color="auto"/>
        <w:bottom w:val="none" w:sz="0" w:space="0" w:color="auto"/>
        <w:right w:val="none" w:sz="0" w:space="0" w:color="auto"/>
      </w:divBdr>
    </w:div>
    <w:div w:id="1049838477">
      <w:bodyDiv w:val="1"/>
      <w:marLeft w:val="0"/>
      <w:marRight w:val="0"/>
      <w:marTop w:val="0"/>
      <w:marBottom w:val="0"/>
      <w:divBdr>
        <w:top w:val="none" w:sz="0" w:space="0" w:color="auto"/>
        <w:left w:val="none" w:sz="0" w:space="0" w:color="auto"/>
        <w:bottom w:val="none" w:sz="0" w:space="0" w:color="auto"/>
        <w:right w:val="none" w:sz="0" w:space="0" w:color="auto"/>
      </w:divBdr>
    </w:div>
    <w:div w:id="1049963058">
      <w:bodyDiv w:val="1"/>
      <w:marLeft w:val="0"/>
      <w:marRight w:val="0"/>
      <w:marTop w:val="0"/>
      <w:marBottom w:val="0"/>
      <w:divBdr>
        <w:top w:val="none" w:sz="0" w:space="0" w:color="auto"/>
        <w:left w:val="none" w:sz="0" w:space="0" w:color="auto"/>
        <w:bottom w:val="none" w:sz="0" w:space="0" w:color="auto"/>
        <w:right w:val="none" w:sz="0" w:space="0" w:color="auto"/>
      </w:divBdr>
    </w:div>
    <w:div w:id="1050301571">
      <w:bodyDiv w:val="1"/>
      <w:marLeft w:val="0"/>
      <w:marRight w:val="0"/>
      <w:marTop w:val="0"/>
      <w:marBottom w:val="0"/>
      <w:divBdr>
        <w:top w:val="none" w:sz="0" w:space="0" w:color="auto"/>
        <w:left w:val="none" w:sz="0" w:space="0" w:color="auto"/>
        <w:bottom w:val="none" w:sz="0" w:space="0" w:color="auto"/>
        <w:right w:val="none" w:sz="0" w:space="0" w:color="auto"/>
      </w:divBdr>
    </w:div>
    <w:div w:id="1050692269">
      <w:bodyDiv w:val="1"/>
      <w:marLeft w:val="0"/>
      <w:marRight w:val="0"/>
      <w:marTop w:val="0"/>
      <w:marBottom w:val="0"/>
      <w:divBdr>
        <w:top w:val="none" w:sz="0" w:space="0" w:color="auto"/>
        <w:left w:val="none" w:sz="0" w:space="0" w:color="auto"/>
        <w:bottom w:val="none" w:sz="0" w:space="0" w:color="auto"/>
        <w:right w:val="none" w:sz="0" w:space="0" w:color="auto"/>
      </w:divBdr>
    </w:div>
    <w:div w:id="1050809409">
      <w:bodyDiv w:val="1"/>
      <w:marLeft w:val="0"/>
      <w:marRight w:val="0"/>
      <w:marTop w:val="0"/>
      <w:marBottom w:val="0"/>
      <w:divBdr>
        <w:top w:val="none" w:sz="0" w:space="0" w:color="auto"/>
        <w:left w:val="none" w:sz="0" w:space="0" w:color="auto"/>
        <w:bottom w:val="none" w:sz="0" w:space="0" w:color="auto"/>
        <w:right w:val="none" w:sz="0" w:space="0" w:color="auto"/>
      </w:divBdr>
    </w:div>
    <w:div w:id="1051071887">
      <w:bodyDiv w:val="1"/>
      <w:marLeft w:val="0"/>
      <w:marRight w:val="0"/>
      <w:marTop w:val="0"/>
      <w:marBottom w:val="0"/>
      <w:divBdr>
        <w:top w:val="none" w:sz="0" w:space="0" w:color="auto"/>
        <w:left w:val="none" w:sz="0" w:space="0" w:color="auto"/>
        <w:bottom w:val="none" w:sz="0" w:space="0" w:color="auto"/>
        <w:right w:val="none" w:sz="0" w:space="0" w:color="auto"/>
      </w:divBdr>
    </w:div>
    <w:div w:id="1051222763">
      <w:bodyDiv w:val="1"/>
      <w:marLeft w:val="0"/>
      <w:marRight w:val="0"/>
      <w:marTop w:val="0"/>
      <w:marBottom w:val="0"/>
      <w:divBdr>
        <w:top w:val="none" w:sz="0" w:space="0" w:color="auto"/>
        <w:left w:val="none" w:sz="0" w:space="0" w:color="auto"/>
        <w:bottom w:val="none" w:sz="0" w:space="0" w:color="auto"/>
        <w:right w:val="none" w:sz="0" w:space="0" w:color="auto"/>
      </w:divBdr>
    </w:div>
    <w:div w:id="1051998069">
      <w:bodyDiv w:val="1"/>
      <w:marLeft w:val="0"/>
      <w:marRight w:val="0"/>
      <w:marTop w:val="0"/>
      <w:marBottom w:val="0"/>
      <w:divBdr>
        <w:top w:val="none" w:sz="0" w:space="0" w:color="auto"/>
        <w:left w:val="none" w:sz="0" w:space="0" w:color="auto"/>
        <w:bottom w:val="none" w:sz="0" w:space="0" w:color="auto"/>
        <w:right w:val="none" w:sz="0" w:space="0" w:color="auto"/>
      </w:divBdr>
    </w:div>
    <w:div w:id="1052801739">
      <w:bodyDiv w:val="1"/>
      <w:marLeft w:val="0"/>
      <w:marRight w:val="0"/>
      <w:marTop w:val="0"/>
      <w:marBottom w:val="0"/>
      <w:divBdr>
        <w:top w:val="none" w:sz="0" w:space="0" w:color="auto"/>
        <w:left w:val="none" w:sz="0" w:space="0" w:color="auto"/>
        <w:bottom w:val="none" w:sz="0" w:space="0" w:color="auto"/>
        <w:right w:val="none" w:sz="0" w:space="0" w:color="auto"/>
      </w:divBdr>
    </w:div>
    <w:div w:id="1053776186">
      <w:bodyDiv w:val="1"/>
      <w:marLeft w:val="0"/>
      <w:marRight w:val="0"/>
      <w:marTop w:val="0"/>
      <w:marBottom w:val="0"/>
      <w:divBdr>
        <w:top w:val="none" w:sz="0" w:space="0" w:color="auto"/>
        <w:left w:val="none" w:sz="0" w:space="0" w:color="auto"/>
        <w:bottom w:val="none" w:sz="0" w:space="0" w:color="auto"/>
        <w:right w:val="none" w:sz="0" w:space="0" w:color="auto"/>
      </w:divBdr>
    </w:div>
    <w:div w:id="1053969475">
      <w:bodyDiv w:val="1"/>
      <w:marLeft w:val="0"/>
      <w:marRight w:val="0"/>
      <w:marTop w:val="0"/>
      <w:marBottom w:val="0"/>
      <w:divBdr>
        <w:top w:val="none" w:sz="0" w:space="0" w:color="auto"/>
        <w:left w:val="none" w:sz="0" w:space="0" w:color="auto"/>
        <w:bottom w:val="none" w:sz="0" w:space="0" w:color="auto"/>
        <w:right w:val="none" w:sz="0" w:space="0" w:color="auto"/>
      </w:divBdr>
    </w:div>
    <w:div w:id="1054081158">
      <w:bodyDiv w:val="1"/>
      <w:marLeft w:val="0"/>
      <w:marRight w:val="0"/>
      <w:marTop w:val="0"/>
      <w:marBottom w:val="0"/>
      <w:divBdr>
        <w:top w:val="none" w:sz="0" w:space="0" w:color="auto"/>
        <w:left w:val="none" w:sz="0" w:space="0" w:color="auto"/>
        <w:bottom w:val="none" w:sz="0" w:space="0" w:color="auto"/>
        <w:right w:val="none" w:sz="0" w:space="0" w:color="auto"/>
      </w:divBdr>
    </w:div>
    <w:div w:id="1054162044">
      <w:bodyDiv w:val="1"/>
      <w:marLeft w:val="0"/>
      <w:marRight w:val="0"/>
      <w:marTop w:val="0"/>
      <w:marBottom w:val="0"/>
      <w:divBdr>
        <w:top w:val="none" w:sz="0" w:space="0" w:color="auto"/>
        <w:left w:val="none" w:sz="0" w:space="0" w:color="auto"/>
        <w:bottom w:val="none" w:sz="0" w:space="0" w:color="auto"/>
        <w:right w:val="none" w:sz="0" w:space="0" w:color="auto"/>
      </w:divBdr>
    </w:div>
    <w:div w:id="1054935844">
      <w:bodyDiv w:val="1"/>
      <w:marLeft w:val="0"/>
      <w:marRight w:val="0"/>
      <w:marTop w:val="0"/>
      <w:marBottom w:val="0"/>
      <w:divBdr>
        <w:top w:val="none" w:sz="0" w:space="0" w:color="auto"/>
        <w:left w:val="none" w:sz="0" w:space="0" w:color="auto"/>
        <w:bottom w:val="none" w:sz="0" w:space="0" w:color="auto"/>
        <w:right w:val="none" w:sz="0" w:space="0" w:color="auto"/>
      </w:divBdr>
    </w:div>
    <w:div w:id="1058943186">
      <w:bodyDiv w:val="1"/>
      <w:marLeft w:val="0"/>
      <w:marRight w:val="0"/>
      <w:marTop w:val="0"/>
      <w:marBottom w:val="0"/>
      <w:divBdr>
        <w:top w:val="none" w:sz="0" w:space="0" w:color="auto"/>
        <w:left w:val="none" w:sz="0" w:space="0" w:color="auto"/>
        <w:bottom w:val="none" w:sz="0" w:space="0" w:color="auto"/>
        <w:right w:val="none" w:sz="0" w:space="0" w:color="auto"/>
      </w:divBdr>
    </w:div>
    <w:div w:id="1059212031">
      <w:bodyDiv w:val="1"/>
      <w:marLeft w:val="0"/>
      <w:marRight w:val="0"/>
      <w:marTop w:val="0"/>
      <w:marBottom w:val="0"/>
      <w:divBdr>
        <w:top w:val="none" w:sz="0" w:space="0" w:color="auto"/>
        <w:left w:val="none" w:sz="0" w:space="0" w:color="auto"/>
        <w:bottom w:val="none" w:sz="0" w:space="0" w:color="auto"/>
        <w:right w:val="none" w:sz="0" w:space="0" w:color="auto"/>
      </w:divBdr>
    </w:div>
    <w:div w:id="1060516368">
      <w:bodyDiv w:val="1"/>
      <w:marLeft w:val="0"/>
      <w:marRight w:val="0"/>
      <w:marTop w:val="0"/>
      <w:marBottom w:val="0"/>
      <w:divBdr>
        <w:top w:val="none" w:sz="0" w:space="0" w:color="auto"/>
        <w:left w:val="none" w:sz="0" w:space="0" w:color="auto"/>
        <w:bottom w:val="none" w:sz="0" w:space="0" w:color="auto"/>
        <w:right w:val="none" w:sz="0" w:space="0" w:color="auto"/>
      </w:divBdr>
    </w:div>
    <w:div w:id="1066028938">
      <w:bodyDiv w:val="1"/>
      <w:marLeft w:val="0"/>
      <w:marRight w:val="0"/>
      <w:marTop w:val="0"/>
      <w:marBottom w:val="0"/>
      <w:divBdr>
        <w:top w:val="none" w:sz="0" w:space="0" w:color="auto"/>
        <w:left w:val="none" w:sz="0" w:space="0" w:color="auto"/>
        <w:bottom w:val="none" w:sz="0" w:space="0" w:color="auto"/>
        <w:right w:val="none" w:sz="0" w:space="0" w:color="auto"/>
      </w:divBdr>
    </w:div>
    <w:div w:id="1067344955">
      <w:bodyDiv w:val="1"/>
      <w:marLeft w:val="0"/>
      <w:marRight w:val="0"/>
      <w:marTop w:val="0"/>
      <w:marBottom w:val="0"/>
      <w:divBdr>
        <w:top w:val="none" w:sz="0" w:space="0" w:color="auto"/>
        <w:left w:val="none" w:sz="0" w:space="0" w:color="auto"/>
        <w:bottom w:val="none" w:sz="0" w:space="0" w:color="auto"/>
        <w:right w:val="none" w:sz="0" w:space="0" w:color="auto"/>
      </w:divBdr>
    </w:div>
    <w:div w:id="1067726071">
      <w:bodyDiv w:val="1"/>
      <w:marLeft w:val="0"/>
      <w:marRight w:val="0"/>
      <w:marTop w:val="0"/>
      <w:marBottom w:val="0"/>
      <w:divBdr>
        <w:top w:val="none" w:sz="0" w:space="0" w:color="auto"/>
        <w:left w:val="none" w:sz="0" w:space="0" w:color="auto"/>
        <w:bottom w:val="none" w:sz="0" w:space="0" w:color="auto"/>
        <w:right w:val="none" w:sz="0" w:space="0" w:color="auto"/>
      </w:divBdr>
    </w:div>
    <w:div w:id="1068111900">
      <w:bodyDiv w:val="1"/>
      <w:marLeft w:val="0"/>
      <w:marRight w:val="0"/>
      <w:marTop w:val="0"/>
      <w:marBottom w:val="0"/>
      <w:divBdr>
        <w:top w:val="none" w:sz="0" w:space="0" w:color="auto"/>
        <w:left w:val="none" w:sz="0" w:space="0" w:color="auto"/>
        <w:bottom w:val="none" w:sz="0" w:space="0" w:color="auto"/>
        <w:right w:val="none" w:sz="0" w:space="0" w:color="auto"/>
      </w:divBdr>
    </w:div>
    <w:div w:id="1068378290">
      <w:bodyDiv w:val="1"/>
      <w:marLeft w:val="0"/>
      <w:marRight w:val="0"/>
      <w:marTop w:val="0"/>
      <w:marBottom w:val="0"/>
      <w:divBdr>
        <w:top w:val="none" w:sz="0" w:space="0" w:color="auto"/>
        <w:left w:val="none" w:sz="0" w:space="0" w:color="auto"/>
        <w:bottom w:val="none" w:sz="0" w:space="0" w:color="auto"/>
        <w:right w:val="none" w:sz="0" w:space="0" w:color="auto"/>
      </w:divBdr>
    </w:div>
    <w:div w:id="1070225386">
      <w:bodyDiv w:val="1"/>
      <w:marLeft w:val="0"/>
      <w:marRight w:val="0"/>
      <w:marTop w:val="0"/>
      <w:marBottom w:val="0"/>
      <w:divBdr>
        <w:top w:val="none" w:sz="0" w:space="0" w:color="auto"/>
        <w:left w:val="none" w:sz="0" w:space="0" w:color="auto"/>
        <w:bottom w:val="none" w:sz="0" w:space="0" w:color="auto"/>
        <w:right w:val="none" w:sz="0" w:space="0" w:color="auto"/>
      </w:divBdr>
    </w:div>
    <w:div w:id="1070883455">
      <w:bodyDiv w:val="1"/>
      <w:marLeft w:val="0"/>
      <w:marRight w:val="0"/>
      <w:marTop w:val="0"/>
      <w:marBottom w:val="0"/>
      <w:divBdr>
        <w:top w:val="none" w:sz="0" w:space="0" w:color="auto"/>
        <w:left w:val="none" w:sz="0" w:space="0" w:color="auto"/>
        <w:bottom w:val="none" w:sz="0" w:space="0" w:color="auto"/>
        <w:right w:val="none" w:sz="0" w:space="0" w:color="auto"/>
      </w:divBdr>
    </w:div>
    <w:div w:id="1071199360">
      <w:bodyDiv w:val="1"/>
      <w:marLeft w:val="0"/>
      <w:marRight w:val="0"/>
      <w:marTop w:val="0"/>
      <w:marBottom w:val="0"/>
      <w:divBdr>
        <w:top w:val="none" w:sz="0" w:space="0" w:color="auto"/>
        <w:left w:val="none" w:sz="0" w:space="0" w:color="auto"/>
        <w:bottom w:val="none" w:sz="0" w:space="0" w:color="auto"/>
        <w:right w:val="none" w:sz="0" w:space="0" w:color="auto"/>
      </w:divBdr>
    </w:div>
    <w:div w:id="1071856177">
      <w:bodyDiv w:val="1"/>
      <w:marLeft w:val="0"/>
      <w:marRight w:val="0"/>
      <w:marTop w:val="0"/>
      <w:marBottom w:val="0"/>
      <w:divBdr>
        <w:top w:val="none" w:sz="0" w:space="0" w:color="auto"/>
        <w:left w:val="none" w:sz="0" w:space="0" w:color="auto"/>
        <w:bottom w:val="none" w:sz="0" w:space="0" w:color="auto"/>
        <w:right w:val="none" w:sz="0" w:space="0" w:color="auto"/>
      </w:divBdr>
    </w:div>
    <w:div w:id="1073308457">
      <w:bodyDiv w:val="1"/>
      <w:marLeft w:val="0"/>
      <w:marRight w:val="0"/>
      <w:marTop w:val="0"/>
      <w:marBottom w:val="0"/>
      <w:divBdr>
        <w:top w:val="none" w:sz="0" w:space="0" w:color="auto"/>
        <w:left w:val="none" w:sz="0" w:space="0" w:color="auto"/>
        <w:bottom w:val="none" w:sz="0" w:space="0" w:color="auto"/>
        <w:right w:val="none" w:sz="0" w:space="0" w:color="auto"/>
      </w:divBdr>
    </w:div>
    <w:div w:id="1074015547">
      <w:bodyDiv w:val="1"/>
      <w:marLeft w:val="0"/>
      <w:marRight w:val="0"/>
      <w:marTop w:val="0"/>
      <w:marBottom w:val="0"/>
      <w:divBdr>
        <w:top w:val="none" w:sz="0" w:space="0" w:color="auto"/>
        <w:left w:val="none" w:sz="0" w:space="0" w:color="auto"/>
        <w:bottom w:val="none" w:sz="0" w:space="0" w:color="auto"/>
        <w:right w:val="none" w:sz="0" w:space="0" w:color="auto"/>
      </w:divBdr>
    </w:div>
    <w:div w:id="1075320252">
      <w:bodyDiv w:val="1"/>
      <w:marLeft w:val="0"/>
      <w:marRight w:val="0"/>
      <w:marTop w:val="0"/>
      <w:marBottom w:val="0"/>
      <w:divBdr>
        <w:top w:val="none" w:sz="0" w:space="0" w:color="auto"/>
        <w:left w:val="none" w:sz="0" w:space="0" w:color="auto"/>
        <w:bottom w:val="none" w:sz="0" w:space="0" w:color="auto"/>
        <w:right w:val="none" w:sz="0" w:space="0" w:color="auto"/>
      </w:divBdr>
    </w:div>
    <w:div w:id="1075393479">
      <w:bodyDiv w:val="1"/>
      <w:marLeft w:val="0"/>
      <w:marRight w:val="0"/>
      <w:marTop w:val="0"/>
      <w:marBottom w:val="0"/>
      <w:divBdr>
        <w:top w:val="none" w:sz="0" w:space="0" w:color="auto"/>
        <w:left w:val="none" w:sz="0" w:space="0" w:color="auto"/>
        <w:bottom w:val="none" w:sz="0" w:space="0" w:color="auto"/>
        <w:right w:val="none" w:sz="0" w:space="0" w:color="auto"/>
      </w:divBdr>
    </w:div>
    <w:div w:id="1077048253">
      <w:bodyDiv w:val="1"/>
      <w:marLeft w:val="0"/>
      <w:marRight w:val="0"/>
      <w:marTop w:val="0"/>
      <w:marBottom w:val="0"/>
      <w:divBdr>
        <w:top w:val="none" w:sz="0" w:space="0" w:color="auto"/>
        <w:left w:val="none" w:sz="0" w:space="0" w:color="auto"/>
        <w:bottom w:val="none" w:sz="0" w:space="0" w:color="auto"/>
        <w:right w:val="none" w:sz="0" w:space="0" w:color="auto"/>
      </w:divBdr>
    </w:div>
    <w:div w:id="1078013133">
      <w:bodyDiv w:val="1"/>
      <w:marLeft w:val="0"/>
      <w:marRight w:val="0"/>
      <w:marTop w:val="0"/>
      <w:marBottom w:val="0"/>
      <w:divBdr>
        <w:top w:val="none" w:sz="0" w:space="0" w:color="auto"/>
        <w:left w:val="none" w:sz="0" w:space="0" w:color="auto"/>
        <w:bottom w:val="none" w:sz="0" w:space="0" w:color="auto"/>
        <w:right w:val="none" w:sz="0" w:space="0" w:color="auto"/>
      </w:divBdr>
    </w:div>
    <w:div w:id="1078134506">
      <w:bodyDiv w:val="1"/>
      <w:marLeft w:val="0"/>
      <w:marRight w:val="0"/>
      <w:marTop w:val="0"/>
      <w:marBottom w:val="0"/>
      <w:divBdr>
        <w:top w:val="none" w:sz="0" w:space="0" w:color="auto"/>
        <w:left w:val="none" w:sz="0" w:space="0" w:color="auto"/>
        <w:bottom w:val="none" w:sz="0" w:space="0" w:color="auto"/>
        <w:right w:val="none" w:sz="0" w:space="0" w:color="auto"/>
      </w:divBdr>
    </w:div>
    <w:div w:id="1078358946">
      <w:bodyDiv w:val="1"/>
      <w:marLeft w:val="0"/>
      <w:marRight w:val="0"/>
      <w:marTop w:val="0"/>
      <w:marBottom w:val="0"/>
      <w:divBdr>
        <w:top w:val="none" w:sz="0" w:space="0" w:color="auto"/>
        <w:left w:val="none" w:sz="0" w:space="0" w:color="auto"/>
        <w:bottom w:val="none" w:sz="0" w:space="0" w:color="auto"/>
        <w:right w:val="none" w:sz="0" w:space="0" w:color="auto"/>
      </w:divBdr>
    </w:div>
    <w:div w:id="1079670559">
      <w:bodyDiv w:val="1"/>
      <w:marLeft w:val="0"/>
      <w:marRight w:val="0"/>
      <w:marTop w:val="0"/>
      <w:marBottom w:val="0"/>
      <w:divBdr>
        <w:top w:val="none" w:sz="0" w:space="0" w:color="auto"/>
        <w:left w:val="none" w:sz="0" w:space="0" w:color="auto"/>
        <w:bottom w:val="none" w:sz="0" w:space="0" w:color="auto"/>
        <w:right w:val="none" w:sz="0" w:space="0" w:color="auto"/>
      </w:divBdr>
    </w:div>
    <w:div w:id="1079982233">
      <w:bodyDiv w:val="1"/>
      <w:marLeft w:val="0"/>
      <w:marRight w:val="0"/>
      <w:marTop w:val="0"/>
      <w:marBottom w:val="0"/>
      <w:divBdr>
        <w:top w:val="none" w:sz="0" w:space="0" w:color="auto"/>
        <w:left w:val="none" w:sz="0" w:space="0" w:color="auto"/>
        <w:bottom w:val="none" w:sz="0" w:space="0" w:color="auto"/>
        <w:right w:val="none" w:sz="0" w:space="0" w:color="auto"/>
      </w:divBdr>
    </w:div>
    <w:div w:id="1079986847">
      <w:bodyDiv w:val="1"/>
      <w:marLeft w:val="0"/>
      <w:marRight w:val="0"/>
      <w:marTop w:val="0"/>
      <w:marBottom w:val="0"/>
      <w:divBdr>
        <w:top w:val="none" w:sz="0" w:space="0" w:color="auto"/>
        <w:left w:val="none" w:sz="0" w:space="0" w:color="auto"/>
        <w:bottom w:val="none" w:sz="0" w:space="0" w:color="auto"/>
        <w:right w:val="none" w:sz="0" w:space="0" w:color="auto"/>
      </w:divBdr>
    </w:div>
    <w:div w:id="1080056926">
      <w:bodyDiv w:val="1"/>
      <w:marLeft w:val="0"/>
      <w:marRight w:val="0"/>
      <w:marTop w:val="0"/>
      <w:marBottom w:val="0"/>
      <w:divBdr>
        <w:top w:val="none" w:sz="0" w:space="0" w:color="auto"/>
        <w:left w:val="none" w:sz="0" w:space="0" w:color="auto"/>
        <w:bottom w:val="none" w:sz="0" w:space="0" w:color="auto"/>
        <w:right w:val="none" w:sz="0" w:space="0" w:color="auto"/>
      </w:divBdr>
    </w:div>
    <w:div w:id="1081290720">
      <w:bodyDiv w:val="1"/>
      <w:marLeft w:val="0"/>
      <w:marRight w:val="0"/>
      <w:marTop w:val="0"/>
      <w:marBottom w:val="0"/>
      <w:divBdr>
        <w:top w:val="none" w:sz="0" w:space="0" w:color="auto"/>
        <w:left w:val="none" w:sz="0" w:space="0" w:color="auto"/>
        <w:bottom w:val="none" w:sz="0" w:space="0" w:color="auto"/>
        <w:right w:val="none" w:sz="0" w:space="0" w:color="auto"/>
      </w:divBdr>
    </w:div>
    <w:div w:id="1082022838">
      <w:bodyDiv w:val="1"/>
      <w:marLeft w:val="0"/>
      <w:marRight w:val="0"/>
      <w:marTop w:val="0"/>
      <w:marBottom w:val="0"/>
      <w:divBdr>
        <w:top w:val="none" w:sz="0" w:space="0" w:color="auto"/>
        <w:left w:val="none" w:sz="0" w:space="0" w:color="auto"/>
        <w:bottom w:val="none" w:sz="0" w:space="0" w:color="auto"/>
        <w:right w:val="none" w:sz="0" w:space="0" w:color="auto"/>
      </w:divBdr>
    </w:div>
    <w:div w:id="1082066308">
      <w:bodyDiv w:val="1"/>
      <w:marLeft w:val="0"/>
      <w:marRight w:val="0"/>
      <w:marTop w:val="0"/>
      <w:marBottom w:val="0"/>
      <w:divBdr>
        <w:top w:val="none" w:sz="0" w:space="0" w:color="auto"/>
        <w:left w:val="none" w:sz="0" w:space="0" w:color="auto"/>
        <w:bottom w:val="none" w:sz="0" w:space="0" w:color="auto"/>
        <w:right w:val="none" w:sz="0" w:space="0" w:color="auto"/>
      </w:divBdr>
    </w:div>
    <w:div w:id="1083142040">
      <w:bodyDiv w:val="1"/>
      <w:marLeft w:val="0"/>
      <w:marRight w:val="0"/>
      <w:marTop w:val="0"/>
      <w:marBottom w:val="0"/>
      <w:divBdr>
        <w:top w:val="none" w:sz="0" w:space="0" w:color="auto"/>
        <w:left w:val="none" w:sz="0" w:space="0" w:color="auto"/>
        <w:bottom w:val="none" w:sz="0" w:space="0" w:color="auto"/>
        <w:right w:val="none" w:sz="0" w:space="0" w:color="auto"/>
      </w:divBdr>
    </w:div>
    <w:div w:id="1084759362">
      <w:bodyDiv w:val="1"/>
      <w:marLeft w:val="0"/>
      <w:marRight w:val="0"/>
      <w:marTop w:val="0"/>
      <w:marBottom w:val="0"/>
      <w:divBdr>
        <w:top w:val="none" w:sz="0" w:space="0" w:color="auto"/>
        <w:left w:val="none" w:sz="0" w:space="0" w:color="auto"/>
        <w:bottom w:val="none" w:sz="0" w:space="0" w:color="auto"/>
        <w:right w:val="none" w:sz="0" w:space="0" w:color="auto"/>
      </w:divBdr>
    </w:div>
    <w:div w:id="1086608645">
      <w:bodyDiv w:val="1"/>
      <w:marLeft w:val="0"/>
      <w:marRight w:val="0"/>
      <w:marTop w:val="0"/>
      <w:marBottom w:val="0"/>
      <w:divBdr>
        <w:top w:val="none" w:sz="0" w:space="0" w:color="auto"/>
        <w:left w:val="none" w:sz="0" w:space="0" w:color="auto"/>
        <w:bottom w:val="none" w:sz="0" w:space="0" w:color="auto"/>
        <w:right w:val="none" w:sz="0" w:space="0" w:color="auto"/>
      </w:divBdr>
    </w:div>
    <w:div w:id="1086611946">
      <w:bodyDiv w:val="1"/>
      <w:marLeft w:val="0"/>
      <w:marRight w:val="0"/>
      <w:marTop w:val="0"/>
      <w:marBottom w:val="0"/>
      <w:divBdr>
        <w:top w:val="none" w:sz="0" w:space="0" w:color="auto"/>
        <w:left w:val="none" w:sz="0" w:space="0" w:color="auto"/>
        <w:bottom w:val="none" w:sz="0" w:space="0" w:color="auto"/>
        <w:right w:val="none" w:sz="0" w:space="0" w:color="auto"/>
      </w:divBdr>
    </w:div>
    <w:div w:id="1087850397">
      <w:bodyDiv w:val="1"/>
      <w:marLeft w:val="0"/>
      <w:marRight w:val="0"/>
      <w:marTop w:val="0"/>
      <w:marBottom w:val="0"/>
      <w:divBdr>
        <w:top w:val="none" w:sz="0" w:space="0" w:color="auto"/>
        <w:left w:val="none" w:sz="0" w:space="0" w:color="auto"/>
        <w:bottom w:val="none" w:sz="0" w:space="0" w:color="auto"/>
        <w:right w:val="none" w:sz="0" w:space="0" w:color="auto"/>
      </w:divBdr>
    </w:div>
    <w:div w:id="1091463684">
      <w:bodyDiv w:val="1"/>
      <w:marLeft w:val="0"/>
      <w:marRight w:val="0"/>
      <w:marTop w:val="0"/>
      <w:marBottom w:val="0"/>
      <w:divBdr>
        <w:top w:val="none" w:sz="0" w:space="0" w:color="auto"/>
        <w:left w:val="none" w:sz="0" w:space="0" w:color="auto"/>
        <w:bottom w:val="none" w:sz="0" w:space="0" w:color="auto"/>
        <w:right w:val="none" w:sz="0" w:space="0" w:color="auto"/>
      </w:divBdr>
    </w:div>
    <w:div w:id="1093739873">
      <w:bodyDiv w:val="1"/>
      <w:marLeft w:val="0"/>
      <w:marRight w:val="0"/>
      <w:marTop w:val="0"/>
      <w:marBottom w:val="0"/>
      <w:divBdr>
        <w:top w:val="none" w:sz="0" w:space="0" w:color="auto"/>
        <w:left w:val="none" w:sz="0" w:space="0" w:color="auto"/>
        <w:bottom w:val="none" w:sz="0" w:space="0" w:color="auto"/>
        <w:right w:val="none" w:sz="0" w:space="0" w:color="auto"/>
      </w:divBdr>
    </w:div>
    <w:div w:id="1098867707">
      <w:bodyDiv w:val="1"/>
      <w:marLeft w:val="0"/>
      <w:marRight w:val="0"/>
      <w:marTop w:val="0"/>
      <w:marBottom w:val="0"/>
      <w:divBdr>
        <w:top w:val="none" w:sz="0" w:space="0" w:color="auto"/>
        <w:left w:val="none" w:sz="0" w:space="0" w:color="auto"/>
        <w:bottom w:val="none" w:sz="0" w:space="0" w:color="auto"/>
        <w:right w:val="none" w:sz="0" w:space="0" w:color="auto"/>
      </w:divBdr>
    </w:div>
    <w:div w:id="1099522580">
      <w:bodyDiv w:val="1"/>
      <w:marLeft w:val="0"/>
      <w:marRight w:val="0"/>
      <w:marTop w:val="0"/>
      <w:marBottom w:val="0"/>
      <w:divBdr>
        <w:top w:val="none" w:sz="0" w:space="0" w:color="auto"/>
        <w:left w:val="none" w:sz="0" w:space="0" w:color="auto"/>
        <w:bottom w:val="none" w:sz="0" w:space="0" w:color="auto"/>
        <w:right w:val="none" w:sz="0" w:space="0" w:color="auto"/>
      </w:divBdr>
    </w:div>
    <w:div w:id="1099526278">
      <w:bodyDiv w:val="1"/>
      <w:marLeft w:val="0"/>
      <w:marRight w:val="0"/>
      <w:marTop w:val="0"/>
      <w:marBottom w:val="0"/>
      <w:divBdr>
        <w:top w:val="none" w:sz="0" w:space="0" w:color="auto"/>
        <w:left w:val="none" w:sz="0" w:space="0" w:color="auto"/>
        <w:bottom w:val="none" w:sz="0" w:space="0" w:color="auto"/>
        <w:right w:val="none" w:sz="0" w:space="0" w:color="auto"/>
      </w:divBdr>
    </w:div>
    <w:div w:id="1102409969">
      <w:bodyDiv w:val="1"/>
      <w:marLeft w:val="0"/>
      <w:marRight w:val="0"/>
      <w:marTop w:val="0"/>
      <w:marBottom w:val="0"/>
      <w:divBdr>
        <w:top w:val="none" w:sz="0" w:space="0" w:color="auto"/>
        <w:left w:val="none" w:sz="0" w:space="0" w:color="auto"/>
        <w:bottom w:val="none" w:sz="0" w:space="0" w:color="auto"/>
        <w:right w:val="none" w:sz="0" w:space="0" w:color="auto"/>
      </w:divBdr>
    </w:div>
    <w:div w:id="1104881124">
      <w:bodyDiv w:val="1"/>
      <w:marLeft w:val="0"/>
      <w:marRight w:val="0"/>
      <w:marTop w:val="0"/>
      <w:marBottom w:val="0"/>
      <w:divBdr>
        <w:top w:val="none" w:sz="0" w:space="0" w:color="auto"/>
        <w:left w:val="none" w:sz="0" w:space="0" w:color="auto"/>
        <w:bottom w:val="none" w:sz="0" w:space="0" w:color="auto"/>
        <w:right w:val="none" w:sz="0" w:space="0" w:color="auto"/>
      </w:divBdr>
    </w:div>
    <w:div w:id="1105733372">
      <w:bodyDiv w:val="1"/>
      <w:marLeft w:val="0"/>
      <w:marRight w:val="0"/>
      <w:marTop w:val="0"/>
      <w:marBottom w:val="0"/>
      <w:divBdr>
        <w:top w:val="none" w:sz="0" w:space="0" w:color="auto"/>
        <w:left w:val="none" w:sz="0" w:space="0" w:color="auto"/>
        <w:bottom w:val="none" w:sz="0" w:space="0" w:color="auto"/>
        <w:right w:val="none" w:sz="0" w:space="0" w:color="auto"/>
      </w:divBdr>
    </w:div>
    <w:div w:id="1105882268">
      <w:bodyDiv w:val="1"/>
      <w:marLeft w:val="0"/>
      <w:marRight w:val="0"/>
      <w:marTop w:val="0"/>
      <w:marBottom w:val="0"/>
      <w:divBdr>
        <w:top w:val="none" w:sz="0" w:space="0" w:color="auto"/>
        <w:left w:val="none" w:sz="0" w:space="0" w:color="auto"/>
        <w:bottom w:val="none" w:sz="0" w:space="0" w:color="auto"/>
        <w:right w:val="none" w:sz="0" w:space="0" w:color="auto"/>
      </w:divBdr>
    </w:div>
    <w:div w:id="1107237097">
      <w:bodyDiv w:val="1"/>
      <w:marLeft w:val="0"/>
      <w:marRight w:val="0"/>
      <w:marTop w:val="0"/>
      <w:marBottom w:val="0"/>
      <w:divBdr>
        <w:top w:val="none" w:sz="0" w:space="0" w:color="auto"/>
        <w:left w:val="none" w:sz="0" w:space="0" w:color="auto"/>
        <w:bottom w:val="none" w:sz="0" w:space="0" w:color="auto"/>
        <w:right w:val="none" w:sz="0" w:space="0" w:color="auto"/>
      </w:divBdr>
    </w:div>
    <w:div w:id="1107388534">
      <w:bodyDiv w:val="1"/>
      <w:marLeft w:val="0"/>
      <w:marRight w:val="0"/>
      <w:marTop w:val="0"/>
      <w:marBottom w:val="0"/>
      <w:divBdr>
        <w:top w:val="none" w:sz="0" w:space="0" w:color="auto"/>
        <w:left w:val="none" w:sz="0" w:space="0" w:color="auto"/>
        <w:bottom w:val="none" w:sz="0" w:space="0" w:color="auto"/>
        <w:right w:val="none" w:sz="0" w:space="0" w:color="auto"/>
      </w:divBdr>
    </w:div>
    <w:div w:id="1108047068">
      <w:bodyDiv w:val="1"/>
      <w:marLeft w:val="0"/>
      <w:marRight w:val="0"/>
      <w:marTop w:val="0"/>
      <w:marBottom w:val="0"/>
      <w:divBdr>
        <w:top w:val="none" w:sz="0" w:space="0" w:color="auto"/>
        <w:left w:val="none" w:sz="0" w:space="0" w:color="auto"/>
        <w:bottom w:val="none" w:sz="0" w:space="0" w:color="auto"/>
        <w:right w:val="none" w:sz="0" w:space="0" w:color="auto"/>
      </w:divBdr>
    </w:div>
    <w:div w:id="1109471507">
      <w:bodyDiv w:val="1"/>
      <w:marLeft w:val="0"/>
      <w:marRight w:val="0"/>
      <w:marTop w:val="0"/>
      <w:marBottom w:val="0"/>
      <w:divBdr>
        <w:top w:val="none" w:sz="0" w:space="0" w:color="auto"/>
        <w:left w:val="none" w:sz="0" w:space="0" w:color="auto"/>
        <w:bottom w:val="none" w:sz="0" w:space="0" w:color="auto"/>
        <w:right w:val="none" w:sz="0" w:space="0" w:color="auto"/>
      </w:divBdr>
    </w:div>
    <w:div w:id="1110078759">
      <w:bodyDiv w:val="1"/>
      <w:marLeft w:val="0"/>
      <w:marRight w:val="0"/>
      <w:marTop w:val="0"/>
      <w:marBottom w:val="0"/>
      <w:divBdr>
        <w:top w:val="none" w:sz="0" w:space="0" w:color="auto"/>
        <w:left w:val="none" w:sz="0" w:space="0" w:color="auto"/>
        <w:bottom w:val="none" w:sz="0" w:space="0" w:color="auto"/>
        <w:right w:val="none" w:sz="0" w:space="0" w:color="auto"/>
      </w:divBdr>
    </w:div>
    <w:div w:id="1110708223">
      <w:bodyDiv w:val="1"/>
      <w:marLeft w:val="0"/>
      <w:marRight w:val="0"/>
      <w:marTop w:val="0"/>
      <w:marBottom w:val="0"/>
      <w:divBdr>
        <w:top w:val="none" w:sz="0" w:space="0" w:color="auto"/>
        <w:left w:val="none" w:sz="0" w:space="0" w:color="auto"/>
        <w:bottom w:val="none" w:sz="0" w:space="0" w:color="auto"/>
        <w:right w:val="none" w:sz="0" w:space="0" w:color="auto"/>
      </w:divBdr>
    </w:div>
    <w:div w:id="1110781163">
      <w:bodyDiv w:val="1"/>
      <w:marLeft w:val="0"/>
      <w:marRight w:val="0"/>
      <w:marTop w:val="0"/>
      <w:marBottom w:val="0"/>
      <w:divBdr>
        <w:top w:val="none" w:sz="0" w:space="0" w:color="auto"/>
        <w:left w:val="none" w:sz="0" w:space="0" w:color="auto"/>
        <w:bottom w:val="none" w:sz="0" w:space="0" w:color="auto"/>
        <w:right w:val="none" w:sz="0" w:space="0" w:color="auto"/>
      </w:divBdr>
    </w:div>
    <w:div w:id="1112742769">
      <w:bodyDiv w:val="1"/>
      <w:marLeft w:val="0"/>
      <w:marRight w:val="0"/>
      <w:marTop w:val="0"/>
      <w:marBottom w:val="0"/>
      <w:divBdr>
        <w:top w:val="none" w:sz="0" w:space="0" w:color="auto"/>
        <w:left w:val="none" w:sz="0" w:space="0" w:color="auto"/>
        <w:bottom w:val="none" w:sz="0" w:space="0" w:color="auto"/>
        <w:right w:val="none" w:sz="0" w:space="0" w:color="auto"/>
      </w:divBdr>
    </w:div>
    <w:div w:id="1113016757">
      <w:bodyDiv w:val="1"/>
      <w:marLeft w:val="0"/>
      <w:marRight w:val="0"/>
      <w:marTop w:val="0"/>
      <w:marBottom w:val="0"/>
      <w:divBdr>
        <w:top w:val="none" w:sz="0" w:space="0" w:color="auto"/>
        <w:left w:val="none" w:sz="0" w:space="0" w:color="auto"/>
        <w:bottom w:val="none" w:sz="0" w:space="0" w:color="auto"/>
        <w:right w:val="none" w:sz="0" w:space="0" w:color="auto"/>
      </w:divBdr>
    </w:div>
    <w:div w:id="1113397899">
      <w:bodyDiv w:val="1"/>
      <w:marLeft w:val="0"/>
      <w:marRight w:val="0"/>
      <w:marTop w:val="0"/>
      <w:marBottom w:val="0"/>
      <w:divBdr>
        <w:top w:val="none" w:sz="0" w:space="0" w:color="auto"/>
        <w:left w:val="none" w:sz="0" w:space="0" w:color="auto"/>
        <w:bottom w:val="none" w:sz="0" w:space="0" w:color="auto"/>
        <w:right w:val="none" w:sz="0" w:space="0" w:color="auto"/>
      </w:divBdr>
    </w:div>
    <w:div w:id="1113942185">
      <w:bodyDiv w:val="1"/>
      <w:marLeft w:val="0"/>
      <w:marRight w:val="0"/>
      <w:marTop w:val="0"/>
      <w:marBottom w:val="0"/>
      <w:divBdr>
        <w:top w:val="none" w:sz="0" w:space="0" w:color="auto"/>
        <w:left w:val="none" w:sz="0" w:space="0" w:color="auto"/>
        <w:bottom w:val="none" w:sz="0" w:space="0" w:color="auto"/>
        <w:right w:val="none" w:sz="0" w:space="0" w:color="auto"/>
      </w:divBdr>
    </w:div>
    <w:div w:id="1114010872">
      <w:bodyDiv w:val="1"/>
      <w:marLeft w:val="0"/>
      <w:marRight w:val="0"/>
      <w:marTop w:val="0"/>
      <w:marBottom w:val="0"/>
      <w:divBdr>
        <w:top w:val="none" w:sz="0" w:space="0" w:color="auto"/>
        <w:left w:val="none" w:sz="0" w:space="0" w:color="auto"/>
        <w:bottom w:val="none" w:sz="0" w:space="0" w:color="auto"/>
        <w:right w:val="none" w:sz="0" w:space="0" w:color="auto"/>
      </w:divBdr>
    </w:div>
    <w:div w:id="1114515301">
      <w:bodyDiv w:val="1"/>
      <w:marLeft w:val="0"/>
      <w:marRight w:val="0"/>
      <w:marTop w:val="0"/>
      <w:marBottom w:val="0"/>
      <w:divBdr>
        <w:top w:val="none" w:sz="0" w:space="0" w:color="auto"/>
        <w:left w:val="none" w:sz="0" w:space="0" w:color="auto"/>
        <w:bottom w:val="none" w:sz="0" w:space="0" w:color="auto"/>
        <w:right w:val="none" w:sz="0" w:space="0" w:color="auto"/>
      </w:divBdr>
    </w:div>
    <w:div w:id="1115755920">
      <w:bodyDiv w:val="1"/>
      <w:marLeft w:val="0"/>
      <w:marRight w:val="0"/>
      <w:marTop w:val="0"/>
      <w:marBottom w:val="0"/>
      <w:divBdr>
        <w:top w:val="none" w:sz="0" w:space="0" w:color="auto"/>
        <w:left w:val="none" w:sz="0" w:space="0" w:color="auto"/>
        <w:bottom w:val="none" w:sz="0" w:space="0" w:color="auto"/>
        <w:right w:val="none" w:sz="0" w:space="0" w:color="auto"/>
      </w:divBdr>
    </w:div>
    <w:div w:id="1115758218">
      <w:bodyDiv w:val="1"/>
      <w:marLeft w:val="0"/>
      <w:marRight w:val="0"/>
      <w:marTop w:val="0"/>
      <w:marBottom w:val="0"/>
      <w:divBdr>
        <w:top w:val="none" w:sz="0" w:space="0" w:color="auto"/>
        <w:left w:val="none" w:sz="0" w:space="0" w:color="auto"/>
        <w:bottom w:val="none" w:sz="0" w:space="0" w:color="auto"/>
        <w:right w:val="none" w:sz="0" w:space="0" w:color="auto"/>
      </w:divBdr>
    </w:div>
    <w:div w:id="1116364362">
      <w:bodyDiv w:val="1"/>
      <w:marLeft w:val="0"/>
      <w:marRight w:val="0"/>
      <w:marTop w:val="0"/>
      <w:marBottom w:val="0"/>
      <w:divBdr>
        <w:top w:val="none" w:sz="0" w:space="0" w:color="auto"/>
        <w:left w:val="none" w:sz="0" w:space="0" w:color="auto"/>
        <w:bottom w:val="none" w:sz="0" w:space="0" w:color="auto"/>
        <w:right w:val="none" w:sz="0" w:space="0" w:color="auto"/>
      </w:divBdr>
    </w:div>
    <w:div w:id="1116749354">
      <w:bodyDiv w:val="1"/>
      <w:marLeft w:val="0"/>
      <w:marRight w:val="0"/>
      <w:marTop w:val="0"/>
      <w:marBottom w:val="0"/>
      <w:divBdr>
        <w:top w:val="none" w:sz="0" w:space="0" w:color="auto"/>
        <w:left w:val="none" w:sz="0" w:space="0" w:color="auto"/>
        <w:bottom w:val="none" w:sz="0" w:space="0" w:color="auto"/>
        <w:right w:val="none" w:sz="0" w:space="0" w:color="auto"/>
      </w:divBdr>
    </w:div>
    <w:div w:id="1117218974">
      <w:bodyDiv w:val="1"/>
      <w:marLeft w:val="0"/>
      <w:marRight w:val="0"/>
      <w:marTop w:val="0"/>
      <w:marBottom w:val="0"/>
      <w:divBdr>
        <w:top w:val="none" w:sz="0" w:space="0" w:color="auto"/>
        <w:left w:val="none" w:sz="0" w:space="0" w:color="auto"/>
        <w:bottom w:val="none" w:sz="0" w:space="0" w:color="auto"/>
        <w:right w:val="none" w:sz="0" w:space="0" w:color="auto"/>
      </w:divBdr>
    </w:div>
    <w:div w:id="1117258190">
      <w:bodyDiv w:val="1"/>
      <w:marLeft w:val="0"/>
      <w:marRight w:val="0"/>
      <w:marTop w:val="0"/>
      <w:marBottom w:val="0"/>
      <w:divBdr>
        <w:top w:val="none" w:sz="0" w:space="0" w:color="auto"/>
        <w:left w:val="none" w:sz="0" w:space="0" w:color="auto"/>
        <w:bottom w:val="none" w:sz="0" w:space="0" w:color="auto"/>
        <w:right w:val="none" w:sz="0" w:space="0" w:color="auto"/>
      </w:divBdr>
    </w:div>
    <w:div w:id="1117334175">
      <w:bodyDiv w:val="1"/>
      <w:marLeft w:val="0"/>
      <w:marRight w:val="0"/>
      <w:marTop w:val="0"/>
      <w:marBottom w:val="0"/>
      <w:divBdr>
        <w:top w:val="none" w:sz="0" w:space="0" w:color="auto"/>
        <w:left w:val="none" w:sz="0" w:space="0" w:color="auto"/>
        <w:bottom w:val="none" w:sz="0" w:space="0" w:color="auto"/>
        <w:right w:val="none" w:sz="0" w:space="0" w:color="auto"/>
      </w:divBdr>
    </w:div>
    <w:div w:id="1119035204">
      <w:bodyDiv w:val="1"/>
      <w:marLeft w:val="0"/>
      <w:marRight w:val="0"/>
      <w:marTop w:val="0"/>
      <w:marBottom w:val="0"/>
      <w:divBdr>
        <w:top w:val="none" w:sz="0" w:space="0" w:color="auto"/>
        <w:left w:val="none" w:sz="0" w:space="0" w:color="auto"/>
        <w:bottom w:val="none" w:sz="0" w:space="0" w:color="auto"/>
        <w:right w:val="none" w:sz="0" w:space="0" w:color="auto"/>
      </w:divBdr>
    </w:div>
    <w:div w:id="1119108100">
      <w:bodyDiv w:val="1"/>
      <w:marLeft w:val="0"/>
      <w:marRight w:val="0"/>
      <w:marTop w:val="0"/>
      <w:marBottom w:val="0"/>
      <w:divBdr>
        <w:top w:val="none" w:sz="0" w:space="0" w:color="auto"/>
        <w:left w:val="none" w:sz="0" w:space="0" w:color="auto"/>
        <w:bottom w:val="none" w:sz="0" w:space="0" w:color="auto"/>
        <w:right w:val="none" w:sz="0" w:space="0" w:color="auto"/>
      </w:divBdr>
    </w:div>
    <w:div w:id="1120759363">
      <w:bodyDiv w:val="1"/>
      <w:marLeft w:val="0"/>
      <w:marRight w:val="0"/>
      <w:marTop w:val="0"/>
      <w:marBottom w:val="0"/>
      <w:divBdr>
        <w:top w:val="none" w:sz="0" w:space="0" w:color="auto"/>
        <w:left w:val="none" w:sz="0" w:space="0" w:color="auto"/>
        <w:bottom w:val="none" w:sz="0" w:space="0" w:color="auto"/>
        <w:right w:val="none" w:sz="0" w:space="0" w:color="auto"/>
      </w:divBdr>
    </w:div>
    <w:div w:id="1121338252">
      <w:bodyDiv w:val="1"/>
      <w:marLeft w:val="0"/>
      <w:marRight w:val="0"/>
      <w:marTop w:val="0"/>
      <w:marBottom w:val="0"/>
      <w:divBdr>
        <w:top w:val="none" w:sz="0" w:space="0" w:color="auto"/>
        <w:left w:val="none" w:sz="0" w:space="0" w:color="auto"/>
        <w:bottom w:val="none" w:sz="0" w:space="0" w:color="auto"/>
        <w:right w:val="none" w:sz="0" w:space="0" w:color="auto"/>
      </w:divBdr>
    </w:div>
    <w:div w:id="1121342094">
      <w:bodyDiv w:val="1"/>
      <w:marLeft w:val="0"/>
      <w:marRight w:val="0"/>
      <w:marTop w:val="0"/>
      <w:marBottom w:val="0"/>
      <w:divBdr>
        <w:top w:val="none" w:sz="0" w:space="0" w:color="auto"/>
        <w:left w:val="none" w:sz="0" w:space="0" w:color="auto"/>
        <w:bottom w:val="none" w:sz="0" w:space="0" w:color="auto"/>
        <w:right w:val="none" w:sz="0" w:space="0" w:color="auto"/>
      </w:divBdr>
    </w:div>
    <w:div w:id="1122772140">
      <w:bodyDiv w:val="1"/>
      <w:marLeft w:val="0"/>
      <w:marRight w:val="0"/>
      <w:marTop w:val="0"/>
      <w:marBottom w:val="0"/>
      <w:divBdr>
        <w:top w:val="none" w:sz="0" w:space="0" w:color="auto"/>
        <w:left w:val="none" w:sz="0" w:space="0" w:color="auto"/>
        <w:bottom w:val="none" w:sz="0" w:space="0" w:color="auto"/>
        <w:right w:val="none" w:sz="0" w:space="0" w:color="auto"/>
      </w:divBdr>
    </w:div>
    <w:div w:id="1123229243">
      <w:bodyDiv w:val="1"/>
      <w:marLeft w:val="0"/>
      <w:marRight w:val="0"/>
      <w:marTop w:val="0"/>
      <w:marBottom w:val="0"/>
      <w:divBdr>
        <w:top w:val="none" w:sz="0" w:space="0" w:color="auto"/>
        <w:left w:val="none" w:sz="0" w:space="0" w:color="auto"/>
        <w:bottom w:val="none" w:sz="0" w:space="0" w:color="auto"/>
        <w:right w:val="none" w:sz="0" w:space="0" w:color="auto"/>
      </w:divBdr>
    </w:div>
    <w:div w:id="1123231071">
      <w:bodyDiv w:val="1"/>
      <w:marLeft w:val="0"/>
      <w:marRight w:val="0"/>
      <w:marTop w:val="0"/>
      <w:marBottom w:val="0"/>
      <w:divBdr>
        <w:top w:val="none" w:sz="0" w:space="0" w:color="auto"/>
        <w:left w:val="none" w:sz="0" w:space="0" w:color="auto"/>
        <w:bottom w:val="none" w:sz="0" w:space="0" w:color="auto"/>
        <w:right w:val="none" w:sz="0" w:space="0" w:color="auto"/>
      </w:divBdr>
    </w:div>
    <w:div w:id="1124037775">
      <w:bodyDiv w:val="1"/>
      <w:marLeft w:val="0"/>
      <w:marRight w:val="0"/>
      <w:marTop w:val="0"/>
      <w:marBottom w:val="0"/>
      <w:divBdr>
        <w:top w:val="none" w:sz="0" w:space="0" w:color="auto"/>
        <w:left w:val="none" w:sz="0" w:space="0" w:color="auto"/>
        <w:bottom w:val="none" w:sz="0" w:space="0" w:color="auto"/>
        <w:right w:val="none" w:sz="0" w:space="0" w:color="auto"/>
      </w:divBdr>
    </w:div>
    <w:div w:id="1124734322">
      <w:bodyDiv w:val="1"/>
      <w:marLeft w:val="0"/>
      <w:marRight w:val="0"/>
      <w:marTop w:val="0"/>
      <w:marBottom w:val="0"/>
      <w:divBdr>
        <w:top w:val="none" w:sz="0" w:space="0" w:color="auto"/>
        <w:left w:val="none" w:sz="0" w:space="0" w:color="auto"/>
        <w:bottom w:val="none" w:sz="0" w:space="0" w:color="auto"/>
        <w:right w:val="none" w:sz="0" w:space="0" w:color="auto"/>
      </w:divBdr>
    </w:div>
    <w:div w:id="1125612328">
      <w:bodyDiv w:val="1"/>
      <w:marLeft w:val="0"/>
      <w:marRight w:val="0"/>
      <w:marTop w:val="0"/>
      <w:marBottom w:val="0"/>
      <w:divBdr>
        <w:top w:val="none" w:sz="0" w:space="0" w:color="auto"/>
        <w:left w:val="none" w:sz="0" w:space="0" w:color="auto"/>
        <w:bottom w:val="none" w:sz="0" w:space="0" w:color="auto"/>
        <w:right w:val="none" w:sz="0" w:space="0" w:color="auto"/>
      </w:divBdr>
    </w:div>
    <w:div w:id="1126045114">
      <w:bodyDiv w:val="1"/>
      <w:marLeft w:val="0"/>
      <w:marRight w:val="0"/>
      <w:marTop w:val="0"/>
      <w:marBottom w:val="0"/>
      <w:divBdr>
        <w:top w:val="none" w:sz="0" w:space="0" w:color="auto"/>
        <w:left w:val="none" w:sz="0" w:space="0" w:color="auto"/>
        <w:bottom w:val="none" w:sz="0" w:space="0" w:color="auto"/>
        <w:right w:val="none" w:sz="0" w:space="0" w:color="auto"/>
      </w:divBdr>
    </w:div>
    <w:div w:id="1126629485">
      <w:bodyDiv w:val="1"/>
      <w:marLeft w:val="0"/>
      <w:marRight w:val="0"/>
      <w:marTop w:val="0"/>
      <w:marBottom w:val="0"/>
      <w:divBdr>
        <w:top w:val="none" w:sz="0" w:space="0" w:color="auto"/>
        <w:left w:val="none" w:sz="0" w:space="0" w:color="auto"/>
        <w:bottom w:val="none" w:sz="0" w:space="0" w:color="auto"/>
        <w:right w:val="none" w:sz="0" w:space="0" w:color="auto"/>
      </w:divBdr>
    </w:div>
    <w:div w:id="1126699223">
      <w:bodyDiv w:val="1"/>
      <w:marLeft w:val="0"/>
      <w:marRight w:val="0"/>
      <w:marTop w:val="0"/>
      <w:marBottom w:val="0"/>
      <w:divBdr>
        <w:top w:val="none" w:sz="0" w:space="0" w:color="auto"/>
        <w:left w:val="none" w:sz="0" w:space="0" w:color="auto"/>
        <w:bottom w:val="none" w:sz="0" w:space="0" w:color="auto"/>
        <w:right w:val="none" w:sz="0" w:space="0" w:color="auto"/>
      </w:divBdr>
    </w:div>
    <w:div w:id="1126898527">
      <w:bodyDiv w:val="1"/>
      <w:marLeft w:val="0"/>
      <w:marRight w:val="0"/>
      <w:marTop w:val="0"/>
      <w:marBottom w:val="0"/>
      <w:divBdr>
        <w:top w:val="none" w:sz="0" w:space="0" w:color="auto"/>
        <w:left w:val="none" w:sz="0" w:space="0" w:color="auto"/>
        <w:bottom w:val="none" w:sz="0" w:space="0" w:color="auto"/>
        <w:right w:val="none" w:sz="0" w:space="0" w:color="auto"/>
      </w:divBdr>
    </w:div>
    <w:div w:id="1128160386">
      <w:bodyDiv w:val="1"/>
      <w:marLeft w:val="0"/>
      <w:marRight w:val="0"/>
      <w:marTop w:val="0"/>
      <w:marBottom w:val="0"/>
      <w:divBdr>
        <w:top w:val="none" w:sz="0" w:space="0" w:color="auto"/>
        <w:left w:val="none" w:sz="0" w:space="0" w:color="auto"/>
        <w:bottom w:val="none" w:sz="0" w:space="0" w:color="auto"/>
        <w:right w:val="none" w:sz="0" w:space="0" w:color="auto"/>
      </w:divBdr>
    </w:div>
    <w:div w:id="1129979360">
      <w:bodyDiv w:val="1"/>
      <w:marLeft w:val="0"/>
      <w:marRight w:val="0"/>
      <w:marTop w:val="0"/>
      <w:marBottom w:val="0"/>
      <w:divBdr>
        <w:top w:val="none" w:sz="0" w:space="0" w:color="auto"/>
        <w:left w:val="none" w:sz="0" w:space="0" w:color="auto"/>
        <w:bottom w:val="none" w:sz="0" w:space="0" w:color="auto"/>
        <w:right w:val="none" w:sz="0" w:space="0" w:color="auto"/>
      </w:divBdr>
    </w:div>
    <w:div w:id="1132138010">
      <w:bodyDiv w:val="1"/>
      <w:marLeft w:val="0"/>
      <w:marRight w:val="0"/>
      <w:marTop w:val="0"/>
      <w:marBottom w:val="0"/>
      <w:divBdr>
        <w:top w:val="none" w:sz="0" w:space="0" w:color="auto"/>
        <w:left w:val="none" w:sz="0" w:space="0" w:color="auto"/>
        <w:bottom w:val="none" w:sz="0" w:space="0" w:color="auto"/>
        <w:right w:val="none" w:sz="0" w:space="0" w:color="auto"/>
      </w:divBdr>
    </w:div>
    <w:div w:id="1132553029">
      <w:bodyDiv w:val="1"/>
      <w:marLeft w:val="0"/>
      <w:marRight w:val="0"/>
      <w:marTop w:val="0"/>
      <w:marBottom w:val="0"/>
      <w:divBdr>
        <w:top w:val="none" w:sz="0" w:space="0" w:color="auto"/>
        <w:left w:val="none" w:sz="0" w:space="0" w:color="auto"/>
        <w:bottom w:val="none" w:sz="0" w:space="0" w:color="auto"/>
        <w:right w:val="none" w:sz="0" w:space="0" w:color="auto"/>
      </w:divBdr>
    </w:div>
    <w:div w:id="1133595802">
      <w:bodyDiv w:val="1"/>
      <w:marLeft w:val="0"/>
      <w:marRight w:val="0"/>
      <w:marTop w:val="0"/>
      <w:marBottom w:val="0"/>
      <w:divBdr>
        <w:top w:val="none" w:sz="0" w:space="0" w:color="auto"/>
        <w:left w:val="none" w:sz="0" w:space="0" w:color="auto"/>
        <w:bottom w:val="none" w:sz="0" w:space="0" w:color="auto"/>
        <w:right w:val="none" w:sz="0" w:space="0" w:color="auto"/>
      </w:divBdr>
    </w:div>
    <w:div w:id="1134560771">
      <w:bodyDiv w:val="1"/>
      <w:marLeft w:val="0"/>
      <w:marRight w:val="0"/>
      <w:marTop w:val="0"/>
      <w:marBottom w:val="0"/>
      <w:divBdr>
        <w:top w:val="none" w:sz="0" w:space="0" w:color="auto"/>
        <w:left w:val="none" w:sz="0" w:space="0" w:color="auto"/>
        <w:bottom w:val="none" w:sz="0" w:space="0" w:color="auto"/>
        <w:right w:val="none" w:sz="0" w:space="0" w:color="auto"/>
      </w:divBdr>
    </w:div>
    <w:div w:id="1135682419">
      <w:bodyDiv w:val="1"/>
      <w:marLeft w:val="0"/>
      <w:marRight w:val="0"/>
      <w:marTop w:val="0"/>
      <w:marBottom w:val="0"/>
      <w:divBdr>
        <w:top w:val="none" w:sz="0" w:space="0" w:color="auto"/>
        <w:left w:val="none" w:sz="0" w:space="0" w:color="auto"/>
        <w:bottom w:val="none" w:sz="0" w:space="0" w:color="auto"/>
        <w:right w:val="none" w:sz="0" w:space="0" w:color="auto"/>
      </w:divBdr>
    </w:div>
    <w:div w:id="1135833867">
      <w:bodyDiv w:val="1"/>
      <w:marLeft w:val="0"/>
      <w:marRight w:val="0"/>
      <w:marTop w:val="0"/>
      <w:marBottom w:val="0"/>
      <w:divBdr>
        <w:top w:val="none" w:sz="0" w:space="0" w:color="auto"/>
        <w:left w:val="none" w:sz="0" w:space="0" w:color="auto"/>
        <w:bottom w:val="none" w:sz="0" w:space="0" w:color="auto"/>
        <w:right w:val="none" w:sz="0" w:space="0" w:color="auto"/>
      </w:divBdr>
    </w:div>
    <w:div w:id="1136490264">
      <w:bodyDiv w:val="1"/>
      <w:marLeft w:val="0"/>
      <w:marRight w:val="0"/>
      <w:marTop w:val="0"/>
      <w:marBottom w:val="0"/>
      <w:divBdr>
        <w:top w:val="none" w:sz="0" w:space="0" w:color="auto"/>
        <w:left w:val="none" w:sz="0" w:space="0" w:color="auto"/>
        <w:bottom w:val="none" w:sz="0" w:space="0" w:color="auto"/>
        <w:right w:val="none" w:sz="0" w:space="0" w:color="auto"/>
      </w:divBdr>
    </w:div>
    <w:div w:id="1137379859">
      <w:bodyDiv w:val="1"/>
      <w:marLeft w:val="0"/>
      <w:marRight w:val="0"/>
      <w:marTop w:val="0"/>
      <w:marBottom w:val="0"/>
      <w:divBdr>
        <w:top w:val="none" w:sz="0" w:space="0" w:color="auto"/>
        <w:left w:val="none" w:sz="0" w:space="0" w:color="auto"/>
        <w:bottom w:val="none" w:sz="0" w:space="0" w:color="auto"/>
        <w:right w:val="none" w:sz="0" w:space="0" w:color="auto"/>
      </w:divBdr>
    </w:div>
    <w:div w:id="1138690301">
      <w:bodyDiv w:val="1"/>
      <w:marLeft w:val="0"/>
      <w:marRight w:val="0"/>
      <w:marTop w:val="0"/>
      <w:marBottom w:val="0"/>
      <w:divBdr>
        <w:top w:val="none" w:sz="0" w:space="0" w:color="auto"/>
        <w:left w:val="none" w:sz="0" w:space="0" w:color="auto"/>
        <w:bottom w:val="none" w:sz="0" w:space="0" w:color="auto"/>
        <w:right w:val="none" w:sz="0" w:space="0" w:color="auto"/>
      </w:divBdr>
    </w:div>
    <w:div w:id="1139302620">
      <w:bodyDiv w:val="1"/>
      <w:marLeft w:val="0"/>
      <w:marRight w:val="0"/>
      <w:marTop w:val="0"/>
      <w:marBottom w:val="0"/>
      <w:divBdr>
        <w:top w:val="none" w:sz="0" w:space="0" w:color="auto"/>
        <w:left w:val="none" w:sz="0" w:space="0" w:color="auto"/>
        <w:bottom w:val="none" w:sz="0" w:space="0" w:color="auto"/>
        <w:right w:val="none" w:sz="0" w:space="0" w:color="auto"/>
      </w:divBdr>
    </w:div>
    <w:div w:id="1141388496">
      <w:bodyDiv w:val="1"/>
      <w:marLeft w:val="0"/>
      <w:marRight w:val="0"/>
      <w:marTop w:val="0"/>
      <w:marBottom w:val="0"/>
      <w:divBdr>
        <w:top w:val="none" w:sz="0" w:space="0" w:color="auto"/>
        <w:left w:val="none" w:sz="0" w:space="0" w:color="auto"/>
        <w:bottom w:val="none" w:sz="0" w:space="0" w:color="auto"/>
        <w:right w:val="none" w:sz="0" w:space="0" w:color="auto"/>
      </w:divBdr>
    </w:div>
    <w:div w:id="1141581689">
      <w:bodyDiv w:val="1"/>
      <w:marLeft w:val="0"/>
      <w:marRight w:val="0"/>
      <w:marTop w:val="0"/>
      <w:marBottom w:val="0"/>
      <w:divBdr>
        <w:top w:val="none" w:sz="0" w:space="0" w:color="auto"/>
        <w:left w:val="none" w:sz="0" w:space="0" w:color="auto"/>
        <w:bottom w:val="none" w:sz="0" w:space="0" w:color="auto"/>
        <w:right w:val="none" w:sz="0" w:space="0" w:color="auto"/>
      </w:divBdr>
    </w:div>
    <w:div w:id="1143084355">
      <w:bodyDiv w:val="1"/>
      <w:marLeft w:val="0"/>
      <w:marRight w:val="0"/>
      <w:marTop w:val="0"/>
      <w:marBottom w:val="0"/>
      <w:divBdr>
        <w:top w:val="none" w:sz="0" w:space="0" w:color="auto"/>
        <w:left w:val="none" w:sz="0" w:space="0" w:color="auto"/>
        <w:bottom w:val="none" w:sz="0" w:space="0" w:color="auto"/>
        <w:right w:val="none" w:sz="0" w:space="0" w:color="auto"/>
      </w:divBdr>
    </w:div>
    <w:div w:id="1143697186">
      <w:bodyDiv w:val="1"/>
      <w:marLeft w:val="0"/>
      <w:marRight w:val="0"/>
      <w:marTop w:val="0"/>
      <w:marBottom w:val="0"/>
      <w:divBdr>
        <w:top w:val="none" w:sz="0" w:space="0" w:color="auto"/>
        <w:left w:val="none" w:sz="0" w:space="0" w:color="auto"/>
        <w:bottom w:val="none" w:sz="0" w:space="0" w:color="auto"/>
        <w:right w:val="none" w:sz="0" w:space="0" w:color="auto"/>
      </w:divBdr>
    </w:div>
    <w:div w:id="1145244670">
      <w:bodyDiv w:val="1"/>
      <w:marLeft w:val="0"/>
      <w:marRight w:val="0"/>
      <w:marTop w:val="0"/>
      <w:marBottom w:val="0"/>
      <w:divBdr>
        <w:top w:val="none" w:sz="0" w:space="0" w:color="auto"/>
        <w:left w:val="none" w:sz="0" w:space="0" w:color="auto"/>
        <w:bottom w:val="none" w:sz="0" w:space="0" w:color="auto"/>
        <w:right w:val="none" w:sz="0" w:space="0" w:color="auto"/>
      </w:divBdr>
    </w:div>
    <w:div w:id="1145732739">
      <w:bodyDiv w:val="1"/>
      <w:marLeft w:val="0"/>
      <w:marRight w:val="0"/>
      <w:marTop w:val="0"/>
      <w:marBottom w:val="0"/>
      <w:divBdr>
        <w:top w:val="none" w:sz="0" w:space="0" w:color="auto"/>
        <w:left w:val="none" w:sz="0" w:space="0" w:color="auto"/>
        <w:bottom w:val="none" w:sz="0" w:space="0" w:color="auto"/>
        <w:right w:val="none" w:sz="0" w:space="0" w:color="auto"/>
      </w:divBdr>
    </w:div>
    <w:div w:id="1145850704">
      <w:bodyDiv w:val="1"/>
      <w:marLeft w:val="0"/>
      <w:marRight w:val="0"/>
      <w:marTop w:val="0"/>
      <w:marBottom w:val="0"/>
      <w:divBdr>
        <w:top w:val="none" w:sz="0" w:space="0" w:color="auto"/>
        <w:left w:val="none" w:sz="0" w:space="0" w:color="auto"/>
        <w:bottom w:val="none" w:sz="0" w:space="0" w:color="auto"/>
        <w:right w:val="none" w:sz="0" w:space="0" w:color="auto"/>
      </w:divBdr>
    </w:div>
    <w:div w:id="1146362950">
      <w:bodyDiv w:val="1"/>
      <w:marLeft w:val="0"/>
      <w:marRight w:val="0"/>
      <w:marTop w:val="0"/>
      <w:marBottom w:val="0"/>
      <w:divBdr>
        <w:top w:val="none" w:sz="0" w:space="0" w:color="auto"/>
        <w:left w:val="none" w:sz="0" w:space="0" w:color="auto"/>
        <w:bottom w:val="none" w:sz="0" w:space="0" w:color="auto"/>
        <w:right w:val="none" w:sz="0" w:space="0" w:color="auto"/>
      </w:divBdr>
    </w:div>
    <w:div w:id="1147625133">
      <w:bodyDiv w:val="1"/>
      <w:marLeft w:val="0"/>
      <w:marRight w:val="0"/>
      <w:marTop w:val="0"/>
      <w:marBottom w:val="0"/>
      <w:divBdr>
        <w:top w:val="none" w:sz="0" w:space="0" w:color="auto"/>
        <w:left w:val="none" w:sz="0" w:space="0" w:color="auto"/>
        <w:bottom w:val="none" w:sz="0" w:space="0" w:color="auto"/>
        <w:right w:val="none" w:sz="0" w:space="0" w:color="auto"/>
      </w:divBdr>
    </w:div>
    <w:div w:id="1148861335">
      <w:bodyDiv w:val="1"/>
      <w:marLeft w:val="0"/>
      <w:marRight w:val="0"/>
      <w:marTop w:val="0"/>
      <w:marBottom w:val="0"/>
      <w:divBdr>
        <w:top w:val="none" w:sz="0" w:space="0" w:color="auto"/>
        <w:left w:val="none" w:sz="0" w:space="0" w:color="auto"/>
        <w:bottom w:val="none" w:sz="0" w:space="0" w:color="auto"/>
        <w:right w:val="none" w:sz="0" w:space="0" w:color="auto"/>
      </w:divBdr>
    </w:div>
    <w:div w:id="1149324347">
      <w:bodyDiv w:val="1"/>
      <w:marLeft w:val="0"/>
      <w:marRight w:val="0"/>
      <w:marTop w:val="0"/>
      <w:marBottom w:val="0"/>
      <w:divBdr>
        <w:top w:val="none" w:sz="0" w:space="0" w:color="auto"/>
        <w:left w:val="none" w:sz="0" w:space="0" w:color="auto"/>
        <w:bottom w:val="none" w:sz="0" w:space="0" w:color="auto"/>
        <w:right w:val="none" w:sz="0" w:space="0" w:color="auto"/>
      </w:divBdr>
    </w:div>
    <w:div w:id="1153524527">
      <w:bodyDiv w:val="1"/>
      <w:marLeft w:val="0"/>
      <w:marRight w:val="0"/>
      <w:marTop w:val="0"/>
      <w:marBottom w:val="0"/>
      <w:divBdr>
        <w:top w:val="none" w:sz="0" w:space="0" w:color="auto"/>
        <w:left w:val="none" w:sz="0" w:space="0" w:color="auto"/>
        <w:bottom w:val="none" w:sz="0" w:space="0" w:color="auto"/>
        <w:right w:val="none" w:sz="0" w:space="0" w:color="auto"/>
      </w:divBdr>
    </w:div>
    <w:div w:id="1154948115">
      <w:bodyDiv w:val="1"/>
      <w:marLeft w:val="0"/>
      <w:marRight w:val="0"/>
      <w:marTop w:val="0"/>
      <w:marBottom w:val="0"/>
      <w:divBdr>
        <w:top w:val="none" w:sz="0" w:space="0" w:color="auto"/>
        <w:left w:val="none" w:sz="0" w:space="0" w:color="auto"/>
        <w:bottom w:val="none" w:sz="0" w:space="0" w:color="auto"/>
        <w:right w:val="none" w:sz="0" w:space="0" w:color="auto"/>
      </w:divBdr>
    </w:div>
    <w:div w:id="1157190194">
      <w:bodyDiv w:val="1"/>
      <w:marLeft w:val="0"/>
      <w:marRight w:val="0"/>
      <w:marTop w:val="0"/>
      <w:marBottom w:val="0"/>
      <w:divBdr>
        <w:top w:val="none" w:sz="0" w:space="0" w:color="auto"/>
        <w:left w:val="none" w:sz="0" w:space="0" w:color="auto"/>
        <w:bottom w:val="none" w:sz="0" w:space="0" w:color="auto"/>
        <w:right w:val="none" w:sz="0" w:space="0" w:color="auto"/>
      </w:divBdr>
    </w:div>
    <w:div w:id="1160197862">
      <w:bodyDiv w:val="1"/>
      <w:marLeft w:val="0"/>
      <w:marRight w:val="0"/>
      <w:marTop w:val="0"/>
      <w:marBottom w:val="0"/>
      <w:divBdr>
        <w:top w:val="none" w:sz="0" w:space="0" w:color="auto"/>
        <w:left w:val="none" w:sz="0" w:space="0" w:color="auto"/>
        <w:bottom w:val="none" w:sz="0" w:space="0" w:color="auto"/>
        <w:right w:val="none" w:sz="0" w:space="0" w:color="auto"/>
      </w:divBdr>
    </w:div>
    <w:div w:id="1160199908">
      <w:bodyDiv w:val="1"/>
      <w:marLeft w:val="0"/>
      <w:marRight w:val="0"/>
      <w:marTop w:val="0"/>
      <w:marBottom w:val="0"/>
      <w:divBdr>
        <w:top w:val="none" w:sz="0" w:space="0" w:color="auto"/>
        <w:left w:val="none" w:sz="0" w:space="0" w:color="auto"/>
        <w:bottom w:val="none" w:sz="0" w:space="0" w:color="auto"/>
        <w:right w:val="none" w:sz="0" w:space="0" w:color="auto"/>
      </w:divBdr>
    </w:div>
    <w:div w:id="1160852943">
      <w:bodyDiv w:val="1"/>
      <w:marLeft w:val="0"/>
      <w:marRight w:val="0"/>
      <w:marTop w:val="0"/>
      <w:marBottom w:val="0"/>
      <w:divBdr>
        <w:top w:val="none" w:sz="0" w:space="0" w:color="auto"/>
        <w:left w:val="none" w:sz="0" w:space="0" w:color="auto"/>
        <w:bottom w:val="none" w:sz="0" w:space="0" w:color="auto"/>
        <w:right w:val="none" w:sz="0" w:space="0" w:color="auto"/>
      </w:divBdr>
    </w:div>
    <w:div w:id="1162894489">
      <w:bodyDiv w:val="1"/>
      <w:marLeft w:val="0"/>
      <w:marRight w:val="0"/>
      <w:marTop w:val="0"/>
      <w:marBottom w:val="0"/>
      <w:divBdr>
        <w:top w:val="none" w:sz="0" w:space="0" w:color="auto"/>
        <w:left w:val="none" w:sz="0" w:space="0" w:color="auto"/>
        <w:bottom w:val="none" w:sz="0" w:space="0" w:color="auto"/>
        <w:right w:val="none" w:sz="0" w:space="0" w:color="auto"/>
      </w:divBdr>
    </w:div>
    <w:div w:id="1164709404">
      <w:bodyDiv w:val="1"/>
      <w:marLeft w:val="0"/>
      <w:marRight w:val="0"/>
      <w:marTop w:val="0"/>
      <w:marBottom w:val="0"/>
      <w:divBdr>
        <w:top w:val="none" w:sz="0" w:space="0" w:color="auto"/>
        <w:left w:val="none" w:sz="0" w:space="0" w:color="auto"/>
        <w:bottom w:val="none" w:sz="0" w:space="0" w:color="auto"/>
        <w:right w:val="none" w:sz="0" w:space="0" w:color="auto"/>
      </w:divBdr>
    </w:div>
    <w:div w:id="1166553258">
      <w:bodyDiv w:val="1"/>
      <w:marLeft w:val="0"/>
      <w:marRight w:val="0"/>
      <w:marTop w:val="0"/>
      <w:marBottom w:val="0"/>
      <w:divBdr>
        <w:top w:val="none" w:sz="0" w:space="0" w:color="auto"/>
        <w:left w:val="none" w:sz="0" w:space="0" w:color="auto"/>
        <w:bottom w:val="none" w:sz="0" w:space="0" w:color="auto"/>
        <w:right w:val="none" w:sz="0" w:space="0" w:color="auto"/>
      </w:divBdr>
    </w:div>
    <w:div w:id="1168406471">
      <w:bodyDiv w:val="1"/>
      <w:marLeft w:val="0"/>
      <w:marRight w:val="0"/>
      <w:marTop w:val="0"/>
      <w:marBottom w:val="0"/>
      <w:divBdr>
        <w:top w:val="none" w:sz="0" w:space="0" w:color="auto"/>
        <w:left w:val="none" w:sz="0" w:space="0" w:color="auto"/>
        <w:bottom w:val="none" w:sz="0" w:space="0" w:color="auto"/>
        <w:right w:val="none" w:sz="0" w:space="0" w:color="auto"/>
      </w:divBdr>
    </w:div>
    <w:div w:id="1168448998">
      <w:bodyDiv w:val="1"/>
      <w:marLeft w:val="0"/>
      <w:marRight w:val="0"/>
      <w:marTop w:val="0"/>
      <w:marBottom w:val="0"/>
      <w:divBdr>
        <w:top w:val="none" w:sz="0" w:space="0" w:color="auto"/>
        <w:left w:val="none" w:sz="0" w:space="0" w:color="auto"/>
        <w:bottom w:val="none" w:sz="0" w:space="0" w:color="auto"/>
        <w:right w:val="none" w:sz="0" w:space="0" w:color="auto"/>
      </w:divBdr>
    </w:div>
    <w:div w:id="1168904113">
      <w:bodyDiv w:val="1"/>
      <w:marLeft w:val="0"/>
      <w:marRight w:val="0"/>
      <w:marTop w:val="0"/>
      <w:marBottom w:val="0"/>
      <w:divBdr>
        <w:top w:val="none" w:sz="0" w:space="0" w:color="auto"/>
        <w:left w:val="none" w:sz="0" w:space="0" w:color="auto"/>
        <w:bottom w:val="none" w:sz="0" w:space="0" w:color="auto"/>
        <w:right w:val="none" w:sz="0" w:space="0" w:color="auto"/>
      </w:divBdr>
    </w:div>
    <w:div w:id="1169953056">
      <w:bodyDiv w:val="1"/>
      <w:marLeft w:val="0"/>
      <w:marRight w:val="0"/>
      <w:marTop w:val="0"/>
      <w:marBottom w:val="0"/>
      <w:divBdr>
        <w:top w:val="none" w:sz="0" w:space="0" w:color="auto"/>
        <w:left w:val="none" w:sz="0" w:space="0" w:color="auto"/>
        <w:bottom w:val="none" w:sz="0" w:space="0" w:color="auto"/>
        <w:right w:val="none" w:sz="0" w:space="0" w:color="auto"/>
      </w:divBdr>
    </w:div>
    <w:div w:id="1170219242">
      <w:bodyDiv w:val="1"/>
      <w:marLeft w:val="0"/>
      <w:marRight w:val="0"/>
      <w:marTop w:val="0"/>
      <w:marBottom w:val="0"/>
      <w:divBdr>
        <w:top w:val="none" w:sz="0" w:space="0" w:color="auto"/>
        <w:left w:val="none" w:sz="0" w:space="0" w:color="auto"/>
        <w:bottom w:val="none" w:sz="0" w:space="0" w:color="auto"/>
        <w:right w:val="none" w:sz="0" w:space="0" w:color="auto"/>
      </w:divBdr>
    </w:div>
    <w:div w:id="1170288735">
      <w:bodyDiv w:val="1"/>
      <w:marLeft w:val="0"/>
      <w:marRight w:val="0"/>
      <w:marTop w:val="0"/>
      <w:marBottom w:val="0"/>
      <w:divBdr>
        <w:top w:val="none" w:sz="0" w:space="0" w:color="auto"/>
        <w:left w:val="none" w:sz="0" w:space="0" w:color="auto"/>
        <w:bottom w:val="none" w:sz="0" w:space="0" w:color="auto"/>
        <w:right w:val="none" w:sz="0" w:space="0" w:color="auto"/>
      </w:divBdr>
    </w:div>
    <w:div w:id="1170484505">
      <w:bodyDiv w:val="1"/>
      <w:marLeft w:val="0"/>
      <w:marRight w:val="0"/>
      <w:marTop w:val="0"/>
      <w:marBottom w:val="0"/>
      <w:divBdr>
        <w:top w:val="none" w:sz="0" w:space="0" w:color="auto"/>
        <w:left w:val="none" w:sz="0" w:space="0" w:color="auto"/>
        <w:bottom w:val="none" w:sz="0" w:space="0" w:color="auto"/>
        <w:right w:val="none" w:sz="0" w:space="0" w:color="auto"/>
      </w:divBdr>
    </w:div>
    <w:div w:id="1171024593">
      <w:bodyDiv w:val="1"/>
      <w:marLeft w:val="0"/>
      <w:marRight w:val="0"/>
      <w:marTop w:val="0"/>
      <w:marBottom w:val="0"/>
      <w:divBdr>
        <w:top w:val="none" w:sz="0" w:space="0" w:color="auto"/>
        <w:left w:val="none" w:sz="0" w:space="0" w:color="auto"/>
        <w:bottom w:val="none" w:sz="0" w:space="0" w:color="auto"/>
        <w:right w:val="none" w:sz="0" w:space="0" w:color="auto"/>
      </w:divBdr>
    </w:div>
    <w:div w:id="1176307556">
      <w:bodyDiv w:val="1"/>
      <w:marLeft w:val="0"/>
      <w:marRight w:val="0"/>
      <w:marTop w:val="0"/>
      <w:marBottom w:val="0"/>
      <w:divBdr>
        <w:top w:val="none" w:sz="0" w:space="0" w:color="auto"/>
        <w:left w:val="none" w:sz="0" w:space="0" w:color="auto"/>
        <w:bottom w:val="none" w:sz="0" w:space="0" w:color="auto"/>
        <w:right w:val="none" w:sz="0" w:space="0" w:color="auto"/>
      </w:divBdr>
    </w:div>
    <w:div w:id="1178540576">
      <w:bodyDiv w:val="1"/>
      <w:marLeft w:val="0"/>
      <w:marRight w:val="0"/>
      <w:marTop w:val="0"/>
      <w:marBottom w:val="0"/>
      <w:divBdr>
        <w:top w:val="none" w:sz="0" w:space="0" w:color="auto"/>
        <w:left w:val="none" w:sz="0" w:space="0" w:color="auto"/>
        <w:bottom w:val="none" w:sz="0" w:space="0" w:color="auto"/>
        <w:right w:val="none" w:sz="0" w:space="0" w:color="auto"/>
      </w:divBdr>
    </w:div>
    <w:div w:id="1179464718">
      <w:bodyDiv w:val="1"/>
      <w:marLeft w:val="0"/>
      <w:marRight w:val="0"/>
      <w:marTop w:val="0"/>
      <w:marBottom w:val="0"/>
      <w:divBdr>
        <w:top w:val="none" w:sz="0" w:space="0" w:color="auto"/>
        <w:left w:val="none" w:sz="0" w:space="0" w:color="auto"/>
        <w:bottom w:val="none" w:sz="0" w:space="0" w:color="auto"/>
        <w:right w:val="none" w:sz="0" w:space="0" w:color="auto"/>
      </w:divBdr>
    </w:div>
    <w:div w:id="1179735939">
      <w:bodyDiv w:val="1"/>
      <w:marLeft w:val="0"/>
      <w:marRight w:val="0"/>
      <w:marTop w:val="0"/>
      <w:marBottom w:val="0"/>
      <w:divBdr>
        <w:top w:val="none" w:sz="0" w:space="0" w:color="auto"/>
        <w:left w:val="none" w:sz="0" w:space="0" w:color="auto"/>
        <w:bottom w:val="none" w:sz="0" w:space="0" w:color="auto"/>
        <w:right w:val="none" w:sz="0" w:space="0" w:color="auto"/>
      </w:divBdr>
    </w:div>
    <w:div w:id="1180193264">
      <w:bodyDiv w:val="1"/>
      <w:marLeft w:val="0"/>
      <w:marRight w:val="0"/>
      <w:marTop w:val="0"/>
      <w:marBottom w:val="0"/>
      <w:divBdr>
        <w:top w:val="none" w:sz="0" w:space="0" w:color="auto"/>
        <w:left w:val="none" w:sz="0" w:space="0" w:color="auto"/>
        <w:bottom w:val="none" w:sz="0" w:space="0" w:color="auto"/>
        <w:right w:val="none" w:sz="0" w:space="0" w:color="auto"/>
      </w:divBdr>
    </w:div>
    <w:div w:id="1180847803">
      <w:bodyDiv w:val="1"/>
      <w:marLeft w:val="0"/>
      <w:marRight w:val="0"/>
      <w:marTop w:val="0"/>
      <w:marBottom w:val="0"/>
      <w:divBdr>
        <w:top w:val="none" w:sz="0" w:space="0" w:color="auto"/>
        <w:left w:val="none" w:sz="0" w:space="0" w:color="auto"/>
        <w:bottom w:val="none" w:sz="0" w:space="0" w:color="auto"/>
        <w:right w:val="none" w:sz="0" w:space="0" w:color="auto"/>
      </w:divBdr>
    </w:div>
    <w:div w:id="1180967868">
      <w:bodyDiv w:val="1"/>
      <w:marLeft w:val="0"/>
      <w:marRight w:val="0"/>
      <w:marTop w:val="0"/>
      <w:marBottom w:val="0"/>
      <w:divBdr>
        <w:top w:val="none" w:sz="0" w:space="0" w:color="auto"/>
        <w:left w:val="none" w:sz="0" w:space="0" w:color="auto"/>
        <w:bottom w:val="none" w:sz="0" w:space="0" w:color="auto"/>
        <w:right w:val="none" w:sz="0" w:space="0" w:color="auto"/>
      </w:divBdr>
    </w:div>
    <w:div w:id="1181435259">
      <w:bodyDiv w:val="1"/>
      <w:marLeft w:val="0"/>
      <w:marRight w:val="0"/>
      <w:marTop w:val="0"/>
      <w:marBottom w:val="0"/>
      <w:divBdr>
        <w:top w:val="none" w:sz="0" w:space="0" w:color="auto"/>
        <w:left w:val="none" w:sz="0" w:space="0" w:color="auto"/>
        <w:bottom w:val="none" w:sz="0" w:space="0" w:color="auto"/>
        <w:right w:val="none" w:sz="0" w:space="0" w:color="auto"/>
      </w:divBdr>
    </w:div>
    <w:div w:id="1181748069">
      <w:bodyDiv w:val="1"/>
      <w:marLeft w:val="0"/>
      <w:marRight w:val="0"/>
      <w:marTop w:val="0"/>
      <w:marBottom w:val="0"/>
      <w:divBdr>
        <w:top w:val="none" w:sz="0" w:space="0" w:color="auto"/>
        <w:left w:val="none" w:sz="0" w:space="0" w:color="auto"/>
        <w:bottom w:val="none" w:sz="0" w:space="0" w:color="auto"/>
        <w:right w:val="none" w:sz="0" w:space="0" w:color="auto"/>
      </w:divBdr>
    </w:div>
    <w:div w:id="1182352102">
      <w:bodyDiv w:val="1"/>
      <w:marLeft w:val="0"/>
      <w:marRight w:val="0"/>
      <w:marTop w:val="0"/>
      <w:marBottom w:val="0"/>
      <w:divBdr>
        <w:top w:val="none" w:sz="0" w:space="0" w:color="auto"/>
        <w:left w:val="none" w:sz="0" w:space="0" w:color="auto"/>
        <w:bottom w:val="none" w:sz="0" w:space="0" w:color="auto"/>
        <w:right w:val="none" w:sz="0" w:space="0" w:color="auto"/>
      </w:divBdr>
    </w:div>
    <w:div w:id="1185285672">
      <w:bodyDiv w:val="1"/>
      <w:marLeft w:val="0"/>
      <w:marRight w:val="0"/>
      <w:marTop w:val="0"/>
      <w:marBottom w:val="0"/>
      <w:divBdr>
        <w:top w:val="none" w:sz="0" w:space="0" w:color="auto"/>
        <w:left w:val="none" w:sz="0" w:space="0" w:color="auto"/>
        <w:bottom w:val="none" w:sz="0" w:space="0" w:color="auto"/>
        <w:right w:val="none" w:sz="0" w:space="0" w:color="auto"/>
      </w:divBdr>
    </w:div>
    <w:div w:id="1186092312">
      <w:bodyDiv w:val="1"/>
      <w:marLeft w:val="0"/>
      <w:marRight w:val="0"/>
      <w:marTop w:val="0"/>
      <w:marBottom w:val="0"/>
      <w:divBdr>
        <w:top w:val="none" w:sz="0" w:space="0" w:color="auto"/>
        <w:left w:val="none" w:sz="0" w:space="0" w:color="auto"/>
        <w:bottom w:val="none" w:sz="0" w:space="0" w:color="auto"/>
        <w:right w:val="none" w:sz="0" w:space="0" w:color="auto"/>
      </w:divBdr>
    </w:div>
    <w:div w:id="1188132006">
      <w:bodyDiv w:val="1"/>
      <w:marLeft w:val="0"/>
      <w:marRight w:val="0"/>
      <w:marTop w:val="0"/>
      <w:marBottom w:val="0"/>
      <w:divBdr>
        <w:top w:val="none" w:sz="0" w:space="0" w:color="auto"/>
        <w:left w:val="none" w:sz="0" w:space="0" w:color="auto"/>
        <w:bottom w:val="none" w:sz="0" w:space="0" w:color="auto"/>
        <w:right w:val="none" w:sz="0" w:space="0" w:color="auto"/>
      </w:divBdr>
    </w:div>
    <w:div w:id="1188445424">
      <w:bodyDiv w:val="1"/>
      <w:marLeft w:val="0"/>
      <w:marRight w:val="0"/>
      <w:marTop w:val="0"/>
      <w:marBottom w:val="0"/>
      <w:divBdr>
        <w:top w:val="none" w:sz="0" w:space="0" w:color="auto"/>
        <w:left w:val="none" w:sz="0" w:space="0" w:color="auto"/>
        <w:bottom w:val="none" w:sz="0" w:space="0" w:color="auto"/>
        <w:right w:val="none" w:sz="0" w:space="0" w:color="auto"/>
      </w:divBdr>
    </w:div>
    <w:div w:id="1189830564">
      <w:bodyDiv w:val="1"/>
      <w:marLeft w:val="0"/>
      <w:marRight w:val="0"/>
      <w:marTop w:val="0"/>
      <w:marBottom w:val="0"/>
      <w:divBdr>
        <w:top w:val="none" w:sz="0" w:space="0" w:color="auto"/>
        <w:left w:val="none" w:sz="0" w:space="0" w:color="auto"/>
        <w:bottom w:val="none" w:sz="0" w:space="0" w:color="auto"/>
        <w:right w:val="none" w:sz="0" w:space="0" w:color="auto"/>
      </w:divBdr>
    </w:div>
    <w:div w:id="1190411159">
      <w:bodyDiv w:val="1"/>
      <w:marLeft w:val="0"/>
      <w:marRight w:val="0"/>
      <w:marTop w:val="0"/>
      <w:marBottom w:val="0"/>
      <w:divBdr>
        <w:top w:val="none" w:sz="0" w:space="0" w:color="auto"/>
        <w:left w:val="none" w:sz="0" w:space="0" w:color="auto"/>
        <w:bottom w:val="none" w:sz="0" w:space="0" w:color="auto"/>
        <w:right w:val="none" w:sz="0" w:space="0" w:color="auto"/>
      </w:divBdr>
    </w:div>
    <w:div w:id="1191800504">
      <w:bodyDiv w:val="1"/>
      <w:marLeft w:val="0"/>
      <w:marRight w:val="0"/>
      <w:marTop w:val="0"/>
      <w:marBottom w:val="0"/>
      <w:divBdr>
        <w:top w:val="none" w:sz="0" w:space="0" w:color="auto"/>
        <w:left w:val="none" w:sz="0" w:space="0" w:color="auto"/>
        <w:bottom w:val="none" w:sz="0" w:space="0" w:color="auto"/>
        <w:right w:val="none" w:sz="0" w:space="0" w:color="auto"/>
      </w:divBdr>
    </w:div>
    <w:div w:id="1192105533">
      <w:bodyDiv w:val="1"/>
      <w:marLeft w:val="0"/>
      <w:marRight w:val="0"/>
      <w:marTop w:val="0"/>
      <w:marBottom w:val="0"/>
      <w:divBdr>
        <w:top w:val="none" w:sz="0" w:space="0" w:color="auto"/>
        <w:left w:val="none" w:sz="0" w:space="0" w:color="auto"/>
        <w:bottom w:val="none" w:sz="0" w:space="0" w:color="auto"/>
        <w:right w:val="none" w:sz="0" w:space="0" w:color="auto"/>
      </w:divBdr>
    </w:div>
    <w:div w:id="1193574055">
      <w:bodyDiv w:val="1"/>
      <w:marLeft w:val="0"/>
      <w:marRight w:val="0"/>
      <w:marTop w:val="0"/>
      <w:marBottom w:val="0"/>
      <w:divBdr>
        <w:top w:val="none" w:sz="0" w:space="0" w:color="auto"/>
        <w:left w:val="none" w:sz="0" w:space="0" w:color="auto"/>
        <w:bottom w:val="none" w:sz="0" w:space="0" w:color="auto"/>
        <w:right w:val="none" w:sz="0" w:space="0" w:color="auto"/>
      </w:divBdr>
    </w:div>
    <w:div w:id="1194077068">
      <w:bodyDiv w:val="1"/>
      <w:marLeft w:val="0"/>
      <w:marRight w:val="0"/>
      <w:marTop w:val="0"/>
      <w:marBottom w:val="0"/>
      <w:divBdr>
        <w:top w:val="none" w:sz="0" w:space="0" w:color="auto"/>
        <w:left w:val="none" w:sz="0" w:space="0" w:color="auto"/>
        <w:bottom w:val="none" w:sz="0" w:space="0" w:color="auto"/>
        <w:right w:val="none" w:sz="0" w:space="0" w:color="auto"/>
      </w:divBdr>
    </w:div>
    <w:div w:id="1196189555">
      <w:bodyDiv w:val="1"/>
      <w:marLeft w:val="0"/>
      <w:marRight w:val="0"/>
      <w:marTop w:val="0"/>
      <w:marBottom w:val="0"/>
      <w:divBdr>
        <w:top w:val="none" w:sz="0" w:space="0" w:color="auto"/>
        <w:left w:val="none" w:sz="0" w:space="0" w:color="auto"/>
        <w:bottom w:val="none" w:sz="0" w:space="0" w:color="auto"/>
        <w:right w:val="none" w:sz="0" w:space="0" w:color="auto"/>
      </w:divBdr>
    </w:div>
    <w:div w:id="1196383677">
      <w:bodyDiv w:val="1"/>
      <w:marLeft w:val="0"/>
      <w:marRight w:val="0"/>
      <w:marTop w:val="0"/>
      <w:marBottom w:val="0"/>
      <w:divBdr>
        <w:top w:val="none" w:sz="0" w:space="0" w:color="auto"/>
        <w:left w:val="none" w:sz="0" w:space="0" w:color="auto"/>
        <w:bottom w:val="none" w:sz="0" w:space="0" w:color="auto"/>
        <w:right w:val="none" w:sz="0" w:space="0" w:color="auto"/>
      </w:divBdr>
    </w:div>
    <w:div w:id="1198349195">
      <w:bodyDiv w:val="1"/>
      <w:marLeft w:val="0"/>
      <w:marRight w:val="0"/>
      <w:marTop w:val="0"/>
      <w:marBottom w:val="0"/>
      <w:divBdr>
        <w:top w:val="none" w:sz="0" w:space="0" w:color="auto"/>
        <w:left w:val="none" w:sz="0" w:space="0" w:color="auto"/>
        <w:bottom w:val="none" w:sz="0" w:space="0" w:color="auto"/>
        <w:right w:val="none" w:sz="0" w:space="0" w:color="auto"/>
      </w:divBdr>
    </w:div>
    <w:div w:id="1198392682">
      <w:bodyDiv w:val="1"/>
      <w:marLeft w:val="0"/>
      <w:marRight w:val="0"/>
      <w:marTop w:val="0"/>
      <w:marBottom w:val="0"/>
      <w:divBdr>
        <w:top w:val="none" w:sz="0" w:space="0" w:color="auto"/>
        <w:left w:val="none" w:sz="0" w:space="0" w:color="auto"/>
        <w:bottom w:val="none" w:sz="0" w:space="0" w:color="auto"/>
        <w:right w:val="none" w:sz="0" w:space="0" w:color="auto"/>
      </w:divBdr>
    </w:div>
    <w:div w:id="1201210562">
      <w:bodyDiv w:val="1"/>
      <w:marLeft w:val="0"/>
      <w:marRight w:val="0"/>
      <w:marTop w:val="0"/>
      <w:marBottom w:val="0"/>
      <w:divBdr>
        <w:top w:val="none" w:sz="0" w:space="0" w:color="auto"/>
        <w:left w:val="none" w:sz="0" w:space="0" w:color="auto"/>
        <w:bottom w:val="none" w:sz="0" w:space="0" w:color="auto"/>
        <w:right w:val="none" w:sz="0" w:space="0" w:color="auto"/>
      </w:divBdr>
    </w:div>
    <w:div w:id="1202861962">
      <w:bodyDiv w:val="1"/>
      <w:marLeft w:val="0"/>
      <w:marRight w:val="0"/>
      <w:marTop w:val="0"/>
      <w:marBottom w:val="0"/>
      <w:divBdr>
        <w:top w:val="none" w:sz="0" w:space="0" w:color="auto"/>
        <w:left w:val="none" w:sz="0" w:space="0" w:color="auto"/>
        <w:bottom w:val="none" w:sz="0" w:space="0" w:color="auto"/>
        <w:right w:val="none" w:sz="0" w:space="0" w:color="auto"/>
      </w:divBdr>
    </w:div>
    <w:div w:id="1203396865">
      <w:bodyDiv w:val="1"/>
      <w:marLeft w:val="0"/>
      <w:marRight w:val="0"/>
      <w:marTop w:val="0"/>
      <w:marBottom w:val="0"/>
      <w:divBdr>
        <w:top w:val="none" w:sz="0" w:space="0" w:color="auto"/>
        <w:left w:val="none" w:sz="0" w:space="0" w:color="auto"/>
        <w:bottom w:val="none" w:sz="0" w:space="0" w:color="auto"/>
        <w:right w:val="none" w:sz="0" w:space="0" w:color="auto"/>
      </w:divBdr>
    </w:div>
    <w:div w:id="1203438117">
      <w:bodyDiv w:val="1"/>
      <w:marLeft w:val="0"/>
      <w:marRight w:val="0"/>
      <w:marTop w:val="0"/>
      <w:marBottom w:val="0"/>
      <w:divBdr>
        <w:top w:val="none" w:sz="0" w:space="0" w:color="auto"/>
        <w:left w:val="none" w:sz="0" w:space="0" w:color="auto"/>
        <w:bottom w:val="none" w:sz="0" w:space="0" w:color="auto"/>
        <w:right w:val="none" w:sz="0" w:space="0" w:color="auto"/>
      </w:divBdr>
    </w:div>
    <w:div w:id="1203787330">
      <w:bodyDiv w:val="1"/>
      <w:marLeft w:val="0"/>
      <w:marRight w:val="0"/>
      <w:marTop w:val="0"/>
      <w:marBottom w:val="0"/>
      <w:divBdr>
        <w:top w:val="none" w:sz="0" w:space="0" w:color="auto"/>
        <w:left w:val="none" w:sz="0" w:space="0" w:color="auto"/>
        <w:bottom w:val="none" w:sz="0" w:space="0" w:color="auto"/>
        <w:right w:val="none" w:sz="0" w:space="0" w:color="auto"/>
      </w:divBdr>
    </w:div>
    <w:div w:id="1204827548">
      <w:bodyDiv w:val="1"/>
      <w:marLeft w:val="0"/>
      <w:marRight w:val="0"/>
      <w:marTop w:val="0"/>
      <w:marBottom w:val="0"/>
      <w:divBdr>
        <w:top w:val="none" w:sz="0" w:space="0" w:color="auto"/>
        <w:left w:val="none" w:sz="0" w:space="0" w:color="auto"/>
        <w:bottom w:val="none" w:sz="0" w:space="0" w:color="auto"/>
        <w:right w:val="none" w:sz="0" w:space="0" w:color="auto"/>
      </w:divBdr>
    </w:div>
    <w:div w:id="1205749868">
      <w:bodyDiv w:val="1"/>
      <w:marLeft w:val="0"/>
      <w:marRight w:val="0"/>
      <w:marTop w:val="0"/>
      <w:marBottom w:val="0"/>
      <w:divBdr>
        <w:top w:val="none" w:sz="0" w:space="0" w:color="auto"/>
        <w:left w:val="none" w:sz="0" w:space="0" w:color="auto"/>
        <w:bottom w:val="none" w:sz="0" w:space="0" w:color="auto"/>
        <w:right w:val="none" w:sz="0" w:space="0" w:color="auto"/>
      </w:divBdr>
    </w:div>
    <w:div w:id="1207256602">
      <w:bodyDiv w:val="1"/>
      <w:marLeft w:val="0"/>
      <w:marRight w:val="0"/>
      <w:marTop w:val="0"/>
      <w:marBottom w:val="0"/>
      <w:divBdr>
        <w:top w:val="none" w:sz="0" w:space="0" w:color="auto"/>
        <w:left w:val="none" w:sz="0" w:space="0" w:color="auto"/>
        <w:bottom w:val="none" w:sz="0" w:space="0" w:color="auto"/>
        <w:right w:val="none" w:sz="0" w:space="0" w:color="auto"/>
      </w:divBdr>
    </w:div>
    <w:div w:id="1207713676">
      <w:bodyDiv w:val="1"/>
      <w:marLeft w:val="0"/>
      <w:marRight w:val="0"/>
      <w:marTop w:val="0"/>
      <w:marBottom w:val="0"/>
      <w:divBdr>
        <w:top w:val="none" w:sz="0" w:space="0" w:color="auto"/>
        <w:left w:val="none" w:sz="0" w:space="0" w:color="auto"/>
        <w:bottom w:val="none" w:sz="0" w:space="0" w:color="auto"/>
        <w:right w:val="none" w:sz="0" w:space="0" w:color="auto"/>
      </w:divBdr>
    </w:div>
    <w:div w:id="1210916963">
      <w:bodyDiv w:val="1"/>
      <w:marLeft w:val="0"/>
      <w:marRight w:val="0"/>
      <w:marTop w:val="0"/>
      <w:marBottom w:val="0"/>
      <w:divBdr>
        <w:top w:val="none" w:sz="0" w:space="0" w:color="auto"/>
        <w:left w:val="none" w:sz="0" w:space="0" w:color="auto"/>
        <w:bottom w:val="none" w:sz="0" w:space="0" w:color="auto"/>
        <w:right w:val="none" w:sz="0" w:space="0" w:color="auto"/>
      </w:divBdr>
    </w:div>
    <w:div w:id="1211767643">
      <w:bodyDiv w:val="1"/>
      <w:marLeft w:val="0"/>
      <w:marRight w:val="0"/>
      <w:marTop w:val="0"/>
      <w:marBottom w:val="0"/>
      <w:divBdr>
        <w:top w:val="none" w:sz="0" w:space="0" w:color="auto"/>
        <w:left w:val="none" w:sz="0" w:space="0" w:color="auto"/>
        <w:bottom w:val="none" w:sz="0" w:space="0" w:color="auto"/>
        <w:right w:val="none" w:sz="0" w:space="0" w:color="auto"/>
      </w:divBdr>
    </w:div>
    <w:div w:id="1211839905">
      <w:bodyDiv w:val="1"/>
      <w:marLeft w:val="0"/>
      <w:marRight w:val="0"/>
      <w:marTop w:val="0"/>
      <w:marBottom w:val="0"/>
      <w:divBdr>
        <w:top w:val="none" w:sz="0" w:space="0" w:color="auto"/>
        <w:left w:val="none" w:sz="0" w:space="0" w:color="auto"/>
        <w:bottom w:val="none" w:sz="0" w:space="0" w:color="auto"/>
        <w:right w:val="none" w:sz="0" w:space="0" w:color="auto"/>
      </w:divBdr>
    </w:div>
    <w:div w:id="1212764913">
      <w:bodyDiv w:val="1"/>
      <w:marLeft w:val="0"/>
      <w:marRight w:val="0"/>
      <w:marTop w:val="0"/>
      <w:marBottom w:val="0"/>
      <w:divBdr>
        <w:top w:val="none" w:sz="0" w:space="0" w:color="auto"/>
        <w:left w:val="none" w:sz="0" w:space="0" w:color="auto"/>
        <w:bottom w:val="none" w:sz="0" w:space="0" w:color="auto"/>
        <w:right w:val="none" w:sz="0" w:space="0" w:color="auto"/>
      </w:divBdr>
    </w:div>
    <w:div w:id="1213493678">
      <w:bodyDiv w:val="1"/>
      <w:marLeft w:val="0"/>
      <w:marRight w:val="0"/>
      <w:marTop w:val="0"/>
      <w:marBottom w:val="0"/>
      <w:divBdr>
        <w:top w:val="none" w:sz="0" w:space="0" w:color="auto"/>
        <w:left w:val="none" w:sz="0" w:space="0" w:color="auto"/>
        <w:bottom w:val="none" w:sz="0" w:space="0" w:color="auto"/>
        <w:right w:val="none" w:sz="0" w:space="0" w:color="auto"/>
      </w:divBdr>
    </w:div>
    <w:div w:id="1213807479">
      <w:bodyDiv w:val="1"/>
      <w:marLeft w:val="0"/>
      <w:marRight w:val="0"/>
      <w:marTop w:val="0"/>
      <w:marBottom w:val="0"/>
      <w:divBdr>
        <w:top w:val="none" w:sz="0" w:space="0" w:color="auto"/>
        <w:left w:val="none" w:sz="0" w:space="0" w:color="auto"/>
        <w:bottom w:val="none" w:sz="0" w:space="0" w:color="auto"/>
        <w:right w:val="none" w:sz="0" w:space="0" w:color="auto"/>
      </w:divBdr>
    </w:div>
    <w:div w:id="1215896855">
      <w:bodyDiv w:val="1"/>
      <w:marLeft w:val="0"/>
      <w:marRight w:val="0"/>
      <w:marTop w:val="0"/>
      <w:marBottom w:val="0"/>
      <w:divBdr>
        <w:top w:val="none" w:sz="0" w:space="0" w:color="auto"/>
        <w:left w:val="none" w:sz="0" w:space="0" w:color="auto"/>
        <w:bottom w:val="none" w:sz="0" w:space="0" w:color="auto"/>
        <w:right w:val="none" w:sz="0" w:space="0" w:color="auto"/>
      </w:divBdr>
    </w:div>
    <w:div w:id="1217663041">
      <w:bodyDiv w:val="1"/>
      <w:marLeft w:val="0"/>
      <w:marRight w:val="0"/>
      <w:marTop w:val="0"/>
      <w:marBottom w:val="0"/>
      <w:divBdr>
        <w:top w:val="none" w:sz="0" w:space="0" w:color="auto"/>
        <w:left w:val="none" w:sz="0" w:space="0" w:color="auto"/>
        <w:bottom w:val="none" w:sz="0" w:space="0" w:color="auto"/>
        <w:right w:val="none" w:sz="0" w:space="0" w:color="auto"/>
      </w:divBdr>
    </w:div>
    <w:div w:id="1217887404">
      <w:bodyDiv w:val="1"/>
      <w:marLeft w:val="0"/>
      <w:marRight w:val="0"/>
      <w:marTop w:val="0"/>
      <w:marBottom w:val="0"/>
      <w:divBdr>
        <w:top w:val="none" w:sz="0" w:space="0" w:color="auto"/>
        <w:left w:val="none" w:sz="0" w:space="0" w:color="auto"/>
        <w:bottom w:val="none" w:sz="0" w:space="0" w:color="auto"/>
        <w:right w:val="none" w:sz="0" w:space="0" w:color="auto"/>
      </w:divBdr>
    </w:div>
    <w:div w:id="1217887814">
      <w:bodyDiv w:val="1"/>
      <w:marLeft w:val="0"/>
      <w:marRight w:val="0"/>
      <w:marTop w:val="0"/>
      <w:marBottom w:val="0"/>
      <w:divBdr>
        <w:top w:val="none" w:sz="0" w:space="0" w:color="auto"/>
        <w:left w:val="none" w:sz="0" w:space="0" w:color="auto"/>
        <w:bottom w:val="none" w:sz="0" w:space="0" w:color="auto"/>
        <w:right w:val="none" w:sz="0" w:space="0" w:color="auto"/>
      </w:divBdr>
    </w:div>
    <w:div w:id="1218324458">
      <w:bodyDiv w:val="1"/>
      <w:marLeft w:val="0"/>
      <w:marRight w:val="0"/>
      <w:marTop w:val="0"/>
      <w:marBottom w:val="0"/>
      <w:divBdr>
        <w:top w:val="none" w:sz="0" w:space="0" w:color="auto"/>
        <w:left w:val="none" w:sz="0" w:space="0" w:color="auto"/>
        <w:bottom w:val="none" w:sz="0" w:space="0" w:color="auto"/>
        <w:right w:val="none" w:sz="0" w:space="0" w:color="auto"/>
      </w:divBdr>
    </w:div>
    <w:div w:id="1218931853">
      <w:bodyDiv w:val="1"/>
      <w:marLeft w:val="0"/>
      <w:marRight w:val="0"/>
      <w:marTop w:val="0"/>
      <w:marBottom w:val="0"/>
      <w:divBdr>
        <w:top w:val="none" w:sz="0" w:space="0" w:color="auto"/>
        <w:left w:val="none" w:sz="0" w:space="0" w:color="auto"/>
        <w:bottom w:val="none" w:sz="0" w:space="0" w:color="auto"/>
        <w:right w:val="none" w:sz="0" w:space="0" w:color="auto"/>
      </w:divBdr>
    </w:div>
    <w:div w:id="1220480494">
      <w:bodyDiv w:val="1"/>
      <w:marLeft w:val="0"/>
      <w:marRight w:val="0"/>
      <w:marTop w:val="0"/>
      <w:marBottom w:val="0"/>
      <w:divBdr>
        <w:top w:val="none" w:sz="0" w:space="0" w:color="auto"/>
        <w:left w:val="none" w:sz="0" w:space="0" w:color="auto"/>
        <w:bottom w:val="none" w:sz="0" w:space="0" w:color="auto"/>
        <w:right w:val="none" w:sz="0" w:space="0" w:color="auto"/>
      </w:divBdr>
    </w:div>
    <w:div w:id="1221357676">
      <w:bodyDiv w:val="1"/>
      <w:marLeft w:val="0"/>
      <w:marRight w:val="0"/>
      <w:marTop w:val="0"/>
      <w:marBottom w:val="0"/>
      <w:divBdr>
        <w:top w:val="none" w:sz="0" w:space="0" w:color="auto"/>
        <w:left w:val="none" w:sz="0" w:space="0" w:color="auto"/>
        <w:bottom w:val="none" w:sz="0" w:space="0" w:color="auto"/>
        <w:right w:val="none" w:sz="0" w:space="0" w:color="auto"/>
      </w:divBdr>
    </w:div>
    <w:div w:id="1221406149">
      <w:bodyDiv w:val="1"/>
      <w:marLeft w:val="0"/>
      <w:marRight w:val="0"/>
      <w:marTop w:val="0"/>
      <w:marBottom w:val="0"/>
      <w:divBdr>
        <w:top w:val="none" w:sz="0" w:space="0" w:color="auto"/>
        <w:left w:val="none" w:sz="0" w:space="0" w:color="auto"/>
        <w:bottom w:val="none" w:sz="0" w:space="0" w:color="auto"/>
        <w:right w:val="none" w:sz="0" w:space="0" w:color="auto"/>
      </w:divBdr>
    </w:div>
    <w:div w:id="1222407545">
      <w:bodyDiv w:val="1"/>
      <w:marLeft w:val="0"/>
      <w:marRight w:val="0"/>
      <w:marTop w:val="0"/>
      <w:marBottom w:val="0"/>
      <w:divBdr>
        <w:top w:val="none" w:sz="0" w:space="0" w:color="auto"/>
        <w:left w:val="none" w:sz="0" w:space="0" w:color="auto"/>
        <w:bottom w:val="none" w:sz="0" w:space="0" w:color="auto"/>
        <w:right w:val="none" w:sz="0" w:space="0" w:color="auto"/>
      </w:divBdr>
      <w:divsChild>
        <w:div w:id="751044446">
          <w:marLeft w:val="0"/>
          <w:marRight w:val="0"/>
          <w:marTop w:val="0"/>
          <w:marBottom w:val="0"/>
          <w:divBdr>
            <w:top w:val="none" w:sz="0" w:space="0" w:color="auto"/>
            <w:left w:val="none" w:sz="0" w:space="0" w:color="auto"/>
            <w:bottom w:val="none" w:sz="0" w:space="0" w:color="auto"/>
            <w:right w:val="none" w:sz="0" w:space="0" w:color="auto"/>
          </w:divBdr>
        </w:div>
        <w:div w:id="906770287">
          <w:marLeft w:val="0"/>
          <w:marRight w:val="0"/>
          <w:marTop w:val="0"/>
          <w:marBottom w:val="0"/>
          <w:divBdr>
            <w:top w:val="none" w:sz="0" w:space="0" w:color="auto"/>
            <w:left w:val="none" w:sz="0" w:space="0" w:color="auto"/>
            <w:bottom w:val="none" w:sz="0" w:space="0" w:color="auto"/>
            <w:right w:val="none" w:sz="0" w:space="0" w:color="auto"/>
          </w:divBdr>
        </w:div>
        <w:div w:id="944196337">
          <w:marLeft w:val="0"/>
          <w:marRight w:val="0"/>
          <w:marTop w:val="0"/>
          <w:marBottom w:val="0"/>
          <w:divBdr>
            <w:top w:val="none" w:sz="0" w:space="0" w:color="auto"/>
            <w:left w:val="none" w:sz="0" w:space="0" w:color="auto"/>
            <w:bottom w:val="none" w:sz="0" w:space="0" w:color="auto"/>
            <w:right w:val="none" w:sz="0" w:space="0" w:color="auto"/>
          </w:divBdr>
        </w:div>
        <w:div w:id="1536774351">
          <w:marLeft w:val="0"/>
          <w:marRight w:val="0"/>
          <w:marTop w:val="0"/>
          <w:marBottom w:val="0"/>
          <w:divBdr>
            <w:top w:val="none" w:sz="0" w:space="0" w:color="auto"/>
            <w:left w:val="none" w:sz="0" w:space="0" w:color="auto"/>
            <w:bottom w:val="none" w:sz="0" w:space="0" w:color="auto"/>
            <w:right w:val="none" w:sz="0" w:space="0" w:color="auto"/>
          </w:divBdr>
        </w:div>
      </w:divsChild>
    </w:div>
    <w:div w:id="1225407999">
      <w:bodyDiv w:val="1"/>
      <w:marLeft w:val="0"/>
      <w:marRight w:val="0"/>
      <w:marTop w:val="0"/>
      <w:marBottom w:val="0"/>
      <w:divBdr>
        <w:top w:val="none" w:sz="0" w:space="0" w:color="auto"/>
        <w:left w:val="none" w:sz="0" w:space="0" w:color="auto"/>
        <w:bottom w:val="none" w:sz="0" w:space="0" w:color="auto"/>
        <w:right w:val="none" w:sz="0" w:space="0" w:color="auto"/>
      </w:divBdr>
    </w:div>
    <w:div w:id="1226798738">
      <w:bodyDiv w:val="1"/>
      <w:marLeft w:val="0"/>
      <w:marRight w:val="0"/>
      <w:marTop w:val="0"/>
      <w:marBottom w:val="0"/>
      <w:divBdr>
        <w:top w:val="none" w:sz="0" w:space="0" w:color="auto"/>
        <w:left w:val="none" w:sz="0" w:space="0" w:color="auto"/>
        <w:bottom w:val="none" w:sz="0" w:space="0" w:color="auto"/>
        <w:right w:val="none" w:sz="0" w:space="0" w:color="auto"/>
      </w:divBdr>
    </w:div>
    <w:div w:id="1227254811">
      <w:bodyDiv w:val="1"/>
      <w:marLeft w:val="0"/>
      <w:marRight w:val="0"/>
      <w:marTop w:val="0"/>
      <w:marBottom w:val="0"/>
      <w:divBdr>
        <w:top w:val="none" w:sz="0" w:space="0" w:color="auto"/>
        <w:left w:val="none" w:sz="0" w:space="0" w:color="auto"/>
        <w:bottom w:val="none" w:sz="0" w:space="0" w:color="auto"/>
        <w:right w:val="none" w:sz="0" w:space="0" w:color="auto"/>
      </w:divBdr>
    </w:div>
    <w:div w:id="1227375178">
      <w:bodyDiv w:val="1"/>
      <w:marLeft w:val="0"/>
      <w:marRight w:val="0"/>
      <w:marTop w:val="0"/>
      <w:marBottom w:val="0"/>
      <w:divBdr>
        <w:top w:val="none" w:sz="0" w:space="0" w:color="auto"/>
        <w:left w:val="none" w:sz="0" w:space="0" w:color="auto"/>
        <w:bottom w:val="none" w:sz="0" w:space="0" w:color="auto"/>
        <w:right w:val="none" w:sz="0" w:space="0" w:color="auto"/>
      </w:divBdr>
    </w:div>
    <w:div w:id="1229654295">
      <w:bodyDiv w:val="1"/>
      <w:marLeft w:val="0"/>
      <w:marRight w:val="0"/>
      <w:marTop w:val="0"/>
      <w:marBottom w:val="0"/>
      <w:divBdr>
        <w:top w:val="none" w:sz="0" w:space="0" w:color="auto"/>
        <w:left w:val="none" w:sz="0" w:space="0" w:color="auto"/>
        <w:bottom w:val="none" w:sz="0" w:space="0" w:color="auto"/>
        <w:right w:val="none" w:sz="0" w:space="0" w:color="auto"/>
      </w:divBdr>
    </w:div>
    <w:div w:id="1230994649">
      <w:bodyDiv w:val="1"/>
      <w:marLeft w:val="0"/>
      <w:marRight w:val="0"/>
      <w:marTop w:val="0"/>
      <w:marBottom w:val="0"/>
      <w:divBdr>
        <w:top w:val="none" w:sz="0" w:space="0" w:color="auto"/>
        <w:left w:val="none" w:sz="0" w:space="0" w:color="auto"/>
        <w:bottom w:val="none" w:sz="0" w:space="0" w:color="auto"/>
        <w:right w:val="none" w:sz="0" w:space="0" w:color="auto"/>
      </w:divBdr>
    </w:div>
    <w:div w:id="1232542657">
      <w:bodyDiv w:val="1"/>
      <w:marLeft w:val="0"/>
      <w:marRight w:val="0"/>
      <w:marTop w:val="0"/>
      <w:marBottom w:val="0"/>
      <w:divBdr>
        <w:top w:val="none" w:sz="0" w:space="0" w:color="auto"/>
        <w:left w:val="none" w:sz="0" w:space="0" w:color="auto"/>
        <w:bottom w:val="none" w:sz="0" w:space="0" w:color="auto"/>
        <w:right w:val="none" w:sz="0" w:space="0" w:color="auto"/>
      </w:divBdr>
    </w:div>
    <w:div w:id="1232694336">
      <w:bodyDiv w:val="1"/>
      <w:marLeft w:val="0"/>
      <w:marRight w:val="0"/>
      <w:marTop w:val="0"/>
      <w:marBottom w:val="0"/>
      <w:divBdr>
        <w:top w:val="none" w:sz="0" w:space="0" w:color="auto"/>
        <w:left w:val="none" w:sz="0" w:space="0" w:color="auto"/>
        <w:bottom w:val="none" w:sz="0" w:space="0" w:color="auto"/>
        <w:right w:val="none" w:sz="0" w:space="0" w:color="auto"/>
      </w:divBdr>
    </w:div>
    <w:div w:id="1232888341">
      <w:bodyDiv w:val="1"/>
      <w:marLeft w:val="0"/>
      <w:marRight w:val="0"/>
      <w:marTop w:val="0"/>
      <w:marBottom w:val="0"/>
      <w:divBdr>
        <w:top w:val="none" w:sz="0" w:space="0" w:color="auto"/>
        <w:left w:val="none" w:sz="0" w:space="0" w:color="auto"/>
        <w:bottom w:val="none" w:sz="0" w:space="0" w:color="auto"/>
        <w:right w:val="none" w:sz="0" w:space="0" w:color="auto"/>
      </w:divBdr>
    </w:div>
    <w:div w:id="1232929589">
      <w:bodyDiv w:val="1"/>
      <w:marLeft w:val="0"/>
      <w:marRight w:val="0"/>
      <w:marTop w:val="0"/>
      <w:marBottom w:val="0"/>
      <w:divBdr>
        <w:top w:val="none" w:sz="0" w:space="0" w:color="auto"/>
        <w:left w:val="none" w:sz="0" w:space="0" w:color="auto"/>
        <w:bottom w:val="none" w:sz="0" w:space="0" w:color="auto"/>
        <w:right w:val="none" w:sz="0" w:space="0" w:color="auto"/>
      </w:divBdr>
    </w:div>
    <w:div w:id="1233001469">
      <w:bodyDiv w:val="1"/>
      <w:marLeft w:val="0"/>
      <w:marRight w:val="0"/>
      <w:marTop w:val="0"/>
      <w:marBottom w:val="0"/>
      <w:divBdr>
        <w:top w:val="none" w:sz="0" w:space="0" w:color="auto"/>
        <w:left w:val="none" w:sz="0" w:space="0" w:color="auto"/>
        <w:bottom w:val="none" w:sz="0" w:space="0" w:color="auto"/>
        <w:right w:val="none" w:sz="0" w:space="0" w:color="auto"/>
      </w:divBdr>
    </w:div>
    <w:div w:id="1233125871">
      <w:bodyDiv w:val="1"/>
      <w:marLeft w:val="0"/>
      <w:marRight w:val="0"/>
      <w:marTop w:val="0"/>
      <w:marBottom w:val="0"/>
      <w:divBdr>
        <w:top w:val="none" w:sz="0" w:space="0" w:color="auto"/>
        <w:left w:val="none" w:sz="0" w:space="0" w:color="auto"/>
        <w:bottom w:val="none" w:sz="0" w:space="0" w:color="auto"/>
        <w:right w:val="none" w:sz="0" w:space="0" w:color="auto"/>
      </w:divBdr>
    </w:div>
    <w:div w:id="1233851550">
      <w:bodyDiv w:val="1"/>
      <w:marLeft w:val="0"/>
      <w:marRight w:val="0"/>
      <w:marTop w:val="0"/>
      <w:marBottom w:val="0"/>
      <w:divBdr>
        <w:top w:val="none" w:sz="0" w:space="0" w:color="auto"/>
        <w:left w:val="none" w:sz="0" w:space="0" w:color="auto"/>
        <w:bottom w:val="none" w:sz="0" w:space="0" w:color="auto"/>
        <w:right w:val="none" w:sz="0" w:space="0" w:color="auto"/>
      </w:divBdr>
    </w:div>
    <w:div w:id="1234661530">
      <w:bodyDiv w:val="1"/>
      <w:marLeft w:val="0"/>
      <w:marRight w:val="0"/>
      <w:marTop w:val="0"/>
      <w:marBottom w:val="0"/>
      <w:divBdr>
        <w:top w:val="none" w:sz="0" w:space="0" w:color="auto"/>
        <w:left w:val="none" w:sz="0" w:space="0" w:color="auto"/>
        <w:bottom w:val="none" w:sz="0" w:space="0" w:color="auto"/>
        <w:right w:val="none" w:sz="0" w:space="0" w:color="auto"/>
      </w:divBdr>
    </w:div>
    <w:div w:id="1234702367">
      <w:bodyDiv w:val="1"/>
      <w:marLeft w:val="0"/>
      <w:marRight w:val="0"/>
      <w:marTop w:val="0"/>
      <w:marBottom w:val="0"/>
      <w:divBdr>
        <w:top w:val="none" w:sz="0" w:space="0" w:color="auto"/>
        <w:left w:val="none" w:sz="0" w:space="0" w:color="auto"/>
        <w:bottom w:val="none" w:sz="0" w:space="0" w:color="auto"/>
        <w:right w:val="none" w:sz="0" w:space="0" w:color="auto"/>
      </w:divBdr>
    </w:div>
    <w:div w:id="1234773199">
      <w:bodyDiv w:val="1"/>
      <w:marLeft w:val="0"/>
      <w:marRight w:val="0"/>
      <w:marTop w:val="0"/>
      <w:marBottom w:val="0"/>
      <w:divBdr>
        <w:top w:val="none" w:sz="0" w:space="0" w:color="auto"/>
        <w:left w:val="none" w:sz="0" w:space="0" w:color="auto"/>
        <w:bottom w:val="none" w:sz="0" w:space="0" w:color="auto"/>
        <w:right w:val="none" w:sz="0" w:space="0" w:color="auto"/>
      </w:divBdr>
    </w:div>
    <w:div w:id="1234897197">
      <w:bodyDiv w:val="1"/>
      <w:marLeft w:val="0"/>
      <w:marRight w:val="0"/>
      <w:marTop w:val="0"/>
      <w:marBottom w:val="0"/>
      <w:divBdr>
        <w:top w:val="none" w:sz="0" w:space="0" w:color="auto"/>
        <w:left w:val="none" w:sz="0" w:space="0" w:color="auto"/>
        <w:bottom w:val="none" w:sz="0" w:space="0" w:color="auto"/>
        <w:right w:val="none" w:sz="0" w:space="0" w:color="auto"/>
      </w:divBdr>
    </w:div>
    <w:div w:id="1234974413">
      <w:bodyDiv w:val="1"/>
      <w:marLeft w:val="0"/>
      <w:marRight w:val="0"/>
      <w:marTop w:val="0"/>
      <w:marBottom w:val="0"/>
      <w:divBdr>
        <w:top w:val="none" w:sz="0" w:space="0" w:color="auto"/>
        <w:left w:val="none" w:sz="0" w:space="0" w:color="auto"/>
        <w:bottom w:val="none" w:sz="0" w:space="0" w:color="auto"/>
        <w:right w:val="none" w:sz="0" w:space="0" w:color="auto"/>
      </w:divBdr>
    </w:div>
    <w:div w:id="1238518077">
      <w:bodyDiv w:val="1"/>
      <w:marLeft w:val="0"/>
      <w:marRight w:val="0"/>
      <w:marTop w:val="0"/>
      <w:marBottom w:val="0"/>
      <w:divBdr>
        <w:top w:val="none" w:sz="0" w:space="0" w:color="auto"/>
        <w:left w:val="none" w:sz="0" w:space="0" w:color="auto"/>
        <w:bottom w:val="none" w:sz="0" w:space="0" w:color="auto"/>
        <w:right w:val="none" w:sz="0" w:space="0" w:color="auto"/>
      </w:divBdr>
    </w:div>
    <w:div w:id="1238637195">
      <w:bodyDiv w:val="1"/>
      <w:marLeft w:val="0"/>
      <w:marRight w:val="0"/>
      <w:marTop w:val="0"/>
      <w:marBottom w:val="0"/>
      <w:divBdr>
        <w:top w:val="none" w:sz="0" w:space="0" w:color="auto"/>
        <w:left w:val="none" w:sz="0" w:space="0" w:color="auto"/>
        <w:bottom w:val="none" w:sz="0" w:space="0" w:color="auto"/>
        <w:right w:val="none" w:sz="0" w:space="0" w:color="auto"/>
      </w:divBdr>
    </w:div>
    <w:div w:id="1239291947">
      <w:bodyDiv w:val="1"/>
      <w:marLeft w:val="0"/>
      <w:marRight w:val="0"/>
      <w:marTop w:val="0"/>
      <w:marBottom w:val="0"/>
      <w:divBdr>
        <w:top w:val="none" w:sz="0" w:space="0" w:color="auto"/>
        <w:left w:val="none" w:sz="0" w:space="0" w:color="auto"/>
        <w:bottom w:val="none" w:sz="0" w:space="0" w:color="auto"/>
        <w:right w:val="none" w:sz="0" w:space="0" w:color="auto"/>
      </w:divBdr>
    </w:div>
    <w:div w:id="1240024609">
      <w:bodyDiv w:val="1"/>
      <w:marLeft w:val="0"/>
      <w:marRight w:val="0"/>
      <w:marTop w:val="0"/>
      <w:marBottom w:val="0"/>
      <w:divBdr>
        <w:top w:val="none" w:sz="0" w:space="0" w:color="auto"/>
        <w:left w:val="none" w:sz="0" w:space="0" w:color="auto"/>
        <w:bottom w:val="none" w:sz="0" w:space="0" w:color="auto"/>
        <w:right w:val="none" w:sz="0" w:space="0" w:color="auto"/>
      </w:divBdr>
    </w:div>
    <w:div w:id="1240561221">
      <w:bodyDiv w:val="1"/>
      <w:marLeft w:val="0"/>
      <w:marRight w:val="0"/>
      <w:marTop w:val="0"/>
      <w:marBottom w:val="0"/>
      <w:divBdr>
        <w:top w:val="none" w:sz="0" w:space="0" w:color="auto"/>
        <w:left w:val="none" w:sz="0" w:space="0" w:color="auto"/>
        <w:bottom w:val="none" w:sz="0" w:space="0" w:color="auto"/>
        <w:right w:val="none" w:sz="0" w:space="0" w:color="auto"/>
      </w:divBdr>
    </w:div>
    <w:div w:id="1240753493">
      <w:bodyDiv w:val="1"/>
      <w:marLeft w:val="0"/>
      <w:marRight w:val="0"/>
      <w:marTop w:val="0"/>
      <w:marBottom w:val="0"/>
      <w:divBdr>
        <w:top w:val="none" w:sz="0" w:space="0" w:color="auto"/>
        <w:left w:val="none" w:sz="0" w:space="0" w:color="auto"/>
        <w:bottom w:val="none" w:sz="0" w:space="0" w:color="auto"/>
        <w:right w:val="none" w:sz="0" w:space="0" w:color="auto"/>
      </w:divBdr>
    </w:div>
    <w:div w:id="1240941247">
      <w:bodyDiv w:val="1"/>
      <w:marLeft w:val="0"/>
      <w:marRight w:val="0"/>
      <w:marTop w:val="0"/>
      <w:marBottom w:val="0"/>
      <w:divBdr>
        <w:top w:val="none" w:sz="0" w:space="0" w:color="auto"/>
        <w:left w:val="none" w:sz="0" w:space="0" w:color="auto"/>
        <w:bottom w:val="none" w:sz="0" w:space="0" w:color="auto"/>
        <w:right w:val="none" w:sz="0" w:space="0" w:color="auto"/>
      </w:divBdr>
    </w:div>
    <w:div w:id="1242522267">
      <w:bodyDiv w:val="1"/>
      <w:marLeft w:val="0"/>
      <w:marRight w:val="0"/>
      <w:marTop w:val="0"/>
      <w:marBottom w:val="0"/>
      <w:divBdr>
        <w:top w:val="none" w:sz="0" w:space="0" w:color="auto"/>
        <w:left w:val="none" w:sz="0" w:space="0" w:color="auto"/>
        <w:bottom w:val="none" w:sz="0" w:space="0" w:color="auto"/>
        <w:right w:val="none" w:sz="0" w:space="0" w:color="auto"/>
      </w:divBdr>
    </w:div>
    <w:div w:id="1243102521">
      <w:bodyDiv w:val="1"/>
      <w:marLeft w:val="0"/>
      <w:marRight w:val="0"/>
      <w:marTop w:val="0"/>
      <w:marBottom w:val="0"/>
      <w:divBdr>
        <w:top w:val="none" w:sz="0" w:space="0" w:color="auto"/>
        <w:left w:val="none" w:sz="0" w:space="0" w:color="auto"/>
        <w:bottom w:val="none" w:sz="0" w:space="0" w:color="auto"/>
        <w:right w:val="none" w:sz="0" w:space="0" w:color="auto"/>
      </w:divBdr>
    </w:div>
    <w:div w:id="1243175641">
      <w:bodyDiv w:val="1"/>
      <w:marLeft w:val="0"/>
      <w:marRight w:val="0"/>
      <w:marTop w:val="0"/>
      <w:marBottom w:val="0"/>
      <w:divBdr>
        <w:top w:val="none" w:sz="0" w:space="0" w:color="auto"/>
        <w:left w:val="none" w:sz="0" w:space="0" w:color="auto"/>
        <w:bottom w:val="none" w:sz="0" w:space="0" w:color="auto"/>
        <w:right w:val="none" w:sz="0" w:space="0" w:color="auto"/>
      </w:divBdr>
    </w:div>
    <w:div w:id="1243905453">
      <w:bodyDiv w:val="1"/>
      <w:marLeft w:val="0"/>
      <w:marRight w:val="0"/>
      <w:marTop w:val="0"/>
      <w:marBottom w:val="0"/>
      <w:divBdr>
        <w:top w:val="none" w:sz="0" w:space="0" w:color="auto"/>
        <w:left w:val="none" w:sz="0" w:space="0" w:color="auto"/>
        <w:bottom w:val="none" w:sz="0" w:space="0" w:color="auto"/>
        <w:right w:val="none" w:sz="0" w:space="0" w:color="auto"/>
      </w:divBdr>
    </w:div>
    <w:div w:id="1244560542">
      <w:bodyDiv w:val="1"/>
      <w:marLeft w:val="0"/>
      <w:marRight w:val="0"/>
      <w:marTop w:val="0"/>
      <w:marBottom w:val="0"/>
      <w:divBdr>
        <w:top w:val="none" w:sz="0" w:space="0" w:color="auto"/>
        <w:left w:val="none" w:sz="0" w:space="0" w:color="auto"/>
        <w:bottom w:val="none" w:sz="0" w:space="0" w:color="auto"/>
        <w:right w:val="none" w:sz="0" w:space="0" w:color="auto"/>
      </w:divBdr>
    </w:div>
    <w:div w:id="1244682791">
      <w:bodyDiv w:val="1"/>
      <w:marLeft w:val="0"/>
      <w:marRight w:val="0"/>
      <w:marTop w:val="0"/>
      <w:marBottom w:val="0"/>
      <w:divBdr>
        <w:top w:val="none" w:sz="0" w:space="0" w:color="auto"/>
        <w:left w:val="none" w:sz="0" w:space="0" w:color="auto"/>
        <w:bottom w:val="none" w:sz="0" w:space="0" w:color="auto"/>
        <w:right w:val="none" w:sz="0" w:space="0" w:color="auto"/>
      </w:divBdr>
    </w:div>
    <w:div w:id="1246257075">
      <w:bodyDiv w:val="1"/>
      <w:marLeft w:val="0"/>
      <w:marRight w:val="0"/>
      <w:marTop w:val="0"/>
      <w:marBottom w:val="0"/>
      <w:divBdr>
        <w:top w:val="none" w:sz="0" w:space="0" w:color="auto"/>
        <w:left w:val="none" w:sz="0" w:space="0" w:color="auto"/>
        <w:bottom w:val="none" w:sz="0" w:space="0" w:color="auto"/>
        <w:right w:val="none" w:sz="0" w:space="0" w:color="auto"/>
      </w:divBdr>
    </w:div>
    <w:div w:id="1247497342">
      <w:bodyDiv w:val="1"/>
      <w:marLeft w:val="0"/>
      <w:marRight w:val="0"/>
      <w:marTop w:val="0"/>
      <w:marBottom w:val="0"/>
      <w:divBdr>
        <w:top w:val="none" w:sz="0" w:space="0" w:color="auto"/>
        <w:left w:val="none" w:sz="0" w:space="0" w:color="auto"/>
        <w:bottom w:val="none" w:sz="0" w:space="0" w:color="auto"/>
        <w:right w:val="none" w:sz="0" w:space="0" w:color="auto"/>
      </w:divBdr>
    </w:div>
    <w:div w:id="1249147970">
      <w:bodyDiv w:val="1"/>
      <w:marLeft w:val="0"/>
      <w:marRight w:val="0"/>
      <w:marTop w:val="0"/>
      <w:marBottom w:val="0"/>
      <w:divBdr>
        <w:top w:val="none" w:sz="0" w:space="0" w:color="auto"/>
        <w:left w:val="none" w:sz="0" w:space="0" w:color="auto"/>
        <w:bottom w:val="none" w:sz="0" w:space="0" w:color="auto"/>
        <w:right w:val="none" w:sz="0" w:space="0" w:color="auto"/>
      </w:divBdr>
    </w:div>
    <w:div w:id="1250190184">
      <w:bodyDiv w:val="1"/>
      <w:marLeft w:val="0"/>
      <w:marRight w:val="0"/>
      <w:marTop w:val="0"/>
      <w:marBottom w:val="0"/>
      <w:divBdr>
        <w:top w:val="none" w:sz="0" w:space="0" w:color="auto"/>
        <w:left w:val="none" w:sz="0" w:space="0" w:color="auto"/>
        <w:bottom w:val="none" w:sz="0" w:space="0" w:color="auto"/>
        <w:right w:val="none" w:sz="0" w:space="0" w:color="auto"/>
      </w:divBdr>
    </w:div>
    <w:div w:id="1250235673">
      <w:bodyDiv w:val="1"/>
      <w:marLeft w:val="0"/>
      <w:marRight w:val="0"/>
      <w:marTop w:val="0"/>
      <w:marBottom w:val="0"/>
      <w:divBdr>
        <w:top w:val="none" w:sz="0" w:space="0" w:color="auto"/>
        <w:left w:val="none" w:sz="0" w:space="0" w:color="auto"/>
        <w:bottom w:val="none" w:sz="0" w:space="0" w:color="auto"/>
        <w:right w:val="none" w:sz="0" w:space="0" w:color="auto"/>
      </w:divBdr>
    </w:div>
    <w:div w:id="1250430916">
      <w:bodyDiv w:val="1"/>
      <w:marLeft w:val="0"/>
      <w:marRight w:val="0"/>
      <w:marTop w:val="0"/>
      <w:marBottom w:val="0"/>
      <w:divBdr>
        <w:top w:val="none" w:sz="0" w:space="0" w:color="auto"/>
        <w:left w:val="none" w:sz="0" w:space="0" w:color="auto"/>
        <w:bottom w:val="none" w:sz="0" w:space="0" w:color="auto"/>
        <w:right w:val="none" w:sz="0" w:space="0" w:color="auto"/>
      </w:divBdr>
    </w:div>
    <w:div w:id="1250770313">
      <w:bodyDiv w:val="1"/>
      <w:marLeft w:val="0"/>
      <w:marRight w:val="0"/>
      <w:marTop w:val="0"/>
      <w:marBottom w:val="0"/>
      <w:divBdr>
        <w:top w:val="none" w:sz="0" w:space="0" w:color="auto"/>
        <w:left w:val="none" w:sz="0" w:space="0" w:color="auto"/>
        <w:bottom w:val="none" w:sz="0" w:space="0" w:color="auto"/>
        <w:right w:val="none" w:sz="0" w:space="0" w:color="auto"/>
      </w:divBdr>
    </w:div>
    <w:div w:id="1250962034">
      <w:bodyDiv w:val="1"/>
      <w:marLeft w:val="0"/>
      <w:marRight w:val="0"/>
      <w:marTop w:val="0"/>
      <w:marBottom w:val="0"/>
      <w:divBdr>
        <w:top w:val="none" w:sz="0" w:space="0" w:color="auto"/>
        <w:left w:val="none" w:sz="0" w:space="0" w:color="auto"/>
        <w:bottom w:val="none" w:sz="0" w:space="0" w:color="auto"/>
        <w:right w:val="none" w:sz="0" w:space="0" w:color="auto"/>
      </w:divBdr>
    </w:div>
    <w:div w:id="1252852287">
      <w:bodyDiv w:val="1"/>
      <w:marLeft w:val="0"/>
      <w:marRight w:val="0"/>
      <w:marTop w:val="0"/>
      <w:marBottom w:val="0"/>
      <w:divBdr>
        <w:top w:val="none" w:sz="0" w:space="0" w:color="auto"/>
        <w:left w:val="none" w:sz="0" w:space="0" w:color="auto"/>
        <w:bottom w:val="none" w:sz="0" w:space="0" w:color="auto"/>
        <w:right w:val="none" w:sz="0" w:space="0" w:color="auto"/>
      </w:divBdr>
    </w:div>
    <w:div w:id="1254586433">
      <w:bodyDiv w:val="1"/>
      <w:marLeft w:val="0"/>
      <w:marRight w:val="0"/>
      <w:marTop w:val="0"/>
      <w:marBottom w:val="0"/>
      <w:divBdr>
        <w:top w:val="none" w:sz="0" w:space="0" w:color="auto"/>
        <w:left w:val="none" w:sz="0" w:space="0" w:color="auto"/>
        <w:bottom w:val="none" w:sz="0" w:space="0" w:color="auto"/>
        <w:right w:val="none" w:sz="0" w:space="0" w:color="auto"/>
      </w:divBdr>
    </w:div>
    <w:div w:id="1256131124">
      <w:bodyDiv w:val="1"/>
      <w:marLeft w:val="0"/>
      <w:marRight w:val="0"/>
      <w:marTop w:val="0"/>
      <w:marBottom w:val="0"/>
      <w:divBdr>
        <w:top w:val="none" w:sz="0" w:space="0" w:color="auto"/>
        <w:left w:val="none" w:sz="0" w:space="0" w:color="auto"/>
        <w:bottom w:val="none" w:sz="0" w:space="0" w:color="auto"/>
        <w:right w:val="none" w:sz="0" w:space="0" w:color="auto"/>
      </w:divBdr>
    </w:div>
    <w:div w:id="1258976524">
      <w:bodyDiv w:val="1"/>
      <w:marLeft w:val="0"/>
      <w:marRight w:val="0"/>
      <w:marTop w:val="0"/>
      <w:marBottom w:val="0"/>
      <w:divBdr>
        <w:top w:val="none" w:sz="0" w:space="0" w:color="auto"/>
        <w:left w:val="none" w:sz="0" w:space="0" w:color="auto"/>
        <w:bottom w:val="none" w:sz="0" w:space="0" w:color="auto"/>
        <w:right w:val="none" w:sz="0" w:space="0" w:color="auto"/>
      </w:divBdr>
    </w:div>
    <w:div w:id="1259559654">
      <w:bodyDiv w:val="1"/>
      <w:marLeft w:val="0"/>
      <w:marRight w:val="0"/>
      <w:marTop w:val="0"/>
      <w:marBottom w:val="0"/>
      <w:divBdr>
        <w:top w:val="none" w:sz="0" w:space="0" w:color="auto"/>
        <w:left w:val="none" w:sz="0" w:space="0" w:color="auto"/>
        <w:bottom w:val="none" w:sz="0" w:space="0" w:color="auto"/>
        <w:right w:val="none" w:sz="0" w:space="0" w:color="auto"/>
      </w:divBdr>
    </w:div>
    <w:div w:id="1259943322">
      <w:bodyDiv w:val="1"/>
      <w:marLeft w:val="0"/>
      <w:marRight w:val="0"/>
      <w:marTop w:val="0"/>
      <w:marBottom w:val="0"/>
      <w:divBdr>
        <w:top w:val="none" w:sz="0" w:space="0" w:color="auto"/>
        <w:left w:val="none" w:sz="0" w:space="0" w:color="auto"/>
        <w:bottom w:val="none" w:sz="0" w:space="0" w:color="auto"/>
        <w:right w:val="none" w:sz="0" w:space="0" w:color="auto"/>
      </w:divBdr>
    </w:div>
    <w:div w:id="1261261000">
      <w:bodyDiv w:val="1"/>
      <w:marLeft w:val="0"/>
      <w:marRight w:val="0"/>
      <w:marTop w:val="0"/>
      <w:marBottom w:val="0"/>
      <w:divBdr>
        <w:top w:val="none" w:sz="0" w:space="0" w:color="auto"/>
        <w:left w:val="none" w:sz="0" w:space="0" w:color="auto"/>
        <w:bottom w:val="none" w:sz="0" w:space="0" w:color="auto"/>
        <w:right w:val="none" w:sz="0" w:space="0" w:color="auto"/>
      </w:divBdr>
    </w:div>
    <w:div w:id="1261836435">
      <w:bodyDiv w:val="1"/>
      <w:marLeft w:val="0"/>
      <w:marRight w:val="0"/>
      <w:marTop w:val="0"/>
      <w:marBottom w:val="0"/>
      <w:divBdr>
        <w:top w:val="none" w:sz="0" w:space="0" w:color="auto"/>
        <w:left w:val="none" w:sz="0" w:space="0" w:color="auto"/>
        <w:bottom w:val="none" w:sz="0" w:space="0" w:color="auto"/>
        <w:right w:val="none" w:sz="0" w:space="0" w:color="auto"/>
      </w:divBdr>
    </w:div>
    <w:div w:id="1262908175">
      <w:bodyDiv w:val="1"/>
      <w:marLeft w:val="0"/>
      <w:marRight w:val="0"/>
      <w:marTop w:val="0"/>
      <w:marBottom w:val="0"/>
      <w:divBdr>
        <w:top w:val="none" w:sz="0" w:space="0" w:color="auto"/>
        <w:left w:val="none" w:sz="0" w:space="0" w:color="auto"/>
        <w:bottom w:val="none" w:sz="0" w:space="0" w:color="auto"/>
        <w:right w:val="none" w:sz="0" w:space="0" w:color="auto"/>
      </w:divBdr>
    </w:div>
    <w:div w:id="1264532905">
      <w:bodyDiv w:val="1"/>
      <w:marLeft w:val="0"/>
      <w:marRight w:val="0"/>
      <w:marTop w:val="0"/>
      <w:marBottom w:val="0"/>
      <w:divBdr>
        <w:top w:val="none" w:sz="0" w:space="0" w:color="auto"/>
        <w:left w:val="none" w:sz="0" w:space="0" w:color="auto"/>
        <w:bottom w:val="none" w:sz="0" w:space="0" w:color="auto"/>
        <w:right w:val="none" w:sz="0" w:space="0" w:color="auto"/>
      </w:divBdr>
    </w:div>
    <w:div w:id="1264991497">
      <w:bodyDiv w:val="1"/>
      <w:marLeft w:val="0"/>
      <w:marRight w:val="0"/>
      <w:marTop w:val="0"/>
      <w:marBottom w:val="0"/>
      <w:divBdr>
        <w:top w:val="none" w:sz="0" w:space="0" w:color="auto"/>
        <w:left w:val="none" w:sz="0" w:space="0" w:color="auto"/>
        <w:bottom w:val="none" w:sz="0" w:space="0" w:color="auto"/>
        <w:right w:val="none" w:sz="0" w:space="0" w:color="auto"/>
      </w:divBdr>
    </w:div>
    <w:div w:id="1266109976">
      <w:bodyDiv w:val="1"/>
      <w:marLeft w:val="0"/>
      <w:marRight w:val="0"/>
      <w:marTop w:val="0"/>
      <w:marBottom w:val="0"/>
      <w:divBdr>
        <w:top w:val="none" w:sz="0" w:space="0" w:color="auto"/>
        <w:left w:val="none" w:sz="0" w:space="0" w:color="auto"/>
        <w:bottom w:val="none" w:sz="0" w:space="0" w:color="auto"/>
        <w:right w:val="none" w:sz="0" w:space="0" w:color="auto"/>
      </w:divBdr>
    </w:div>
    <w:div w:id="1268193324">
      <w:bodyDiv w:val="1"/>
      <w:marLeft w:val="0"/>
      <w:marRight w:val="0"/>
      <w:marTop w:val="0"/>
      <w:marBottom w:val="0"/>
      <w:divBdr>
        <w:top w:val="none" w:sz="0" w:space="0" w:color="auto"/>
        <w:left w:val="none" w:sz="0" w:space="0" w:color="auto"/>
        <w:bottom w:val="none" w:sz="0" w:space="0" w:color="auto"/>
        <w:right w:val="none" w:sz="0" w:space="0" w:color="auto"/>
      </w:divBdr>
    </w:div>
    <w:div w:id="1270240730">
      <w:bodyDiv w:val="1"/>
      <w:marLeft w:val="0"/>
      <w:marRight w:val="0"/>
      <w:marTop w:val="0"/>
      <w:marBottom w:val="0"/>
      <w:divBdr>
        <w:top w:val="none" w:sz="0" w:space="0" w:color="auto"/>
        <w:left w:val="none" w:sz="0" w:space="0" w:color="auto"/>
        <w:bottom w:val="none" w:sz="0" w:space="0" w:color="auto"/>
        <w:right w:val="none" w:sz="0" w:space="0" w:color="auto"/>
      </w:divBdr>
    </w:div>
    <w:div w:id="1270744044">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272204150">
      <w:bodyDiv w:val="1"/>
      <w:marLeft w:val="0"/>
      <w:marRight w:val="0"/>
      <w:marTop w:val="0"/>
      <w:marBottom w:val="0"/>
      <w:divBdr>
        <w:top w:val="none" w:sz="0" w:space="0" w:color="auto"/>
        <w:left w:val="none" w:sz="0" w:space="0" w:color="auto"/>
        <w:bottom w:val="none" w:sz="0" w:space="0" w:color="auto"/>
        <w:right w:val="none" w:sz="0" w:space="0" w:color="auto"/>
      </w:divBdr>
    </w:div>
    <w:div w:id="1272662222">
      <w:bodyDiv w:val="1"/>
      <w:marLeft w:val="0"/>
      <w:marRight w:val="0"/>
      <w:marTop w:val="0"/>
      <w:marBottom w:val="0"/>
      <w:divBdr>
        <w:top w:val="none" w:sz="0" w:space="0" w:color="auto"/>
        <w:left w:val="none" w:sz="0" w:space="0" w:color="auto"/>
        <w:bottom w:val="none" w:sz="0" w:space="0" w:color="auto"/>
        <w:right w:val="none" w:sz="0" w:space="0" w:color="auto"/>
      </w:divBdr>
    </w:div>
    <w:div w:id="1272980685">
      <w:bodyDiv w:val="1"/>
      <w:marLeft w:val="0"/>
      <w:marRight w:val="0"/>
      <w:marTop w:val="0"/>
      <w:marBottom w:val="0"/>
      <w:divBdr>
        <w:top w:val="none" w:sz="0" w:space="0" w:color="auto"/>
        <w:left w:val="none" w:sz="0" w:space="0" w:color="auto"/>
        <w:bottom w:val="none" w:sz="0" w:space="0" w:color="auto"/>
        <w:right w:val="none" w:sz="0" w:space="0" w:color="auto"/>
      </w:divBdr>
    </w:div>
    <w:div w:id="1274440616">
      <w:bodyDiv w:val="1"/>
      <w:marLeft w:val="0"/>
      <w:marRight w:val="0"/>
      <w:marTop w:val="0"/>
      <w:marBottom w:val="0"/>
      <w:divBdr>
        <w:top w:val="none" w:sz="0" w:space="0" w:color="auto"/>
        <w:left w:val="none" w:sz="0" w:space="0" w:color="auto"/>
        <w:bottom w:val="none" w:sz="0" w:space="0" w:color="auto"/>
        <w:right w:val="none" w:sz="0" w:space="0" w:color="auto"/>
      </w:divBdr>
    </w:div>
    <w:div w:id="1276671026">
      <w:bodyDiv w:val="1"/>
      <w:marLeft w:val="0"/>
      <w:marRight w:val="0"/>
      <w:marTop w:val="0"/>
      <w:marBottom w:val="0"/>
      <w:divBdr>
        <w:top w:val="none" w:sz="0" w:space="0" w:color="auto"/>
        <w:left w:val="none" w:sz="0" w:space="0" w:color="auto"/>
        <w:bottom w:val="none" w:sz="0" w:space="0" w:color="auto"/>
        <w:right w:val="none" w:sz="0" w:space="0" w:color="auto"/>
      </w:divBdr>
    </w:div>
    <w:div w:id="1277829913">
      <w:bodyDiv w:val="1"/>
      <w:marLeft w:val="0"/>
      <w:marRight w:val="0"/>
      <w:marTop w:val="0"/>
      <w:marBottom w:val="0"/>
      <w:divBdr>
        <w:top w:val="none" w:sz="0" w:space="0" w:color="auto"/>
        <w:left w:val="none" w:sz="0" w:space="0" w:color="auto"/>
        <w:bottom w:val="none" w:sz="0" w:space="0" w:color="auto"/>
        <w:right w:val="none" w:sz="0" w:space="0" w:color="auto"/>
      </w:divBdr>
    </w:div>
    <w:div w:id="1279146999">
      <w:bodyDiv w:val="1"/>
      <w:marLeft w:val="0"/>
      <w:marRight w:val="0"/>
      <w:marTop w:val="0"/>
      <w:marBottom w:val="0"/>
      <w:divBdr>
        <w:top w:val="none" w:sz="0" w:space="0" w:color="auto"/>
        <w:left w:val="none" w:sz="0" w:space="0" w:color="auto"/>
        <w:bottom w:val="none" w:sz="0" w:space="0" w:color="auto"/>
        <w:right w:val="none" w:sz="0" w:space="0" w:color="auto"/>
      </w:divBdr>
    </w:div>
    <w:div w:id="1280986078">
      <w:bodyDiv w:val="1"/>
      <w:marLeft w:val="0"/>
      <w:marRight w:val="0"/>
      <w:marTop w:val="0"/>
      <w:marBottom w:val="0"/>
      <w:divBdr>
        <w:top w:val="none" w:sz="0" w:space="0" w:color="auto"/>
        <w:left w:val="none" w:sz="0" w:space="0" w:color="auto"/>
        <w:bottom w:val="none" w:sz="0" w:space="0" w:color="auto"/>
        <w:right w:val="none" w:sz="0" w:space="0" w:color="auto"/>
      </w:divBdr>
    </w:div>
    <w:div w:id="1281573344">
      <w:bodyDiv w:val="1"/>
      <w:marLeft w:val="0"/>
      <w:marRight w:val="0"/>
      <w:marTop w:val="0"/>
      <w:marBottom w:val="0"/>
      <w:divBdr>
        <w:top w:val="none" w:sz="0" w:space="0" w:color="auto"/>
        <w:left w:val="none" w:sz="0" w:space="0" w:color="auto"/>
        <w:bottom w:val="none" w:sz="0" w:space="0" w:color="auto"/>
        <w:right w:val="none" w:sz="0" w:space="0" w:color="auto"/>
      </w:divBdr>
    </w:div>
    <w:div w:id="1282683884">
      <w:bodyDiv w:val="1"/>
      <w:marLeft w:val="0"/>
      <w:marRight w:val="0"/>
      <w:marTop w:val="0"/>
      <w:marBottom w:val="0"/>
      <w:divBdr>
        <w:top w:val="none" w:sz="0" w:space="0" w:color="auto"/>
        <w:left w:val="none" w:sz="0" w:space="0" w:color="auto"/>
        <w:bottom w:val="none" w:sz="0" w:space="0" w:color="auto"/>
        <w:right w:val="none" w:sz="0" w:space="0" w:color="auto"/>
      </w:divBdr>
    </w:div>
    <w:div w:id="1282876761">
      <w:bodyDiv w:val="1"/>
      <w:marLeft w:val="0"/>
      <w:marRight w:val="0"/>
      <w:marTop w:val="0"/>
      <w:marBottom w:val="0"/>
      <w:divBdr>
        <w:top w:val="none" w:sz="0" w:space="0" w:color="auto"/>
        <w:left w:val="none" w:sz="0" w:space="0" w:color="auto"/>
        <w:bottom w:val="none" w:sz="0" w:space="0" w:color="auto"/>
        <w:right w:val="none" w:sz="0" w:space="0" w:color="auto"/>
      </w:divBdr>
    </w:div>
    <w:div w:id="1283725544">
      <w:bodyDiv w:val="1"/>
      <w:marLeft w:val="0"/>
      <w:marRight w:val="0"/>
      <w:marTop w:val="0"/>
      <w:marBottom w:val="0"/>
      <w:divBdr>
        <w:top w:val="none" w:sz="0" w:space="0" w:color="auto"/>
        <w:left w:val="none" w:sz="0" w:space="0" w:color="auto"/>
        <w:bottom w:val="none" w:sz="0" w:space="0" w:color="auto"/>
        <w:right w:val="none" w:sz="0" w:space="0" w:color="auto"/>
      </w:divBdr>
    </w:div>
    <w:div w:id="1284769754">
      <w:bodyDiv w:val="1"/>
      <w:marLeft w:val="0"/>
      <w:marRight w:val="0"/>
      <w:marTop w:val="0"/>
      <w:marBottom w:val="0"/>
      <w:divBdr>
        <w:top w:val="none" w:sz="0" w:space="0" w:color="auto"/>
        <w:left w:val="none" w:sz="0" w:space="0" w:color="auto"/>
        <w:bottom w:val="none" w:sz="0" w:space="0" w:color="auto"/>
        <w:right w:val="none" w:sz="0" w:space="0" w:color="auto"/>
      </w:divBdr>
    </w:div>
    <w:div w:id="1285306371">
      <w:bodyDiv w:val="1"/>
      <w:marLeft w:val="0"/>
      <w:marRight w:val="0"/>
      <w:marTop w:val="0"/>
      <w:marBottom w:val="0"/>
      <w:divBdr>
        <w:top w:val="none" w:sz="0" w:space="0" w:color="auto"/>
        <w:left w:val="none" w:sz="0" w:space="0" w:color="auto"/>
        <w:bottom w:val="none" w:sz="0" w:space="0" w:color="auto"/>
        <w:right w:val="none" w:sz="0" w:space="0" w:color="auto"/>
      </w:divBdr>
    </w:div>
    <w:div w:id="1285455465">
      <w:bodyDiv w:val="1"/>
      <w:marLeft w:val="0"/>
      <w:marRight w:val="0"/>
      <w:marTop w:val="0"/>
      <w:marBottom w:val="0"/>
      <w:divBdr>
        <w:top w:val="none" w:sz="0" w:space="0" w:color="auto"/>
        <w:left w:val="none" w:sz="0" w:space="0" w:color="auto"/>
        <w:bottom w:val="none" w:sz="0" w:space="0" w:color="auto"/>
        <w:right w:val="none" w:sz="0" w:space="0" w:color="auto"/>
      </w:divBdr>
    </w:div>
    <w:div w:id="1286699399">
      <w:bodyDiv w:val="1"/>
      <w:marLeft w:val="0"/>
      <w:marRight w:val="0"/>
      <w:marTop w:val="0"/>
      <w:marBottom w:val="0"/>
      <w:divBdr>
        <w:top w:val="none" w:sz="0" w:space="0" w:color="auto"/>
        <w:left w:val="none" w:sz="0" w:space="0" w:color="auto"/>
        <w:bottom w:val="none" w:sz="0" w:space="0" w:color="auto"/>
        <w:right w:val="none" w:sz="0" w:space="0" w:color="auto"/>
      </w:divBdr>
    </w:div>
    <w:div w:id="1288852938">
      <w:bodyDiv w:val="1"/>
      <w:marLeft w:val="0"/>
      <w:marRight w:val="0"/>
      <w:marTop w:val="0"/>
      <w:marBottom w:val="0"/>
      <w:divBdr>
        <w:top w:val="none" w:sz="0" w:space="0" w:color="auto"/>
        <w:left w:val="none" w:sz="0" w:space="0" w:color="auto"/>
        <w:bottom w:val="none" w:sz="0" w:space="0" w:color="auto"/>
        <w:right w:val="none" w:sz="0" w:space="0" w:color="auto"/>
      </w:divBdr>
    </w:div>
    <w:div w:id="1288898293">
      <w:bodyDiv w:val="1"/>
      <w:marLeft w:val="0"/>
      <w:marRight w:val="0"/>
      <w:marTop w:val="0"/>
      <w:marBottom w:val="0"/>
      <w:divBdr>
        <w:top w:val="none" w:sz="0" w:space="0" w:color="auto"/>
        <w:left w:val="none" w:sz="0" w:space="0" w:color="auto"/>
        <w:bottom w:val="none" w:sz="0" w:space="0" w:color="auto"/>
        <w:right w:val="none" w:sz="0" w:space="0" w:color="auto"/>
      </w:divBdr>
    </w:div>
    <w:div w:id="1289314569">
      <w:bodyDiv w:val="1"/>
      <w:marLeft w:val="0"/>
      <w:marRight w:val="0"/>
      <w:marTop w:val="0"/>
      <w:marBottom w:val="0"/>
      <w:divBdr>
        <w:top w:val="none" w:sz="0" w:space="0" w:color="auto"/>
        <w:left w:val="none" w:sz="0" w:space="0" w:color="auto"/>
        <w:bottom w:val="none" w:sz="0" w:space="0" w:color="auto"/>
        <w:right w:val="none" w:sz="0" w:space="0" w:color="auto"/>
      </w:divBdr>
    </w:div>
    <w:div w:id="1290430219">
      <w:bodyDiv w:val="1"/>
      <w:marLeft w:val="0"/>
      <w:marRight w:val="0"/>
      <w:marTop w:val="0"/>
      <w:marBottom w:val="0"/>
      <w:divBdr>
        <w:top w:val="none" w:sz="0" w:space="0" w:color="auto"/>
        <w:left w:val="none" w:sz="0" w:space="0" w:color="auto"/>
        <w:bottom w:val="none" w:sz="0" w:space="0" w:color="auto"/>
        <w:right w:val="none" w:sz="0" w:space="0" w:color="auto"/>
      </w:divBdr>
    </w:div>
    <w:div w:id="1292319684">
      <w:bodyDiv w:val="1"/>
      <w:marLeft w:val="0"/>
      <w:marRight w:val="0"/>
      <w:marTop w:val="0"/>
      <w:marBottom w:val="0"/>
      <w:divBdr>
        <w:top w:val="none" w:sz="0" w:space="0" w:color="auto"/>
        <w:left w:val="none" w:sz="0" w:space="0" w:color="auto"/>
        <w:bottom w:val="none" w:sz="0" w:space="0" w:color="auto"/>
        <w:right w:val="none" w:sz="0" w:space="0" w:color="auto"/>
      </w:divBdr>
    </w:div>
    <w:div w:id="1292983073">
      <w:bodyDiv w:val="1"/>
      <w:marLeft w:val="0"/>
      <w:marRight w:val="0"/>
      <w:marTop w:val="0"/>
      <w:marBottom w:val="0"/>
      <w:divBdr>
        <w:top w:val="none" w:sz="0" w:space="0" w:color="auto"/>
        <w:left w:val="none" w:sz="0" w:space="0" w:color="auto"/>
        <w:bottom w:val="none" w:sz="0" w:space="0" w:color="auto"/>
        <w:right w:val="none" w:sz="0" w:space="0" w:color="auto"/>
      </w:divBdr>
    </w:div>
    <w:div w:id="1293514726">
      <w:bodyDiv w:val="1"/>
      <w:marLeft w:val="0"/>
      <w:marRight w:val="0"/>
      <w:marTop w:val="0"/>
      <w:marBottom w:val="0"/>
      <w:divBdr>
        <w:top w:val="none" w:sz="0" w:space="0" w:color="auto"/>
        <w:left w:val="none" w:sz="0" w:space="0" w:color="auto"/>
        <w:bottom w:val="none" w:sz="0" w:space="0" w:color="auto"/>
        <w:right w:val="none" w:sz="0" w:space="0" w:color="auto"/>
      </w:divBdr>
    </w:div>
    <w:div w:id="1295646754">
      <w:bodyDiv w:val="1"/>
      <w:marLeft w:val="0"/>
      <w:marRight w:val="0"/>
      <w:marTop w:val="0"/>
      <w:marBottom w:val="0"/>
      <w:divBdr>
        <w:top w:val="none" w:sz="0" w:space="0" w:color="auto"/>
        <w:left w:val="none" w:sz="0" w:space="0" w:color="auto"/>
        <w:bottom w:val="none" w:sz="0" w:space="0" w:color="auto"/>
        <w:right w:val="none" w:sz="0" w:space="0" w:color="auto"/>
      </w:divBdr>
    </w:div>
    <w:div w:id="1296527643">
      <w:bodyDiv w:val="1"/>
      <w:marLeft w:val="0"/>
      <w:marRight w:val="0"/>
      <w:marTop w:val="0"/>
      <w:marBottom w:val="0"/>
      <w:divBdr>
        <w:top w:val="none" w:sz="0" w:space="0" w:color="auto"/>
        <w:left w:val="none" w:sz="0" w:space="0" w:color="auto"/>
        <w:bottom w:val="none" w:sz="0" w:space="0" w:color="auto"/>
        <w:right w:val="none" w:sz="0" w:space="0" w:color="auto"/>
      </w:divBdr>
    </w:div>
    <w:div w:id="1296637858">
      <w:bodyDiv w:val="1"/>
      <w:marLeft w:val="0"/>
      <w:marRight w:val="0"/>
      <w:marTop w:val="0"/>
      <w:marBottom w:val="0"/>
      <w:divBdr>
        <w:top w:val="none" w:sz="0" w:space="0" w:color="auto"/>
        <w:left w:val="none" w:sz="0" w:space="0" w:color="auto"/>
        <w:bottom w:val="none" w:sz="0" w:space="0" w:color="auto"/>
        <w:right w:val="none" w:sz="0" w:space="0" w:color="auto"/>
      </w:divBdr>
    </w:div>
    <w:div w:id="1298073663">
      <w:bodyDiv w:val="1"/>
      <w:marLeft w:val="0"/>
      <w:marRight w:val="0"/>
      <w:marTop w:val="0"/>
      <w:marBottom w:val="0"/>
      <w:divBdr>
        <w:top w:val="none" w:sz="0" w:space="0" w:color="auto"/>
        <w:left w:val="none" w:sz="0" w:space="0" w:color="auto"/>
        <w:bottom w:val="none" w:sz="0" w:space="0" w:color="auto"/>
        <w:right w:val="none" w:sz="0" w:space="0" w:color="auto"/>
      </w:divBdr>
    </w:div>
    <w:div w:id="1298098261">
      <w:bodyDiv w:val="1"/>
      <w:marLeft w:val="0"/>
      <w:marRight w:val="0"/>
      <w:marTop w:val="0"/>
      <w:marBottom w:val="0"/>
      <w:divBdr>
        <w:top w:val="none" w:sz="0" w:space="0" w:color="auto"/>
        <w:left w:val="none" w:sz="0" w:space="0" w:color="auto"/>
        <w:bottom w:val="none" w:sz="0" w:space="0" w:color="auto"/>
        <w:right w:val="none" w:sz="0" w:space="0" w:color="auto"/>
      </w:divBdr>
    </w:div>
    <w:div w:id="1299872467">
      <w:bodyDiv w:val="1"/>
      <w:marLeft w:val="0"/>
      <w:marRight w:val="0"/>
      <w:marTop w:val="0"/>
      <w:marBottom w:val="0"/>
      <w:divBdr>
        <w:top w:val="none" w:sz="0" w:space="0" w:color="auto"/>
        <w:left w:val="none" w:sz="0" w:space="0" w:color="auto"/>
        <w:bottom w:val="none" w:sz="0" w:space="0" w:color="auto"/>
        <w:right w:val="none" w:sz="0" w:space="0" w:color="auto"/>
      </w:divBdr>
    </w:div>
    <w:div w:id="1300451287">
      <w:bodyDiv w:val="1"/>
      <w:marLeft w:val="0"/>
      <w:marRight w:val="0"/>
      <w:marTop w:val="0"/>
      <w:marBottom w:val="0"/>
      <w:divBdr>
        <w:top w:val="none" w:sz="0" w:space="0" w:color="auto"/>
        <w:left w:val="none" w:sz="0" w:space="0" w:color="auto"/>
        <w:bottom w:val="none" w:sz="0" w:space="0" w:color="auto"/>
        <w:right w:val="none" w:sz="0" w:space="0" w:color="auto"/>
      </w:divBdr>
    </w:div>
    <w:div w:id="1301575160">
      <w:bodyDiv w:val="1"/>
      <w:marLeft w:val="0"/>
      <w:marRight w:val="0"/>
      <w:marTop w:val="0"/>
      <w:marBottom w:val="0"/>
      <w:divBdr>
        <w:top w:val="none" w:sz="0" w:space="0" w:color="auto"/>
        <w:left w:val="none" w:sz="0" w:space="0" w:color="auto"/>
        <w:bottom w:val="none" w:sz="0" w:space="0" w:color="auto"/>
        <w:right w:val="none" w:sz="0" w:space="0" w:color="auto"/>
      </w:divBdr>
    </w:div>
    <w:div w:id="1302539968">
      <w:bodyDiv w:val="1"/>
      <w:marLeft w:val="0"/>
      <w:marRight w:val="0"/>
      <w:marTop w:val="0"/>
      <w:marBottom w:val="0"/>
      <w:divBdr>
        <w:top w:val="none" w:sz="0" w:space="0" w:color="auto"/>
        <w:left w:val="none" w:sz="0" w:space="0" w:color="auto"/>
        <w:bottom w:val="none" w:sz="0" w:space="0" w:color="auto"/>
        <w:right w:val="none" w:sz="0" w:space="0" w:color="auto"/>
      </w:divBdr>
    </w:div>
    <w:div w:id="1304386643">
      <w:bodyDiv w:val="1"/>
      <w:marLeft w:val="0"/>
      <w:marRight w:val="0"/>
      <w:marTop w:val="0"/>
      <w:marBottom w:val="0"/>
      <w:divBdr>
        <w:top w:val="none" w:sz="0" w:space="0" w:color="auto"/>
        <w:left w:val="none" w:sz="0" w:space="0" w:color="auto"/>
        <w:bottom w:val="none" w:sz="0" w:space="0" w:color="auto"/>
        <w:right w:val="none" w:sz="0" w:space="0" w:color="auto"/>
      </w:divBdr>
    </w:div>
    <w:div w:id="1304850672">
      <w:bodyDiv w:val="1"/>
      <w:marLeft w:val="0"/>
      <w:marRight w:val="0"/>
      <w:marTop w:val="0"/>
      <w:marBottom w:val="0"/>
      <w:divBdr>
        <w:top w:val="none" w:sz="0" w:space="0" w:color="auto"/>
        <w:left w:val="none" w:sz="0" w:space="0" w:color="auto"/>
        <w:bottom w:val="none" w:sz="0" w:space="0" w:color="auto"/>
        <w:right w:val="none" w:sz="0" w:space="0" w:color="auto"/>
      </w:divBdr>
    </w:div>
    <w:div w:id="1305624152">
      <w:bodyDiv w:val="1"/>
      <w:marLeft w:val="0"/>
      <w:marRight w:val="0"/>
      <w:marTop w:val="0"/>
      <w:marBottom w:val="0"/>
      <w:divBdr>
        <w:top w:val="none" w:sz="0" w:space="0" w:color="auto"/>
        <w:left w:val="none" w:sz="0" w:space="0" w:color="auto"/>
        <w:bottom w:val="none" w:sz="0" w:space="0" w:color="auto"/>
        <w:right w:val="none" w:sz="0" w:space="0" w:color="auto"/>
      </w:divBdr>
    </w:div>
    <w:div w:id="1307395800">
      <w:bodyDiv w:val="1"/>
      <w:marLeft w:val="0"/>
      <w:marRight w:val="0"/>
      <w:marTop w:val="0"/>
      <w:marBottom w:val="0"/>
      <w:divBdr>
        <w:top w:val="none" w:sz="0" w:space="0" w:color="auto"/>
        <w:left w:val="none" w:sz="0" w:space="0" w:color="auto"/>
        <w:bottom w:val="none" w:sz="0" w:space="0" w:color="auto"/>
        <w:right w:val="none" w:sz="0" w:space="0" w:color="auto"/>
      </w:divBdr>
    </w:div>
    <w:div w:id="1307470879">
      <w:bodyDiv w:val="1"/>
      <w:marLeft w:val="0"/>
      <w:marRight w:val="0"/>
      <w:marTop w:val="0"/>
      <w:marBottom w:val="0"/>
      <w:divBdr>
        <w:top w:val="none" w:sz="0" w:space="0" w:color="auto"/>
        <w:left w:val="none" w:sz="0" w:space="0" w:color="auto"/>
        <w:bottom w:val="none" w:sz="0" w:space="0" w:color="auto"/>
        <w:right w:val="none" w:sz="0" w:space="0" w:color="auto"/>
      </w:divBdr>
    </w:div>
    <w:div w:id="1307902547">
      <w:bodyDiv w:val="1"/>
      <w:marLeft w:val="0"/>
      <w:marRight w:val="0"/>
      <w:marTop w:val="0"/>
      <w:marBottom w:val="0"/>
      <w:divBdr>
        <w:top w:val="none" w:sz="0" w:space="0" w:color="auto"/>
        <w:left w:val="none" w:sz="0" w:space="0" w:color="auto"/>
        <w:bottom w:val="none" w:sz="0" w:space="0" w:color="auto"/>
        <w:right w:val="none" w:sz="0" w:space="0" w:color="auto"/>
      </w:divBdr>
    </w:div>
    <w:div w:id="1308196033">
      <w:bodyDiv w:val="1"/>
      <w:marLeft w:val="0"/>
      <w:marRight w:val="0"/>
      <w:marTop w:val="0"/>
      <w:marBottom w:val="0"/>
      <w:divBdr>
        <w:top w:val="none" w:sz="0" w:space="0" w:color="auto"/>
        <w:left w:val="none" w:sz="0" w:space="0" w:color="auto"/>
        <w:bottom w:val="none" w:sz="0" w:space="0" w:color="auto"/>
        <w:right w:val="none" w:sz="0" w:space="0" w:color="auto"/>
      </w:divBdr>
    </w:div>
    <w:div w:id="1309090068">
      <w:bodyDiv w:val="1"/>
      <w:marLeft w:val="0"/>
      <w:marRight w:val="0"/>
      <w:marTop w:val="0"/>
      <w:marBottom w:val="0"/>
      <w:divBdr>
        <w:top w:val="none" w:sz="0" w:space="0" w:color="auto"/>
        <w:left w:val="none" w:sz="0" w:space="0" w:color="auto"/>
        <w:bottom w:val="none" w:sz="0" w:space="0" w:color="auto"/>
        <w:right w:val="none" w:sz="0" w:space="0" w:color="auto"/>
      </w:divBdr>
    </w:div>
    <w:div w:id="1310741897">
      <w:bodyDiv w:val="1"/>
      <w:marLeft w:val="0"/>
      <w:marRight w:val="0"/>
      <w:marTop w:val="0"/>
      <w:marBottom w:val="0"/>
      <w:divBdr>
        <w:top w:val="none" w:sz="0" w:space="0" w:color="auto"/>
        <w:left w:val="none" w:sz="0" w:space="0" w:color="auto"/>
        <w:bottom w:val="none" w:sz="0" w:space="0" w:color="auto"/>
        <w:right w:val="none" w:sz="0" w:space="0" w:color="auto"/>
      </w:divBdr>
    </w:div>
    <w:div w:id="1310861451">
      <w:bodyDiv w:val="1"/>
      <w:marLeft w:val="0"/>
      <w:marRight w:val="0"/>
      <w:marTop w:val="0"/>
      <w:marBottom w:val="0"/>
      <w:divBdr>
        <w:top w:val="none" w:sz="0" w:space="0" w:color="auto"/>
        <w:left w:val="none" w:sz="0" w:space="0" w:color="auto"/>
        <w:bottom w:val="none" w:sz="0" w:space="0" w:color="auto"/>
        <w:right w:val="none" w:sz="0" w:space="0" w:color="auto"/>
      </w:divBdr>
    </w:div>
    <w:div w:id="1311322826">
      <w:bodyDiv w:val="1"/>
      <w:marLeft w:val="0"/>
      <w:marRight w:val="0"/>
      <w:marTop w:val="0"/>
      <w:marBottom w:val="0"/>
      <w:divBdr>
        <w:top w:val="none" w:sz="0" w:space="0" w:color="auto"/>
        <w:left w:val="none" w:sz="0" w:space="0" w:color="auto"/>
        <w:bottom w:val="none" w:sz="0" w:space="0" w:color="auto"/>
        <w:right w:val="none" w:sz="0" w:space="0" w:color="auto"/>
      </w:divBdr>
    </w:div>
    <w:div w:id="1311444640">
      <w:bodyDiv w:val="1"/>
      <w:marLeft w:val="0"/>
      <w:marRight w:val="0"/>
      <w:marTop w:val="0"/>
      <w:marBottom w:val="0"/>
      <w:divBdr>
        <w:top w:val="none" w:sz="0" w:space="0" w:color="auto"/>
        <w:left w:val="none" w:sz="0" w:space="0" w:color="auto"/>
        <w:bottom w:val="none" w:sz="0" w:space="0" w:color="auto"/>
        <w:right w:val="none" w:sz="0" w:space="0" w:color="auto"/>
      </w:divBdr>
    </w:div>
    <w:div w:id="1311668509">
      <w:bodyDiv w:val="1"/>
      <w:marLeft w:val="0"/>
      <w:marRight w:val="0"/>
      <w:marTop w:val="0"/>
      <w:marBottom w:val="0"/>
      <w:divBdr>
        <w:top w:val="none" w:sz="0" w:space="0" w:color="auto"/>
        <w:left w:val="none" w:sz="0" w:space="0" w:color="auto"/>
        <w:bottom w:val="none" w:sz="0" w:space="0" w:color="auto"/>
        <w:right w:val="none" w:sz="0" w:space="0" w:color="auto"/>
      </w:divBdr>
    </w:div>
    <w:div w:id="1312052523">
      <w:bodyDiv w:val="1"/>
      <w:marLeft w:val="0"/>
      <w:marRight w:val="0"/>
      <w:marTop w:val="0"/>
      <w:marBottom w:val="0"/>
      <w:divBdr>
        <w:top w:val="none" w:sz="0" w:space="0" w:color="auto"/>
        <w:left w:val="none" w:sz="0" w:space="0" w:color="auto"/>
        <w:bottom w:val="none" w:sz="0" w:space="0" w:color="auto"/>
        <w:right w:val="none" w:sz="0" w:space="0" w:color="auto"/>
      </w:divBdr>
    </w:div>
    <w:div w:id="1312515643">
      <w:bodyDiv w:val="1"/>
      <w:marLeft w:val="0"/>
      <w:marRight w:val="0"/>
      <w:marTop w:val="0"/>
      <w:marBottom w:val="0"/>
      <w:divBdr>
        <w:top w:val="none" w:sz="0" w:space="0" w:color="auto"/>
        <w:left w:val="none" w:sz="0" w:space="0" w:color="auto"/>
        <w:bottom w:val="none" w:sz="0" w:space="0" w:color="auto"/>
        <w:right w:val="none" w:sz="0" w:space="0" w:color="auto"/>
      </w:divBdr>
    </w:div>
    <w:div w:id="1312634889">
      <w:bodyDiv w:val="1"/>
      <w:marLeft w:val="0"/>
      <w:marRight w:val="0"/>
      <w:marTop w:val="0"/>
      <w:marBottom w:val="0"/>
      <w:divBdr>
        <w:top w:val="none" w:sz="0" w:space="0" w:color="auto"/>
        <w:left w:val="none" w:sz="0" w:space="0" w:color="auto"/>
        <w:bottom w:val="none" w:sz="0" w:space="0" w:color="auto"/>
        <w:right w:val="none" w:sz="0" w:space="0" w:color="auto"/>
      </w:divBdr>
    </w:div>
    <w:div w:id="1312903841">
      <w:bodyDiv w:val="1"/>
      <w:marLeft w:val="0"/>
      <w:marRight w:val="0"/>
      <w:marTop w:val="0"/>
      <w:marBottom w:val="0"/>
      <w:divBdr>
        <w:top w:val="none" w:sz="0" w:space="0" w:color="auto"/>
        <w:left w:val="none" w:sz="0" w:space="0" w:color="auto"/>
        <w:bottom w:val="none" w:sz="0" w:space="0" w:color="auto"/>
        <w:right w:val="none" w:sz="0" w:space="0" w:color="auto"/>
      </w:divBdr>
    </w:div>
    <w:div w:id="1314800776">
      <w:bodyDiv w:val="1"/>
      <w:marLeft w:val="0"/>
      <w:marRight w:val="0"/>
      <w:marTop w:val="0"/>
      <w:marBottom w:val="0"/>
      <w:divBdr>
        <w:top w:val="none" w:sz="0" w:space="0" w:color="auto"/>
        <w:left w:val="none" w:sz="0" w:space="0" w:color="auto"/>
        <w:bottom w:val="none" w:sz="0" w:space="0" w:color="auto"/>
        <w:right w:val="none" w:sz="0" w:space="0" w:color="auto"/>
      </w:divBdr>
    </w:div>
    <w:div w:id="1316180612">
      <w:bodyDiv w:val="1"/>
      <w:marLeft w:val="0"/>
      <w:marRight w:val="0"/>
      <w:marTop w:val="0"/>
      <w:marBottom w:val="0"/>
      <w:divBdr>
        <w:top w:val="none" w:sz="0" w:space="0" w:color="auto"/>
        <w:left w:val="none" w:sz="0" w:space="0" w:color="auto"/>
        <w:bottom w:val="none" w:sz="0" w:space="0" w:color="auto"/>
        <w:right w:val="none" w:sz="0" w:space="0" w:color="auto"/>
      </w:divBdr>
    </w:div>
    <w:div w:id="1317495556">
      <w:bodyDiv w:val="1"/>
      <w:marLeft w:val="0"/>
      <w:marRight w:val="0"/>
      <w:marTop w:val="0"/>
      <w:marBottom w:val="0"/>
      <w:divBdr>
        <w:top w:val="none" w:sz="0" w:space="0" w:color="auto"/>
        <w:left w:val="none" w:sz="0" w:space="0" w:color="auto"/>
        <w:bottom w:val="none" w:sz="0" w:space="0" w:color="auto"/>
        <w:right w:val="none" w:sz="0" w:space="0" w:color="auto"/>
      </w:divBdr>
    </w:div>
    <w:div w:id="1317688010">
      <w:bodyDiv w:val="1"/>
      <w:marLeft w:val="0"/>
      <w:marRight w:val="0"/>
      <w:marTop w:val="0"/>
      <w:marBottom w:val="0"/>
      <w:divBdr>
        <w:top w:val="none" w:sz="0" w:space="0" w:color="auto"/>
        <w:left w:val="none" w:sz="0" w:space="0" w:color="auto"/>
        <w:bottom w:val="none" w:sz="0" w:space="0" w:color="auto"/>
        <w:right w:val="none" w:sz="0" w:space="0" w:color="auto"/>
      </w:divBdr>
    </w:div>
    <w:div w:id="1318874784">
      <w:bodyDiv w:val="1"/>
      <w:marLeft w:val="0"/>
      <w:marRight w:val="0"/>
      <w:marTop w:val="0"/>
      <w:marBottom w:val="0"/>
      <w:divBdr>
        <w:top w:val="none" w:sz="0" w:space="0" w:color="auto"/>
        <w:left w:val="none" w:sz="0" w:space="0" w:color="auto"/>
        <w:bottom w:val="none" w:sz="0" w:space="0" w:color="auto"/>
        <w:right w:val="none" w:sz="0" w:space="0" w:color="auto"/>
      </w:divBdr>
    </w:div>
    <w:div w:id="1320378995">
      <w:bodyDiv w:val="1"/>
      <w:marLeft w:val="0"/>
      <w:marRight w:val="0"/>
      <w:marTop w:val="0"/>
      <w:marBottom w:val="0"/>
      <w:divBdr>
        <w:top w:val="none" w:sz="0" w:space="0" w:color="auto"/>
        <w:left w:val="none" w:sz="0" w:space="0" w:color="auto"/>
        <w:bottom w:val="none" w:sz="0" w:space="0" w:color="auto"/>
        <w:right w:val="none" w:sz="0" w:space="0" w:color="auto"/>
      </w:divBdr>
    </w:div>
    <w:div w:id="1321424560">
      <w:bodyDiv w:val="1"/>
      <w:marLeft w:val="0"/>
      <w:marRight w:val="0"/>
      <w:marTop w:val="0"/>
      <w:marBottom w:val="0"/>
      <w:divBdr>
        <w:top w:val="none" w:sz="0" w:space="0" w:color="auto"/>
        <w:left w:val="none" w:sz="0" w:space="0" w:color="auto"/>
        <w:bottom w:val="none" w:sz="0" w:space="0" w:color="auto"/>
        <w:right w:val="none" w:sz="0" w:space="0" w:color="auto"/>
      </w:divBdr>
    </w:div>
    <w:div w:id="1323004862">
      <w:bodyDiv w:val="1"/>
      <w:marLeft w:val="0"/>
      <w:marRight w:val="0"/>
      <w:marTop w:val="0"/>
      <w:marBottom w:val="0"/>
      <w:divBdr>
        <w:top w:val="none" w:sz="0" w:space="0" w:color="auto"/>
        <w:left w:val="none" w:sz="0" w:space="0" w:color="auto"/>
        <w:bottom w:val="none" w:sz="0" w:space="0" w:color="auto"/>
        <w:right w:val="none" w:sz="0" w:space="0" w:color="auto"/>
      </w:divBdr>
    </w:div>
    <w:div w:id="1323046699">
      <w:bodyDiv w:val="1"/>
      <w:marLeft w:val="0"/>
      <w:marRight w:val="0"/>
      <w:marTop w:val="0"/>
      <w:marBottom w:val="0"/>
      <w:divBdr>
        <w:top w:val="none" w:sz="0" w:space="0" w:color="auto"/>
        <w:left w:val="none" w:sz="0" w:space="0" w:color="auto"/>
        <w:bottom w:val="none" w:sz="0" w:space="0" w:color="auto"/>
        <w:right w:val="none" w:sz="0" w:space="0" w:color="auto"/>
      </w:divBdr>
    </w:div>
    <w:div w:id="1324890158">
      <w:bodyDiv w:val="1"/>
      <w:marLeft w:val="0"/>
      <w:marRight w:val="0"/>
      <w:marTop w:val="0"/>
      <w:marBottom w:val="0"/>
      <w:divBdr>
        <w:top w:val="none" w:sz="0" w:space="0" w:color="auto"/>
        <w:left w:val="none" w:sz="0" w:space="0" w:color="auto"/>
        <w:bottom w:val="none" w:sz="0" w:space="0" w:color="auto"/>
        <w:right w:val="none" w:sz="0" w:space="0" w:color="auto"/>
      </w:divBdr>
    </w:div>
    <w:div w:id="1326514938">
      <w:bodyDiv w:val="1"/>
      <w:marLeft w:val="0"/>
      <w:marRight w:val="0"/>
      <w:marTop w:val="0"/>
      <w:marBottom w:val="0"/>
      <w:divBdr>
        <w:top w:val="none" w:sz="0" w:space="0" w:color="auto"/>
        <w:left w:val="none" w:sz="0" w:space="0" w:color="auto"/>
        <w:bottom w:val="none" w:sz="0" w:space="0" w:color="auto"/>
        <w:right w:val="none" w:sz="0" w:space="0" w:color="auto"/>
      </w:divBdr>
    </w:div>
    <w:div w:id="1326711155">
      <w:bodyDiv w:val="1"/>
      <w:marLeft w:val="0"/>
      <w:marRight w:val="0"/>
      <w:marTop w:val="0"/>
      <w:marBottom w:val="0"/>
      <w:divBdr>
        <w:top w:val="none" w:sz="0" w:space="0" w:color="auto"/>
        <w:left w:val="none" w:sz="0" w:space="0" w:color="auto"/>
        <w:bottom w:val="none" w:sz="0" w:space="0" w:color="auto"/>
        <w:right w:val="none" w:sz="0" w:space="0" w:color="auto"/>
      </w:divBdr>
    </w:div>
    <w:div w:id="1327780368">
      <w:bodyDiv w:val="1"/>
      <w:marLeft w:val="0"/>
      <w:marRight w:val="0"/>
      <w:marTop w:val="0"/>
      <w:marBottom w:val="0"/>
      <w:divBdr>
        <w:top w:val="none" w:sz="0" w:space="0" w:color="auto"/>
        <w:left w:val="none" w:sz="0" w:space="0" w:color="auto"/>
        <w:bottom w:val="none" w:sz="0" w:space="0" w:color="auto"/>
        <w:right w:val="none" w:sz="0" w:space="0" w:color="auto"/>
      </w:divBdr>
    </w:div>
    <w:div w:id="1327829050">
      <w:bodyDiv w:val="1"/>
      <w:marLeft w:val="0"/>
      <w:marRight w:val="0"/>
      <w:marTop w:val="0"/>
      <w:marBottom w:val="0"/>
      <w:divBdr>
        <w:top w:val="none" w:sz="0" w:space="0" w:color="auto"/>
        <w:left w:val="none" w:sz="0" w:space="0" w:color="auto"/>
        <w:bottom w:val="none" w:sz="0" w:space="0" w:color="auto"/>
        <w:right w:val="none" w:sz="0" w:space="0" w:color="auto"/>
      </w:divBdr>
    </w:div>
    <w:div w:id="1328024086">
      <w:bodyDiv w:val="1"/>
      <w:marLeft w:val="0"/>
      <w:marRight w:val="0"/>
      <w:marTop w:val="0"/>
      <w:marBottom w:val="0"/>
      <w:divBdr>
        <w:top w:val="none" w:sz="0" w:space="0" w:color="auto"/>
        <w:left w:val="none" w:sz="0" w:space="0" w:color="auto"/>
        <w:bottom w:val="none" w:sz="0" w:space="0" w:color="auto"/>
        <w:right w:val="none" w:sz="0" w:space="0" w:color="auto"/>
      </w:divBdr>
    </w:div>
    <w:div w:id="1328747599">
      <w:bodyDiv w:val="1"/>
      <w:marLeft w:val="0"/>
      <w:marRight w:val="0"/>
      <w:marTop w:val="0"/>
      <w:marBottom w:val="0"/>
      <w:divBdr>
        <w:top w:val="none" w:sz="0" w:space="0" w:color="auto"/>
        <w:left w:val="none" w:sz="0" w:space="0" w:color="auto"/>
        <w:bottom w:val="none" w:sz="0" w:space="0" w:color="auto"/>
        <w:right w:val="none" w:sz="0" w:space="0" w:color="auto"/>
      </w:divBdr>
    </w:div>
    <w:div w:id="1329210417">
      <w:bodyDiv w:val="1"/>
      <w:marLeft w:val="0"/>
      <w:marRight w:val="0"/>
      <w:marTop w:val="0"/>
      <w:marBottom w:val="0"/>
      <w:divBdr>
        <w:top w:val="none" w:sz="0" w:space="0" w:color="auto"/>
        <w:left w:val="none" w:sz="0" w:space="0" w:color="auto"/>
        <w:bottom w:val="none" w:sz="0" w:space="0" w:color="auto"/>
        <w:right w:val="none" w:sz="0" w:space="0" w:color="auto"/>
      </w:divBdr>
    </w:div>
    <w:div w:id="1330018890">
      <w:bodyDiv w:val="1"/>
      <w:marLeft w:val="0"/>
      <w:marRight w:val="0"/>
      <w:marTop w:val="0"/>
      <w:marBottom w:val="0"/>
      <w:divBdr>
        <w:top w:val="none" w:sz="0" w:space="0" w:color="auto"/>
        <w:left w:val="none" w:sz="0" w:space="0" w:color="auto"/>
        <w:bottom w:val="none" w:sz="0" w:space="0" w:color="auto"/>
        <w:right w:val="none" w:sz="0" w:space="0" w:color="auto"/>
      </w:divBdr>
    </w:div>
    <w:div w:id="1330215166">
      <w:bodyDiv w:val="1"/>
      <w:marLeft w:val="0"/>
      <w:marRight w:val="0"/>
      <w:marTop w:val="0"/>
      <w:marBottom w:val="0"/>
      <w:divBdr>
        <w:top w:val="none" w:sz="0" w:space="0" w:color="auto"/>
        <w:left w:val="none" w:sz="0" w:space="0" w:color="auto"/>
        <w:bottom w:val="none" w:sz="0" w:space="0" w:color="auto"/>
        <w:right w:val="none" w:sz="0" w:space="0" w:color="auto"/>
      </w:divBdr>
    </w:div>
    <w:div w:id="1330215310">
      <w:bodyDiv w:val="1"/>
      <w:marLeft w:val="0"/>
      <w:marRight w:val="0"/>
      <w:marTop w:val="0"/>
      <w:marBottom w:val="0"/>
      <w:divBdr>
        <w:top w:val="none" w:sz="0" w:space="0" w:color="auto"/>
        <w:left w:val="none" w:sz="0" w:space="0" w:color="auto"/>
        <w:bottom w:val="none" w:sz="0" w:space="0" w:color="auto"/>
        <w:right w:val="none" w:sz="0" w:space="0" w:color="auto"/>
      </w:divBdr>
    </w:div>
    <w:div w:id="1330215986">
      <w:bodyDiv w:val="1"/>
      <w:marLeft w:val="0"/>
      <w:marRight w:val="0"/>
      <w:marTop w:val="0"/>
      <w:marBottom w:val="0"/>
      <w:divBdr>
        <w:top w:val="none" w:sz="0" w:space="0" w:color="auto"/>
        <w:left w:val="none" w:sz="0" w:space="0" w:color="auto"/>
        <w:bottom w:val="none" w:sz="0" w:space="0" w:color="auto"/>
        <w:right w:val="none" w:sz="0" w:space="0" w:color="auto"/>
      </w:divBdr>
    </w:div>
    <w:div w:id="1330668636">
      <w:bodyDiv w:val="1"/>
      <w:marLeft w:val="0"/>
      <w:marRight w:val="0"/>
      <w:marTop w:val="0"/>
      <w:marBottom w:val="0"/>
      <w:divBdr>
        <w:top w:val="none" w:sz="0" w:space="0" w:color="auto"/>
        <w:left w:val="none" w:sz="0" w:space="0" w:color="auto"/>
        <w:bottom w:val="none" w:sz="0" w:space="0" w:color="auto"/>
        <w:right w:val="none" w:sz="0" w:space="0" w:color="auto"/>
      </w:divBdr>
    </w:div>
    <w:div w:id="1331523089">
      <w:bodyDiv w:val="1"/>
      <w:marLeft w:val="0"/>
      <w:marRight w:val="0"/>
      <w:marTop w:val="0"/>
      <w:marBottom w:val="0"/>
      <w:divBdr>
        <w:top w:val="none" w:sz="0" w:space="0" w:color="auto"/>
        <w:left w:val="none" w:sz="0" w:space="0" w:color="auto"/>
        <w:bottom w:val="none" w:sz="0" w:space="0" w:color="auto"/>
        <w:right w:val="none" w:sz="0" w:space="0" w:color="auto"/>
      </w:divBdr>
    </w:div>
    <w:div w:id="1332754530">
      <w:bodyDiv w:val="1"/>
      <w:marLeft w:val="0"/>
      <w:marRight w:val="0"/>
      <w:marTop w:val="0"/>
      <w:marBottom w:val="0"/>
      <w:divBdr>
        <w:top w:val="none" w:sz="0" w:space="0" w:color="auto"/>
        <w:left w:val="none" w:sz="0" w:space="0" w:color="auto"/>
        <w:bottom w:val="none" w:sz="0" w:space="0" w:color="auto"/>
        <w:right w:val="none" w:sz="0" w:space="0" w:color="auto"/>
      </w:divBdr>
    </w:div>
    <w:div w:id="1333677622">
      <w:bodyDiv w:val="1"/>
      <w:marLeft w:val="0"/>
      <w:marRight w:val="0"/>
      <w:marTop w:val="0"/>
      <w:marBottom w:val="0"/>
      <w:divBdr>
        <w:top w:val="none" w:sz="0" w:space="0" w:color="auto"/>
        <w:left w:val="none" w:sz="0" w:space="0" w:color="auto"/>
        <w:bottom w:val="none" w:sz="0" w:space="0" w:color="auto"/>
        <w:right w:val="none" w:sz="0" w:space="0" w:color="auto"/>
      </w:divBdr>
    </w:div>
    <w:div w:id="1334801419">
      <w:bodyDiv w:val="1"/>
      <w:marLeft w:val="0"/>
      <w:marRight w:val="0"/>
      <w:marTop w:val="0"/>
      <w:marBottom w:val="0"/>
      <w:divBdr>
        <w:top w:val="none" w:sz="0" w:space="0" w:color="auto"/>
        <w:left w:val="none" w:sz="0" w:space="0" w:color="auto"/>
        <w:bottom w:val="none" w:sz="0" w:space="0" w:color="auto"/>
        <w:right w:val="none" w:sz="0" w:space="0" w:color="auto"/>
      </w:divBdr>
    </w:div>
    <w:div w:id="1335113904">
      <w:bodyDiv w:val="1"/>
      <w:marLeft w:val="0"/>
      <w:marRight w:val="0"/>
      <w:marTop w:val="0"/>
      <w:marBottom w:val="0"/>
      <w:divBdr>
        <w:top w:val="none" w:sz="0" w:space="0" w:color="auto"/>
        <w:left w:val="none" w:sz="0" w:space="0" w:color="auto"/>
        <w:bottom w:val="none" w:sz="0" w:space="0" w:color="auto"/>
        <w:right w:val="none" w:sz="0" w:space="0" w:color="auto"/>
      </w:divBdr>
    </w:div>
    <w:div w:id="1337683888">
      <w:bodyDiv w:val="1"/>
      <w:marLeft w:val="0"/>
      <w:marRight w:val="0"/>
      <w:marTop w:val="0"/>
      <w:marBottom w:val="0"/>
      <w:divBdr>
        <w:top w:val="none" w:sz="0" w:space="0" w:color="auto"/>
        <w:left w:val="none" w:sz="0" w:space="0" w:color="auto"/>
        <w:bottom w:val="none" w:sz="0" w:space="0" w:color="auto"/>
        <w:right w:val="none" w:sz="0" w:space="0" w:color="auto"/>
      </w:divBdr>
    </w:div>
    <w:div w:id="1337925904">
      <w:bodyDiv w:val="1"/>
      <w:marLeft w:val="0"/>
      <w:marRight w:val="0"/>
      <w:marTop w:val="0"/>
      <w:marBottom w:val="0"/>
      <w:divBdr>
        <w:top w:val="none" w:sz="0" w:space="0" w:color="auto"/>
        <w:left w:val="none" w:sz="0" w:space="0" w:color="auto"/>
        <w:bottom w:val="none" w:sz="0" w:space="0" w:color="auto"/>
        <w:right w:val="none" w:sz="0" w:space="0" w:color="auto"/>
      </w:divBdr>
    </w:div>
    <w:div w:id="1338577743">
      <w:bodyDiv w:val="1"/>
      <w:marLeft w:val="0"/>
      <w:marRight w:val="0"/>
      <w:marTop w:val="0"/>
      <w:marBottom w:val="0"/>
      <w:divBdr>
        <w:top w:val="none" w:sz="0" w:space="0" w:color="auto"/>
        <w:left w:val="none" w:sz="0" w:space="0" w:color="auto"/>
        <w:bottom w:val="none" w:sz="0" w:space="0" w:color="auto"/>
        <w:right w:val="none" w:sz="0" w:space="0" w:color="auto"/>
      </w:divBdr>
    </w:div>
    <w:div w:id="1339430494">
      <w:bodyDiv w:val="1"/>
      <w:marLeft w:val="0"/>
      <w:marRight w:val="0"/>
      <w:marTop w:val="0"/>
      <w:marBottom w:val="0"/>
      <w:divBdr>
        <w:top w:val="none" w:sz="0" w:space="0" w:color="auto"/>
        <w:left w:val="none" w:sz="0" w:space="0" w:color="auto"/>
        <w:bottom w:val="none" w:sz="0" w:space="0" w:color="auto"/>
        <w:right w:val="none" w:sz="0" w:space="0" w:color="auto"/>
      </w:divBdr>
    </w:div>
    <w:div w:id="1339843780">
      <w:bodyDiv w:val="1"/>
      <w:marLeft w:val="0"/>
      <w:marRight w:val="0"/>
      <w:marTop w:val="0"/>
      <w:marBottom w:val="0"/>
      <w:divBdr>
        <w:top w:val="none" w:sz="0" w:space="0" w:color="auto"/>
        <w:left w:val="none" w:sz="0" w:space="0" w:color="auto"/>
        <w:bottom w:val="none" w:sz="0" w:space="0" w:color="auto"/>
        <w:right w:val="none" w:sz="0" w:space="0" w:color="auto"/>
      </w:divBdr>
    </w:div>
    <w:div w:id="1339846906">
      <w:bodyDiv w:val="1"/>
      <w:marLeft w:val="0"/>
      <w:marRight w:val="0"/>
      <w:marTop w:val="0"/>
      <w:marBottom w:val="0"/>
      <w:divBdr>
        <w:top w:val="none" w:sz="0" w:space="0" w:color="auto"/>
        <w:left w:val="none" w:sz="0" w:space="0" w:color="auto"/>
        <w:bottom w:val="none" w:sz="0" w:space="0" w:color="auto"/>
        <w:right w:val="none" w:sz="0" w:space="0" w:color="auto"/>
      </w:divBdr>
    </w:div>
    <w:div w:id="1340160518">
      <w:bodyDiv w:val="1"/>
      <w:marLeft w:val="0"/>
      <w:marRight w:val="0"/>
      <w:marTop w:val="0"/>
      <w:marBottom w:val="0"/>
      <w:divBdr>
        <w:top w:val="none" w:sz="0" w:space="0" w:color="auto"/>
        <w:left w:val="none" w:sz="0" w:space="0" w:color="auto"/>
        <w:bottom w:val="none" w:sz="0" w:space="0" w:color="auto"/>
        <w:right w:val="none" w:sz="0" w:space="0" w:color="auto"/>
      </w:divBdr>
    </w:div>
    <w:div w:id="1340160936">
      <w:bodyDiv w:val="1"/>
      <w:marLeft w:val="0"/>
      <w:marRight w:val="0"/>
      <w:marTop w:val="0"/>
      <w:marBottom w:val="0"/>
      <w:divBdr>
        <w:top w:val="none" w:sz="0" w:space="0" w:color="auto"/>
        <w:left w:val="none" w:sz="0" w:space="0" w:color="auto"/>
        <w:bottom w:val="none" w:sz="0" w:space="0" w:color="auto"/>
        <w:right w:val="none" w:sz="0" w:space="0" w:color="auto"/>
      </w:divBdr>
    </w:div>
    <w:div w:id="1340694599">
      <w:bodyDiv w:val="1"/>
      <w:marLeft w:val="0"/>
      <w:marRight w:val="0"/>
      <w:marTop w:val="0"/>
      <w:marBottom w:val="0"/>
      <w:divBdr>
        <w:top w:val="none" w:sz="0" w:space="0" w:color="auto"/>
        <w:left w:val="none" w:sz="0" w:space="0" w:color="auto"/>
        <w:bottom w:val="none" w:sz="0" w:space="0" w:color="auto"/>
        <w:right w:val="none" w:sz="0" w:space="0" w:color="auto"/>
      </w:divBdr>
    </w:div>
    <w:div w:id="1345018627">
      <w:bodyDiv w:val="1"/>
      <w:marLeft w:val="0"/>
      <w:marRight w:val="0"/>
      <w:marTop w:val="0"/>
      <w:marBottom w:val="0"/>
      <w:divBdr>
        <w:top w:val="none" w:sz="0" w:space="0" w:color="auto"/>
        <w:left w:val="none" w:sz="0" w:space="0" w:color="auto"/>
        <w:bottom w:val="none" w:sz="0" w:space="0" w:color="auto"/>
        <w:right w:val="none" w:sz="0" w:space="0" w:color="auto"/>
      </w:divBdr>
    </w:div>
    <w:div w:id="1347099434">
      <w:bodyDiv w:val="1"/>
      <w:marLeft w:val="0"/>
      <w:marRight w:val="0"/>
      <w:marTop w:val="0"/>
      <w:marBottom w:val="0"/>
      <w:divBdr>
        <w:top w:val="none" w:sz="0" w:space="0" w:color="auto"/>
        <w:left w:val="none" w:sz="0" w:space="0" w:color="auto"/>
        <w:bottom w:val="none" w:sz="0" w:space="0" w:color="auto"/>
        <w:right w:val="none" w:sz="0" w:space="0" w:color="auto"/>
      </w:divBdr>
    </w:div>
    <w:div w:id="1347100871">
      <w:bodyDiv w:val="1"/>
      <w:marLeft w:val="0"/>
      <w:marRight w:val="0"/>
      <w:marTop w:val="0"/>
      <w:marBottom w:val="0"/>
      <w:divBdr>
        <w:top w:val="none" w:sz="0" w:space="0" w:color="auto"/>
        <w:left w:val="none" w:sz="0" w:space="0" w:color="auto"/>
        <w:bottom w:val="none" w:sz="0" w:space="0" w:color="auto"/>
        <w:right w:val="none" w:sz="0" w:space="0" w:color="auto"/>
      </w:divBdr>
    </w:div>
    <w:div w:id="1347245944">
      <w:bodyDiv w:val="1"/>
      <w:marLeft w:val="0"/>
      <w:marRight w:val="0"/>
      <w:marTop w:val="0"/>
      <w:marBottom w:val="0"/>
      <w:divBdr>
        <w:top w:val="none" w:sz="0" w:space="0" w:color="auto"/>
        <w:left w:val="none" w:sz="0" w:space="0" w:color="auto"/>
        <w:bottom w:val="none" w:sz="0" w:space="0" w:color="auto"/>
        <w:right w:val="none" w:sz="0" w:space="0" w:color="auto"/>
      </w:divBdr>
    </w:div>
    <w:div w:id="1347440705">
      <w:bodyDiv w:val="1"/>
      <w:marLeft w:val="0"/>
      <w:marRight w:val="0"/>
      <w:marTop w:val="0"/>
      <w:marBottom w:val="0"/>
      <w:divBdr>
        <w:top w:val="none" w:sz="0" w:space="0" w:color="auto"/>
        <w:left w:val="none" w:sz="0" w:space="0" w:color="auto"/>
        <w:bottom w:val="none" w:sz="0" w:space="0" w:color="auto"/>
        <w:right w:val="none" w:sz="0" w:space="0" w:color="auto"/>
      </w:divBdr>
    </w:div>
    <w:div w:id="1347707138">
      <w:bodyDiv w:val="1"/>
      <w:marLeft w:val="0"/>
      <w:marRight w:val="0"/>
      <w:marTop w:val="0"/>
      <w:marBottom w:val="0"/>
      <w:divBdr>
        <w:top w:val="none" w:sz="0" w:space="0" w:color="auto"/>
        <w:left w:val="none" w:sz="0" w:space="0" w:color="auto"/>
        <w:bottom w:val="none" w:sz="0" w:space="0" w:color="auto"/>
        <w:right w:val="none" w:sz="0" w:space="0" w:color="auto"/>
      </w:divBdr>
    </w:div>
    <w:div w:id="1348362634">
      <w:bodyDiv w:val="1"/>
      <w:marLeft w:val="0"/>
      <w:marRight w:val="0"/>
      <w:marTop w:val="0"/>
      <w:marBottom w:val="0"/>
      <w:divBdr>
        <w:top w:val="none" w:sz="0" w:space="0" w:color="auto"/>
        <w:left w:val="none" w:sz="0" w:space="0" w:color="auto"/>
        <w:bottom w:val="none" w:sz="0" w:space="0" w:color="auto"/>
        <w:right w:val="none" w:sz="0" w:space="0" w:color="auto"/>
      </w:divBdr>
    </w:div>
    <w:div w:id="1350838242">
      <w:bodyDiv w:val="1"/>
      <w:marLeft w:val="0"/>
      <w:marRight w:val="0"/>
      <w:marTop w:val="0"/>
      <w:marBottom w:val="0"/>
      <w:divBdr>
        <w:top w:val="none" w:sz="0" w:space="0" w:color="auto"/>
        <w:left w:val="none" w:sz="0" w:space="0" w:color="auto"/>
        <w:bottom w:val="none" w:sz="0" w:space="0" w:color="auto"/>
        <w:right w:val="none" w:sz="0" w:space="0" w:color="auto"/>
      </w:divBdr>
    </w:div>
    <w:div w:id="1351376239">
      <w:bodyDiv w:val="1"/>
      <w:marLeft w:val="0"/>
      <w:marRight w:val="0"/>
      <w:marTop w:val="0"/>
      <w:marBottom w:val="0"/>
      <w:divBdr>
        <w:top w:val="none" w:sz="0" w:space="0" w:color="auto"/>
        <w:left w:val="none" w:sz="0" w:space="0" w:color="auto"/>
        <w:bottom w:val="none" w:sz="0" w:space="0" w:color="auto"/>
        <w:right w:val="none" w:sz="0" w:space="0" w:color="auto"/>
      </w:divBdr>
    </w:div>
    <w:div w:id="1352612414">
      <w:bodyDiv w:val="1"/>
      <w:marLeft w:val="0"/>
      <w:marRight w:val="0"/>
      <w:marTop w:val="0"/>
      <w:marBottom w:val="0"/>
      <w:divBdr>
        <w:top w:val="none" w:sz="0" w:space="0" w:color="auto"/>
        <w:left w:val="none" w:sz="0" w:space="0" w:color="auto"/>
        <w:bottom w:val="none" w:sz="0" w:space="0" w:color="auto"/>
        <w:right w:val="none" w:sz="0" w:space="0" w:color="auto"/>
      </w:divBdr>
    </w:div>
    <w:div w:id="1352680493">
      <w:bodyDiv w:val="1"/>
      <w:marLeft w:val="0"/>
      <w:marRight w:val="0"/>
      <w:marTop w:val="0"/>
      <w:marBottom w:val="0"/>
      <w:divBdr>
        <w:top w:val="none" w:sz="0" w:space="0" w:color="auto"/>
        <w:left w:val="none" w:sz="0" w:space="0" w:color="auto"/>
        <w:bottom w:val="none" w:sz="0" w:space="0" w:color="auto"/>
        <w:right w:val="none" w:sz="0" w:space="0" w:color="auto"/>
      </w:divBdr>
    </w:div>
    <w:div w:id="1352997216">
      <w:bodyDiv w:val="1"/>
      <w:marLeft w:val="0"/>
      <w:marRight w:val="0"/>
      <w:marTop w:val="0"/>
      <w:marBottom w:val="0"/>
      <w:divBdr>
        <w:top w:val="none" w:sz="0" w:space="0" w:color="auto"/>
        <w:left w:val="none" w:sz="0" w:space="0" w:color="auto"/>
        <w:bottom w:val="none" w:sz="0" w:space="0" w:color="auto"/>
        <w:right w:val="none" w:sz="0" w:space="0" w:color="auto"/>
      </w:divBdr>
    </w:div>
    <w:div w:id="1353796597">
      <w:bodyDiv w:val="1"/>
      <w:marLeft w:val="0"/>
      <w:marRight w:val="0"/>
      <w:marTop w:val="0"/>
      <w:marBottom w:val="0"/>
      <w:divBdr>
        <w:top w:val="none" w:sz="0" w:space="0" w:color="auto"/>
        <w:left w:val="none" w:sz="0" w:space="0" w:color="auto"/>
        <w:bottom w:val="none" w:sz="0" w:space="0" w:color="auto"/>
        <w:right w:val="none" w:sz="0" w:space="0" w:color="auto"/>
      </w:divBdr>
    </w:div>
    <w:div w:id="1354648946">
      <w:bodyDiv w:val="1"/>
      <w:marLeft w:val="0"/>
      <w:marRight w:val="0"/>
      <w:marTop w:val="0"/>
      <w:marBottom w:val="0"/>
      <w:divBdr>
        <w:top w:val="none" w:sz="0" w:space="0" w:color="auto"/>
        <w:left w:val="none" w:sz="0" w:space="0" w:color="auto"/>
        <w:bottom w:val="none" w:sz="0" w:space="0" w:color="auto"/>
        <w:right w:val="none" w:sz="0" w:space="0" w:color="auto"/>
      </w:divBdr>
    </w:div>
    <w:div w:id="1355766090">
      <w:bodyDiv w:val="1"/>
      <w:marLeft w:val="0"/>
      <w:marRight w:val="0"/>
      <w:marTop w:val="0"/>
      <w:marBottom w:val="0"/>
      <w:divBdr>
        <w:top w:val="none" w:sz="0" w:space="0" w:color="auto"/>
        <w:left w:val="none" w:sz="0" w:space="0" w:color="auto"/>
        <w:bottom w:val="none" w:sz="0" w:space="0" w:color="auto"/>
        <w:right w:val="none" w:sz="0" w:space="0" w:color="auto"/>
      </w:divBdr>
    </w:div>
    <w:div w:id="1356226278">
      <w:bodyDiv w:val="1"/>
      <w:marLeft w:val="0"/>
      <w:marRight w:val="0"/>
      <w:marTop w:val="0"/>
      <w:marBottom w:val="0"/>
      <w:divBdr>
        <w:top w:val="none" w:sz="0" w:space="0" w:color="auto"/>
        <w:left w:val="none" w:sz="0" w:space="0" w:color="auto"/>
        <w:bottom w:val="none" w:sz="0" w:space="0" w:color="auto"/>
        <w:right w:val="none" w:sz="0" w:space="0" w:color="auto"/>
      </w:divBdr>
    </w:div>
    <w:div w:id="1356617017">
      <w:bodyDiv w:val="1"/>
      <w:marLeft w:val="0"/>
      <w:marRight w:val="0"/>
      <w:marTop w:val="0"/>
      <w:marBottom w:val="0"/>
      <w:divBdr>
        <w:top w:val="none" w:sz="0" w:space="0" w:color="auto"/>
        <w:left w:val="none" w:sz="0" w:space="0" w:color="auto"/>
        <w:bottom w:val="none" w:sz="0" w:space="0" w:color="auto"/>
        <w:right w:val="none" w:sz="0" w:space="0" w:color="auto"/>
      </w:divBdr>
    </w:div>
    <w:div w:id="1358655375">
      <w:bodyDiv w:val="1"/>
      <w:marLeft w:val="0"/>
      <w:marRight w:val="0"/>
      <w:marTop w:val="0"/>
      <w:marBottom w:val="0"/>
      <w:divBdr>
        <w:top w:val="none" w:sz="0" w:space="0" w:color="auto"/>
        <w:left w:val="none" w:sz="0" w:space="0" w:color="auto"/>
        <w:bottom w:val="none" w:sz="0" w:space="0" w:color="auto"/>
        <w:right w:val="none" w:sz="0" w:space="0" w:color="auto"/>
      </w:divBdr>
    </w:div>
    <w:div w:id="1360669287">
      <w:bodyDiv w:val="1"/>
      <w:marLeft w:val="0"/>
      <w:marRight w:val="0"/>
      <w:marTop w:val="0"/>
      <w:marBottom w:val="0"/>
      <w:divBdr>
        <w:top w:val="none" w:sz="0" w:space="0" w:color="auto"/>
        <w:left w:val="none" w:sz="0" w:space="0" w:color="auto"/>
        <w:bottom w:val="none" w:sz="0" w:space="0" w:color="auto"/>
        <w:right w:val="none" w:sz="0" w:space="0" w:color="auto"/>
      </w:divBdr>
    </w:div>
    <w:div w:id="1361661728">
      <w:bodyDiv w:val="1"/>
      <w:marLeft w:val="0"/>
      <w:marRight w:val="0"/>
      <w:marTop w:val="0"/>
      <w:marBottom w:val="0"/>
      <w:divBdr>
        <w:top w:val="none" w:sz="0" w:space="0" w:color="auto"/>
        <w:left w:val="none" w:sz="0" w:space="0" w:color="auto"/>
        <w:bottom w:val="none" w:sz="0" w:space="0" w:color="auto"/>
        <w:right w:val="none" w:sz="0" w:space="0" w:color="auto"/>
      </w:divBdr>
    </w:div>
    <w:div w:id="1362784533">
      <w:bodyDiv w:val="1"/>
      <w:marLeft w:val="0"/>
      <w:marRight w:val="0"/>
      <w:marTop w:val="0"/>
      <w:marBottom w:val="0"/>
      <w:divBdr>
        <w:top w:val="none" w:sz="0" w:space="0" w:color="auto"/>
        <w:left w:val="none" w:sz="0" w:space="0" w:color="auto"/>
        <w:bottom w:val="none" w:sz="0" w:space="0" w:color="auto"/>
        <w:right w:val="none" w:sz="0" w:space="0" w:color="auto"/>
      </w:divBdr>
    </w:div>
    <w:div w:id="1363634421">
      <w:bodyDiv w:val="1"/>
      <w:marLeft w:val="0"/>
      <w:marRight w:val="0"/>
      <w:marTop w:val="0"/>
      <w:marBottom w:val="0"/>
      <w:divBdr>
        <w:top w:val="none" w:sz="0" w:space="0" w:color="auto"/>
        <w:left w:val="none" w:sz="0" w:space="0" w:color="auto"/>
        <w:bottom w:val="none" w:sz="0" w:space="0" w:color="auto"/>
        <w:right w:val="none" w:sz="0" w:space="0" w:color="auto"/>
      </w:divBdr>
    </w:div>
    <w:div w:id="1364329818">
      <w:bodyDiv w:val="1"/>
      <w:marLeft w:val="0"/>
      <w:marRight w:val="0"/>
      <w:marTop w:val="0"/>
      <w:marBottom w:val="0"/>
      <w:divBdr>
        <w:top w:val="none" w:sz="0" w:space="0" w:color="auto"/>
        <w:left w:val="none" w:sz="0" w:space="0" w:color="auto"/>
        <w:bottom w:val="none" w:sz="0" w:space="0" w:color="auto"/>
        <w:right w:val="none" w:sz="0" w:space="0" w:color="auto"/>
      </w:divBdr>
    </w:div>
    <w:div w:id="1364402412">
      <w:bodyDiv w:val="1"/>
      <w:marLeft w:val="0"/>
      <w:marRight w:val="0"/>
      <w:marTop w:val="0"/>
      <w:marBottom w:val="0"/>
      <w:divBdr>
        <w:top w:val="none" w:sz="0" w:space="0" w:color="auto"/>
        <w:left w:val="none" w:sz="0" w:space="0" w:color="auto"/>
        <w:bottom w:val="none" w:sz="0" w:space="0" w:color="auto"/>
        <w:right w:val="none" w:sz="0" w:space="0" w:color="auto"/>
      </w:divBdr>
    </w:div>
    <w:div w:id="1365859505">
      <w:bodyDiv w:val="1"/>
      <w:marLeft w:val="0"/>
      <w:marRight w:val="0"/>
      <w:marTop w:val="0"/>
      <w:marBottom w:val="0"/>
      <w:divBdr>
        <w:top w:val="none" w:sz="0" w:space="0" w:color="auto"/>
        <w:left w:val="none" w:sz="0" w:space="0" w:color="auto"/>
        <w:bottom w:val="none" w:sz="0" w:space="0" w:color="auto"/>
        <w:right w:val="none" w:sz="0" w:space="0" w:color="auto"/>
      </w:divBdr>
    </w:div>
    <w:div w:id="1367485710">
      <w:bodyDiv w:val="1"/>
      <w:marLeft w:val="0"/>
      <w:marRight w:val="0"/>
      <w:marTop w:val="0"/>
      <w:marBottom w:val="0"/>
      <w:divBdr>
        <w:top w:val="none" w:sz="0" w:space="0" w:color="auto"/>
        <w:left w:val="none" w:sz="0" w:space="0" w:color="auto"/>
        <w:bottom w:val="none" w:sz="0" w:space="0" w:color="auto"/>
        <w:right w:val="none" w:sz="0" w:space="0" w:color="auto"/>
      </w:divBdr>
    </w:div>
    <w:div w:id="1368531822">
      <w:bodyDiv w:val="1"/>
      <w:marLeft w:val="0"/>
      <w:marRight w:val="0"/>
      <w:marTop w:val="0"/>
      <w:marBottom w:val="0"/>
      <w:divBdr>
        <w:top w:val="none" w:sz="0" w:space="0" w:color="auto"/>
        <w:left w:val="none" w:sz="0" w:space="0" w:color="auto"/>
        <w:bottom w:val="none" w:sz="0" w:space="0" w:color="auto"/>
        <w:right w:val="none" w:sz="0" w:space="0" w:color="auto"/>
      </w:divBdr>
    </w:div>
    <w:div w:id="1368870719">
      <w:bodyDiv w:val="1"/>
      <w:marLeft w:val="0"/>
      <w:marRight w:val="0"/>
      <w:marTop w:val="0"/>
      <w:marBottom w:val="0"/>
      <w:divBdr>
        <w:top w:val="none" w:sz="0" w:space="0" w:color="auto"/>
        <w:left w:val="none" w:sz="0" w:space="0" w:color="auto"/>
        <w:bottom w:val="none" w:sz="0" w:space="0" w:color="auto"/>
        <w:right w:val="none" w:sz="0" w:space="0" w:color="auto"/>
      </w:divBdr>
    </w:div>
    <w:div w:id="1369065868">
      <w:bodyDiv w:val="1"/>
      <w:marLeft w:val="0"/>
      <w:marRight w:val="0"/>
      <w:marTop w:val="0"/>
      <w:marBottom w:val="0"/>
      <w:divBdr>
        <w:top w:val="none" w:sz="0" w:space="0" w:color="auto"/>
        <w:left w:val="none" w:sz="0" w:space="0" w:color="auto"/>
        <w:bottom w:val="none" w:sz="0" w:space="0" w:color="auto"/>
        <w:right w:val="none" w:sz="0" w:space="0" w:color="auto"/>
      </w:divBdr>
    </w:div>
    <w:div w:id="1369836159">
      <w:bodyDiv w:val="1"/>
      <w:marLeft w:val="0"/>
      <w:marRight w:val="0"/>
      <w:marTop w:val="0"/>
      <w:marBottom w:val="0"/>
      <w:divBdr>
        <w:top w:val="none" w:sz="0" w:space="0" w:color="auto"/>
        <w:left w:val="none" w:sz="0" w:space="0" w:color="auto"/>
        <w:bottom w:val="none" w:sz="0" w:space="0" w:color="auto"/>
        <w:right w:val="none" w:sz="0" w:space="0" w:color="auto"/>
      </w:divBdr>
    </w:div>
    <w:div w:id="1370489253">
      <w:bodyDiv w:val="1"/>
      <w:marLeft w:val="0"/>
      <w:marRight w:val="0"/>
      <w:marTop w:val="0"/>
      <w:marBottom w:val="0"/>
      <w:divBdr>
        <w:top w:val="none" w:sz="0" w:space="0" w:color="auto"/>
        <w:left w:val="none" w:sz="0" w:space="0" w:color="auto"/>
        <w:bottom w:val="none" w:sz="0" w:space="0" w:color="auto"/>
        <w:right w:val="none" w:sz="0" w:space="0" w:color="auto"/>
      </w:divBdr>
    </w:div>
    <w:div w:id="1372880891">
      <w:bodyDiv w:val="1"/>
      <w:marLeft w:val="0"/>
      <w:marRight w:val="0"/>
      <w:marTop w:val="0"/>
      <w:marBottom w:val="0"/>
      <w:divBdr>
        <w:top w:val="none" w:sz="0" w:space="0" w:color="auto"/>
        <w:left w:val="none" w:sz="0" w:space="0" w:color="auto"/>
        <w:bottom w:val="none" w:sz="0" w:space="0" w:color="auto"/>
        <w:right w:val="none" w:sz="0" w:space="0" w:color="auto"/>
      </w:divBdr>
    </w:div>
    <w:div w:id="1373766928">
      <w:bodyDiv w:val="1"/>
      <w:marLeft w:val="0"/>
      <w:marRight w:val="0"/>
      <w:marTop w:val="0"/>
      <w:marBottom w:val="0"/>
      <w:divBdr>
        <w:top w:val="none" w:sz="0" w:space="0" w:color="auto"/>
        <w:left w:val="none" w:sz="0" w:space="0" w:color="auto"/>
        <w:bottom w:val="none" w:sz="0" w:space="0" w:color="auto"/>
        <w:right w:val="none" w:sz="0" w:space="0" w:color="auto"/>
      </w:divBdr>
    </w:div>
    <w:div w:id="1374306859">
      <w:bodyDiv w:val="1"/>
      <w:marLeft w:val="0"/>
      <w:marRight w:val="0"/>
      <w:marTop w:val="0"/>
      <w:marBottom w:val="0"/>
      <w:divBdr>
        <w:top w:val="none" w:sz="0" w:space="0" w:color="auto"/>
        <w:left w:val="none" w:sz="0" w:space="0" w:color="auto"/>
        <w:bottom w:val="none" w:sz="0" w:space="0" w:color="auto"/>
        <w:right w:val="none" w:sz="0" w:space="0" w:color="auto"/>
      </w:divBdr>
    </w:div>
    <w:div w:id="1376732259">
      <w:bodyDiv w:val="1"/>
      <w:marLeft w:val="0"/>
      <w:marRight w:val="0"/>
      <w:marTop w:val="0"/>
      <w:marBottom w:val="0"/>
      <w:divBdr>
        <w:top w:val="none" w:sz="0" w:space="0" w:color="auto"/>
        <w:left w:val="none" w:sz="0" w:space="0" w:color="auto"/>
        <w:bottom w:val="none" w:sz="0" w:space="0" w:color="auto"/>
        <w:right w:val="none" w:sz="0" w:space="0" w:color="auto"/>
      </w:divBdr>
    </w:div>
    <w:div w:id="1377199307">
      <w:bodyDiv w:val="1"/>
      <w:marLeft w:val="0"/>
      <w:marRight w:val="0"/>
      <w:marTop w:val="0"/>
      <w:marBottom w:val="0"/>
      <w:divBdr>
        <w:top w:val="none" w:sz="0" w:space="0" w:color="auto"/>
        <w:left w:val="none" w:sz="0" w:space="0" w:color="auto"/>
        <w:bottom w:val="none" w:sz="0" w:space="0" w:color="auto"/>
        <w:right w:val="none" w:sz="0" w:space="0" w:color="auto"/>
      </w:divBdr>
    </w:div>
    <w:div w:id="1378048659">
      <w:bodyDiv w:val="1"/>
      <w:marLeft w:val="0"/>
      <w:marRight w:val="0"/>
      <w:marTop w:val="0"/>
      <w:marBottom w:val="0"/>
      <w:divBdr>
        <w:top w:val="none" w:sz="0" w:space="0" w:color="auto"/>
        <w:left w:val="none" w:sz="0" w:space="0" w:color="auto"/>
        <w:bottom w:val="none" w:sz="0" w:space="0" w:color="auto"/>
        <w:right w:val="none" w:sz="0" w:space="0" w:color="auto"/>
      </w:divBdr>
    </w:div>
    <w:div w:id="1378433904">
      <w:bodyDiv w:val="1"/>
      <w:marLeft w:val="0"/>
      <w:marRight w:val="0"/>
      <w:marTop w:val="0"/>
      <w:marBottom w:val="0"/>
      <w:divBdr>
        <w:top w:val="none" w:sz="0" w:space="0" w:color="auto"/>
        <w:left w:val="none" w:sz="0" w:space="0" w:color="auto"/>
        <w:bottom w:val="none" w:sz="0" w:space="0" w:color="auto"/>
        <w:right w:val="none" w:sz="0" w:space="0" w:color="auto"/>
      </w:divBdr>
    </w:div>
    <w:div w:id="1379279674">
      <w:bodyDiv w:val="1"/>
      <w:marLeft w:val="0"/>
      <w:marRight w:val="0"/>
      <w:marTop w:val="0"/>
      <w:marBottom w:val="0"/>
      <w:divBdr>
        <w:top w:val="none" w:sz="0" w:space="0" w:color="auto"/>
        <w:left w:val="none" w:sz="0" w:space="0" w:color="auto"/>
        <w:bottom w:val="none" w:sz="0" w:space="0" w:color="auto"/>
        <w:right w:val="none" w:sz="0" w:space="0" w:color="auto"/>
      </w:divBdr>
    </w:div>
    <w:div w:id="1379933885">
      <w:bodyDiv w:val="1"/>
      <w:marLeft w:val="0"/>
      <w:marRight w:val="0"/>
      <w:marTop w:val="0"/>
      <w:marBottom w:val="0"/>
      <w:divBdr>
        <w:top w:val="none" w:sz="0" w:space="0" w:color="auto"/>
        <w:left w:val="none" w:sz="0" w:space="0" w:color="auto"/>
        <w:bottom w:val="none" w:sz="0" w:space="0" w:color="auto"/>
        <w:right w:val="none" w:sz="0" w:space="0" w:color="auto"/>
      </w:divBdr>
    </w:div>
    <w:div w:id="1380320502">
      <w:bodyDiv w:val="1"/>
      <w:marLeft w:val="0"/>
      <w:marRight w:val="0"/>
      <w:marTop w:val="0"/>
      <w:marBottom w:val="0"/>
      <w:divBdr>
        <w:top w:val="none" w:sz="0" w:space="0" w:color="auto"/>
        <w:left w:val="none" w:sz="0" w:space="0" w:color="auto"/>
        <w:bottom w:val="none" w:sz="0" w:space="0" w:color="auto"/>
        <w:right w:val="none" w:sz="0" w:space="0" w:color="auto"/>
      </w:divBdr>
    </w:div>
    <w:div w:id="1380981217">
      <w:bodyDiv w:val="1"/>
      <w:marLeft w:val="0"/>
      <w:marRight w:val="0"/>
      <w:marTop w:val="0"/>
      <w:marBottom w:val="0"/>
      <w:divBdr>
        <w:top w:val="none" w:sz="0" w:space="0" w:color="auto"/>
        <w:left w:val="none" w:sz="0" w:space="0" w:color="auto"/>
        <w:bottom w:val="none" w:sz="0" w:space="0" w:color="auto"/>
        <w:right w:val="none" w:sz="0" w:space="0" w:color="auto"/>
      </w:divBdr>
    </w:div>
    <w:div w:id="1381249494">
      <w:bodyDiv w:val="1"/>
      <w:marLeft w:val="0"/>
      <w:marRight w:val="0"/>
      <w:marTop w:val="0"/>
      <w:marBottom w:val="0"/>
      <w:divBdr>
        <w:top w:val="none" w:sz="0" w:space="0" w:color="auto"/>
        <w:left w:val="none" w:sz="0" w:space="0" w:color="auto"/>
        <w:bottom w:val="none" w:sz="0" w:space="0" w:color="auto"/>
        <w:right w:val="none" w:sz="0" w:space="0" w:color="auto"/>
      </w:divBdr>
    </w:div>
    <w:div w:id="1381513980">
      <w:bodyDiv w:val="1"/>
      <w:marLeft w:val="0"/>
      <w:marRight w:val="0"/>
      <w:marTop w:val="0"/>
      <w:marBottom w:val="0"/>
      <w:divBdr>
        <w:top w:val="none" w:sz="0" w:space="0" w:color="auto"/>
        <w:left w:val="none" w:sz="0" w:space="0" w:color="auto"/>
        <w:bottom w:val="none" w:sz="0" w:space="0" w:color="auto"/>
        <w:right w:val="none" w:sz="0" w:space="0" w:color="auto"/>
      </w:divBdr>
    </w:div>
    <w:div w:id="1381705311">
      <w:bodyDiv w:val="1"/>
      <w:marLeft w:val="0"/>
      <w:marRight w:val="0"/>
      <w:marTop w:val="0"/>
      <w:marBottom w:val="0"/>
      <w:divBdr>
        <w:top w:val="none" w:sz="0" w:space="0" w:color="auto"/>
        <w:left w:val="none" w:sz="0" w:space="0" w:color="auto"/>
        <w:bottom w:val="none" w:sz="0" w:space="0" w:color="auto"/>
        <w:right w:val="none" w:sz="0" w:space="0" w:color="auto"/>
      </w:divBdr>
    </w:div>
    <w:div w:id="1382097364">
      <w:bodyDiv w:val="1"/>
      <w:marLeft w:val="0"/>
      <w:marRight w:val="0"/>
      <w:marTop w:val="0"/>
      <w:marBottom w:val="0"/>
      <w:divBdr>
        <w:top w:val="none" w:sz="0" w:space="0" w:color="auto"/>
        <w:left w:val="none" w:sz="0" w:space="0" w:color="auto"/>
        <w:bottom w:val="none" w:sz="0" w:space="0" w:color="auto"/>
        <w:right w:val="none" w:sz="0" w:space="0" w:color="auto"/>
      </w:divBdr>
    </w:div>
    <w:div w:id="1383482743">
      <w:bodyDiv w:val="1"/>
      <w:marLeft w:val="0"/>
      <w:marRight w:val="0"/>
      <w:marTop w:val="0"/>
      <w:marBottom w:val="0"/>
      <w:divBdr>
        <w:top w:val="none" w:sz="0" w:space="0" w:color="auto"/>
        <w:left w:val="none" w:sz="0" w:space="0" w:color="auto"/>
        <w:bottom w:val="none" w:sz="0" w:space="0" w:color="auto"/>
        <w:right w:val="none" w:sz="0" w:space="0" w:color="auto"/>
      </w:divBdr>
    </w:div>
    <w:div w:id="1384939443">
      <w:bodyDiv w:val="1"/>
      <w:marLeft w:val="0"/>
      <w:marRight w:val="0"/>
      <w:marTop w:val="0"/>
      <w:marBottom w:val="0"/>
      <w:divBdr>
        <w:top w:val="none" w:sz="0" w:space="0" w:color="auto"/>
        <w:left w:val="none" w:sz="0" w:space="0" w:color="auto"/>
        <w:bottom w:val="none" w:sz="0" w:space="0" w:color="auto"/>
        <w:right w:val="none" w:sz="0" w:space="0" w:color="auto"/>
      </w:divBdr>
    </w:div>
    <w:div w:id="1385910623">
      <w:bodyDiv w:val="1"/>
      <w:marLeft w:val="0"/>
      <w:marRight w:val="0"/>
      <w:marTop w:val="0"/>
      <w:marBottom w:val="0"/>
      <w:divBdr>
        <w:top w:val="none" w:sz="0" w:space="0" w:color="auto"/>
        <w:left w:val="none" w:sz="0" w:space="0" w:color="auto"/>
        <w:bottom w:val="none" w:sz="0" w:space="0" w:color="auto"/>
        <w:right w:val="none" w:sz="0" w:space="0" w:color="auto"/>
      </w:divBdr>
    </w:div>
    <w:div w:id="1386026037">
      <w:bodyDiv w:val="1"/>
      <w:marLeft w:val="0"/>
      <w:marRight w:val="0"/>
      <w:marTop w:val="0"/>
      <w:marBottom w:val="0"/>
      <w:divBdr>
        <w:top w:val="none" w:sz="0" w:space="0" w:color="auto"/>
        <w:left w:val="none" w:sz="0" w:space="0" w:color="auto"/>
        <w:bottom w:val="none" w:sz="0" w:space="0" w:color="auto"/>
        <w:right w:val="none" w:sz="0" w:space="0" w:color="auto"/>
      </w:divBdr>
    </w:div>
    <w:div w:id="1386177952">
      <w:bodyDiv w:val="1"/>
      <w:marLeft w:val="0"/>
      <w:marRight w:val="0"/>
      <w:marTop w:val="0"/>
      <w:marBottom w:val="0"/>
      <w:divBdr>
        <w:top w:val="none" w:sz="0" w:space="0" w:color="auto"/>
        <w:left w:val="none" w:sz="0" w:space="0" w:color="auto"/>
        <w:bottom w:val="none" w:sz="0" w:space="0" w:color="auto"/>
        <w:right w:val="none" w:sz="0" w:space="0" w:color="auto"/>
      </w:divBdr>
    </w:div>
    <w:div w:id="1386904558">
      <w:bodyDiv w:val="1"/>
      <w:marLeft w:val="0"/>
      <w:marRight w:val="0"/>
      <w:marTop w:val="0"/>
      <w:marBottom w:val="0"/>
      <w:divBdr>
        <w:top w:val="none" w:sz="0" w:space="0" w:color="auto"/>
        <w:left w:val="none" w:sz="0" w:space="0" w:color="auto"/>
        <w:bottom w:val="none" w:sz="0" w:space="0" w:color="auto"/>
        <w:right w:val="none" w:sz="0" w:space="0" w:color="auto"/>
      </w:divBdr>
    </w:div>
    <w:div w:id="1387098116">
      <w:bodyDiv w:val="1"/>
      <w:marLeft w:val="0"/>
      <w:marRight w:val="0"/>
      <w:marTop w:val="0"/>
      <w:marBottom w:val="0"/>
      <w:divBdr>
        <w:top w:val="none" w:sz="0" w:space="0" w:color="auto"/>
        <w:left w:val="none" w:sz="0" w:space="0" w:color="auto"/>
        <w:bottom w:val="none" w:sz="0" w:space="0" w:color="auto"/>
        <w:right w:val="none" w:sz="0" w:space="0" w:color="auto"/>
      </w:divBdr>
    </w:div>
    <w:div w:id="1387219310">
      <w:bodyDiv w:val="1"/>
      <w:marLeft w:val="0"/>
      <w:marRight w:val="0"/>
      <w:marTop w:val="0"/>
      <w:marBottom w:val="0"/>
      <w:divBdr>
        <w:top w:val="none" w:sz="0" w:space="0" w:color="auto"/>
        <w:left w:val="none" w:sz="0" w:space="0" w:color="auto"/>
        <w:bottom w:val="none" w:sz="0" w:space="0" w:color="auto"/>
        <w:right w:val="none" w:sz="0" w:space="0" w:color="auto"/>
      </w:divBdr>
    </w:div>
    <w:div w:id="1387341758">
      <w:bodyDiv w:val="1"/>
      <w:marLeft w:val="0"/>
      <w:marRight w:val="0"/>
      <w:marTop w:val="0"/>
      <w:marBottom w:val="0"/>
      <w:divBdr>
        <w:top w:val="none" w:sz="0" w:space="0" w:color="auto"/>
        <w:left w:val="none" w:sz="0" w:space="0" w:color="auto"/>
        <w:bottom w:val="none" w:sz="0" w:space="0" w:color="auto"/>
        <w:right w:val="none" w:sz="0" w:space="0" w:color="auto"/>
      </w:divBdr>
    </w:div>
    <w:div w:id="1387606573">
      <w:bodyDiv w:val="1"/>
      <w:marLeft w:val="0"/>
      <w:marRight w:val="0"/>
      <w:marTop w:val="0"/>
      <w:marBottom w:val="0"/>
      <w:divBdr>
        <w:top w:val="none" w:sz="0" w:space="0" w:color="auto"/>
        <w:left w:val="none" w:sz="0" w:space="0" w:color="auto"/>
        <w:bottom w:val="none" w:sz="0" w:space="0" w:color="auto"/>
        <w:right w:val="none" w:sz="0" w:space="0" w:color="auto"/>
      </w:divBdr>
    </w:div>
    <w:div w:id="1387610578">
      <w:bodyDiv w:val="1"/>
      <w:marLeft w:val="0"/>
      <w:marRight w:val="0"/>
      <w:marTop w:val="0"/>
      <w:marBottom w:val="0"/>
      <w:divBdr>
        <w:top w:val="none" w:sz="0" w:space="0" w:color="auto"/>
        <w:left w:val="none" w:sz="0" w:space="0" w:color="auto"/>
        <w:bottom w:val="none" w:sz="0" w:space="0" w:color="auto"/>
        <w:right w:val="none" w:sz="0" w:space="0" w:color="auto"/>
      </w:divBdr>
    </w:div>
    <w:div w:id="1388722895">
      <w:bodyDiv w:val="1"/>
      <w:marLeft w:val="0"/>
      <w:marRight w:val="0"/>
      <w:marTop w:val="0"/>
      <w:marBottom w:val="0"/>
      <w:divBdr>
        <w:top w:val="none" w:sz="0" w:space="0" w:color="auto"/>
        <w:left w:val="none" w:sz="0" w:space="0" w:color="auto"/>
        <w:bottom w:val="none" w:sz="0" w:space="0" w:color="auto"/>
        <w:right w:val="none" w:sz="0" w:space="0" w:color="auto"/>
      </w:divBdr>
    </w:div>
    <w:div w:id="1390420045">
      <w:bodyDiv w:val="1"/>
      <w:marLeft w:val="0"/>
      <w:marRight w:val="0"/>
      <w:marTop w:val="0"/>
      <w:marBottom w:val="0"/>
      <w:divBdr>
        <w:top w:val="none" w:sz="0" w:space="0" w:color="auto"/>
        <w:left w:val="none" w:sz="0" w:space="0" w:color="auto"/>
        <w:bottom w:val="none" w:sz="0" w:space="0" w:color="auto"/>
        <w:right w:val="none" w:sz="0" w:space="0" w:color="auto"/>
      </w:divBdr>
    </w:div>
    <w:div w:id="1391268101">
      <w:bodyDiv w:val="1"/>
      <w:marLeft w:val="0"/>
      <w:marRight w:val="0"/>
      <w:marTop w:val="0"/>
      <w:marBottom w:val="0"/>
      <w:divBdr>
        <w:top w:val="none" w:sz="0" w:space="0" w:color="auto"/>
        <w:left w:val="none" w:sz="0" w:space="0" w:color="auto"/>
        <w:bottom w:val="none" w:sz="0" w:space="0" w:color="auto"/>
        <w:right w:val="none" w:sz="0" w:space="0" w:color="auto"/>
      </w:divBdr>
    </w:div>
    <w:div w:id="1391807878">
      <w:bodyDiv w:val="1"/>
      <w:marLeft w:val="0"/>
      <w:marRight w:val="0"/>
      <w:marTop w:val="0"/>
      <w:marBottom w:val="0"/>
      <w:divBdr>
        <w:top w:val="none" w:sz="0" w:space="0" w:color="auto"/>
        <w:left w:val="none" w:sz="0" w:space="0" w:color="auto"/>
        <w:bottom w:val="none" w:sz="0" w:space="0" w:color="auto"/>
        <w:right w:val="none" w:sz="0" w:space="0" w:color="auto"/>
      </w:divBdr>
    </w:div>
    <w:div w:id="1392458353">
      <w:bodyDiv w:val="1"/>
      <w:marLeft w:val="0"/>
      <w:marRight w:val="0"/>
      <w:marTop w:val="0"/>
      <w:marBottom w:val="0"/>
      <w:divBdr>
        <w:top w:val="none" w:sz="0" w:space="0" w:color="auto"/>
        <w:left w:val="none" w:sz="0" w:space="0" w:color="auto"/>
        <w:bottom w:val="none" w:sz="0" w:space="0" w:color="auto"/>
        <w:right w:val="none" w:sz="0" w:space="0" w:color="auto"/>
      </w:divBdr>
    </w:div>
    <w:div w:id="1393115182">
      <w:bodyDiv w:val="1"/>
      <w:marLeft w:val="0"/>
      <w:marRight w:val="0"/>
      <w:marTop w:val="0"/>
      <w:marBottom w:val="0"/>
      <w:divBdr>
        <w:top w:val="none" w:sz="0" w:space="0" w:color="auto"/>
        <w:left w:val="none" w:sz="0" w:space="0" w:color="auto"/>
        <w:bottom w:val="none" w:sz="0" w:space="0" w:color="auto"/>
        <w:right w:val="none" w:sz="0" w:space="0" w:color="auto"/>
      </w:divBdr>
    </w:div>
    <w:div w:id="1393577866">
      <w:bodyDiv w:val="1"/>
      <w:marLeft w:val="0"/>
      <w:marRight w:val="0"/>
      <w:marTop w:val="0"/>
      <w:marBottom w:val="0"/>
      <w:divBdr>
        <w:top w:val="none" w:sz="0" w:space="0" w:color="auto"/>
        <w:left w:val="none" w:sz="0" w:space="0" w:color="auto"/>
        <w:bottom w:val="none" w:sz="0" w:space="0" w:color="auto"/>
        <w:right w:val="none" w:sz="0" w:space="0" w:color="auto"/>
      </w:divBdr>
    </w:div>
    <w:div w:id="1393852352">
      <w:bodyDiv w:val="1"/>
      <w:marLeft w:val="0"/>
      <w:marRight w:val="0"/>
      <w:marTop w:val="0"/>
      <w:marBottom w:val="0"/>
      <w:divBdr>
        <w:top w:val="none" w:sz="0" w:space="0" w:color="auto"/>
        <w:left w:val="none" w:sz="0" w:space="0" w:color="auto"/>
        <w:bottom w:val="none" w:sz="0" w:space="0" w:color="auto"/>
        <w:right w:val="none" w:sz="0" w:space="0" w:color="auto"/>
      </w:divBdr>
    </w:div>
    <w:div w:id="1394230801">
      <w:bodyDiv w:val="1"/>
      <w:marLeft w:val="0"/>
      <w:marRight w:val="0"/>
      <w:marTop w:val="0"/>
      <w:marBottom w:val="0"/>
      <w:divBdr>
        <w:top w:val="none" w:sz="0" w:space="0" w:color="auto"/>
        <w:left w:val="none" w:sz="0" w:space="0" w:color="auto"/>
        <w:bottom w:val="none" w:sz="0" w:space="0" w:color="auto"/>
        <w:right w:val="none" w:sz="0" w:space="0" w:color="auto"/>
      </w:divBdr>
    </w:div>
    <w:div w:id="1394505291">
      <w:bodyDiv w:val="1"/>
      <w:marLeft w:val="0"/>
      <w:marRight w:val="0"/>
      <w:marTop w:val="0"/>
      <w:marBottom w:val="0"/>
      <w:divBdr>
        <w:top w:val="none" w:sz="0" w:space="0" w:color="auto"/>
        <w:left w:val="none" w:sz="0" w:space="0" w:color="auto"/>
        <w:bottom w:val="none" w:sz="0" w:space="0" w:color="auto"/>
        <w:right w:val="none" w:sz="0" w:space="0" w:color="auto"/>
      </w:divBdr>
    </w:div>
    <w:div w:id="1395929384">
      <w:bodyDiv w:val="1"/>
      <w:marLeft w:val="0"/>
      <w:marRight w:val="0"/>
      <w:marTop w:val="0"/>
      <w:marBottom w:val="0"/>
      <w:divBdr>
        <w:top w:val="none" w:sz="0" w:space="0" w:color="auto"/>
        <w:left w:val="none" w:sz="0" w:space="0" w:color="auto"/>
        <w:bottom w:val="none" w:sz="0" w:space="0" w:color="auto"/>
        <w:right w:val="none" w:sz="0" w:space="0" w:color="auto"/>
      </w:divBdr>
    </w:div>
    <w:div w:id="1396053462">
      <w:bodyDiv w:val="1"/>
      <w:marLeft w:val="0"/>
      <w:marRight w:val="0"/>
      <w:marTop w:val="0"/>
      <w:marBottom w:val="0"/>
      <w:divBdr>
        <w:top w:val="none" w:sz="0" w:space="0" w:color="auto"/>
        <w:left w:val="none" w:sz="0" w:space="0" w:color="auto"/>
        <w:bottom w:val="none" w:sz="0" w:space="0" w:color="auto"/>
        <w:right w:val="none" w:sz="0" w:space="0" w:color="auto"/>
      </w:divBdr>
    </w:div>
    <w:div w:id="1396662531">
      <w:bodyDiv w:val="1"/>
      <w:marLeft w:val="0"/>
      <w:marRight w:val="0"/>
      <w:marTop w:val="0"/>
      <w:marBottom w:val="0"/>
      <w:divBdr>
        <w:top w:val="none" w:sz="0" w:space="0" w:color="auto"/>
        <w:left w:val="none" w:sz="0" w:space="0" w:color="auto"/>
        <w:bottom w:val="none" w:sz="0" w:space="0" w:color="auto"/>
        <w:right w:val="none" w:sz="0" w:space="0" w:color="auto"/>
      </w:divBdr>
    </w:div>
    <w:div w:id="1397322101">
      <w:bodyDiv w:val="1"/>
      <w:marLeft w:val="0"/>
      <w:marRight w:val="0"/>
      <w:marTop w:val="0"/>
      <w:marBottom w:val="0"/>
      <w:divBdr>
        <w:top w:val="none" w:sz="0" w:space="0" w:color="auto"/>
        <w:left w:val="none" w:sz="0" w:space="0" w:color="auto"/>
        <w:bottom w:val="none" w:sz="0" w:space="0" w:color="auto"/>
        <w:right w:val="none" w:sz="0" w:space="0" w:color="auto"/>
      </w:divBdr>
    </w:div>
    <w:div w:id="1398627033">
      <w:bodyDiv w:val="1"/>
      <w:marLeft w:val="0"/>
      <w:marRight w:val="0"/>
      <w:marTop w:val="0"/>
      <w:marBottom w:val="0"/>
      <w:divBdr>
        <w:top w:val="none" w:sz="0" w:space="0" w:color="auto"/>
        <w:left w:val="none" w:sz="0" w:space="0" w:color="auto"/>
        <w:bottom w:val="none" w:sz="0" w:space="0" w:color="auto"/>
        <w:right w:val="none" w:sz="0" w:space="0" w:color="auto"/>
      </w:divBdr>
    </w:div>
    <w:div w:id="1399128309">
      <w:bodyDiv w:val="1"/>
      <w:marLeft w:val="0"/>
      <w:marRight w:val="0"/>
      <w:marTop w:val="0"/>
      <w:marBottom w:val="0"/>
      <w:divBdr>
        <w:top w:val="none" w:sz="0" w:space="0" w:color="auto"/>
        <w:left w:val="none" w:sz="0" w:space="0" w:color="auto"/>
        <w:bottom w:val="none" w:sz="0" w:space="0" w:color="auto"/>
        <w:right w:val="none" w:sz="0" w:space="0" w:color="auto"/>
      </w:divBdr>
    </w:div>
    <w:div w:id="1402214700">
      <w:bodyDiv w:val="1"/>
      <w:marLeft w:val="0"/>
      <w:marRight w:val="0"/>
      <w:marTop w:val="0"/>
      <w:marBottom w:val="0"/>
      <w:divBdr>
        <w:top w:val="none" w:sz="0" w:space="0" w:color="auto"/>
        <w:left w:val="none" w:sz="0" w:space="0" w:color="auto"/>
        <w:bottom w:val="none" w:sz="0" w:space="0" w:color="auto"/>
        <w:right w:val="none" w:sz="0" w:space="0" w:color="auto"/>
      </w:divBdr>
    </w:div>
    <w:div w:id="1402366538">
      <w:bodyDiv w:val="1"/>
      <w:marLeft w:val="0"/>
      <w:marRight w:val="0"/>
      <w:marTop w:val="0"/>
      <w:marBottom w:val="0"/>
      <w:divBdr>
        <w:top w:val="none" w:sz="0" w:space="0" w:color="auto"/>
        <w:left w:val="none" w:sz="0" w:space="0" w:color="auto"/>
        <w:bottom w:val="none" w:sz="0" w:space="0" w:color="auto"/>
        <w:right w:val="none" w:sz="0" w:space="0" w:color="auto"/>
      </w:divBdr>
    </w:div>
    <w:div w:id="1402557130">
      <w:bodyDiv w:val="1"/>
      <w:marLeft w:val="0"/>
      <w:marRight w:val="0"/>
      <w:marTop w:val="0"/>
      <w:marBottom w:val="0"/>
      <w:divBdr>
        <w:top w:val="none" w:sz="0" w:space="0" w:color="auto"/>
        <w:left w:val="none" w:sz="0" w:space="0" w:color="auto"/>
        <w:bottom w:val="none" w:sz="0" w:space="0" w:color="auto"/>
        <w:right w:val="none" w:sz="0" w:space="0" w:color="auto"/>
      </w:divBdr>
    </w:div>
    <w:div w:id="1403022167">
      <w:bodyDiv w:val="1"/>
      <w:marLeft w:val="0"/>
      <w:marRight w:val="0"/>
      <w:marTop w:val="0"/>
      <w:marBottom w:val="0"/>
      <w:divBdr>
        <w:top w:val="none" w:sz="0" w:space="0" w:color="auto"/>
        <w:left w:val="none" w:sz="0" w:space="0" w:color="auto"/>
        <w:bottom w:val="none" w:sz="0" w:space="0" w:color="auto"/>
        <w:right w:val="none" w:sz="0" w:space="0" w:color="auto"/>
      </w:divBdr>
    </w:div>
    <w:div w:id="1403723394">
      <w:bodyDiv w:val="1"/>
      <w:marLeft w:val="0"/>
      <w:marRight w:val="0"/>
      <w:marTop w:val="0"/>
      <w:marBottom w:val="0"/>
      <w:divBdr>
        <w:top w:val="none" w:sz="0" w:space="0" w:color="auto"/>
        <w:left w:val="none" w:sz="0" w:space="0" w:color="auto"/>
        <w:bottom w:val="none" w:sz="0" w:space="0" w:color="auto"/>
        <w:right w:val="none" w:sz="0" w:space="0" w:color="auto"/>
      </w:divBdr>
    </w:div>
    <w:div w:id="1403748185">
      <w:bodyDiv w:val="1"/>
      <w:marLeft w:val="0"/>
      <w:marRight w:val="0"/>
      <w:marTop w:val="0"/>
      <w:marBottom w:val="0"/>
      <w:divBdr>
        <w:top w:val="none" w:sz="0" w:space="0" w:color="auto"/>
        <w:left w:val="none" w:sz="0" w:space="0" w:color="auto"/>
        <w:bottom w:val="none" w:sz="0" w:space="0" w:color="auto"/>
        <w:right w:val="none" w:sz="0" w:space="0" w:color="auto"/>
      </w:divBdr>
    </w:div>
    <w:div w:id="1404529154">
      <w:bodyDiv w:val="1"/>
      <w:marLeft w:val="0"/>
      <w:marRight w:val="0"/>
      <w:marTop w:val="0"/>
      <w:marBottom w:val="0"/>
      <w:divBdr>
        <w:top w:val="none" w:sz="0" w:space="0" w:color="auto"/>
        <w:left w:val="none" w:sz="0" w:space="0" w:color="auto"/>
        <w:bottom w:val="none" w:sz="0" w:space="0" w:color="auto"/>
        <w:right w:val="none" w:sz="0" w:space="0" w:color="auto"/>
      </w:divBdr>
    </w:div>
    <w:div w:id="1405033771">
      <w:bodyDiv w:val="1"/>
      <w:marLeft w:val="0"/>
      <w:marRight w:val="0"/>
      <w:marTop w:val="0"/>
      <w:marBottom w:val="0"/>
      <w:divBdr>
        <w:top w:val="none" w:sz="0" w:space="0" w:color="auto"/>
        <w:left w:val="none" w:sz="0" w:space="0" w:color="auto"/>
        <w:bottom w:val="none" w:sz="0" w:space="0" w:color="auto"/>
        <w:right w:val="none" w:sz="0" w:space="0" w:color="auto"/>
      </w:divBdr>
    </w:div>
    <w:div w:id="1405225834">
      <w:bodyDiv w:val="1"/>
      <w:marLeft w:val="0"/>
      <w:marRight w:val="0"/>
      <w:marTop w:val="0"/>
      <w:marBottom w:val="0"/>
      <w:divBdr>
        <w:top w:val="none" w:sz="0" w:space="0" w:color="auto"/>
        <w:left w:val="none" w:sz="0" w:space="0" w:color="auto"/>
        <w:bottom w:val="none" w:sz="0" w:space="0" w:color="auto"/>
        <w:right w:val="none" w:sz="0" w:space="0" w:color="auto"/>
      </w:divBdr>
    </w:div>
    <w:div w:id="1405299080">
      <w:bodyDiv w:val="1"/>
      <w:marLeft w:val="0"/>
      <w:marRight w:val="0"/>
      <w:marTop w:val="0"/>
      <w:marBottom w:val="0"/>
      <w:divBdr>
        <w:top w:val="none" w:sz="0" w:space="0" w:color="auto"/>
        <w:left w:val="none" w:sz="0" w:space="0" w:color="auto"/>
        <w:bottom w:val="none" w:sz="0" w:space="0" w:color="auto"/>
        <w:right w:val="none" w:sz="0" w:space="0" w:color="auto"/>
      </w:divBdr>
    </w:div>
    <w:div w:id="1408963445">
      <w:bodyDiv w:val="1"/>
      <w:marLeft w:val="0"/>
      <w:marRight w:val="0"/>
      <w:marTop w:val="0"/>
      <w:marBottom w:val="0"/>
      <w:divBdr>
        <w:top w:val="none" w:sz="0" w:space="0" w:color="auto"/>
        <w:left w:val="none" w:sz="0" w:space="0" w:color="auto"/>
        <w:bottom w:val="none" w:sz="0" w:space="0" w:color="auto"/>
        <w:right w:val="none" w:sz="0" w:space="0" w:color="auto"/>
      </w:divBdr>
    </w:div>
    <w:div w:id="1409227998">
      <w:bodyDiv w:val="1"/>
      <w:marLeft w:val="0"/>
      <w:marRight w:val="0"/>
      <w:marTop w:val="0"/>
      <w:marBottom w:val="0"/>
      <w:divBdr>
        <w:top w:val="none" w:sz="0" w:space="0" w:color="auto"/>
        <w:left w:val="none" w:sz="0" w:space="0" w:color="auto"/>
        <w:bottom w:val="none" w:sz="0" w:space="0" w:color="auto"/>
        <w:right w:val="none" w:sz="0" w:space="0" w:color="auto"/>
      </w:divBdr>
    </w:div>
    <w:div w:id="1414740901">
      <w:bodyDiv w:val="1"/>
      <w:marLeft w:val="0"/>
      <w:marRight w:val="0"/>
      <w:marTop w:val="0"/>
      <w:marBottom w:val="0"/>
      <w:divBdr>
        <w:top w:val="none" w:sz="0" w:space="0" w:color="auto"/>
        <w:left w:val="none" w:sz="0" w:space="0" w:color="auto"/>
        <w:bottom w:val="none" w:sz="0" w:space="0" w:color="auto"/>
        <w:right w:val="none" w:sz="0" w:space="0" w:color="auto"/>
      </w:divBdr>
    </w:div>
    <w:div w:id="1415934728">
      <w:bodyDiv w:val="1"/>
      <w:marLeft w:val="0"/>
      <w:marRight w:val="0"/>
      <w:marTop w:val="0"/>
      <w:marBottom w:val="0"/>
      <w:divBdr>
        <w:top w:val="none" w:sz="0" w:space="0" w:color="auto"/>
        <w:left w:val="none" w:sz="0" w:space="0" w:color="auto"/>
        <w:bottom w:val="none" w:sz="0" w:space="0" w:color="auto"/>
        <w:right w:val="none" w:sz="0" w:space="0" w:color="auto"/>
      </w:divBdr>
    </w:div>
    <w:div w:id="1416518292">
      <w:bodyDiv w:val="1"/>
      <w:marLeft w:val="0"/>
      <w:marRight w:val="0"/>
      <w:marTop w:val="0"/>
      <w:marBottom w:val="0"/>
      <w:divBdr>
        <w:top w:val="none" w:sz="0" w:space="0" w:color="auto"/>
        <w:left w:val="none" w:sz="0" w:space="0" w:color="auto"/>
        <w:bottom w:val="none" w:sz="0" w:space="0" w:color="auto"/>
        <w:right w:val="none" w:sz="0" w:space="0" w:color="auto"/>
      </w:divBdr>
    </w:div>
    <w:div w:id="1417825943">
      <w:bodyDiv w:val="1"/>
      <w:marLeft w:val="0"/>
      <w:marRight w:val="0"/>
      <w:marTop w:val="0"/>
      <w:marBottom w:val="0"/>
      <w:divBdr>
        <w:top w:val="none" w:sz="0" w:space="0" w:color="auto"/>
        <w:left w:val="none" w:sz="0" w:space="0" w:color="auto"/>
        <w:bottom w:val="none" w:sz="0" w:space="0" w:color="auto"/>
        <w:right w:val="none" w:sz="0" w:space="0" w:color="auto"/>
      </w:divBdr>
    </w:div>
    <w:div w:id="1417943193">
      <w:bodyDiv w:val="1"/>
      <w:marLeft w:val="0"/>
      <w:marRight w:val="0"/>
      <w:marTop w:val="0"/>
      <w:marBottom w:val="0"/>
      <w:divBdr>
        <w:top w:val="none" w:sz="0" w:space="0" w:color="auto"/>
        <w:left w:val="none" w:sz="0" w:space="0" w:color="auto"/>
        <w:bottom w:val="none" w:sz="0" w:space="0" w:color="auto"/>
        <w:right w:val="none" w:sz="0" w:space="0" w:color="auto"/>
      </w:divBdr>
    </w:div>
    <w:div w:id="1419248879">
      <w:bodyDiv w:val="1"/>
      <w:marLeft w:val="0"/>
      <w:marRight w:val="0"/>
      <w:marTop w:val="0"/>
      <w:marBottom w:val="0"/>
      <w:divBdr>
        <w:top w:val="none" w:sz="0" w:space="0" w:color="auto"/>
        <w:left w:val="none" w:sz="0" w:space="0" w:color="auto"/>
        <w:bottom w:val="none" w:sz="0" w:space="0" w:color="auto"/>
        <w:right w:val="none" w:sz="0" w:space="0" w:color="auto"/>
      </w:divBdr>
    </w:div>
    <w:div w:id="1420327230">
      <w:bodyDiv w:val="1"/>
      <w:marLeft w:val="0"/>
      <w:marRight w:val="0"/>
      <w:marTop w:val="0"/>
      <w:marBottom w:val="0"/>
      <w:divBdr>
        <w:top w:val="none" w:sz="0" w:space="0" w:color="auto"/>
        <w:left w:val="none" w:sz="0" w:space="0" w:color="auto"/>
        <w:bottom w:val="none" w:sz="0" w:space="0" w:color="auto"/>
        <w:right w:val="none" w:sz="0" w:space="0" w:color="auto"/>
      </w:divBdr>
    </w:div>
    <w:div w:id="1421024117">
      <w:bodyDiv w:val="1"/>
      <w:marLeft w:val="0"/>
      <w:marRight w:val="0"/>
      <w:marTop w:val="0"/>
      <w:marBottom w:val="0"/>
      <w:divBdr>
        <w:top w:val="none" w:sz="0" w:space="0" w:color="auto"/>
        <w:left w:val="none" w:sz="0" w:space="0" w:color="auto"/>
        <w:bottom w:val="none" w:sz="0" w:space="0" w:color="auto"/>
        <w:right w:val="none" w:sz="0" w:space="0" w:color="auto"/>
      </w:divBdr>
    </w:div>
    <w:div w:id="1423452431">
      <w:bodyDiv w:val="1"/>
      <w:marLeft w:val="0"/>
      <w:marRight w:val="0"/>
      <w:marTop w:val="0"/>
      <w:marBottom w:val="0"/>
      <w:divBdr>
        <w:top w:val="none" w:sz="0" w:space="0" w:color="auto"/>
        <w:left w:val="none" w:sz="0" w:space="0" w:color="auto"/>
        <w:bottom w:val="none" w:sz="0" w:space="0" w:color="auto"/>
        <w:right w:val="none" w:sz="0" w:space="0" w:color="auto"/>
      </w:divBdr>
    </w:div>
    <w:div w:id="1423991299">
      <w:bodyDiv w:val="1"/>
      <w:marLeft w:val="0"/>
      <w:marRight w:val="0"/>
      <w:marTop w:val="0"/>
      <w:marBottom w:val="0"/>
      <w:divBdr>
        <w:top w:val="none" w:sz="0" w:space="0" w:color="auto"/>
        <w:left w:val="none" w:sz="0" w:space="0" w:color="auto"/>
        <w:bottom w:val="none" w:sz="0" w:space="0" w:color="auto"/>
        <w:right w:val="none" w:sz="0" w:space="0" w:color="auto"/>
      </w:divBdr>
    </w:div>
    <w:div w:id="1424647295">
      <w:bodyDiv w:val="1"/>
      <w:marLeft w:val="0"/>
      <w:marRight w:val="0"/>
      <w:marTop w:val="0"/>
      <w:marBottom w:val="0"/>
      <w:divBdr>
        <w:top w:val="none" w:sz="0" w:space="0" w:color="auto"/>
        <w:left w:val="none" w:sz="0" w:space="0" w:color="auto"/>
        <w:bottom w:val="none" w:sz="0" w:space="0" w:color="auto"/>
        <w:right w:val="none" w:sz="0" w:space="0" w:color="auto"/>
      </w:divBdr>
    </w:div>
    <w:div w:id="1424834628">
      <w:bodyDiv w:val="1"/>
      <w:marLeft w:val="0"/>
      <w:marRight w:val="0"/>
      <w:marTop w:val="0"/>
      <w:marBottom w:val="0"/>
      <w:divBdr>
        <w:top w:val="none" w:sz="0" w:space="0" w:color="auto"/>
        <w:left w:val="none" w:sz="0" w:space="0" w:color="auto"/>
        <w:bottom w:val="none" w:sz="0" w:space="0" w:color="auto"/>
        <w:right w:val="none" w:sz="0" w:space="0" w:color="auto"/>
      </w:divBdr>
    </w:div>
    <w:div w:id="1424838249">
      <w:bodyDiv w:val="1"/>
      <w:marLeft w:val="0"/>
      <w:marRight w:val="0"/>
      <w:marTop w:val="0"/>
      <w:marBottom w:val="0"/>
      <w:divBdr>
        <w:top w:val="none" w:sz="0" w:space="0" w:color="auto"/>
        <w:left w:val="none" w:sz="0" w:space="0" w:color="auto"/>
        <w:bottom w:val="none" w:sz="0" w:space="0" w:color="auto"/>
        <w:right w:val="none" w:sz="0" w:space="0" w:color="auto"/>
      </w:divBdr>
    </w:div>
    <w:div w:id="1424909174">
      <w:bodyDiv w:val="1"/>
      <w:marLeft w:val="0"/>
      <w:marRight w:val="0"/>
      <w:marTop w:val="0"/>
      <w:marBottom w:val="0"/>
      <w:divBdr>
        <w:top w:val="none" w:sz="0" w:space="0" w:color="auto"/>
        <w:left w:val="none" w:sz="0" w:space="0" w:color="auto"/>
        <w:bottom w:val="none" w:sz="0" w:space="0" w:color="auto"/>
        <w:right w:val="none" w:sz="0" w:space="0" w:color="auto"/>
      </w:divBdr>
    </w:div>
    <w:div w:id="1425608126">
      <w:bodyDiv w:val="1"/>
      <w:marLeft w:val="0"/>
      <w:marRight w:val="0"/>
      <w:marTop w:val="0"/>
      <w:marBottom w:val="0"/>
      <w:divBdr>
        <w:top w:val="none" w:sz="0" w:space="0" w:color="auto"/>
        <w:left w:val="none" w:sz="0" w:space="0" w:color="auto"/>
        <w:bottom w:val="none" w:sz="0" w:space="0" w:color="auto"/>
        <w:right w:val="none" w:sz="0" w:space="0" w:color="auto"/>
      </w:divBdr>
    </w:div>
    <w:div w:id="1426267339">
      <w:bodyDiv w:val="1"/>
      <w:marLeft w:val="0"/>
      <w:marRight w:val="0"/>
      <w:marTop w:val="0"/>
      <w:marBottom w:val="0"/>
      <w:divBdr>
        <w:top w:val="none" w:sz="0" w:space="0" w:color="auto"/>
        <w:left w:val="none" w:sz="0" w:space="0" w:color="auto"/>
        <w:bottom w:val="none" w:sz="0" w:space="0" w:color="auto"/>
        <w:right w:val="none" w:sz="0" w:space="0" w:color="auto"/>
      </w:divBdr>
    </w:div>
    <w:div w:id="1426727842">
      <w:bodyDiv w:val="1"/>
      <w:marLeft w:val="0"/>
      <w:marRight w:val="0"/>
      <w:marTop w:val="0"/>
      <w:marBottom w:val="0"/>
      <w:divBdr>
        <w:top w:val="none" w:sz="0" w:space="0" w:color="auto"/>
        <w:left w:val="none" w:sz="0" w:space="0" w:color="auto"/>
        <w:bottom w:val="none" w:sz="0" w:space="0" w:color="auto"/>
        <w:right w:val="none" w:sz="0" w:space="0" w:color="auto"/>
      </w:divBdr>
    </w:div>
    <w:div w:id="1426804839">
      <w:bodyDiv w:val="1"/>
      <w:marLeft w:val="0"/>
      <w:marRight w:val="0"/>
      <w:marTop w:val="0"/>
      <w:marBottom w:val="0"/>
      <w:divBdr>
        <w:top w:val="none" w:sz="0" w:space="0" w:color="auto"/>
        <w:left w:val="none" w:sz="0" w:space="0" w:color="auto"/>
        <w:bottom w:val="none" w:sz="0" w:space="0" w:color="auto"/>
        <w:right w:val="none" w:sz="0" w:space="0" w:color="auto"/>
      </w:divBdr>
    </w:div>
    <w:div w:id="1427309013">
      <w:bodyDiv w:val="1"/>
      <w:marLeft w:val="0"/>
      <w:marRight w:val="0"/>
      <w:marTop w:val="0"/>
      <w:marBottom w:val="0"/>
      <w:divBdr>
        <w:top w:val="none" w:sz="0" w:space="0" w:color="auto"/>
        <w:left w:val="none" w:sz="0" w:space="0" w:color="auto"/>
        <w:bottom w:val="none" w:sz="0" w:space="0" w:color="auto"/>
        <w:right w:val="none" w:sz="0" w:space="0" w:color="auto"/>
      </w:divBdr>
    </w:div>
    <w:div w:id="1427338783">
      <w:bodyDiv w:val="1"/>
      <w:marLeft w:val="0"/>
      <w:marRight w:val="0"/>
      <w:marTop w:val="0"/>
      <w:marBottom w:val="0"/>
      <w:divBdr>
        <w:top w:val="none" w:sz="0" w:space="0" w:color="auto"/>
        <w:left w:val="none" w:sz="0" w:space="0" w:color="auto"/>
        <w:bottom w:val="none" w:sz="0" w:space="0" w:color="auto"/>
        <w:right w:val="none" w:sz="0" w:space="0" w:color="auto"/>
      </w:divBdr>
    </w:div>
    <w:div w:id="1432890859">
      <w:bodyDiv w:val="1"/>
      <w:marLeft w:val="0"/>
      <w:marRight w:val="0"/>
      <w:marTop w:val="0"/>
      <w:marBottom w:val="0"/>
      <w:divBdr>
        <w:top w:val="none" w:sz="0" w:space="0" w:color="auto"/>
        <w:left w:val="none" w:sz="0" w:space="0" w:color="auto"/>
        <w:bottom w:val="none" w:sz="0" w:space="0" w:color="auto"/>
        <w:right w:val="none" w:sz="0" w:space="0" w:color="auto"/>
      </w:divBdr>
    </w:div>
    <w:div w:id="1434209498">
      <w:bodyDiv w:val="1"/>
      <w:marLeft w:val="0"/>
      <w:marRight w:val="0"/>
      <w:marTop w:val="0"/>
      <w:marBottom w:val="0"/>
      <w:divBdr>
        <w:top w:val="none" w:sz="0" w:space="0" w:color="auto"/>
        <w:left w:val="none" w:sz="0" w:space="0" w:color="auto"/>
        <w:bottom w:val="none" w:sz="0" w:space="0" w:color="auto"/>
        <w:right w:val="none" w:sz="0" w:space="0" w:color="auto"/>
      </w:divBdr>
    </w:div>
    <w:div w:id="1436244214">
      <w:bodyDiv w:val="1"/>
      <w:marLeft w:val="0"/>
      <w:marRight w:val="0"/>
      <w:marTop w:val="0"/>
      <w:marBottom w:val="0"/>
      <w:divBdr>
        <w:top w:val="none" w:sz="0" w:space="0" w:color="auto"/>
        <w:left w:val="none" w:sz="0" w:space="0" w:color="auto"/>
        <w:bottom w:val="none" w:sz="0" w:space="0" w:color="auto"/>
        <w:right w:val="none" w:sz="0" w:space="0" w:color="auto"/>
      </w:divBdr>
    </w:div>
    <w:div w:id="1437285497">
      <w:bodyDiv w:val="1"/>
      <w:marLeft w:val="0"/>
      <w:marRight w:val="0"/>
      <w:marTop w:val="0"/>
      <w:marBottom w:val="0"/>
      <w:divBdr>
        <w:top w:val="none" w:sz="0" w:space="0" w:color="auto"/>
        <w:left w:val="none" w:sz="0" w:space="0" w:color="auto"/>
        <w:bottom w:val="none" w:sz="0" w:space="0" w:color="auto"/>
        <w:right w:val="none" w:sz="0" w:space="0" w:color="auto"/>
      </w:divBdr>
    </w:div>
    <w:div w:id="1437405443">
      <w:bodyDiv w:val="1"/>
      <w:marLeft w:val="0"/>
      <w:marRight w:val="0"/>
      <w:marTop w:val="0"/>
      <w:marBottom w:val="0"/>
      <w:divBdr>
        <w:top w:val="none" w:sz="0" w:space="0" w:color="auto"/>
        <w:left w:val="none" w:sz="0" w:space="0" w:color="auto"/>
        <w:bottom w:val="none" w:sz="0" w:space="0" w:color="auto"/>
        <w:right w:val="none" w:sz="0" w:space="0" w:color="auto"/>
      </w:divBdr>
    </w:div>
    <w:div w:id="1437554152">
      <w:bodyDiv w:val="1"/>
      <w:marLeft w:val="0"/>
      <w:marRight w:val="0"/>
      <w:marTop w:val="0"/>
      <w:marBottom w:val="0"/>
      <w:divBdr>
        <w:top w:val="none" w:sz="0" w:space="0" w:color="auto"/>
        <w:left w:val="none" w:sz="0" w:space="0" w:color="auto"/>
        <w:bottom w:val="none" w:sz="0" w:space="0" w:color="auto"/>
        <w:right w:val="none" w:sz="0" w:space="0" w:color="auto"/>
      </w:divBdr>
    </w:div>
    <w:div w:id="1438449819">
      <w:bodyDiv w:val="1"/>
      <w:marLeft w:val="0"/>
      <w:marRight w:val="0"/>
      <w:marTop w:val="0"/>
      <w:marBottom w:val="0"/>
      <w:divBdr>
        <w:top w:val="none" w:sz="0" w:space="0" w:color="auto"/>
        <w:left w:val="none" w:sz="0" w:space="0" w:color="auto"/>
        <w:bottom w:val="none" w:sz="0" w:space="0" w:color="auto"/>
        <w:right w:val="none" w:sz="0" w:space="0" w:color="auto"/>
      </w:divBdr>
    </w:div>
    <w:div w:id="1440174395">
      <w:bodyDiv w:val="1"/>
      <w:marLeft w:val="0"/>
      <w:marRight w:val="0"/>
      <w:marTop w:val="0"/>
      <w:marBottom w:val="0"/>
      <w:divBdr>
        <w:top w:val="none" w:sz="0" w:space="0" w:color="auto"/>
        <w:left w:val="none" w:sz="0" w:space="0" w:color="auto"/>
        <w:bottom w:val="none" w:sz="0" w:space="0" w:color="auto"/>
        <w:right w:val="none" w:sz="0" w:space="0" w:color="auto"/>
      </w:divBdr>
    </w:div>
    <w:div w:id="1441028419">
      <w:bodyDiv w:val="1"/>
      <w:marLeft w:val="0"/>
      <w:marRight w:val="0"/>
      <w:marTop w:val="0"/>
      <w:marBottom w:val="0"/>
      <w:divBdr>
        <w:top w:val="none" w:sz="0" w:space="0" w:color="auto"/>
        <w:left w:val="none" w:sz="0" w:space="0" w:color="auto"/>
        <w:bottom w:val="none" w:sz="0" w:space="0" w:color="auto"/>
        <w:right w:val="none" w:sz="0" w:space="0" w:color="auto"/>
      </w:divBdr>
    </w:div>
    <w:div w:id="1441955684">
      <w:bodyDiv w:val="1"/>
      <w:marLeft w:val="0"/>
      <w:marRight w:val="0"/>
      <w:marTop w:val="0"/>
      <w:marBottom w:val="0"/>
      <w:divBdr>
        <w:top w:val="none" w:sz="0" w:space="0" w:color="auto"/>
        <w:left w:val="none" w:sz="0" w:space="0" w:color="auto"/>
        <w:bottom w:val="none" w:sz="0" w:space="0" w:color="auto"/>
        <w:right w:val="none" w:sz="0" w:space="0" w:color="auto"/>
      </w:divBdr>
    </w:div>
    <w:div w:id="1443499686">
      <w:bodyDiv w:val="1"/>
      <w:marLeft w:val="0"/>
      <w:marRight w:val="0"/>
      <w:marTop w:val="0"/>
      <w:marBottom w:val="0"/>
      <w:divBdr>
        <w:top w:val="none" w:sz="0" w:space="0" w:color="auto"/>
        <w:left w:val="none" w:sz="0" w:space="0" w:color="auto"/>
        <w:bottom w:val="none" w:sz="0" w:space="0" w:color="auto"/>
        <w:right w:val="none" w:sz="0" w:space="0" w:color="auto"/>
      </w:divBdr>
    </w:div>
    <w:div w:id="1446264760">
      <w:bodyDiv w:val="1"/>
      <w:marLeft w:val="0"/>
      <w:marRight w:val="0"/>
      <w:marTop w:val="0"/>
      <w:marBottom w:val="0"/>
      <w:divBdr>
        <w:top w:val="none" w:sz="0" w:space="0" w:color="auto"/>
        <w:left w:val="none" w:sz="0" w:space="0" w:color="auto"/>
        <w:bottom w:val="none" w:sz="0" w:space="0" w:color="auto"/>
        <w:right w:val="none" w:sz="0" w:space="0" w:color="auto"/>
      </w:divBdr>
    </w:div>
    <w:div w:id="1446925939">
      <w:bodyDiv w:val="1"/>
      <w:marLeft w:val="0"/>
      <w:marRight w:val="0"/>
      <w:marTop w:val="0"/>
      <w:marBottom w:val="0"/>
      <w:divBdr>
        <w:top w:val="none" w:sz="0" w:space="0" w:color="auto"/>
        <w:left w:val="none" w:sz="0" w:space="0" w:color="auto"/>
        <w:bottom w:val="none" w:sz="0" w:space="0" w:color="auto"/>
        <w:right w:val="none" w:sz="0" w:space="0" w:color="auto"/>
      </w:divBdr>
    </w:div>
    <w:div w:id="1447385071">
      <w:bodyDiv w:val="1"/>
      <w:marLeft w:val="0"/>
      <w:marRight w:val="0"/>
      <w:marTop w:val="0"/>
      <w:marBottom w:val="0"/>
      <w:divBdr>
        <w:top w:val="none" w:sz="0" w:space="0" w:color="auto"/>
        <w:left w:val="none" w:sz="0" w:space="0" w:color="auto"/>
        <w:bottom w:val="none" w:sz="0" w:space="0" w:color="auto"/>
        <w:right w:val="none" w:sz="0" w:space="0" w:color="auto"/>
      </w:divBdr>
    </w:div>
    <w:div w:id="1450010568">
      <w:bodyDiv w:val="1"/>
      <w:marLeft w:val="0"/>
      <w:marRight w:val="0"/>
      <w:marTop w:val="0"/>
      <w:marBottom w:val="0"/>
      <w:divBdr>
        <w:top w:val="none" w:sz="0" w:space="0" w:color="auto"/>
        <w:left w:val="none" w:sz="0" w:space="0" w:color="auto"/>
        <w:bottom w:val="none" w:sz="0" w:space="0" w:color="auto"/>
        <w:right w:val="none" w:sz="0" w:space="0" w:color="auto"/>
      </w:divBdr>
    </w:div>
    <w:div w:id="1450126809">
      <w:bodyDiv w:val="1"/>
      <w:marLeft w:val="0"/>
      <w:marRight w:val="0"/>
      <w:marTop w:val="0"/>
      <w:marBottom w:val="0"/>
      <w:divBdr>
        <w:top w:val="none" w:sz="0" w:space="0" w:color="auto"/>
        <w:left w:val="none" w:sz="0" w:space="0" w:color="auto"/>
        <w:bottom w:val="none" w:sz="0" w:space="0" w:color="auto"/>
        <w:right w:val="none" w:sz="0" w:space="0" w:color="auto"/>
      </w:divBdr>
    </w:div>
    <w:div w:id="1450779755">
      <w:bodyDiv w:val="1"/>
      <w:marLeft w:val="0"/>
      <w:marRight w:val="0"/>
      <w:marTop w:val="0"/>
      <w:marBottom w:val="0"/>
      <w:divBdr>
        <w:top w:val="none" w:sz="0" w:space="0" w:color="auto"/>
        <w:left w:val="none" w:sz="0" w:space="0" w:color="auto"/>
        <w:bottom w:val="none" w:sz="0" w:space="0" w:color="auto"/>
        <w:right w:val="none" w:sz="0" w:space="0" w:color="auto"/>
      </w:divBdr>
    </w:div>
    <w:div w:id="1450975953">
      <w:bodyDiv w:val="1"/>
      <w:marLeft w:val="0"/>
      <w:marRight w:val="0"/>
      <w:marTop w:val="0"/>
      <w:marBottom w:val="0"/>
      <w:divBdr>
        <w:top w:val="none" w:sz="0" w:space="0" w:color="auto"/>
        <w:left w:val="none" w:sz="0" w:space="0" w:color="auto"/>
        <w:bottom w:val="none" w:sz="0" w:space="0" w:color="auto"/>
        <w:right w:val="none" w:sz="0" w:space="0" w:color="auto"/>
      </w:divBdr>
    </w:div>
    <w:div w:id="1451246282">
      <w:bodyDiv w:val="1"/>
      <w:marLeft w:val="0"/>
      <w:marRight w:val="0"/>
      <w:marTop w:val="0"/>
      <w:marBottom w:val="0"/>
      <w:divBdr>
        <w:top w:val="none" w:sz="0" w:space="0" w:color="auto"/>
        <w:left w:val="none" w:sz="0" w:space="0" w:color="auto"/>
        <w:bottom w:val="none" w:sz="0" w:space="0" w:color="auto"/>
        <w:right w:val="none" w:sz="0" w:space="0" w:color="auto"/>
      </w:divBdr>
    </w:div>
    <w:div w:id="1451439319">
      <w:bodyDiv w:val="1"/>
      <w:marLeft w:val="0"/>
      <w:marRight w:val="0"/>
      <w:marTop w:val="0"/>
      <w:marBottom w:val="0"/>
      <w:divBdr>
        <w:top w:val="none" w:sz="0" w:space="0" w:color="auto"/>
        <w:left w:val="none" w:sz="0" w:space="0" w:color="auto"/>
        <w:bottom w:val="none" w:sz="0" w:space="0" w:color="auto"/>
        <w:right w:val="none" w:sz="0" w:space="0" w:color="auto"/>
      </w:divBdr>
    </w:div>
    <w:div w:id="1452625368">
      <w:bodyDiv w:val="1"/>
      <w:marLeft w:val="0"/>
      <w:marRight w:val="0"/>
      <w:marTop w:val="0"/>
      <w:marBottom w:val="0"/>
      <w:divBdr>
        <w:top w:val="none" w:sz="0" w:space="0" w:color="auto"/>
        <w:left w:val="none" w:sz="0" w:space="0" w:color="auto"/>
        <w:bottom w:val="none" w:sz="0" w:space="0" w:color="auto"/>
        <w:right w:val="none" w:sz="0" w:space="0" w:color="auto"/>
      </w:divBdr>
    </w:div>
    <w:div w:id="1455708541">
      <w:bodyDiv w:val="1"/>
      <w:marLeft w:val="0"/>
      <w:marRight w:val="0"/>
      <w:marTop w:val="0"/>
      <w:marBottom w:val="0"/>
      <w:divBdr>
        <w:top w:val="none" w:sz="0" w:space="0" w:color="auto"/>
        <w:left w:val="none" w:sz="0" w:space="0" w:color="auto"/>
        <w:bottom w:val="none" w:sz="0" w:space="0" w:color="auto"/>
        <w:right w:val="none" w:sz="0" w:space="0" w:color="auto"/>
      </w:divBdr>
    </w:div>
    <w:div w:id="1456408743">
      <w:bodyDiv w:val="1"/>
      <w:marLeft w:val="0"/>
      <w:marRight w:val="0"/>
      <w:marTop w:val="0"/>
      <w:marBottom w:val="0"/>
      <w:divBdr>
        <w:top w:val="none" w:sz="0" w:space="0" w:color="auto"/>
        <w:left w:val="none" w:sz="0" w:space="0" w:color="auto"/>
        <w:bottom w:val="none" w:sz="0" w:space="0" w:color="auto"/>
        <w:right w:val="none" w:sz="0" w:space="0" w:color="auto"/>
      </w:divBdr>
    </w:div>
    <w:div w:id="1458111372">
      <w:bodyDiv w:val="1"/>
      <w:marLeft w:val="0"/>
      <w:marRight w:val="0"/>
      <w:marTop w:val="0"/>
      <w:marBottom w:val="0"/>
      <w:divBdr>
        <w:top w:val="none" w:sz="0" w:space="0" w:color="auto"/>
        <w:left w:val="none" w:sz="0" w:space="0" w:color="auto"/>
        <w:bottom w:val="none" w:sz="0" w:space="0" w:color="auto"/>
        <w:right w:val="none" w:sz="0" w:space="0" w:color="auto"/>
      </w:divBdr>
    </w:div>
    <w:div w:id="1458642288">
      <w:bodyDiv w:val="1"/>
      <w:marLeft w:val="0"/>
      <w:marRight w:val="0"/>
      <w:marTop w:val="0"/>
      <w:marBottom w:val="0"/>
      <w:divBdr>
        <w:top w:val="none" w:sz="0" w:space="0" w:color="auto"/>
        <w:left w:val="none" w:sz="0" w:space="0" w:color="auto"/>
        <w:bottom w:val="none" w:sz="0" w:space="0" w:color="auto"/>
        <w:right w:val="none" w:sz="0" w:space="0" w:color="auto"/>
      </w:divBdr>
    </w:div>
    <w:div w:id="1458644713">
      <w:bodyDiv w:val="1"/>
      <w:marLeft w:val="0"/>
      <w:marRight w:val="0"/>
      <w:marTop w:val="0"/>
      <w:marBottom w:val="0"/>
      <w:divBdr>
        <w:top w:val="none" w:sz="0" w:space="0" w:color="auto"/>
        <w:left w:val="none" w:sz="0" w:space="0" w:color="auto"/>
        <w:bottom w:val="none" w:sz="0" w:space="0" w:color="auto"/>
        <w:right w:val="none" w:sz="0" w:space="0" w:color="auto"/>
      </w:divBdr>
    </w:div>
    <w:div w:id="1458720148">
      <w:bodyDiv w:val="1"/>
      <w:marLeft w:val="0"/>
      <w:marRight w:val="0"/>
      <w:marTop w:val="0"/>
      <w:marBottom w:val="0"/>
      <w:divBdr>
        <w:top w:val="none" w:sz="0" w:space="0" w:color="auto"/>
        <w:left w:val="none" w:sz="0" w:space="0" w:color="auto"/>
        <w:bottom w:val="none" w:sz="0" w:space="0" w:color="auto"/>
        <w:right w:val="none" w:sz="0" w:space="0" w:color="auto"/>
      </w:divBdr>
    </w:div>
    <w:div w:id="1459566103">
      <w:bodyDiv w:val="1"/>
      <w:marLeft w:val="0"/>
      <w:marRight w:val="0"/>
      <w:marTop w:val="0"/>
      <w:marBottom w:val="0"/>
      <w:divBdr>
        <w:top w:val="none" w:sz="0" w:space="0" w:color="auto"/>
        <w:left w:val="none" w:sz="0" w:space="0" w:color="auto"/>
        <w:bottom w:val="none" w:sz="0" w:space="0" w:color="auto"/>
        <w:right w:val="none" w:sz="0" w:space="0" w:color="auto"/>
      </w:divBdr>
    </w:div>
    <w:div w:id="1459955723">
      <w:bodyDiv w:val="1"/>
      <w:marLeft w:val="0"/>
      <w:marRight w:val="0"/>
      <w:marTop w:val="0"/>
      <w:marBottom w:val="0"/>
      <w:divBdr>
        <w:top w:val="none" w:sz="0" w:space="0" w:color="auto"/>
        <w:left w:val="none" w:sz="0" w:space="0" w:color="auto"/>
        <w:bottom w:val="none" w:sz="0" w:space="0" w:color="auto"/>
        <w:right w:val="none" w:sz="0" w:space="0" w:color="auto"/>
      </w:divBdr>
    </w:div>
    <w:div w:id="1462071947">
      <w:bodyDiv w:val="1"/>
      <w:marLeft w:val="0"/>
      <w:marRight w:val="0"/>
      <w:marTop w:val="0"/>
      <w:marBottom w:val="0"/>
      <w:divBdr>
        <w:top w:val="none" w:sz="0" w:space="0" w:color="auto"/>
        <w:left w:val="none" w:sz="0" w:space="0" w:color="auto"/>
        <w:bottom w:val="none" w:sz="0" w:space="0" w:color="auto"/>
        <w:right w:val="none" w:sz="0" w:space="0" w:color="auto"/>
      </w:divBdr>
    </w:div>
    <w:div w:id="1462724331">
      <w:bodyDiv w:val="1"/>
      <w:marLeft w:val="0"/>
      <w:marRight w:val="0"/>
      <w:marTop w:val="0"/>
      <w:marBottom w:val="0"/>
      <w:divBdr>
        <w:top w:val="none" w:sz="0" w:space="0" w:color="auto"/>
        <w:left w:val="none" w:sz="0" w:space="0" w:color="auto"/>
        <w:bottom w:val="none" w:sz="0" w:space="0" w:color="auto"/>
        <w:right w:val="none" w:sz="0" w:space="0" w:color="auto"/>
      </w:divBdr>
    </w:div>
    <w:div w:id="1463500527">
      <w:bodyDiv w:val="1"/>
      <w:marLeft w:val="0"/>
      <w:marRight w:val="0"/>
      <w:marTop w:val="0"/>
      <w:marBottom w:val="0"/>
      <w:divBdr>
        <w:top w:val="none" w:sz="0" w:space="0" w:color="auto"/>
        <w:left w:val="none" w:sz="0" w:space="0" w:color="auto"/>
        <w:bottom w:val="none" w:sz="0" w:space="0" w:color="auto"/>
        <w:right w:val="none" w:sz="0" w:space="0" w:color="auto"/>
      </w:divBdr>
    </w:div>
    <w:div w:id="1464733125">
      <w:bodyDiv w:val="1"/>
      <w:marLeft w:val="0"/>
      <w:marRight w:val="0"/>
      <w:marTop w:val="0"/>
      <w:marBottom w:val="0"/>
      <w:divBdr>
        <w:top w:val="none" w:sz="0" w:space="0" w:color="auto"/>
        <w:left w:val="none" w:sz="0" w:space="0" w:color="auto"/>
        <w:bottom w:val="none" w:sz="0" w:space="0" w:color="auto"/>
        <w:right w:val="none" w:sz="0" w:space="0" w:color="auto"/>
      </w:divBdr>
    </w:div>
    <w:div w:id="1465394369">
      <w:bodyDiv w:val="1"/>
      <w:marLeft w:val="0"/>
      <w:marRight w:val="0"/>
      <w:marTop w:val="0"/>
      <w:marBottom w:val="0"/>
      <w:divBdr>
        <w:top w:val="none" w:sz="0" w:space="0" w:color="auto"/>
        <w:left w:val="none" w:sz="0" w:space="0" w:color="auto"/>
        <w:bottom w:val="none" w:sz="0" w:space="0" w:color="auto"/>
        <w:right w:val="none" w:sz="0" w:space="0" w:color="auto"/>
      </w:divBdr>
    </w:div>
    <w:div w:id="1466049420">
      <w:bodyDiv w:val="1"/>
      <w:marLeft w:val="0"/>
      <w:marRight w:val="0"/>
      <w:marTop w:val="0"/>
      <w:marBottom w:val="0"/>
      <w:divBdr>
        <w:top w:val="none" w:sz="0" w:space="0" w:color="auto"/>
        <w:left w:val="none" w:sz="0" w:space="0" w:color="auto"/>
        <w:bottom w:val="none" w:sz="0" w:space="0" w:color="auto"/>
        <w:right w:val="none" w:sz="0" w:space="0" w:color="auto"/>
      </w:divBdr>
    </w:div>
    <w:div w:id="1466241133">
      <w:bodyDiv w:val="1"/>
      <w:marLeft w:val="0"/>
      <w:marRight w:val="0"/>
      <w:marTop w:val="0"/>
      <w:marBottom w:val="0"/>
      <w:divBdr>
        <w:top w:val="none" w:sz="0" w:space="0" w:color="auto"/>
        <w:left w:val="none" w:sz="0" w:space="0" w:color="auto"/>
        <w:bottom w:val="none" w:sz="0" w:space="0" w:color="auto"/>
        <w:right w:val="none" w:sz="0" w:space="0" w:color="auto"/>
      </w:divBdr>
    </w:div>
    <w:div w:id="1468207890">
      <w:bodyDiv w:val="1"/>
      <w:marLeft w:val="0"/>
      <w:marRight w:val="0"/>
      <w:marTop w:val="0"/>
      <w:marBottom w:val="0"/>
      <w:divBdr>
        <w:top w:val="none" w:sz="0" w:space="0" w:color="auto"/>
        <w:left w:val="none" w:sz="0" w:space="0" w:color="auto"/>
        <w:bottom w:val="none" w:sz="0" w:space="0" w:color="auto"/>
        <w:right w:val="none" w:sz="0" w:space="0" w:color="auto"/>
      </w:divBdr>
    </w:div>
    <w:div w:id="1468619619">
      <w:bodyDiv w:val="1"/>
      <w:marLeft w:val="0"/>
      <w:marRight w:val="0"/>
      <w:marTop w:val="0"/>
      <w:marBottom w:val="0"/>
      <w:divBdr>
        <w:top w:val="none" w:sz="0" w:space="0" w:color="auto"/>
        <w:left w:val="none" w:sz="0" w:space="0" w:color="auto"/>
        <w:bottom w:val="none" w:sz="0" w:space="0" w:color="auto"/>
        <w:right w:val="none" w:sz="0" w:space="0" w:color="auto"/>
      </w:divBdr>
    </w:div>
    <w:div w:id="1469780265">
      <w:bodyDiv w:val="1"/>
      <w:marLeft w:val="0"/>
      <w:marRight w:val="0"/>
      <w:marTop w:val="0"/>
      <w:marBottom w:val="0"/>
      <w:divBdr>
        <w:top w:val="none" w:sz="0" w:space="0" w:color="auto"/>
        <w:left w:val="none" w:sz="0" w:space="0" w:color="auto"/>
        <w:bottom w:val="none" w:sz="0" w:space="0" w:color="auto"/>
        <w:right w:val="none" w:sz="0" w:space="0" w:color="auto"/>
      </w:divBdr>
    </w:div>
    <w:div w:id="1470630682">
      <w:bodyDiv w:val="1"/>
      <w:marLeft w:val="0"/>
      <w:marRight w:val="0"/>
      <w:marTop w:val="0"/>
      <w:marBottom w:val="0"/>
      <w:divBdr>
        <w:top w:val="none" w:sz="0" w:space="0" w:color="auto"/>
        <w:left w:val="none" w:sz="0" w:space="0" w:color="auto"/>
        <w:bottom w:val="none" w:sz="0" w:space="0" w:color="auto"/>
        <w:right w:val="none" w:sz="0" w:space="0" w:color="auto"/>
      </w:divBdr>
    </w:div>
    <w:div w:id="1470980180">
      <w:bodyDiv w:val="1"/>
      <w:marLeft w:val="0"/>
      <w:marRight w:val="0"/>
      <w:marTop w:val="0"/>
      <w:marBottom w:val="0"/>
      <w:divBdr>
        <w:top w:val="none" w:sz="0" w:space="0" w:color="auto"/>
        <w:left w:val="none" w:sz="0" w:space="0" w:color="auto"/>
        <w:bottom w:val="none" w:sz="0" w:space="0" w:color="auto"/>
        <w:right w:val="none" w:sz="0" w:space="0" w:color="auto"/>
      </w:divBdr>
    </w:div>
    <w:div w:id="1472166858">
      <w:bodyDiv w:val="1"/>
      <w:marLeft w:val="0"/>
      <w:marRight w:val="0"/>
      <w:marTop w:val="0"/>
      <w:marBottom w:val="0"/>
      <w:divBdr>
        <w:top w:val="none" w:sz="0" w:space="0" w:color="auto"/>
        <w:left w:val="none" w:sz="0" w:space="0" w:color="auto"/>
        <w:bottom w:val="none" w:sz="0" w:space="0" w:color="auto"/>
        <w:right w:val="none" w:sz="0" w:space="0" w:color="auto"/>
      </w:divBdr>
    </w:div>
    <w:div w:id="1472406613">
      <w:bodyDiv w:val="1"/>
      <w:marLeft w:val="0"/>
      <w:marRight w:val="0"/>
      <w:marTop w:val="0"/>
      <w:marBottom w:val="0"/>
      <w:divBdr>
        <w:top w:val="none" w:sz="0" w:space="0" w:color="auto"/>
        <w:left w:val="none" w:sz="0" w:space="0" w:color="auto"/>
        <w:bottom w:val="none" w:sz="0" w:space="0" w:color="auto"/>
        <w:right w:val="none" w:sz="0" w:space="0" w:color="auto"/>
      </w:divBdr>
    </w:div>
    <w:div w:id="1472557008">
      <w:bodyDiv w:val="1"/>
      <w:marLeft w:val="0"/>
      <w:marRight w:val="0"/>
      <w:marTop w:val="0"/>
      <w:marBottom w:val="0"/>
      <w:divBdr>
        <w:top w:val="none" w:sz="0" w:space="0" w:color="auto"/>
        <w:left w:val="none" w:sz="0" w:space="0" w:color="auto"/>
        <w:bottom w:val="none" w:sz="0" w:space="0" w:color="auto"/>
        <w:right w:val="none" w:sz="0" w:space="0" w:color="auto"/>
      </w:divBdr>
    </w:div>
    <w:div w:id="1473281222">
      <w:bodyDiv w:val="1"/>
      <w:marLeft w:val="0"/>
      <w:marRight w:val="0"/>
      <w:marTop w:val="0"/>
      <w:marBottom w:val="0"/>
      <w:divBdr>
        <w:top w:val="none" w:sz="0" w:space="0" w:color="auto"/>
        <w:left w:val="none" w:sz="0" w:space="0" w:color="auto"/>
        <w:bottom w:val="none" w:sz="0" w:space="0" w:color="auto"/>
        <w:right w:val="none" w:sz="0" w:space="0" w:color="auto"/>
      </w:divBdr>
    </w:div>
    <w:div w:id="1475176703">
      <w:bodyDiv w:val="1"/>
      <w:marLeft w:val="0"/>
      <w:marRight w:val="0"/>
      <w:marTop w:val="0"/>
      <w:marBottom w:val="0"/>
      <w:divBdr>
        <w:top w:val="none" w:sz="0" w:space="0" w:color="auto"/>
        <w:left w:val="none" w:sz="0" w:space="0" w:color="auto"/>
        <w:bottom w:val="none" w:sz="0" w:space="0" w:color="auto"/>
        <w:right w:val="none" w:sz="0" w:space="0" w:color="auto"/>
      </w:divBdr>
    </w:div>
    <w:div w:id="1476213608">
      <w:bodyDiv w:val="1"/>
      <w:marLeft w:val="0"/>
      <w:marRight w:val="0"/>
      <w:marTop w:val="0"/>
      <w:marBottom w:val="0"/>
      <w:divBdr>
        <w:top w:val="none" w:sz="0" w:space="0" w:color="auto"/>
        <w:left w:val="none" w:sz="0" w:space="0" w:color="auto"/>
        <w:bottom w:val="none" w:sz="0" w:space="0" w:color="auto"/>
        <w:right w:val="none" w:sz="0" w:space="0" w:color="auto"/>
      </w:divBdr>
    </w:div>
    <w:div w:id="1476682186">
      <w:bodyDiv w:val="1"/>
      <w:marLeft w:val="0"/>
      <w:marRight w:val="0"/>
      <w:marTop w:val="0"/>
      <w:marBottom w:val="0"/>
      <w:divBdr>
        <w:top w:val="none" w:sz="0" w:space="0" w:color="auto"/>
        <w:left w:val="none" w:sz="0" w:space="0" w:color="auto"/>
        <w:bottom w:val="none" w:sz="0" w:space="0" w:color="auto"/>
        <w:right w:val="none" w:sz="0" w:space="0" w:color="auto"/>
      </w:divBdr>
    </w:div>
    <w:div w:id="1477800793">
      <w:bodyDiv w:val="1"/>
      <w:marLeft w:val="0"/>
      <w:marRight w:val="0"/>
      <w:marTop w:val="0"/>
      <w:marBottom w:val="0"/>
      <w:divBdr>
        <w:top w:val="none" w:sz="0" w:space="0" w:color="auto"/>
        <w:left w:val="none" w:sz="0" w:space="0" w:color="auto"/>
        <w:bottom w:val="none" w:sz="0" w:space="0" w:color="auto"/>
        <w:right w:val="none" w:sz="0" w:space="0" w:color="auto"/>
      </w:divBdr>
    </w:div>
    <w:div w:id="1478063779">
      <w:bodyDiv w:val="1"/>
      <w:marLeft w:val="0"/>
      <w:marRight w:val="0"/>
      <w:marTop w:val="0"/>
      <w:marBottom w:val="0"/>
      <w:divBdr>
        <w:top w:val="none" w:sz="0" w:space="0" w:color="auto"/>
        <w:left w:val="none" w:sz="0" w:space="0" w:color="auto"/>
        <w:bottom w:val="none" w:sz="0" w:space="0" w:color="auto"/>
        <w:right w:val="none" w:sz="0" w:space="0" w:color="auto"/>
      </w:divBdr>
    </w:div>
    <w:div w:id="1478111785">
      <w:bodyDiv w:val="1"/>
      <w:marLeft w:val="0"/>
      <w:marRight w:val="0"/>
      <w:marTop w:val="0"/>
      <w:marBottom w:val="0"/>
      <w:divBdr>
        <w:top w:val="none" w:sz="0" w:space="0" w:color="auto"/>
        <w:left w:val="none" w:sz="0" w:space="0" w:color="auto"/>
        <w:bottom w:val="none" w:sz="0" w:space="0" w:color="auto"/>
        <w:right w:val="none" w:sz="0" w:space="0" w:color="auto"/>
      </w:divBdr>
    </w:div>
    <w:div w:id="1478836034">
      <w:bodyDiv w:val="1"/>
      <w:marLeft w:val="0"/>
      <w:marRight w:val="0"/>
      <w:marTop w:val="0"/>
      <w:marBottom w:val="0"/>
      <w:divBdr>
        <w:top w:val="none" w:sz="0" w:space="0" w:color="auto"/>
        <w:left w:val="none" w:sz="0" w:space="0" w:color="auto"/>
        <w:bottom w:val="none" w:sz="0" w:space="0" w:color="auto"/>
        <w:right w:val="none" w:sz="0" w:space="0" w:color="auto"/>
      </w:divBdr>
    </w:div>
    <w:div w:id="1479150109">
      <w:bodyDiv w:val="1"/>
      <w:marLeft w:val="0"/>
      <w:marRight w:val="0"/>
      <w:marTop w:val="0"/>
      <w:marBottom w:val="0"/>
      <w:divBdr>
        <w:top w:val="none" w:sz="0" w:space="0" w:color="auto"/>
        <w:left w:val="none" w:sz="0" w:space="0" w:color="auto"/>
        <w:bottom w:val="none" w:sz="0" w:space="0" w:color="auto"/>
        <w:right w:val="none" w:sz="0" w:space="0" w:color="auto"/>
      </w:divBdr>
    </w:div>
    <w:div w:id="1481191782">
      <w:bodyDiv w:val="1"/>
      <w:marLeft w:val="0"/>
      <w:marRight w:val="0"/>
      <w:marTop w:val="0"/>
      <w:marBottom w:val="0"/>
      <w:divBdr>
        <w:top w:val="none" w:sz="0" w:space="0" w:color="auto"/>
        <w:left w:val="none" w:sz="0" w:space="0" w:color="auto"/>
        <w:bottom w:val="none" w:sz="0" w:space="0" w:color="auto"/>
        <w:right w:val="none" w:sz="0" w:space="0" w:color="auto"/>
      </w:divBdr>
    </w:div>
    <w:div w:id="1485854163">
      <w:bodyDiv w:val="1"/>
      <w:marLeft w:val="0"/>
      <w:marRight w:val="0"/>
      <w:marTop w:val="0"/>
      <w:marBottom w:val="0"/>
      <w:divBdr>
        <w:top w:val="none" w:sz="0" w:space="0" w:color="auto"/>
        <w:left w:val="none" w:sz="0" w:space="0" w:color="auto"/>
        <w:bottom w:val="none" w:sz="0" w:space="0" w:color="auto"/>
        <w:right w:val="none" w:sz="0" w:space="0" w:color="auto"/>
      </w:divBdr>
    </w:div>
    <w:div w:id="1485900480">
      <w:bodyDiv w:val="1"/>
      <w:marLeft w:val="0"/>
      <w:marRight w:val="0"/>
      <w:marTop w:val="0"/>
      <w:marBottom w:val="0"/>
      <w:divBdr>
        <w:top w:val="none" w:sz="0" w:space="0" w:color="auto"/>
        <w:left w:val="none" w:sz="0" w:space="0" w:color="auto"/>
        <w:bottom w:val="none" w:sz="0" w:space="0" w:color="auto"/>
        <w:right w:val="none" w:sz="0" w:space="0" w:color="auto"/>
      </w:divBdr>
    </w:div>
    <w:div w:id="1488939863">
      <w:bodyDiv w:val="1"/>
      <w:marLeft w:val="0"/>
      <w:marRight w:val="0"/>
      <w:marTop w:val="0"/>
      <w:marBottom w:val="0"/>
      <w:divBdr>
        <w:top w:val="none" w:sz="0" w:space="0" w:color="auto"/>
        <w:left w:val="none" w:sz="0" w:space="0" w:color="auto"/>
        <w:bottom w:val="none" w:sz="0" w:space="0" w:color="auto"/>
        <w:right w:val="none" w:sz="0" w:space="0" w:color="auto"/>
      </w:divBdr>
    </w:div>
    <w:div w:id="1489398644">
      <w:bodyDiv w:val="1"/>
      <w:marLeft w:val="0"/>
      <w:marRight w:val="0"/>
      <w:marTop w:val="0"/>
      <w:marBottom w:val="0"/>
      <w:divBdr>
        <w:top w:val="none" w:sz="0" w:space="0" w:color="auto"/>
        <w:left w:val="none" w:sz="0" w:space="0" w:color="auto"/>
        <w:bottom w:val="none" w:sz="0" w:space="0" w:color="auto"/>
        <w:right w:val="none" w:sz="0" w:space="0" w:color="auto"/>
      </w:divBdr>
    </w:div>
    <w:div w:id="1489512131">
      <w:bodyDiv w:val="1"/>
      <w:marLeft w:val="0"/>
      <w:marRight w:val="0"/>
      <w:marTop w:val="0"/>
      <w:marBottom w:val="0"/>
      <w:divBdr>
        <w:top w:val="none" w:sz="0" w:space="0" w:color="auto"/>
        <w:left w:val="none" w:sz="0" w:space="0" w:color="auto"/>
        <w:bottom w:val="none" w:sz="0" w:space="0" w:color="auto"/>
        <w:right w:val="none" w:sz="0" w:space="0" w:color="auto"/>
      </w:divBdr>
    </w:div>
    <w:div w:id="1489514543">
      <w:bodyDiv w:val="1"/>
      <w:marLeft w:val="0"/>
      <w:marRight w:val="0"/>
      <w:marTop w:val="0"/>
      <w:marBottom w:val="0"/>
      <w:divBdr>
        <w:top w:val="none" w:sz="0" w:space="0" w:color="auto"/>
        <w:left w:val="none" w:sz="0" w:space="0" w:color="auto"/>
        <w:bottom w:val="none" w:sz="0" w:space="0" w:color="auto"/>
        <w:right w:val="none" w:sz="0" w:space="0" w:color="auto"/>
      </w:divBdr>
    </w:div>
    <w:div w:id="1489858793">
      <w:bodyDiv w:val="1"/>
      <w:marLeft w:val="0"/>
      <w:marRight w:val="0"/>
      <w:marTop w:val="0"/>
      <w:marBottom w:val="0"/>
      <w:divBdr>
        <w:top w:val="none" w:sz="0" w:space="0" w:color="auto"/>
        <w:left w:val="none" w:sz="0" w:space="0" w:color="auto"/>
        <w:bottom w:val="none" w:sz="0" w:space="0" w:color="auto"/>
        <w:right w:val="none" w:sz="0" w:space="0" w:color="auto"/>
      </w:divBdr>
    </w:div>
    <w:div w:id="1493108699">
      <w:bodyDiv w:val="1"/>
      <w:marLeft w:val="0"/>
      <w:marRight w:val="0"/>
      <w:marTop w:val="0"/>
      <w:marBottom w:val="0"/>
      <w:divBdr>
        <w:top w:val="none" w:sz="0" w:space="0" w:color="auto"/>
        <w:left w:val="none" w:sz="0" w:space="0" w:color="auto"/>
        <w:bottom w:val="none" w:sz="0" w:space="0" w:color="auto"/>
        <w:right w:val="none" w:sz="0" w:space="0" w:color="auto"/>
      </w:divBdr>
    </w:div>
    <w:div w:id="1494056707">
      <w:bodyDiv w:val="1"/>
      <w:marLeft w:val="0"/>
      <w:marRight w:val="0"/>
      <w:marTop w:val="0"/>
      <w:marBottom w:val="0"/>
      <w:divBdr>
        <w:top w:val="none" w:sz="0" w:space="0" w:color="auto"/>
        <w:left w:val="none" w:sz="0" w:space="0" w:color="auto"/>
        <w:bottom w:val="none" w:sz="0" w:space="0" w:color="auto"/>
        <w:right w:val="none" w:sz="0" w:space="0" w:color="auto"/>
      </w:divBdr>
    </w:div>
    <w:div w:id="1496649252">
      <w:bodyDiv w:val="1"/>
      <w:marLeft w:val="0"/>
      <w:marRight w:val="0"/>
      <w:marTop w:val="0"/>
      <w:marBottom w:val="0"/>
      <w:divBdr>
        <w:top w:val="none" w:sz="0" w:space="0" w:color="auto"/>
        <w:left w:val="none" w:sz="0" w:space="0" w:color="auto"/>
        <w:bottom w:val="none" w:sz="0" w:space="0" w:color="auto"/>
        <w:right w:val="none" w:sz="0" w:space="0" w:color="auto"/>
      </w:divBdr>
    </w:div>
    <w:div w:id="1496919995">
      <w:bodyDiv w:val="1"/>
      <w:marLeft w:val="0"/>
      <w:marRight w:val="0"/>
      <w:marTop w:val="0"/>
      <w:marBottom w:val="0"/>
      <w:divBdr>
        <w:top w:val="none" w:sz="0" w:space="0" w:color="auto"/>
        <w:left w:val="none" w:sz="0" w:space="0" w:color="auto"/>
        <w:bottom w:val="none" w:sz="0" w:space="0" w:color="auto"/>
        <w:right w:val="none" w:sz="0" w:space="0" w:color="auto"/>
      </w:divBdr>
    </w:div>
    <w:div w:id="1500197003">
      <w:bodyDiv w:val="1"/>
      <w:marLeft w:val="0"/>
      <w:marRight w:val="0"/>
      <w:marTop w:val="0"/>
      <w:marBottom w:val="0"/>
      <w:divBdr>
        <w:top w:val="none" w:sz="0" w:space="0" w:color="auto"/>
        <w:left w:val="none" w:sz="0" w:space="0" w:color="auto"/>
        <w:bottom w:val="none" w:sz="0" w:space="0" w:color="auto"/>
        <w:right w:val="none" w:sz="0" w:space="0" w:color="auto"/>
      </w:divBdr>
    </w:div>
    <w:div w:id="1500463542">
      <w:bodyDiv w:val="1"/>
      <w:marLeft w:val="0"/>
      <w:marRight w:val="0"/>
      <w:marTop w:val="0"/>
      <w:marBottom w:val="0"/>
      <w:divBdr>
        <w:top w:val="none" w:sz="0" w:space="0" w:color="auto"/>
        <w:left w:val="none" w:sz="0" w:space="0" w:color="auto"/>
        <w:bottom w:val="none" w:sz="0" w:space="0" w:color="auto"/>
        <w:right w:val="none" w:sz="0" w:space="0" w:color="auto"/>
      </w:divBdr>
    </w:div>
    <w:div w:id="1502310082">
      <w:bodyDiv w:val="1"/>
      <w:marLeft w:val="0"/>
      <w:marRight w:val="0"/>
      <w:marTop w:val="0"/>
      <w:marBottom w:val="0"/>
      <w:divBdr>
        <w:top w:val="none" w:sz="0" w:space="0" w:color="auto"/>
        <w:left w:val="none" w:sz="0" w:space="0" w:color="auto"/>
        <w:bottom w:val="none" w:sz="0" w:space="0" w:color="auto"/>
        <w:right w:val="none" w:sz="0" w:space="0" w:color="auto"/>
      </w:divBdr>
    </w:div>
    <w:div w:id="1502620175">
      <w:bodyDiv w:val="1"/>
      <w:marLeft w:val="0"/>
      <w:marRight w:val="0"/>
      <w:marTop w:val="0"/>
      <w:marBottom w:val="0"/>
      <w:divBdr>
        <w:top w:val="none" w:sz="0" w:space="0" w:color="auto"/>
        <w:left w:val="none" w:sz="0" w:space="0" w:color="auto"/>
        <w:bottom w:val="none" w:sz="0" w:space="0" w:color="auto"/>
        <w:right w:val="none" w:sz="0" w:space="0" w:color="auto"/>
      </w:divBdr>
    </w:div>
    <w:div w:id="1503277589">
      <w:bodyDiv w:val="1"/>
      <w:marLeft w:val="0"/>
      <w:marRight w:val="0"/>
      <w:marTop w:val="0"/>
      <w:marBottom w:val="0"/>
      <w:divBdr>
        <w:top w:val="none" w:sz="0" w:space="0" w:color="auto"/>
        <w:left w:val="none" w:sz="0" w:space="0" w:color="auto"/>
        <w:bottom w:val="none" w:sz="0" w:space="0" w:color="auto"/>
        <w:right w:val="none" w:sz="0" w:space="0" w:color="auto"/>
      </w:divBdr>
    </w:div>
    <w:div w:id="1505513108">
      <w:bodyDiv w:val="1"/>
      <w:marLeft w:val="0"/>
      <w:marRight w:val="0"/>
      <w:marTop w:val="0"/>
      <w:marBottom w:val="0"/>
      <w:divBdr>
        <w:top w:val="none" w:sz="0" w:space="0" w:color="auto"/>
        <w:left w:val="none" w:sz="0" w:space="0" w:color="auto"/>
        <w:bottom w:val="none" w:sz="0" w:space="0" w:color="auto"/>
        <w:right w:val="none" w:sz="0" w:space="0" w:color="auto"/>
      </w:divBdr>
    </w:div>
    <w:div w:id="1506359369">
      <w:bodyDiv w:val="1"/>
      <w:marLeft w:val="0"/>
      <w:marRight w:val="0"/>
      <w:marTop w:val="0"/>
      <w:marBottom w:val="0"/>
      <w:divBdr>
        <w:top w:val="none" w:sz="0" w:space="0" w:color="auto"/>
        <w:left w:val="none" w:sz="0" w:space="0" w:color="auto"/>
        <w:bottom w:val="none" w:sz="0" w:space="0" w:color="auto"/>
        <w:right w:val="none" w:sz="0" w:space="0" w:color="auto"/>
      </w:divBdr>
    </w:div>
    <w:div w:id="1506554066">
      <w:bodyDiv w:val="1"/>
      <w:marLeft w:val="0"/>
      <w:marRight w:val="0"/>
      <w:marTop w:val="0"/>
      <w:marBottom w:val="0"/>
      <w:divBdr>
        <w:top w:val="none" w:sz="0" w:space="0" w:color="auto"/>
        <w:left w:val="none" w:sz="0" w:space="0" w:color="auto"/>
        <w:bottom w:val="none" w:sz="0" w:space="0" w:color="auto"/>
        <w:right w:val="none" w:sz="0" w:space="0" w:color="auto"/>
      </w:divBdr>
    </w:div>
    <w:div w:id="1506554311">
      <w:bodyDiv w:val="1"/>
      <w:marLeft w:val="0"/>
      <w:marRight w:val="0"/>
      <w:marTop w:val="0"/>
      <w:marBottom w:val="0"/>
      <w:divBdr>
        <w:top w:val="none" w:sz="0" w:space="0" w:color="auto"/>
        <w:left w:val="none" w:sz="0" w:space="0" w:color="auto"/>
        <w:bottom w:val="none" w:sz="0" w:space="0" w:color="auto"/>
        <w:right w:val="none" w:sz="0" w:space="0" w:color="auto"/>
      </w:divBdr>
    </w:div>
    <w:div w:id="1506702132">
      <w:bodyDiv w:val="1"/>
      <w:marLeft w:val="0"/>
      <w:marRight w:val="0"/>
      <w:marTop w:val="0"/>
      <w:marBottom w:val="0"/>
      <w:divBdr>
        <w:top w:val="none" w:sz="0" w:space="0" w:color="auto"/>
        <w:left w:val="none" w:sz="0" w:space="0" w:color="auto"/>
        <w:bottom w:val="none" w:sz="0" w:space="0" w:color="auto"/>
        <w:right w:val="none" w:sz="0" w:space="0" w:color="auto"/>
      </w:divBdr>
    </w:div>
    <w:div w:id="1507018586">
      <w:bodyDiv w:val="1"/>
      <w:marLeft w:val="0"/>
      <w:marRight w:val="0"/>
      <w:marTop w:val="0"/>
      <w:marBottom w:val="0"/>
      <w:divBdr>
        <w:top w:val="none" w:sz="0" w:space="0" w:color="auto"/>
        <w:left w:val="none" w:sz="0" w:space="0" w:color="auto"/>
        <w:bottom w:val="none" w:sz="0" w:space="0" w:color="auto"/>
        <w:right w:val="none" w:sz="0" w:space="0" w:color="auto"/>
      </w:divBdr>
    </w:div>
    <w:div w:id="1509104025">
      <w:bodyDiv w:val="1"/>
      <w:marLeft w:val="0"/>
      <w:marRight w:val="0"/>
      <w:marTop w:val="0"/>
      <w:marBottom w:val="0"/>
      <w:divBdr>
        <w:top w:val="none" w:sz="0" w:space="0" w:color="auto"/>
        <w:left w:val="none" w:sz="0" w:space="0" w:color="auto"/>
        <w:bottom w:val="none" w:sz="0" w:space="0" w:color="auto"/>
        <w:right w:val="none" w:sz="0" w:space="0" w:color="auto"/>
      </w:divBdr>
    </w:div>
    <w:div w:id="1509252760">
      <w:bodyDiv w:val="1"/>
      <w:marLeft w:val="0"/>
      <w:marRight w:val="0"/>
      <w:marTop w:val="0"/>
      <w:marBottom w:val="0"/>
      <w:divBdr>
        <w:top w:val="none" w:sz="0" w:space="0" w:color="auto"/>
        <w:left w:val="none" w:sz="0" w:space="0" w:color="auto"/>
        <w:bottom w:val="none" w:sz="0" w:space="0" w:color="auto"/>
        <w:right w:val="none" w:sz="0" w:space="0" w:color="auto"/>
      </w:divBdr>
    </w:div>
    <w:div w:id="1509783018">
      <w:bodyDiv w:val="1"/>
      <w:marLeft w:val="0"/>
      <w:marRight w:val="0"/>
      <w:marTop w:val="0"/>
      <w:marBottom w:val="0"/>
      <w:divBdr>
        <w:top w:val="none" w:sz="0" w:space="0" w:color="auto"/>
        <w:left w:val="none" w:sz="0" w:space="0" w:color="auto"/>
        <w:bottom w:val="none" w:sz="0" w:space="0" w:color="auto"/>
        <w:right w:val="none" w:sz="0" w:space="0" w:color="auto"/>
      </w:divBdr>
    </w:div>
    <w:div w:id="1510095844">
      <w:bodyDiv w:val="1"/>
      <w:marLeft w:val="0"/>
      <w:marRight w:val="0"/>
      <w:marTop w:val="0"/>
      <w:marBottom w:val="0"/>
      <w:divBdr>
        <w:top w:val="none" w:sz="0" w:space="0" w:color="auto"/>
        <w:left w:val="none" w:sz="0" w:space="0" w:color="auto"/>
        <w:bottom w:val="none" w:sz="0" w:space="0" w:color="auto"/>
        <w:right w:val="none" w:sz="0" w:space="0" w:color="auto"/>
      </w:divBdr>
    </w:div>
    <w:div w:id="1513452602">
      <w:bodyDiv w:val="1"/>
      <w:marLeft w:val="0"/>
      <w:marRight w:val="0"/>
      <w:marTop w:val="0"/>
      <w:marBottom w:val="0"/>
      <w:divBdr>
        <w:top w:val="none" w:sz="0" w:space="0" w:color="auto"/>
        <w:left w:val="none" w:sz="0" w:space="0" w:color="auto"/>
        <w:bottom w:val="none" w:sz="0" w:space="0" w:color="auto"/>
        <w:right w:val="none" w:sz="0" w:space="0" w:color="auto"/>
      </w:divBdr>
    </w:div>
    <w:div w:id="1514150806">
      <w:bodyDiv w:val="1"/>
      <w:marLeft w:val="0"/>
      <w:marRight w:val="0"/>
      <w:marTop w:val="0"/>
      <w:marBottom w:val="0"/>
      <w:divBdr>
        <w:top w:val="none" w:sz="0" w:space="0" w:color="auto"/>
        <w:left w:val="none" w:sz="0" w:space="0" w:color="auto"/>
        <w:bottom w:val="none" w:sz="0" w:space="0" w:color="auto"/>
        <w:right w:val="none" w:sz="0" w:space="0" w:color="auto"/>
      </w:divBdr>
    </w:div>
    <w:div w:id="1514342997">
      <w:bodyDiv w:val="1"/>
      <w:marLeft w:val="0"/>
      <w:marRight w:val="0"/>
      <w:marTop w:val="0"/>
      <w:marBottom w:val="0"/>
      <w:divBdr>
        <w:top w:val="none" w:sz="0" w:space="0" w:color="auto"/>
        <w:left w:val="none" w:sz="0" w:space="0" w:color="auto"/>
        <w:bottom w:val="none" w:sz="0" w:space="0" w:color="auto"/>
        <w:right w:val="none" w:sz="0" w:space="0" w:color="auto"/>
      </w:divBdr>
    </w:div>
    <w:div w:id="1514343860">
      <w:bodyDiv w:val="1"/>
      <w:marLeft w:val="0"/>
      <w:marRight w:val="0"/>
      <w:marTop w:val="0"/>
      <w:marBottom w:val="0"/>
      <w:divBdr>
        <w:top w:val="none" w:sz="0" w:space="0" w:color="auto"/>
        <w:left w:val="none" w:sz="0" w:space="0" w:color="auto"/>
        <w:bottom w:val="none" w:sz="0" w:space="0" w:color="auto"/>
        <w:right w:val="none" w:sz="0" w:space="0" w:color="auto"/>
      </w:divBdr>
    </w:div>
    <w:div w:id="1514416402">
      <w:bodyDiv w:val="1"/>
      <w:marLeft w:val="0"/>
      <w:marRight w:val="0"/>
      <w:marTop w:val="0"/>
      <w:marBottom w:val="0"/>
      <w:divBdr>
        <w:top w:val="none" w:sz="0" w:space="0" w:color="auto"/>
        <w:left w:val="none" w:sz="0" w:space="0" w:color="auto"/>
        <w:bottom w:val="none" w:sz="0" w:space="0" w:color="auto"/>
        <w:right w:val="none" w:sz="0" w:space="0" w:color="auto"/>
      </w:divBdr>
    </w:div>
    <w:div w:id="1515269844">
      <w:bodyDiv w:val="1"/>
      <w:marLeft w:val="0"/>
      <w:marRight w:val="0"/>
      <w:marTop w:val="0"/>
      <w:marBottom w:val="0"/>
      <w:divBdr>
        <w:top w:val="none" w:sz="0" w:space="0" w:color="auto"/>
        <w:left w:val="none" w:sz="0" w:space="0" w:color="auto"/>
        <w:bottom w:val="none" w:sz="0" w:space="0" w:color="auto"/>
        <w:right w:val="none" w:sz="0" w:space="0" w:color="auto"/>
      </w:divBdr>
    </w:div>
    <w:div w:id="1515461170">
      <w:bodyDiv w:val="1"/>
      <w:marLeft w:val="0"/>
      <w:marRight w:val="0"/>
      <w:marTop w:val="0"/>
      <w:marBottom w:val="0"/>
      <w:divBdr>
        <w:top w:val="none" w:sz="0" w:space="0" w:color="auto"/>
        <w:left w:val="none" w:sz="0" w:space="0" w:color="auto"/>
        <w:bottom w:val="none" w:sz="0" w:space="0" w:color="auto"/>
        <w:right w:val="none" w:sz="0" w:space="0" w:color="auto"/>
      </w:divBdr>
    </w:div>
    <w:div w:id="1515798256">
      <w:bodyDiv w:val="1"/>
      <w:marLeft w:val="0"/>
      <w:marRight w:val="0"/>
      <w:marTop w:val="0"/>
      <w:marBottom w:val="0"/>
      <w:divBdr>
        <w:top w:val="none" w:sz="0" w:space="0" w:color="auto"/>
        <w:left w:val="none" w:sz="0" w:space="0" w:color="auto"/>
        <w:bottom w:val="none" w:sz="0" w:space="0" w:color="auto"/>
        <w:right w:val="none" w:sz="0" w:space="0" w:color="auto"/>
      </w:divBdr>
    </w:div>
    <w:div w:id="1517621399">
      <w:bodyDiv w:val="1"/>
      <w:marLeft w:val="0"/>
      <w:marRight w:val="0"/>
      <w:marTop w:val="0"/>
      <w:marBottom w:val="0"/>
      <w:divBdr>
        <w:top w:val="none" w:sz="0" w:space="0" w:color="auto"/>
        <w:left w:val="none" w:sz="0" w:space="0" w:color="auto"/>
        <w:bottom w:val="none" w:sz="0" w:space="0" w:color="auto"/>
        <w:right w:val="none" w:sz="0" w:space="0" w:color="auto"/>
      </w:divBdr>
    </w:div>
    <w:div w:id="1519732243">
      <w:bodyDiv w:val="1"/>
      <w:marLeft w:val="0"/>
      <w:marRight w:val="0"/>
      <w:marTop w:val="0"/>
      <w:marBottom w:val="0"/>
      <w:divBdr>
        <w:top w:val="none" w:sz="0" w:space="0" w:color="auto"/>
        <w:left w:val="none" w:sz="0" w:space="0" w:color="auto"/>
        <w:bottom w:val="none" w:sz="0" w:space="0" w:color="auto"/>
        <w:right w:val="none" w:sz="0" w:space="0" w:color="auto"/>
      </w:divBdr>
    </w:div>
    <w:div w:id="1520315923">
      <w:bodyDiv w:val="1"/>
      <w:marLeft w:val="0"/>
      <w:marRight w:val="0"/>
      <w:marTop w:val="0"/>
      <w:marBottom w:val="0"/>
      <w:divBdr>
        <w:top w:val="none" w:sz="0" w:space="0" w:color="auto"/>
        <w:left w:val="none" w:sz="0" w:space="0" w:color="auto"/>
        <w:bottom w:val="none" w:sz="0" w:space="0" w:color="auto"/>
        <w:right w:val="none" w:sz="0" w:space="0" w:color="auto"/>
      </w:divBdr>
    </w:div>
    <w:div w:id="1520466795">
      <w:bodyDiv w:val="1"/>
      <w:marLeft w:val="0"/>
      <w:marRight w:val="0"/>
      <w:marTop w:val="0"/>
      <w:marBottom w:val="0"/>
      <w:divBdr>
        <w:top w:val="none" w:sz="0" w:space="0" w:color="auto"/>
        <w:left w:val="none" w:sz="0" w:space="0" w:color="auto"/>
        <w:bottom w:val="none" w:sz="0" w:space="0" w:color="auto"/>
        <w:right w:val="none" w:sz="0" w:space="0" w:color="auto"/>
      </w:divBdr>
    </w:div>
    <w:div w:id="1520705645">
      <w:bodyDiv w:val="1"/>
      <w:marLeft w:val="0"/>
      <w:marRight w:val="0"/>
      <w:marTop w:val="0"/>
      <w:marBottom w:val="0"/>
      <w:divBdr>
        <w:top w:val="none" w:sz="0" w:space="0" w:color="auto"/>
        <w:left w:val="none" w:sz="0" w:space="0" w:color="auto"/>
        <w:bottom w:val="none" w:sz="0" w:space="0" w:color="auto"/>
        <w:right w:val="none" w:sz="0" w:space="0" w:color="auto"/>
      </w:divBdr>
    </w:div>
    <w:div w:id="1521159752">
      <w:bodyDiv w:val="1"/>
      <w:marLeft w:val="0"/>
      <w:marRight w:val="0"/>
      <w:marTop w:val="0"/>
      <w:marBottom w:val="0"/>
      <w:divBdr>
        <w:top w:val="none" w:sz="0" w:space="0" w:color="auto"/>
        <w:left w:val="none" w:sz="0" w:space="0" w:color="auto"/>
        <w:bottom w:val="none" w:sz="0" w:space="0" w:color="auto"/>
        <w:right w:val="none" w:sz="0" w:space="0" w:color="auto"/>
      </w:divBdr>
    </w:div>
    <w:div w:id="1521358638">
      <w:bodyDiv w:val="1"/>
      <w:marLeft w:val="0"/>
      <w:marRight w:val="0"/>
      <w:marTop w:val="0"/>
      <w:marBottom w:val="0"/>
      <w:divBdr>
        <w:top w:val="none" w:sz="0" w:space="0" w:color="auto"/>
        <w:left w:val="none" w:sz="0" w:space="0" w:color="auto"/>
        <w:bottom w:val="none" w:sz="0" w:space="0" w:color="auto"/>
        <w:right w:val="none" w:sz="0" w:space="0" w:color="auto"/>
      </w:divBdr>
    </w:div>
    <w:div w:id="1524855722">
      <w:bodyDiv w:val="1"/>
      <w:marLeft w:val="0"/>
      <w:marRight w:val="0"/>
      <w:marTop w:val="0"/>
      <w:marBottom w:val="0"/>
      <w:divBdr>
        <w:top w:val="none" w:sz="0" w:space="0" w:color="auto"/>
        <w:left w:val="none" w:sz="0" w:space="0" w:color="auto"/>
        <w:bottom w:val="none" w:sz="0" w:space="0" w:color="auto"/>
        <w:right w:val="none" w:sz="0" w:space="0" w:color="auto"/>
      </w:divBdr>
    </w:div>
    <w:div w:id="1525099126">
      <w:bodyDiv w:val="1"/>
      <w:marLeft w:val="0"/>
      <w:marRight w:val="0"/>
      <w:marTop w:val="0"/>
      <w:marBottom w:val="0"/>
      <w:divBdr>
        <w:top w:val="none" w:sz="0" w:space="0" w:color="auto"/>
        <w:left w:val="none" w:sz="0" w:space="0" w:color="auto"/>
        <w:bottom w:val="none" w:sz="0" w:space="0" w:color="auto"/>
        <w:right w:val="none" w:sz="0" w:space="0" w:color="auto"/>
      </w:divBdr>
    </w:div>
    <w:div w:id="1525511345">
      <w:bodyDiv w:val="1"/>
      <w:marLeft w:val="0"/>
      <w:marRight w:val="0"/>
      <w:marTop w:val="0"/>
      <w:marBottom w:val="0"/>
      <w:divBdr>
        <w:top w:val="none" w:sz="0" w:space="0" w:color="auto"/>
        <w:left w:val="none" w:sz="0" w:space="0" w:color="auto"/>
        <w:bottom w:val="none" w:sz="0" w:space="0" w:color="auto"/>
        <w:right w:val="none" w:sz="0" w:space="0" w:color="auto"/>
      </w:divBdr>
    </w:div>
    <w:div w:id="1526745645">
      <w:bodyDiv w:val="1"/>
      <w:marLeft w:val="0"/>
      <w:marRight w:val="0"/>
      <w:marTop w:val="0"/>
      <w:marBottom w:val="0"/>
      <w:divBdr>
        <w:top w:val="none" w:sz="0" w:space="0" w:color="auto"/>
        <w:left w:val="none" w:sz="0" w:space="0" w:color="auto"/>
        <w:bottom w:val="none" w:sz="0" w:space="0" w:color="auto"/>
        <w:right w:val="none" w:sz="0" w:space="0" w:color="auto"/>
      </w:divBdr>
    </w:div>
    <w:div w:id="1529443079">
      <w:bodyDiv w:val="1"/>
      <w:marLeft w:val="0"/>
      <w:marRight w:val="0"/>
      <w:marTop w:val="0"/>
      <w:marBottom w:val="0"/>
      <w:divBdr>
        <w:top w:val="none" w:sz="0" w:space="0" w:color="auto"/>
        <w:left w:val="none" w:sz="0" w:space="0" w:color="auto"/>
        <w:bottom w:val="none" w:sz="0" w:space="0" w:color="auto"/>
        <w:right w:val="none" w:sz="0" w:space="0" w:color="auto"/>
      </w:divBdr>
    </w:div>
    <w:div w:id="1529485834">
      <w:bodyDiv w:val="1"/>
      <w:marLeft w:val="0"/>
      <w:marRight w:val="0"/>
      <w:marTop w:val="0"/>
      <w:marBottom w:val="0"/>
      <w:divBdr>
        <w:top w:val="none" w:sz="0" w:space="0" w:color="auto"/>
        <w:left w:val="none" w:sz="0" w:space="0" w:color="auto"/>
        <w:bottom w:val="none" w:sz="0" w:space="0" w:color="auto"/>
        <w:right w:val="none" w:sz="0" w:space="0" w:color="auto"/>
      </w:divBdr>
    </w:div>
    <w:div w:id="1529677894">
      <w:bodyDiv w:val="1"/>
      <w:marLeft w:val="0"/>
      <w:marRight w:val="0"/>
      <w:marTop w:val="0"/>
      <w:marBottom w:val="0"/>
      <w:divBdr>
        <w:top w:val="none" w:sz="0" w:space="0" w:color="auto"/>
        <w:left w:val="none" w:sz="0" w:space="0" w:color="auto"/>
        <w:bottom w:val="none" w:sz="0" w:space="0" w:color="auto"/>
        <w:right w:val="none" w:sz="0" w:space="0" w:color="auto"/>
      </w:divBdr>
    </w:div>
    <w:div w:id="1529829337">
      <w:bodyDiv w:val="1"/>
      <w:marLeft w:val="0"/>
      <w:marRight w:val="0"/>
      <w:marTop w:val="0"/>
      <w:marBottom w:val="0"/>
      <w:divBdr>
        <w:top w:val="none" w:sz="0" w:space="0" w:color="auto"/>
        <w:left w:val="none" w:sz="0" w:space="0" w:color="auto"/>
        <w:bottom w:val="none" w:sz="0" w:space="0" w:color="auto"/>
        <w:right w:val="none" w:sz="0" w:space="0" w:color="auto"/>
      </w:divBdr>
    </w:div>
    <w:div w:id="1529834475">
      <w:bodyDiv w:val="1"/>
      <w:marLeft w:val="0"/>
      <w:marRight w:val="0"/>
      <w:marTop w:val="0"/>
      <w:marBottom w:val="0"/>
      <w:divBdr>
        <w:top w:val="none" w:sz="0" w:space="0" w:color="auto"/>
        <w:left w:val="none" w:sz="0" w:space="0" w:color="auto"/>
        <w:bottom w:val="none" w:sz="0" w:space="0" w:color="auto"/>
        <w:right w:val="none" w:sz="0" w:space="0" w:color="auto"/>
      </w:divBdr>
    </w:div>
    <w:div w:id="1530530229">
      <w:bodyDiv w:val="1"/>
      <w:marLeft w:val="0"/>
      <w:marRight w:val="0"/>
      <w:marTop w:val="0"/>
      <w:marBottom w:val="0"/>
      <w:divBdr>
        <w:top w:val="none" w:sz="0" w:space="0" w:color="auto"/>
        <w:left w:val="none" w:sz="0" w:space="0" w:color="auto"/>
        <w:bottom w:val="none" w:sz="0" w:space="0" w:color="auto"/>
        <w:right w:val="none" w:sz="0" w:space="0" w:color="auto"/>
      </w:divBdr>
    </w:div>
    <w:div w:id="1533113569">
      <w:bodyDiv w:val="1"/>
      <w:marLeft w:val="0"/>
      <w:marRight w:val="0"/>
      <w:marTop w:val="0"/>
      <w:marBottom w:val="0"/>
      <w:divBdr>
        <w:top w:val="none" w:sz="0" w:space="0" w:color="auto"/>
        <w:left w:val="none" w:sz="0" w:space="0" w:color="auto"/>
        <w:bottom w:val="none" w:sz="0" w:space="0" w:color="auto"/>
        <w:right w:val="none" w:sz="0" w:space="0" w:color="auto"/>
      </w:divBdr>
    </w:div>
    <w:div w:id="1537036288">
      <w:bodyDiv w:val="1"/>
      <w:marLeft w:val="0"/>
      <w:marRight w:val="0"/>
      <w:marTop w:val="0"/>
      <w:marBottom w:val="0"/>
      <w:divBdr>
        <w:top w:val="none" w:sz="0" w:space="0" w:color="auto"/>
        <w:left w:val="none" w:sz="0" w:space="0" w:color="auto"/>
        <w:bottom w:val="none" w:sz="0" w:space="0" w:color="auto"/>
        <w:right w:val="none" w:sz="0" w:space="0" w:color="auto"/>
      </w:divBdr>
    </w:div>
    <w:div w:id="1537892312">
      <w:bodyDiv w:val="1"/>
      <w:marLeft w:val="0"/>
      <w:marRight w:val="0"/>
      <w:marTop w:val="0"/>
      <w:marBottom w:val="0"/>
      <w:divBdr>
        <w:top w:val="none" w:sz="0" w:space="0" w:color="auto"/>
        <w:left w:val="none" w:sz="0" w:space="0" w:color="auto"/>
        <w:bottom w:val="none" w:sz="0" w:space="0" w:color="auto"/>
        <w:right w:val="none" w:sz="0" w:space="0" w:color="auto"/>
      </w:divBdr>
    </w:div>
    <w:div w:id="1540389611">
      <w:bodyDiv w:val="1"/>
      <w:marLeft w:val="0"/>
      <w:marRight w:val="0"/>
      <w:marTop w:val="0"/>
      <w:marBottom w:val="0"/>
      <w:divBdr>
        <w:top w:val="none" w:sz="0" w:space="0" w:color="auto"/>
        <w:left w:val="none" w:sz="0" w:space="0" w:color="auto"/>
        <w:bottom w:val="none" w:sz="0" w:space="0" w:color="auto"/>
        <w:right w:val="none" w:sz="0" w:space="0" w:color="auto"/>
      </w:divBdr>
    </w:div>
    <w:div w:id="1540967835">
      <w:bodyDiv w:val="1"/>
      <w:marLeft w:val="0"/>
      <w:marRight w:val="0"/>
      <w:marTop w:val="0"/>
      <w:marBottom w:val="0"/>
      <w:divBdr>
        <w:top w:val="none" w:sz="0" w:space="0" w:color="auto"/>
        <w:left w:val="none" w:sz="0" w:space="0" w:color="auto"/>
        <w:bottom w:val="none" w:sz="0" w:space="0" w:color="auto"/>
        <w:right w:val="none" w:sz="0" w:space="0" w:color="auto"/>
      </w:divBdr>
    </w:div>
    <w:div w:id="1540972738">
      <w:bodyDiv w:val="1"/>
      <w:marLeft w:val="0"/>
      <w:marRight w:val="0"/>
      <w:marTop w:val="0"/>
      <w:marBottom w:val="0"/>
      <w:divBdr>
        <w:top w:val="none" w:sz="0" w:space="0" w:color="auto"/>
        <w:left w:val="none" w:sz="0" w:space="0" w:color="auto"/>
        <w:bottom w:val="none" w:sz="0" w:space="0" w:color="auto"/>
        <w:right w:val="none" w:sz="0" w:space="0" w:color="auto"/>
      </w:divBdr>
    </w:div>
    <w:div w:id="1542277759">
      <w:bodyDiv w:val="1"/>
      <w:marLeft w:val="0"/>
      <w:marRight w:val="0"/>
      <w:marTop w:val="0"/>
      <w:marBottom w:val="0"/>
      <w:divBdr>
        <w:top w:val="none" w:sz="0" w:space="0" w:color="auto"/>
        <w:left w:val="none" w:sz="0" w:space="0" w:color="auto"/>
        <w:bottom w:val="none" w:sz="0" w:space="0" w:color="auto"/>
        <w:right w:val="none" w:sz="0" w:space="0" w:color="auto"/>
      </w:divBdr>
    </w:div>
    <w:div w:id="1542474707">
      <w:bodyDiv w:val="1"/>
      <w:marLeft w:val="0"/>
      <w:marRight w:val="0"/>
      <w:marTop w:val="0"/>
      <w:marBottom w:val="0"/>
      <w:divBdr>
        <w:top w:val="none" w:sz="0" w:space="0" w:color="auto"/>
        <w:left w:val="none" w:sz="0" w:space="0" w:color="auto"/>
        <w:bottom w:val="none" w:sz="0" w:space="0" w:color="auto"/>
        <w:right w:val="none" w:sz="0" w:space="0" w:color="auto"/>
      </w:divBdr>
    </w:div>
    <w:div w:id="1544513259">
      <w:bodyDiv w:val="1"/>
      <w:marLeft w:val="0"/>
      <w:marRight w:val="0"/>
      <w:marTop w:val="0"/>
      <w:marBottom w:val="0"/>
      <w:divBdr>
        <w:top w:val="none" w:sz="0" w:space="0" w:color="auto"/>
        <w:left w:val="none" w:sz="0" w:space="0" w:color="auto"/>
        <w:bottom w:val="none" w:sz="0" w:space="0" w:color="auto"/>
        <w:right w:val="none" w:sz="0" w:space="0" w:color="auto"/>
      </w:divBdr>
    </w:div>
    <w:div w:id="1545601581">
      <w:bodyDiv w:val="1"/>
      <w:marLeft w:val="0"/>
      <w:marRight w:val="0"/>
      <w:marTop w:val="0"/>
      <w:marBottom w:val="0"/>
      <w:divBdr>
        <w:top w:val="none" w:sz="0" w:space="0" w:color="auto"/>
        <w:left w:val="none" w:sz="0" w:space="0" w:color="auto"/>
        <w:bottom w:val="none" w:sz="0" w:space="0" w:color="auto"/>
        <w:right w:val="none" w:sz="0" w:space="0" w:color="auto"/>
      </w:divBdr>
    </w:div>
    <w:div w:id="1545605011">
      <w:bodyDiv w:val="1"/>
      <w:marLeft w:val="0"/>
      <w:marRight w:val="0"/>
      <w:marTop w:val="0"/>
      <w:marBottom w:val="0"/>
      <w:divBdr>
        <w:top w:val="none" w:sz="0" w:space="0" w:color="auto"/>
        <w:left w:val="none" w:sz="0" w:space="0" w:color="auto"/>
        <w:bottom w:val="none" w:sz="0" w:space="0" w:color="auto"/>
        <w:right w:val="none" w:sz="0" w:space="0" w:color="auto"/>
      </w:divBdr>
    </w:div>
    <w:div w:id="1545949864">
      <w:bodyDiv w:val="1"/>
      <w:marLeft w:val="0"/>
      <w:marRight w:val="0"/>
      <w:marTop w:val="0"/>
      <w:marBottom w:val="0"/>
      <w:divBdr>
        <w:top w:val="none" w:sz="0" w:space="0" w:color="auto"/>
        <w:left w:val="none" w:sz="0" w:space="0" w:color="auto"/>
        <w:bottom w:val="none" w:sz="0" w:space="0" w:color="auto"/>
        <w:right w:val="none" w:sz="0" w:space="0" w:color="auto"/>
      </w:divBdr>
    </w:div>
    <w:div w:id="1546335161">
      <w:bodyDiv w:val="1"/>
      <w:marLeft w:val="0"/>
      <w:marRight w:val="0"/>
      <w:marTop w:val="0"/>
      <w:marBottom w:val="0"/>
      <w:divBdr>
        <w:top w:val="none" w:sz="0" w:space="0" w:color="auto"/>
        <w:left w:val="none" w:sz="0" w:space="0" w:color="auto"/>
        <w:bottom w:val="none" w:sz="0" w:space="0" w:color="auto"/>
        <w:right w:val="none" w:sz="0" w:space="0" w:color="auto"/>
      </w:divBdr>
    </w:div>
    <w:div w:id="1546602809">
      <w:bodyDiv w:val="1"/>
      <w:marLeft w:val="0"/>
      <w:marRight w:val="0"/>
      <w:marTop w:val="0"/>
      <w:marBottom w:val="0"/>
      <w:divBdr>
        <w:top w:val="none" w:sz="0" w:space="0" w:color="auto"/>
        <w:left w:val="none" w:sz="0" w:space="0" w:color="auto"/>
        <w:bottom w:val="none" w:sz="0" w:space="0" w:color="auto"/>
        <w:right w:val="none" w:sz="0" w:space="0" w:color="auto"/>
      </w:divBdr>
    </w:div>
    <w:div w:id="1547524925">
      <w:bodyDiv w:val="1"/>
      <w:marLeft w:val="0"/>
      <w:marRight w:val="0"/>
      <w:marTop w:val="0"/>
      <w:marBottom w:val="0"/>
      <w:divBdr>
        <w:top w:val="none" w:sz="0" w:space="0" w:color="auto"/>
        <w:left w:val="none" w:sz="0" w:space="0" w:color="auto"/>
        <w:bottom w:val="none" w:sz="0" w:space="0" w:color="auto"/>
        <w:right w:val="none" w:sz="0" w:space="0" w:color="auto"/>
      </w:divBdr>
    </w:div>
    <w:div w:id="1550148779">
      <w:bodyDiv w:val="1"/>
      <w:marLeft w:val="0"/>
      <w:marRight w:val="0"/>
      <w:marTop w:val="0"/>
      <w:marBottom w:val="0"/>
      <w:divBdr>
        <w:top w:val="none" w:sz="0" w:space="0" w:color="auto"/>
        <w:left w:val="none" w:sz="0" w:space="0" w:color="auto"/>
        <w:bottom w:val="none" w:sz="0" w:space="0" w:color="auto"/>
        <w:right w:val="none" w:sz="0" w:space="0" w:color="auto"/>
      </w:divBdr>
    </w:div>
    <w:div w:id="1550651355">
      <w:bodyDiv w:val="1"/>
      <w:marLeft w:val="0"/>
      <w:marRight w:val="0"/>
      <w:marTop w:val="0"/>
      <w:marBottom w:val="0"/>
      <w:divBdr>
        <w:top w:val="none" w:sz="0" w:space="0" w:color="auto"/>
        <w:left w:val="none" w:sz="0" w:space="0" w:color="auto"/>
        <w:bottom w:val="none" w:sz="0" w:space="0" w:color="auto"/>
        <w:right w:val="none" w:sz="0" w:space="0" w:color="auto"/>
      </w:divBdr>
    </w:div>
    <w:div w:id="1550921569">
      <w:bodyDiv w:val="1"/>
      <w:marLeft w:val="0"/>
      <w:marRight w:val="0"/>
      <w:marTop w:val="0"/>
      <w:marBottom w:val="0"/>
      <w:divBdr>
        <w:top w:val="none" w:sz="0" w:space="0" w:color="auto"/>
        <w:left w:val="none" w:sz="0" w:space="0" w:color="auto"/>
        <w:bottom w:val="none" w:sz="0" w:space="0" w:color="auto"/>
        <w:right w:val="none" w:sz="0" w:space="0" w:color="auto"/>
      </w:divBdr>
    </w:div>
    <w:div w:id="1551306299">
      <w:bodyDiv w:val="1"/>
      <w:marLeft w:val="0"/>
      <w:marRight w:val="0"/>
      <w:marTop w:val="0"/>
      <w:marBottom w:val="0"/>
      <w:divBdr>
        <w:top w:val="none" w:sz="0" w:space="0" w:color="auto"/>
        <w:left w:val="none" w:sz="0" w:space="0" w:color="auto"/>
        <w:bottom w:val="none" w:sz="0" w:space="0" w:color="auto"/>
        <w:right w:val="none" w:sz="0" w:space="0" w:color="auto"/>
      </w:divBdr>
    </w:div>
    <w:div w:id="1551726616">
      <w:bodyDiv w:val="1"/>
      <w:marLeft w:val="0"/>
      <w:marRight w:val="0"/>
      <w:marTop w:val="0"/>
      <w:marBottom w:val="0"/>
      <w:divBdr>
        <w:top w:val="none" w:sz="0" w:space="0" w:color="auto"/>
        <w:left w:val="none" w:sz="0" w:space="0" w:color="auto"/>
        <w:bottom w:val="none" w:sz="0" w:space="0" w:color="auto"/>
        <w:right w:val="none" w:sz="0" w:space="0" w:color="auto"/>
      </w:divBdr>
    </w:div>
    <w:div w:id="1552425972">
      <w:bodyDiv w:val="1"/>
      <w:marLeft w:val="0"/>
      <w:marRight w:val="0"/>
      <w:marTop w:val="0"/>
      <w:marBottom w:val="0"/>
      <w:divBdr>
        <w:top w:val="none" w:sz="0" w:space="0" w:color="auto"/>
        <w:left w:val="none" w:sz="0" w:space="0" w:color="auto"/>
        <w:bottom w:val="none" w:sz="0" w:space="0" w:color="auto"/>
        <w:right w:val="none" w:sz="0" w:space="0" w:color="auto"/>
      </w:divBdr>
    </w:div>
    <w:div w:id="1552957639">
      <w:bodyDiv w:val="1"/>
      <w:marLeft w:val="0"/>
      <w:marRight w:val="0"/>
      <w:marTop w:val="0"/>
      <w:marBottom w:val="0"/>
      <w:divBdr>
        <w:top w:val="none" w:sz="0" w:space="0" w:color="auto"/>
        <w:left w:val="none" w:sz="0" w:space="0" w:color="auto"/>
        <w:bottom w:val="none" w:sz="0" w:space="0" w:color="auto"/>
        <w:right w:val="none" w:sz="0" w:space="0" w:color="auto"/>
      </w:divBdr>
    </w:div>
    <w:div w:id="1553033514">
      <w:bodyDiv w:val="1"/>
      <w:marLeft w:val="0"/>
      <w:marRight w:val="0"/>
      <w:marTop w:val="0"/>
      <w:marBottom w:val="0"/>
      <w:divBdr>
        <w:top w:val="none" w:sz="0" w:space="0" w:color="auto"/>
        <w:left w:val="none" w:sz="0" w:space="0" w:color="auto"/>
        <w:bottom w:val="none" w:sz="0" w:space="0" w:color="auto"/>
        <w:right w:val="none" w:sz="0" w:space="0" w:color="auto"/>
      </w:divBdr>
    </w:div>
    <w:div w:id="1553426685">
      <w:bodyDiv w:val="1"/>
      <w:marLeft w:val="0"/>
      <w:marRight w:val="0"/>
      <w:marTop w:val="0"/>
      <w:marBottom w:val="0"/>
      <w:divBdr>
        <w:top w:val="none" w:sz="0" w:space="0" w:color="auto"/>
        <w:left w:val="none" w:sz="0" w:space="0" w:color="auto"/>
        <w:bottom w:val="none" w:sz="0" w:space="0" w:color="auto"/>
        <w:right w:val="none" w:sz="0" w:space="0" w:color="auto"/>
      </w:divBdr>
    </w:div>
    <w:div w:id="1554268194">
      <w:bodyDiv w:val="1"/>
      <w:marLeft w:val="0"/>
      <w:marRight w:val="0"/>
      <w:marTop w:val="0"/>
      <w:marBottom w:val="0"/>
      <w:divBdr>
        <w:top w:val="none" w:sz="0" w:space="0" w:color="auto"/>
        <w:left w:val="none" w:sz="0" w:space="0" w:color="auto"/>
        <w:bottom w:val="none" w:sz="0" w:space="0" w:color="auto"/>
        <w:right w:val="none" w:sz="0" w:space="0" w:color="auto"/>
      </w:divBdr>
    </w:div>
    <w:div w:id="1554653117">
      <w:bodyDiv w:val="1"/>
      <w:marLeft w:val="0"/>
      <w:marRight w:val="0"/>
      <w:marTop w:val="0"/>
      <w:marBottom w:val="0"/>
      <w:divBdr>
        <w:top w:val="none" w:sz="0" w:space="0" w:color="auto"/>
        <w:left w:val="none" w:sz="0" w:space="0" w:color="auto"/>
        <w:bottom w:val="none" w:sz="0" w:space="0" w:color="auto"/>
        <w:right w:val="none" w:sz="0" w:space="0" w:color="auto"/>
      </w:divBdr>
    </w:div>
    <w:div w:id="1555048507">
      <w:bodyDiv w:val="1"/>
      <w:marLeft w:val="0"/>
      <w:marRight w:val="0"/>
      <w:marTop w:val="0"/>
      <w:marBottom w:val="0"/>
      <w:divBdr>
        <w:top w:val="none" w:sz="0" w:space="0" w:color="auto"/>
        <w:left w:val="none" w:sz="0" w:space="0" w:color="auto"/>
        <w:bottom w:val="none" w:sz="0" w:space="0" w:color="auto"/>
        <w:right w:val="none" w:sz="0" w:space="0" w:color="auto"/>
      </w:divBdr>
    </w:div>
    <w:div w:id="1555581063">
      <w:bodyDiv w:val="1"/>
      <w:marLeft w:val="0"/>
      <w:marRight w:val="0"/>
      <w:marTop w:val="0"/>
      <w:marBottom w:val="0"/>
      <w:divBdr>
        <w:top w:val="none" w:sz="0" w:space="0" w:color="auto"/>
        <w:left w:val="none" w:sz="0" w:space="0" w:color="auto"/>
        <w:bottom w:val="none" w:sz="0" w:space="0" w:color="auto"/>
        <w:right w:val="none" w:sz="0" w:space="0" w:color="auto"/>
      </w:divBdr>
    </w:div>
    <w:div w:id="1556240633">
      <w:bodyDiv w:val="1"/>
      <w:marLeft w:val="0"/>
      <w:marRight w:val="0"/>
      <w:marTop w:val="0"/>
      <w:marBottom w:val="0"/>
      <w:divBdr>
        <w:top w:val="none" w:sz="0" w:space="0" w:color="auto"/>
        <w:left w:val="none" w:sz="0" w:space="0" w:color="auto"/>
        <w:bottom w:val="none" w:sz="0" w:space="0" w:color="auto"/>
        <w:right w:val="none" w:sz="0" w:space="0" w:color="auto"/>
      </w:divBdr>
    </w:div>
    <w:div w:id="1556310665">
      <w:bodyDiv w:val="1"/>
      <w:marLeft w:val="0"/>
      <w:marRight w:val="0"/>
      <w:marTop w:val="0"/>
      <w:marBottom w:val="0"/>
      <w:divBdr>
        <w:top w:val="none" w:sz="0" w:space="0" w:color="auto"/>
        <w:left w:val="none" w:sz="0" w:space="0" w:color="auto"/>
        <w:bottom w:val="none" w:sz="0" w:space="0" w:color="auto"/>
        <w:right w:val="none" w:sz="0" w:space="0" w:color="auto"/>
      </w:divBdr>
    </w:div>
    <w:div w:id="1556625382">
      <w:bodyDiv w:val="1"/>
      <w:marLeft w:val="0"/>
      <w:marRight w:val="0"/>
      <w:marTop w:val="0"/>
      <w:marBottom w:val="0"/>
      <w:divBdr>
        <w:top w:val="none" w:sz="0" w:space="0" w:color="auto"/>
        <w:left w:val="none" w:sz="0" w:space="0" w:color="auto"/>
        <w:bottom w:val="none" w:sz="0" w:space="0" w:color="auto"/>
        <w:right w:val="none" w:sz="0" w:space="0" w:color="auto"/>
      </w:divBdr>
    </w:div>
    <w:div w:id="1557086450">
      <w:bodyDiv w:val="1"/>
      <w:marLeft w:val="0"/>
      <w:marRight w:val="0"/>
      <w:marTop w:val="0"/>
      <w:marBottom w:val="0"/>
      <w:divBdr>
        <w:top w:val="none" w:sz="0" w:space="0" w:color="auto"/>
        <w:left w:val="none" w:sz="0" w:space="0" w:color="auto"/>
        <w:bottom w:val="none" w:sz="0" w:space="0" w:color="auto"/>
        <w:right w:val="none" w:sz="0" w:space="0" w:color="auto"/>
      </w:divBdr>
    </w:div>
    <w:div w:id="1558934374">
      <w:bodyDiv w:val="1"/>
      <w:marLeft w:val="0"/>
      <w:marRight w:val="0"/>
      <w:marTop w:val="0"/>
      <w:marBottom w:val="0"/>
      <w:divBdr>
        <w:top w:val="none" w:sz="0" w:space="0" w:color="auto"/>
        <w:left w:val="none" w:sz="0" w:space="0" w:color="auto"/>
        <w:bottom w:val="none" w:sz="0" w:space="0" w:color="auto"/>
        <w:right w:val="none" w:sz="0" w:space="0" w:color="auto"/>
      </w:divBdr>
    </w:div>
    <w:div w:id="1560282890">
      <w:bodyDiv w:val="1"/>
      <w:marLeft w:val="0"/>
      <w:marRight w:val="0"/>
      <w:marTop w:val="0"/>
      <w:marBottom w:val="0"/>
      <w:divBdr>
        <w:top w:val="none" w:sz="0" w:space="0" w:color="auto"/>
        <w:left w:val="none" w:sz="0" w:space="0" w:color="auto"/>
        <w:bottom w:val="none" w:sz="0" w:space="0" w:color="auto"/>
        <w:right w:val="none" w:sz="0" w:space="0" w:color="auto"/>
      </w:divBdr>
    </w:div>
    <w:div w:id="1561358557">
      <w:bodyDiv w:val="1"/>
      <w:marLeft w:val="0"/>
      <w:marRight w:val="0"/>
      <w:marTop w:val="0"/>
      <w:marBottom w:val="0"/>
      <w:divBdr>
        <w:top w:val="none" w:sz="0" w:space="0" w:color="auto"/>
        <w:left w:val="none" w:sz="0" w:space="0" w:color="auto"/>
        <w:bottom w:val="none" w:sz="0" w:space="0" w:color="auto"/>
        <w:right w:val="none" w:sz="0" w:space="0" w:color="auto"/>
      </w:divBdr>
    </w:div>
    <w:div w:id="1563978880">
      <w:bodyDiv w:val="1"/>
      <w:marLeft w:val="0"/>
      <w:marRight w:val="0"/>
      <w:marTop w:val="0"/>
      <w:marBottom w:val="0"/>
      <w:divBdr>
        <w:top w:val="none" w:sz="0" w:space="0" w:color="auto"/>
        <w:left w:val="none" w:sz="0" w:space="0" w:color="auto"/>
        <w:bottom w:val="none" w:sz="0" w:space="0" w:color="auto"/>
        <w:right w:val="none" w:sz="0" w:space="0" w:color="auto"/>
      </w:divBdr>
    </w:div>
    <w:div w:id="1564296419">
      <w:bodyDiv w:val="1"/>
      <w:marLeft w:val="0"/>
      <w:marRight w:val="0"/>
      <w:marTop w:val="0"/>
      <w:marBottom w:val="0"/>
      <w:divBdr>
        <w:top w:val="none" w:sz="0" w:space="0" w:color="auto"/>
        <w:left w:val="none" w:sz="0" w:space="0" w:color="auto"/>
        <w:bottom w:val="none" w:sz="0" w:space="0" w:color="auto"/>
        <w:right w:val="none" w:sz="0" w:space="0" w:color="auto"/>
      </w:divBdr>
    </w:div>
    <w:div w:id="1564635587">
      <w:bodyDiv w:val="1"/>
      <w:marLeft w:val="0"/>
      <w:marRight w:val="0"/>
      <w:marTop w:val="0"/>
      <w:marBottom w:val="0"/>
      <w:divBdr>
        <w:top w:val="none" w:sz="0" w:space="0" w:color="auto"/>
        <w:left w:val="none" w:sz="0" w:space="0" w:color="auto"/>
        <w:bottom w:val="none" w:sz="0" w:space="0" w:color="auto"/>
        <w:right w:val="none" w:sz="0" w:space="0" w:color="auto"/>
      </w:divBdr>
    </w:div>
    <w:div w:id="1566180048">
      <w:bodyDiv w:val="1"/>
      <w:marLeft w:val="0"/>
      <w:marRight w:val="0"/>
      <w:marTop w:val="0"/>
      <w:marBottom w:val="0"/>
      <w:divBdr>
        <w:top w:val="none" w:sz="0" w:space="0" w:color="auto"/>
        <w:left w:val="none" w:sz="0" w:space="0" w:color="auto"/>
        <w:bottom w:val="none" w:sz="0" w:space="0" w:color="auto"/>
        <w:right w:val="none" w:sz="0" w:space="0" w:color="auto"/>
      </w:divBdr>
    </w:div>
    <w:div w:id="1567952125">
      <w:bodyDiv w:val="1"/>
      <w:marLeft w:val="0"/>
      <w:marRight w:val="0"/>
      <w:marTop w:val="0"/>
      <w:marBottom w:val="0"/>
      <w:divBdr>
        <w:top w:val="none" w:sz="0" w:space="0" w:color="auto"/>
        <w:left w:val="none" w:sz="0" w:space="0" w:color="auto"/>
        <w:bottom w:val="none" w:sz="0" w:space="0" w:color="auto"/>
        <w:right w:val="none" w:sz="0" w:space="0" w:color="auto"/>
      </w:divBdr>
    </w:div>
    <w:div w:id="1569219259">
      <w:bodyDiv w:val="1"/>
      <w:marLeft w:val="0"/>
      <w:marRight w:val="0"/>
      <w:marTop w:val="0"/>
      <w:marBottom w:val="0"/>
      <w:divBdr>
        <w:top w:val="none" w:sz="0" w:space="0" w:color="auto"/>
        <w:left w:val="none" w:sz="0" w:space="0" w:color="auto"/>
        <w:bottom w:val="none" w:sz="0" w:space="0" w:color="auto"/>
        <w:right w:val="none" w:sz="0" w:space="0" w:color="auto"/>
      </w:divBdr>
    </w:div>
    <w:div w:id="1570384335">
      <w:bodyDiv w:val="1"/>
      <w:marLeft w:val="0"/>
      <w:marRight w:val="0"/>
      <w:marTop w:val="0"/>
      <w:marBottom w:val="0"/>
      <w:divBdr>
        <w:top w:val="none" w:sz="0" w:space="0" w:color="auto"/>
        <w:left w:val="none" w:sz="0" w:space="0" w:color="auto"/>
        <w:bottom w:val="none" w:sz="0" w:space="0" w:color="auto"/>
        <w:right w:val="none" w:sz="0" w:space="0" w:color="auto"/>
      </w:divBdr>
    </w:div>
    <w:div w:id="1570577477">
      <w:bodyDiv w:val="1"/>
      <w:marLeft w:val="0"/>
      <w:marRight w:val="0"/>
      <w:marTop w:val="0"/>
      <w:marBottom w:val="0"/>
      <w:divBdr>
        <w:top w:val="none" w:sz="0" w:space="0" w:color="auto"/>
        <w:left w:val="none" w:sz="0" w:space="0" w:color="auto"/>
        <w:bottom w:val="none" w:sz="0" w:space="0" w:color="auto"/>
        <w:right w:val="none" w:sz="0" w:space="0" w:color="auto"/>
      </w:divBdr>
    </w:div>
    <w:div w:id="1570924595">
      <w:bodyDiv w:val="1"/>
      <w:marLeft w:val="0"/>
      <w:marRight w:val="0"/>
      <w:marTop w:val="0"/>
      <w:marBottom w:val="0"/>
      <w:divBdr>
        <w:top w:val="none" w:sz="0" w:space="0" w:color="auto"/>
        <w:left w:val="none" w:sz="0" w:space="0" w:color="auto"/>
        <w:bottom w:val="none" w:sz="0" w:space="0" w:color="auto"/>
        <w:right w:val="none" w:sz="0" w:space="0" w:color="auto"/>
      </w:divBdr>
    </w:div>
    <w:div w:id="1572230632">
      <w:bodyDiv w:val="1"/>
      <w:marLeft w:val="0"/>
      <w:marRight w:val="0"/>
      <w:marTop w:val="0"/>
      <w:marBottom w:val="0"/>
      <w:divBdr>
        <w:top w:val="none" w:sz="0" w:space="0" w:color="auto"/>
        <w:left w:val="none" w:sz="0" w:space="0" w:color="auto"/>
        <w:bottom w:val="none" w:sz="0" w:space="0" w:color="auto"/>
        <w:right w:val="none" w:sz="0" w:space="0" w:color="auto"/>
      </w:divBdr>
    </w:div>
    <w:div w:id="1572423539">
      <w:bodyDiv w:val="1"/>
      <w:marLeft w:val="0"/>
      <w:marRight w:val="0"/>
      <w:marTop w:val="0"/>
      <w:marBottom w:val="0"/>
      <w:divBdr>
        <w:top w:val="none" w:sz="0" w:space="0" w:color="auto"/>
        <w:left w:val="none" w:sz="0" w:space="0" w:color="auto"/>
        <w:bottom w:val="none" w:sz="0" w:space="0" w:color="auto"/>
        <w:right w:val="none" w:sz="0" w:space="0" w:color="auto"/>
      </w:divBdr>
    </w:div>
    <w:div w:id="1572619388">
      <w:bodyDiv w:val="1"/>
      <w:marLeft w:val="0"/>
      <w:marRight w:val="0"/>
      <w:marTop w:val="0"/>
      <w:marBottom w:val="0"/>
      <w:divBdr>
        <w:top w:val="none" w:sz="0" w:space="0" w:color="auto"/>
        <w:left w:val="none" w:sz="0" w:space="0" w:color="auto"/>
        <w:bottom w:val="none" w:sz="0" w:space="0" w:color="auto"/>
        <w:right w:val="none" w:sz="0" w:space="0" w:color="auto"/>
      </w:divBdr>
    </w:div>
    <w:div w:id="1573545779">
      <w:bodyDiv w:val="1"/>
      <w:marLeft w:val="0"/>
      <w:marRight w:val="0"/>
      <w:marTop w:val="0"/>
      <w:marBottom w:val="0"/>
      <w:divBdr>
        <w:top w:val="none" w:sz="0" w:space="0" w:color="auto"/>
        <w:left w:val="none" w:sz="0" w:space="0" w:color="auto"/>
        <w:bottom w:val="none" w:sz="0" w:space="0" w:color="auto"/>
        <w:right w:val="none" w:sz="0" w:space="0" w:color="auto"/>
      </w:divBdr>
    </w:div>
    <w:div w:id="1574581530">
      <w:bodyDiv w:val="1"/>
      <w:marLeft w:val="0"/>
      <w:marRight w:val="0"/>
      <w:marTop w:val="0"/>
      <w:marBottom w:val="0"/>
      <w:divBdr>
        <w:top w:val="none" w:sz="0" w:space="0" w:color="auto"/>
        <w:left w:val="none" w:sz="0" w:space="0" w:color="auto"/>
        <w:bottom w:val="none" w:sz="0" w:space="0" w:color="auto"/>
        <w:right w:val="none" w:sz="0" w:space="0" w:color="auto"/>
      </w:divBdr>
    </w:div>
    <w:div w:id="1574581972">
      <w:bodyDiv w:val="1"/>
      <w:marLeft w:val="0"/>
      <w:marRight w:val="0"/>
      <w:marTop w:val="0"/>
      <w:marBottom w:val="0"/>
      <w:divBdr>
        <w:top w:val="none" w:sz="0" w:space="0" w:color="auto"/>
        <w:left w:val="none" w:sz="0" w:space="0" w:color="auto"/>
        <w:bottom w:val="none" w:sz="0" w:space="0" w:color="auto"/>
        <w:right w:val="none" w:sz="0" w:space="0" w:color="auto"/>
      </w:divBdr>
    </w:div>
    <w:div w:id="1576894295">
      <w:bodyDiv w:val="1"/>
      <w:marLeft w:val="0"/>
      <w:marRight w:val="0"/>
      <w:marTop w:val="0"/>
      <w:marBottom w:val="0"/>
      <w:divBdr>
        <w:top w:val="none" w:sz="0" w:space="0" w:color="auto"/>
        <w:left w:val="none" w:sz="0" w:space="0" w:color="auto"/>
        <w:bottom w:val="none" w:sz="0" w:space="0" w:color="auto"/>
        <w:right w:val="none" w:sz="0" w:space="0" w:color="auto"/>
      </w:divBdr>
      <w:divsChild>
        <w:div w:id="127479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856479">
      <w:bodyDiv w:val="1"/>
      <w:marLeft w:val="0"/>
      <w:marRight w:val="0"/>
      <w:marTop w:val="0"/>
      <w:marBottom w:val="0"/>
      <w:divBdr>
        <w:top w:val="none" w:sz="0" w:space="0" w:color="auto"/>
        <w:left w:val="none" w:sz="0" w:space="0" w:color="auto"/>
        <w:bottom w:val="none" w:sz="0" w:space="0" w:color="auto"/>
        <w:right w:val="none" w:sz="0" w:space="0" w:color="auto"/>
      </w:divBdr>
    </w:div>
    <w:div w:id="1578243521">
      <w:bodyDiv w:val="1"/>
      <w:marLeft w:val="0"/>
      <w:marRight w:val="0"/>
      <w:marTop w:val="0"/>
      <w:marBottom w:val="0"/>
      <w:divBdr>
        <w:top w:val="none" w:sz="0" w:space="0" w:color="auto"/>
        <w:left w:val="none" w:sz="0" w:space="0" w:color="auto"/>
        <w:bottom w:val="none" w:sz="0" w:space="0" w:color="auto"/>
        <w:right w:val="none" w:sz="0" w:space="0" w:color="auto"/>
      </w:divBdr>
    </w:div>
    <w:div w:id="1578978034">
      <w:bodyDiv w:val="1"/>
      <w:marLeft w:val="0"/>
      <w:marRight w:val="0"/>
      <w:marTop w:val="0"/>
      <w:marBottom w:val="0"/>
      <w:divBdr>
        <w:top w:val="none" w:sz="0" w:space="0" w:color="auto"/>
        <w:left w:val="none" w:sz="0" w:space="0" w:color="auto"/>
        <w:bottom w:val="none" w:sz="0" w:space="0" w:color="auto"/>
        <w:right w:val="none" w:sz="0" w:space="0" w:color="auto"/>
      </w:divBdr>
    </w:div>
    <w:div w:id="1579823209">
      <w:bodyDiv w:val="1"/>
      <w:marLeft w:val="0"/>
      <w:marRight w:val="0"/>
      <w:marTop w:val="0"/>
      <w:marBottom w:val="0"/>
      <w:divBdr>
        <w:top w:val="none" w:sz="0" w:space="0" w:color="auto"/>
        <w:left w:val="none" w:sz="0" w:space="0" w:color="auto"/>
        <w:bottom w:val="none" w:sz="0" w:space="0" w:color="auto"/>
        <w:right w:val="none" w:sz="0" w:space="0" w:color="auto"/>
      </w:divBdr>
    </w:div>
    <w:div w:id="1579902314">
      <w:bodyDiv w:val="1"/>
      <w:marLeft w:val="0"/>
      <w:marRight w:val="0"/>
      <w:marTop w:val="0"/>
      <w:marBottom w:val="0"/>
      <w:divBdr>
        <w:top w:val="none" w:sz="0" w:space="0" w:color="auto"/>
        <w:left w:val="none" w:sz="0" w:space="0" w:color="auto"/>
        <w:bottom w:val="none" w:sz="0" w:space="0" w:color="auto"/>
        <w:right w:val="none" w:sz="0" w:space="0" w:color="auto"/>
      </w:divBdr>
    </w:div>
    <w:div w:id="1580216001">
      <w:bodyDiv w:val="1"/>
      <w:marLeft w:val="0"/>
      <w:marRight w:val="0"/>
      <w:marTop w:val="0"/>
      <w:marBottom w:val="0"/>
      <w:divBdr>
        <w:top w:val="none" w:sz="0" w:space="0" w:color="auto"/>
        <w:left w:val="none" w:sz="0" w:space="0" w:color="auto"/>
        <w:bottom w:val="none" w:sz="0" w:space="0" w:color="auto"/>
        <w:right w:val="none" w:sz="0" w:space="0" w:color="auto"/>
      </w:divBdr>
    </w:div>
    <w:div w:id="1580599045">
      <w:bodyDiv w:val="1"/>
      <w:marLeft w:val="0"/>
      <w:marRight w:val="0"/>
      <w:marTop w:val="0"/>
      <w:marBottom w:val="0"/>
      <w:divBdr>
        <w:top w:val="none" w:sz="0" w:space="0" w:color="auto"/>
        <w:left w:val="none" w:sz="0" w:space="0" w:color="auto"/>
        <w:bottom w:val="none" w:sz="0" w:space="0" w:color="auto"/>
        <w:right w:val="none" w:sz="0" w:space="0" w:color="auto"/>
      </w:divBdr>
    </w:div>
    <w:div w:id="1583488605">
      <w:bodyDiv w:val="1"/>
      <w:marLeft w:val="0"/>
      <w:marRight w:val="0"/>
      <w:marTop w:val="0"/>
      <w:marBottom w:val="0"/>
      <w:divBdr>
        <w:top w:val="none" w:sz="0" w:space="0" w:color="auto"/>
        <w:left w:val="none" w:sz="0" w:space="0" w:color="auto"/>
        <w:bottom w:val="none" w:sz="0" w:space="0" w:color="auto"/>
        <w:right w:val="none" w:sz="0" w:space="0" w:color="auto"/>
      </w:divBdr>
    </w:div>
    <w:div w:id="1583638293">
      <w:bodyDiv w:val="1"/>
      <w:marLeft w:val="0"/>
      <w:marRight w:val="0"/>
      <w:marTop w:val="0"/>
      <w:marBottom w:val="0"/>
      <w:divBdr>
        <w:top w:val="none" w:sz="0" w:space="0" w:color="auto"/>
        <w:left w:val="none" w:sz="0" w:space="0" w:color="auto"/>
        <w:bottom w:val="none" w:sz="0" w:space="0" w:color="auto"/>
        <w:right w:val="none" w:sz="0" w:space="0" w:color="auto"/>
      </w:divBdr>
    </w:div>
    <w:div w:id="1583679501">
      <w:bodyDiv w:val="1"/>
      <w:marLeft w:val="0"/>
      <w:marRight w:val="0"/>
      <w:marTop w:val="0"/>
      <w:marBottom w:val="0"/>
      <w:divBdr>
        <w:top w:val="none" w:sz="0" w:space="0" w:color="auto"/>
        <w:left w:val="none" w:sz="0" w:space="0" w:color="auto"/>
        <w:bottom w:val="none" w:sz="0" w:space="0" w:color="auto"/>
        <w:right w:val="none" w:sz="0" w:space="0" w:color="auto"/>
      </w:divBdr>
    </w:div>
    <w:div w:id="1583760156">
      <w:bodyDiv w:val="1"/>
      <w:marLeft w:val="0"/>
      <w:marRight w:val="0"/>
      <w:marTop w:val="0"/>
      <w:marBottom w:val="0"/>
      <w:divBdr>
        <w:top w:val="none" w:sz="0" w:space="0" w:color="auto"/>
        <w:left w:val="none" w:sz="0" w:space="0" w:color="auto"/>
        <w:bottom w:val="none" w:sz="0" w:space="0" w:color="auto"/>
        <w:right w:val="none" w:sz="0" w:space="0" w:color="auto"/>
      </w:divBdr>
    </w:div>
    <w:div w:id="1583952672">
      <w:bodyDiv w:val="1"/>
      <w:marLeft w:val="0"/>
      <w:marRight w:val="0"/>
      <w:marTop w:val="0"/>
      <w:marBottom w:val="0"/>
      <w:divBdr>
        <w:top w:val="none" w:sz="0" w:space="0" w:color="auto"/>
        <w:left w:val="none" w:sz="0" w:space="0" w:color="auto"/>
        <w:bottom w:val="none" w:sz="0" w:space="0" w:color="auto"/>
        <w:right w:val="none" w:sz="0" w:space="0" w:color="auto"/>
      </w:divBdr>
    </w:div>
    <w:div w:id="1585644024">
      <w:bodyDiv w:val="1"/>
      <w:marLeft w:val="0"/>
      <w:marRight w:val="0"/>
      <w:marTop w:val="0"/>
      <w:marBottom w:val="0"/>
      <w:divBdr>
        <w:top w:val="none" w:sz="0" w:space="0" w:color="auto"/>
        <w:left w:val="none" w:sz="0" w:space="0" w:color="auto"/>
        <w:bottom w:val="none" w:sz="0" w:space="0" w:color="auto"/>
        <w:right w:val="none" w:sz="0" w:space="0" w:color="auto"/>
      </w:divBdr>
    </w:div>
    <w:div w:id="1587766317">
      <w:bodyDiv w:val="1"/>
      <w:marLeft w:val="0"/>
      <w:marRight w:val="0"/>
      <w:marTop w:val="0"/>
      <w:marBottom w:val="0"/>
      <w:divBdr>
        <w:top w:val="none" w:sz="0" w:space="0" w:color="auto"/>
        <w:left w:val="none" w:sz="0" w:space="0" w:color="auto"/>
        <w:bottom w:val="none" w:sz="0" w:space="0" w:color="auto"/>
        <w:right w:val="none" w:sz="0" w:space="0" w:color="auto"/>
      </w:divBdr>
    </w:div>
    <w:div w:id="1588465325">
      <w:bodyDiv w:val="1"/>
      <w:marLeft w:val="0"/>
      <w:marRight w:val="0"/>
      <w:marTop w:val="0"/>
      <w:marBottom w:val="0"/>
      <w:divBdr>
        <w:top w:val="none" w:sz="0" w:space="0" w:color="auto"/>
        <w:left w:val="none" w:sz="0" w:space="0" w:color="auto"/>
        <w:bottom w:val="none" w:sz="0" w:space="0" w:color="auto"/>
        <w:right w:val="none" w:sz="0" w:space="0" w:color="auto"/>
      </w:divBdr>
    </w:div>
    <w:div w:id="1588929231">
      <w:bodyDiv w:val="1"/>
      <w:marLeft w:val="0"/>
      <w:marRight w:val="0"/>
      <w:marTop w:val="0"/>
      <w:marBottom w:val="0"/>
      <w:divBdr>
        <w:top w:val="none" w:sz="0" w:space="0" w:color="auto"/>
        <w:left w:val="none" w:sz="0" w:space="0" w:color="auto"/>
        <w:bottom w:val="none" w:sz="0" w:space="0" w:color="auto"/>
        <w:right w:val="none" w:sz="0" w:space="0" w:color="auto"/>
      </w:divBdr>
    </w:div>
    <w:div w:id="1589921266">
      <w:bodyDiv w:val="1"/>
      <w:marLeft w:val="0"/>
      <w:marRight w:val="0"/>
      <w:marTop w:val="0"/>
      <w:marBottom w:val="0"/>
      <w:divBdr>
        <w:top w:val="none" w:sz="0" w:space="0" w:color="auto"/>
        <w:left w:val="none" w:sz="0" w:space="0" w:color="auto"/>
        <w:bottom w:val="none" w:sz="0" w:space="0" w:color="auto"/>
        <w:right w:val="none" w:sz="0" w:space="0" w:color="auto"/>
      </w:divBdr>
    </w:div>
    <w:div w:id="1591045086">
      <w:bodyDiv w:val="1"/>
      <w:marLeft w:val="0"/>
      <w:marRight w:val="0"/>
      <w:marTop w:val="0"/>
      <w:marBottom w:val="0"/>
      <w:divBdr>
        <w:top w:val="none" w:sz="0" w:space="0" w:color="auto"/>
        <w:left w:val="none" w:sz="0" w:space="0" w:color="auto"/>
        <w:bottom w:val="none" w:sz="0" w:space="0" w:color="auto"/>
        <w:right w:val="none" w:sz="0" w:space="0" w:color="auto"/>
      </w:divBdr>
    </w:div>
    <w:div w:id="1592397500">
      <w:bodyDiv w:val="1"/>
      <w:marLeft w:val="0"/>
      <w:marRight w:val="0"/>
      <w:marTop w:val="0"/>
      <w:marBottom w:val="0"/>
      <w:divBdr>
        <w:top w:val="none" w:sz="0" w:space="0" w:color="auto"/>
        <w:left w:val="none" w:sz="0" w:space="0" w:color="auto"/>
        <w:bottom w:val="none" w:sz="0" w:space="0" w:color="auto"/>
        <w:right w:val="none" w:sz="0" w:space="0" w:color="auto"/>
      </w:divBdr>
    </w:div>
    <w:div w:id="1592548543">
      <w:bodyDiv w:val="1"/>
      <w:marLeft w:val="0"/>
      <w:marRight w:val="0"/>
      <w:marTop w:val="0"/>
      <w:marBottom w:val="0"/>
      <w:divBdr>
        <w:top w:val="none" w:sz="0" w:space="0" w:color="auto"/>
        <w:left w:val="none" w:sz="0" w:space="0" w:color="auto"/>
        <w:bottom w:val="none" w:sz="0" w:space="0" w:color="auto"/>
        <w:right w:val="none" w:sz="0" w:space="0" w:color="auto"/>
      </w:divBdr>
    </w:div>
    <w:div w:id="1592815096">
      <w:bodyDiv w:val="1"/>
      <w:marLeft w:val="0"/>
      <w:marRight w:val="0"/>
      <w:marTop w:val="0"/>
      <w:marBottom w:val="0"/>
      <w:divBdr>
        <w:top w:val="none" w:sz="0" w:space="0" w:color="auto"/>
        <w:left w:val="none" w:sz="0" w:space="0" w:color="auto"/>
        <w:bottom w:val="none" w:sz="0" w:space="0" w:color="auto"/>
        <w:right w:val="none" w:sz="0" w:space="0" w:color="auto"/>
      </w:divBdr>
    </w:div>
    <w:div w:id="1593510869">
      <w:bodyDiv w:val="1"/>
      <w:marLeft w:val="0"/>
      <w:marRight w:val="0"/>
      <w:marTop w:val="0"/>
      <w:marBottom w:val="0"/>
      <w:divBdr>
        <w:top w:val="none" w:sz="0" w:space="0" w:color="auto"/>
        <w:left w:val="none" w:sz="0" w:space="0" w:color="auto"/>
        <w:bottom w:val="none" w:sz="0" w:space="0" w:color="auto"/>
        <w:right w:val="none" w:sz="0" w:space="0" w:color="auto"/>
      </w:divBdr>
    </w:div>
    <w:div w:id="1593732658">
      <w:bodyDiv w:val="1"/>
      <w:marLeft w:val="0"/>
      <w:marRight w:val="0"/>
      <w:marTop w:val="0"/>
      <w:marBottom w:val="0"/>
      <w:divBdr>
        <w:top w:val="none" w:sz="0" w:space="0" w:color="auto"/>
        <w:left w:val="none" w:sz="0" w:space="0" w:color="auto"/>
        <w:bottom w:val="none" w:sz="0" w:space="0" w:color="auto"/>
        <w:right w:val="none" w:sz="0" w:space="0" w:color="auto"/>
      </w:divBdr>
    </w:div>
    <w:div w:id="1594169783">
      <w:bodyDiv w:val="1"/>
      <w:marLeft w:val="0"/>
      <w:marRight w:val="0"/>
      <w:marTop w:val="0"/>
      <w:marBottom w:val="0"/>
      <w:divBdr>
        <w:top w:val="none" w:sz="0" w:space="0" w:color="auto"/>
        <w:left w:val="none" w:sz="0" w:space="0" w:color="auto"/>
        <w:bottom w:val="none" w:sz="0" w:space="0" w:color="auto"/>
        <w:right w:val="none" w:sz="0" w:space="0" w:color="auto"/>
      </w:divBdr>
    </w:div>
    <w:div w:id="1594315056">
      <w:bodyDiv w:val="1"/>
      <w:marLeft w:val="0"/>
      <w:marRight w:val="0"/>
      <w:marTop w:val="0"/>
      <w:marBottom w:val="0"/>
      <w:divBdr>
        <w:top w:val="none" w:sz="0" w:space="0" w:color="auto"/>
        <w:left w:val="none" w:sz="0" w:space="0" w:color="auto"/>
        <w:bottom w:val="none" w:sz="0" w:space="0" w:color="auto"/>
        <w:right w:val="none" w:sz="0" w:space="0" w:color="auto"/>
      </w:divBdr>
    </w:div>
    <w:div w:id="1594390341">
      <w:bodyDiv w:val="1"/>
      <w:marLeft w:val="0"/>
      <w:marRight w:val="0"/>
      <w:marTop w:val="0"/>
      <w:marBottom w:val="0"/>
      <w:divBdr>
        <w:top w:val="none" w:sz="0" w:space="0" w:color="auto"/>
        <w:left w:val="none" w:sz="0" w:space="0" w:color="auto"/>
        <w:bottom w:val="none" w:sz="0" w:space="0" w:color="auto"/>
        <w:right w:val="none" w:sz="0" w:space="0" w:color="auto"/>
      </w:divBdr>
    </w:div>
    <w:div w:id="1594625814">
      <w:bodyDiv w:val="1"/>
      <w:marLeft w:val="0"/>
      <w:marRight w:val="0"/>
      <w:marTop w:val="0"/>
      <w:marBottom w:val="0"/>
      <w:divBdr>
        <w:top w:val="none" w:sz="0" w:space="0" w:color="auto"/>
        <w:left w:val="none" w:sz="0" w:space="0" w:color="auto"/>
        <w:bottom w:val="none" w:sz="0" w:space="0" w:color="auto"/>
        <w:right w:val="none" w:sz="0" w:space="0" w:color="auto"/>
      </w:divBdr>
    </w:div>
    <w:div w:id="1594898219">
      <w:bodyDiv w:val="1"/>
      <w:marLeft w:val="0"/>
      <w:marRight w:val="0"/>
      <w:marTop w:val="0"/>
      <w:marBottom w:val="0"/>
      <w:divBdr>
        <w:top w:val="none" w:sz="0" w:space="0" w:color="auto"/>
        <w:left w:val="none" w:sz="0" w:space="0" w:color="auto"/>
        <w:bottom w:val="none" w:sz="0" w:space="0" w:color="auto"/>
        <w:right w:val="none" w:sz="0" w:space="0" w:color="auto"/>
      </w:divBdr>
    </w:div>
    <w:div w:id="1595551014">
      <w:bodyDiv w:val="1"/>
      <w:marLeft w:val="0"/>
      <w:marRight w:val="0"/>
      <w:marTop w:val="0"/>
      <w:marBottom w:val="0"/>
      <w:divBdr>
        <w:top w:val="none" w:sz="0" w:space="0" w:color="auto"/>
        <w:left w:val="none" w:sz="0" w:space="0" w:color="auto"/>
        <w:bottom w:val="none" w:sz="0" w:space="0" w:color="auto"/>
        <w:right w:val="none" w:sz="0" w:space="0" w:color="auto"/>
      </w:divBdr>
    </w:div>
    <w:div w:id="1597518638">
      <w:bodyDiv w:val="1"/>
      <w:marLeft w:val="0"/>
      <w:marRight w:val="0"/>
      <w:marTop w:val="0"/>
      <w:marBottom w:val="0"/>
      <w:divBdr>
        <w:top w:val="none" w:sz="0" w:space="0" w:color="auto"/>
        <w:left w:val="none" w:sz="0" w:space="0" w:color="auto"/>
        <w:bottom w:val="none" w:sz="0" w:space="0" w:color="auto"/>
        <w:right w:val="none" w:sz="0" w:space="0" w:color="auto"/>
      </w:divBdr>
    </w:div>
    <w:div w:id="1598097709">
      <w:bodyDiv w:val="1"/>
      <w:marLeft w:val="0"/>
      <w:marRight w:val="0"/>
      <w:marTop w:val="0"/>
      <w:marBottom w:val="0"/>
      <w:divBdr>
        <w:top w:val="none" w:sz="0" w:space="0" w:color="auto"/>
        <w:left w:val="none" w:sz="0" w:space="0" w:color="auto"/>
        <w:bottom w:val="none" w:sz="0" w:space="0" w:color="auto"/>
        <w:right w:val="none" w:sz="0" w:space="0" w:color="auto"/>
      </w:divBdr>
    </w:div>
    <w:div w:id="1598710503">
      <w:bodyDiv w:val="1"/>
      <w:marLeft w:val="0"/>
      <w:marRight w:val="0"/>
      <w:marTop w:val="0"/>
      <w:marBottom w:val="0"/>
      <w:divBdr>
        <w:top w:val="none" w:sz="0" w:space="0" w:color="auto"/>
        <w:left w:val="none" w:sz="0" w:space="0" w:color="auto"/>
        <w:bottom w:val="none" w:sz="0" w:space="0" w:color="auto"/>
        <w:right w:val="none" w:sz="0" w:space="0" w:color="auto"/>
      </w:divBdr>
    </w:div>
    <w:div w:id="1602420942">
      <w:bodyDiv w:val="1"/>
      <w:marLeft w:val="0"/>
      <w:marRight w:val="0"/>
      <w:marTop w:val="0"/>
      <w:marBottom w:val="0"/>
      <w:divBdr>
        <w:top w:val="none" w:sz="0" w:space="0" w:color="auto"/>
        <w:left w:val="none" w:sz="0" w:space="0" w:color="auto"/>
        <w:bottom w:val="none" w:sz="0" w:space="0" w:color="auto"/>
        <w:right w:val="none" w:sz="0" w:space="0" w:color="auto"/>
      </w:divBdr>
    </w:div>
    <w:div w:id="1602487763">
      <w:bodyDiv w:val="1"/>
      <w:marLeft w:val="0"/>
      <w:marRight w:val="0"/>
      <w:marTop w:val="0"/>
      <w:marBottom w:val="0"/>
      <w:divBdr>
        <w:top w:val="none" w:sz="0" w:space="0" w:color="auto"/>
        <w:left w:val="none" w:sz="0" w:space="0" w:color="auto"/>
        <w:bottom w:val="none" w:sz="0" w:space="0" w:color="auto"/>
        <w:right w:val="none" w:sz="0" w:space="0" w:color="auto"/>
      </w:divBdr>
    </w:div>
    <w:div w:id="1603685276">
      <w:bodyDiv w:val="1"/>
      <w:marLeft w:val="0"/>
      <w:marRight w:val="0"/>
      <w:marTop w:val="0"/>
      <w:marBottom w:val="0"/>
      <w:divBdr>
        <w:top w:val="none" w:sz="0" w:space="0" w:color="auto"/>
        <w:left w:val="none" w:sz="0" w:space="0" w:color="auto"/>
        <w:bottom w:val="none" w:sz="0" w:space="0" w:color="auto"/>
        <w:right w:val="none" w:sz="0" w:space="0" w:color="auto"/>
      </w:divBdr>
    </w:div>
    <w:div w:id="1604530390">
      <w:bodyDiv w:val="1"/>
      <w:marLeft w:val="0"/>
      <w:marRight w:val="0"/>
      <w:marTop w:val="0"/>
      <w:marBottom w:val="0"/>
      <w:divBdr>
        <w:top w:val="none" w:sz="0" w:space="0" w:color="auto"/>
        <w:left w:val="none" w:sz="0" w:space="0" w:color="auto"/>
        <w:bottom w:val="none" w:sz="0" w:space="0" w:color="auto"/>
        <w:right w:val="none" w:sz="0" w:space="0" w:color="auto"/>
      </w:divBdr>
    </w:div>
    <w:div w:id="1604613168">
      <w:bodyDiv w:val="1"/>
      <w:marLeft w:val="0"/>
      <w:marRight w:val="0"/>
      <w:marTop w:val="0"/>
      <w:marBottom w:val="0"/>
      <w:divBdr>
        <w:top w:val="none" w:sz="0" w:space="0" w:color="auto"/>
        <w:left w:val="none" w:sz="0" w:space="0" w:color="auto"/>
        <w:bottom w:val="none" w:sz="0" w:space="0" w:color="auto"/>
        <w:right w:val="none" w:sz="0" w:space="0" w:color="auto"/>
      </w:divBdr>
    </w:div>
    <w:div w:id="1604650500">
      <w:bodyDiv w:val="1"/>
      <w:marLeft w:val="0"/>
      <w:marRight w:val="0"/>
      <w:marTop w:val="0"/>
      <w:marBottom w:val="0"/>
      <w:divBdr>
        <w:top w:val="none" w:sz="0" w:space="0" w:color="auto"/>
        <w:left w:val="none" w:sz="0" w:space="0" w:color="auto"/>
        <w:bottom w:val="none" w:sz="0" w:space="0" w:color="auto"/>
        <w:right w:val="none" w:sz="0" w:space="0" w:color="auto"/>
      </w:divBdr>
    </w:div>
    <w:div w:id="1604991075">
      <w:bodyDiv w:val="1"/>
      <w:marLeft w:val="0"/>
      <w:marRight w:val="0"/>
      <w:marTop w:val="0"/>
      <w:marBottom w:val="0"/>
      <w:divBdr>
        <w:top w:val="none" w:sz="0" w:space="0" w:color="auto"/>
        <w:left w:val="none" w:sz="0" w:space="0" w:color="auto"/>
        <w:bottom w:val="none" w:sz="0" w:space="0" w:color="auto"/>
        <w:right w:val="none" w:sz="0" w:space="0" w:color="auto"/>
      </w:divBdr>
    </w:div>
    <w:div w:id="1605067495">
      <w:bodyDiv w:val="1"/>
      <w:marLeft w:val="0"/>
      <w:marRight w:val="0"/>
      <w:marTop w:val="0"/>
      <w:marBottom w:val="0"/>
      <w:divBdr>
        <w:top w:val="none" w:sz="0" w:space="0" w:color="auto"/>
        <w:left w:val="none" w:sz="0" w:space="0" w:color="auto"/>
        <w:bottom w:val="none" w:sz="0" w:space="0" w:color="auto"/>
        <w:right w:val="none" w:sz="0" w:space="0" w:color="auto"/>
      </w:divBdr>
    </w:div>
    <w:div w:id="1606379717">
      <w:bodyDiv w:val="1"/>
      <w:marLeft w:val="0"/>
      <w:marRight w:val="0"/>
      <w:marTop w:val="0"/>
      <w:marBottom w:val="0"/>
      <w:divBdr>
        <w:top w:val="none" w:sz="0" w:space="0" w:color="auto"/>
        <w:left w:val="none" w:sz="0" w:space="0" w:color="auto"/>
        <w:bottom w:val="none" w:sz="0" w:space="0" w:color="auto"/>
        <w:right w:val="none" w:sz="0" w:space="0" w:color="auto"/>
      </w:divBdr>
    </w:div>
    <w:div w:id="1606766205">
      <w:bodyDiv w:val="1"/>
      <w:marLeft w:val="0"/>
      <w:marRight w:val="0"/>
      <w:marTop w:val="0"/>
      <w:marBottom w:val="0"/>
      <w:divBdr>
        <w:top w:val="none" w:sz="0" w:space="0" w:color="auto"/>
        <w:left w:val="none" w:sz="0" w:space="0" w:color="auto"/>
        <w:bottom w:val="none" w:sz="0" w:space="0" w:color="auto"/>
        <w:right w:val="none" w:sz="0" w:space="0" w:color="auto"/>
      </w:divBdr>
    </w:div>
    <w:div w:id="1607493537">
      <w:bodyDiv w:val="1"/>
      <w:marLeft w:val="0"/>
      <w:marRight w:val="0"/>
      <w:marTop w:val="0"/>
      <w:marBottom w:val="0"/>
      <w:divBdr>
        <w:top w:val="none" w:sz="0" w:space="0" w:color="auto"/>
        <w:left w:val="none" w:sz="0" w:space="0" w:color="auto"/>
        <w:bottom w:val="none" w:sz="0" w:space="0" w:color="auto"/>
        <w:right w:val="none" w:sz="0" w:space="0" w:color="auto"/>
      </w:divBdr>
    </w:div>
    <w:div w:id="1608272061">
      <w:bodyDiv w:val="1"/>
      <w:marLeft w:val="0"/>
      <w:marRight w:val="0"/>
      <w:marTop w:val="0"/>
      <w:marBottom w:val="0"/>
      <w:divBdr>
        <w:top w:val="none" w:sz="0" w:space="0" w:color="auto"/>
        <w:left w:val="none" w:sz="0" w:space="0" w:color="auto"/>
        <w:bottom w:val="none" w:sz="0" w:space="0" w:color="auto"/>
        <w:right w:val="none" w:sz="0" w:space="0" w:color="auto"/>
      </w:divBdr>
    </w:div>
    <w:div w:id="1612280082">
      <w:bodyDiv w:val="1"/>
      <w:marLeft w:val="0"/>
      <w:marRight w:val="0"/>
      <w:marTop w:val="0"/>
      <w:marBottom w:val="0"/>
      <w:divBdr>
        <w:top w:val="none" w:sz="0" w:space="0" w:color="auto"/>
        <w:left w:val="none" w:sz="0" w:space="0" w:color="auto"/>
        <w:bottom w:val="none" w:sz="0" w:space="0" w:color="auto"/>
        <w:right w:val="none" w:sz="0" w:space="0" w:color="auto"/>
      </w:divBdr>
    </w:div>
    <w:div w:id="1612468116">
      <w:bodyDiv w:val="1"/>
      <w:marLeft w:val="0"/>
      <w:marRight w:val="0"/>
      <w:marTop w:val="0"/>
      <w:marBottom w:val="0"/>
      <w:divBdr>
        <w:top w:val="none" w:sz="0" w:space="0" w:color="auto"/>
        <w:left w:val="none" w:sz="0" w:space="0" w:color="auto"/>
        <w:bottom w:val="none" w:sz="0" w:space="0" w:color="auto"/>
        <w:right w:val="none" w:sz="0" w:space="0" w:color="auto"/>
      </w:divBdr>
    </w:div>
    <w:div w:id="1612785768">
      <w:bodyDiv w:val="1"/>
      <w:marLeft w:val="0"/>
      <w:marRight w:val="0"/>
      <w:marTop w:val="0"/>
      <w:marBottom w:val="0"/>
      <w:divBdr>
        <w:top w:val="none" w:sz="0" w:space="0" w:color="auto"/>
        <w:left w:val="none" w:sz="0" w:space="0" w:color="auto"/>
        <w:bottom w:val="none" w:sz="0" w:space="0" w:color="auto"/>
        <w:right w:val="none" w:sz="0" w:space="0" w:color="auto"/>
      </w:divBdr>
    </w:div>
    <w:div w:id="1613240114">
      <w:bodyDiv w:val="1"/>
      <w:marLeft w:val="0"/>
      <w:marRight w:val="0"/>
      <w:marTop w:val="0"/>
      <w:marBottom w:val="0"/>
      <w:divBdr>
        <w:top w:val="none" w:sz="0" w:space="0" w:color="auto"/>
        <w:left w:val="none" w:sz="0" w:space="0" w:color="auto"/>
        <w:bottom w:val="none" w:sz="0" w:space="0" w:color="auto"/>
        <w:right w:val="none" w:sz="0" w:space="0" w:color="auto"/>
      </w:divBdr>
    </w:div>
    <w:div w:id="1613702507">
      <w:bodyDiv w:val="1"/>
      <w:marLeft w:val="0"/>
      <w:marRight w:val="0"/>
      <w:marTop w:val="0"/>
      <w:marBottom w:val="0"/>
      <w:divBdr>
        <w:top w:val="none" w:sz="0" w:space="0" w:color="auto"/>
        <w:left w:val="none" w:sz="0" w:space="0" w:color="auto"/>
        <w:bottom w:val="none" w:sz="0" w:space="0" w:color="auto"/>
        <w:right w:val="none" w:sz="0" w:space="0" w:color="auto"/>
      </w:divBdr>
    </w:div>
    <w:div w:id="1613896591">
      <w:bodyDiv w:val="1"/>
      <w:marLeft w:val="0"/>
      <w:marRight w:val="0"/>
      <w:marTop w:val="0"/>
      <w:marBottom w:val="0"/>
      <w:divBdr>
        <w:top w:val="none" w:sz="0" w:space="0" w:color="auto"/>
        <w:left w:val="none" w:sz="0" w:space="0" w:color="auto"/>
        <w:bottom w:val="none" w:sz="0" w:space="0" w:color="auto"/>
        <w:right w:val="none" w:sz="0" w:space="0" w:color="auto"/>
      </w:divBdr>
    </w:div>
    <w:div w:id="1614626813">
      <w:bodyDiv w:val="1"/>
      <w:marLeft w:val="0"/>
      <w:marRight w:val="0"/>
      <w:marTop w:val="0"/>
      <w:marBottom w:val="0"/>
      <w:divBdr>
        <w:top w:val="none" w:sz="0" w:space="0" w:color="auto"/>
        <w:left w:val="none" w:sz="0" w:space="0" w:color="auto"/>
        <w:bottom w:val="none" w:sz="0" w:space="0" w:color="auto"/>
        <w:right w:val="none" w:sz="0" w:space="0" w:color="auto"/>
      </w:divBdr>
    </w:div>
    <w:div w:id="1615138754">
      <w:bodyDiv w:val="1"/>
      <w:marLeft w:val="0"/>
      <w:marRight w:val="0"/>
      <w:marTop w:val="0"/>
      <w:marBottom w:val="0"/>
      <w:divBdr>
        <w:top w:val="none" w:sz="0" w:space="0" w:color="auto"/>
        <w:left w:val="none" w:sz="0" w:space="0" w:color="auto"/>
        <w:bottom w:val="none" w:sz="0" w:space="0" w:color="auto"/>
        <w:right w:val="none" w:sz="0" w:space="0" w:color="auto"/>
      </w:divBdr>
    </w:div>
    <w:div w:id="1616449404">
      <w:bodyDiv w:val="1"/>
      <w:marLeft w:val="0"/>
      <w:marRight w:val="0"/>
      <w:marTop w:val="0"/>
      <w:marBottom w:val="0"/>
      <w:divBdr>
        <w:top w:val="none" w:sz="0" w:space="0" w:color="auto"/>
        <w:left w:val="none" w:sz="0" w:space="0" w:color="auto"/>
        <w:bottom w:val="none" w:sz="0" w:space="0" w:color="auto"/>
        <w:right w:val="none" w:sz="0" w:space="0" w:color="auto"/>
      </w:divBdr>
    </w:div>
    <w:div w:id="1617446962">
      <w:bodyDiv w:val="1"/>
      <w:marLeft w:val="0"/>
      <w:marRight w:val="0"/>
      <w:marTop w:val="0"/>
      <w:marBottom w:val="0"/>
      <w:divBdr>
        <w:top w:val="none" w:sz="0" w:space="0" w:color="auto"/>
        <w:left w:val="none" w:sz="0" w:space="0" w:color="auto"/>
        <w:bottom w:val="none" w:sz="0" w:space="0" w:color="auto"/>
        <w:right w:val="none" w:sz="0" w:space="0" w:color="auto"/>
      </w:divBdr>
    </w:div>
    <w:div w:id="1617639787">
      <w:bodyDiv w:val="1"/>
      <w:marLeft w:val="0"/>
      <w:marRight w:val="0"/>
      <w:marTop w:val="0"/>
      <w:marBottom w:val="0"/>
      <w:divBdr>
        <w:top w:val="none" w:sz="0" w:space="0" w:color="auto"/>
        <w:left w:val="none" w:sz="0" w:space="0" w:color="auto"/>
        <w:bottom w:val="none" w:sz="0" w:space="0" w:color="auto"/>
        <w:right w:val="none" w:sz="0" w:space="0" w:color="auto"/>
      </w:divBdr>
    </w:div>
    <w:div w:id="1617979514">
      <w:bodyDiv w:val="1"/>
      <w:marLeft w:val="0"/>
      <w:marRight w:val="0"/>
      <w:marTop w:val="0"/>
      <w:marBottom w:val="0"/>
      <w:divBdr>
        <w:top w:val="none" w:sz="0" w:space="0" w:color="auto"/>
        <w:left w:val="none" w:sz="0" w:space="0" w:color="auto"/>
        <w:bottom w:val="none" w:sz="0" w:space="0" w:color="auto"/>
        <w:right w:val="none" w:sz="0" w:space="0" w:color="auto"/>
      </w:divBdr>
    </w:div>
    <w:div w:id="1618175445">
      <w:bodyDiv w:val="1"/>
      <w:marLeft w:val="0"/>
      <w:marRight w:val="0"/>
      <w:marTop w:val="0"/>
      <w:marBottom w:val="0"/>
      <w:divBdr>
        <w:top w:val="none" w:sz="0" w:space="0" w:color="auto"/>
        <w:left w:val="none" w:sz="0" w:space="0" w:color="auto"/>
        <w:bottom w:val="none" w:sz="0" w:space="0" w:color="auto"/>
        <w:right w:val="none" w:sz="0" w:space="0" w:color="auto"/>
      </w:divBdr>
    </w:div>
    <w:div w:id="1619288886">
      <w:bodyDiv w:val="1"/>
      <w:marLeft w:val="0"/>
      <w:marRight w:val="0"/>
      <w:marTop w:val="0"/>
      <w:marBottom w:val="0"/>
      <w:divBdr>
        <w:top w:val="none" w:sz="0" w:space="0" w:color="auto"/>
        <w:left w:val="none" w:sz="0" w:space="0" w:color="auto"/>
        <w:bottom w:val="none" w:sz="0" w:space="0" w:color="auto"/>
        <w:right w:val="none" w:sz="0" w:space="0" w:color="auto"/>
      </w:divBdr>
    </w:div>
    <w:div w:id="1619411650">
      <w:bodyDiv w:val="1"/>
      <w:marLeft w:val="0"/>
      <w:marRight w:val="0"/>
      <w:marTop w:val="0"/>
      <w:marBottom w:val="0"/>
      <w:divBdr>
        <w:top w:val="none" w:sz="0" w:space="0" w:color="auto"/>
        <w:left w:val="none" w:sz="0" w:space="0" w:color="auto"/>
        <w:bottom w:val="none" w:sz="0" w:space="0" w:color="auto"/>
        <w:right w:val="none" w:sz="0" w:space="0" w:color="auto"/>
      </w:divBdr>
    </w:div>
    <w:div w:id="1619527950">
      <w:bodyDiv w:val="1"/>
      <w:marLeft w:val="0"/>
      <w:marRight w:val="0"/>
      <w:marTop w:val="0"/>
      <w:marBottom w:val="0"/>
      <w:divBdr>
        <w:top w:val="none" w:sz="0" w:space="0" w:color="auto"/>
        <w:left w:val="none" w:sz="0" w:space="0" w:color="auto"/>
        <w:bottom w:val="none" w:sz="0" w:space="0" w:color="auto"/>
        <w:right w:val="none" w:sz="0" w:space="0" w:color="auto"/>
      </w:divBdr>
    </w:div>
    <w:div w:id="1619726849">
      <w:bodyDiv w:val="1"/>
      <w:marLeft w:val="0"/>
      <w:marRight w:val="0"/>
      <w:marTop w:val="0"/>
      <w:marBottom w:val="0"/>
      <w:divBdr>
        <w:top w:val="none" w:sz="0" w:space="0" w:color="auto"/>
        <w:left w:val="none" w:sz="0" w:space="0" w:color="auto"/>
        <w:bottom w:val="none" w:sz="0" w:space="0" w:color="auto"/>
        <w:right w:val="none" w:sz="0" w:space="0" w:color="auto"/>
      </w:divBdr>
    </w:div>
    <w:div w:id="1620136913">
      <w:bodyDiv w:val="1"/>
      <w:marLeft w:val="0"/>
      <w:marRight w:val="0"/>
      <w:marTop w:val="0"/>
      <w:marBottom w:val="0"/>
      <w:divBdr>
        <w:top w:val="none" w:sz="0" w:space="0" w:color="auto"/>
        <w:left w:val="none" w:sz="0" w:space="0" w:color="auto"/>
        <w:bottom w:val="none" w:sz="0" w:space="0" w:color="auto"/>
        <w:right w:val="none" w:sz="0" w:space="0" w:color="auto"/>
      </w:divBdr>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4379872">
      <w:bodyDiv w:val="1"/>
      <w:marLeft w:val="0"/>
      <w:marRight w:val="0"/>
      <w:marTop w:val="0"/>
      <w:marBottom w:val="0"/>
      <w:divBdr>
        <w:top w:val="none" w:sz="0" w:space="0" w:color="auto"/>
        <w:left w:val="none" w:sz="0" w:space="0" w:color="auto"/>
        <w:bottom w:val="none" w:sz="0" w:space="0" w:color="auto"/>
        <w:right w:val="none" w:sz="0" w:space="0" w:color="auto"/>
      </w:divBdr>
    </w:div>
    <w:div w:id="1625385985">
      <w:bodyDiv w:val="1"/>
      <w:marLeft w:val="0"/>
      <w:marRight w:val="0"/>
      <w:marTop w:val="0"/>
      <w:marBottom w:val="0"/>
      <w:divBdr>
        <w:top w:val="none" w:sz="0" w:space="0" w:color="auto"/>
        <w:left w:val="none" w:sz="0" w:space="0" w:color="auto"/>
        <w:bottom w:val="none" w:sz="0" w:space="0" w:color="auto"/>
        <w:right w:val="none" w:sz="0" w:space="0" w:color="auto"/>
      </w:divBdr>
    </w:div>
    <w:div w:id="1626472787">
      <w:bodyDiv w:val="1"/>
      <w:marLeft w:val="0"/>
      <w:marRight w:val="0"/>
      <w:marTop w:val="0"/>
      <w:marBottom w:val="0"/>
      <w:divBdr>
        <w:top w:val="none" w:sz="0" w:space="0" w:color="auto"/>
        <w:left w:val="none" w:sz="0" w:space="0" w:color="auto"/>
        <w:bottom w:val="none" w:sz="0" w:space="0" w:color="auto"/>
        <w:right w:val="none" w:sz="0" w:space="0" w:color="auto"/>
      </w:divBdr>
    </w:div>
    <w:div w:id="1628003380">
      <w:bodyDiv w:val="1"/>
      <w:marLeft w:val="0"/>
      <w:marRight w:val="0"/>
      <w:marTop w:val="0"/>
      <w:marBottom w:val="0"/>
      <w:divBdr>
        <w:top w:val="none" w:sz="0" w:space="0" w:color="auto"/>
        <w:left w:val="none" w:sz="0" w:space="0" w:color="auto"/>
        <w:bottom w:val="none" w:sz="0" w:space="0" w:color="auto"/>
        <w:right w:val="none" w:sz="0" w:space="0" w:color="auto"/>
      </w:divBdr>
    </w:div>
    <w:div w:id="1628504812">
      <w:bodyDiv w:val="1"/>
      <w:marLeft w:val="0"/>
      <w:marRight w:val="0"/>
      <w:marTop w:val="0"/>
      <w:marBottom w:val="0"/>
      <w:divBdr>
        <w:top w:val="none" w:sz="0" w:space="0" w:color="auto"/>
        <w:left w:val="none" w:sz="0" w:space="0" w:color="auto"/>
        <w:bottom w:val="none" w:sz="0" w:space="0" w:color="auto"/>
        <w:right w:val="none" w:sz="0" w:space="0" w:color="auto"/>
      </w:divBdr>
    </w:div>
    <w:div w:id="1630932881">
      <w:bodyDiv w:val="1"/>
      <w:marLeft w:val="0"/>
      <w:marRight w:val="0"/>
      <w:marTop w:val="0"/>
      <w:marBottom w:val="0"/>
      <w:divBdr>
        <w:top w:val="none" w:sz="0" w:space="0" w:color="auto"/>
        <w:left w:val="none" w:sz="0" w:space="0" w:color="auto"/>
        <w:bottom w:val="none" w:sz="0" w:space="0" w:color="auto"/>
        <w:right w:val="none" w:sz="0" w:space="0" w:color="auto"/>
      </w:divBdr>
    </w:div>
    <w:div w:id="1631011759">
      <w:bodyDiv w:val="1"/>
      <w:marLeft w:val="0"/>
      <w:marRight w:val="0"/>
      <w:marTop w:val="0"/>
      <w:marBottom w:val="0"/>
      <w:divBdr>
        <w:top w:val="none" w:sz="0" w:space="0" w:color="auto"/>
        <w:left w:val="none" w:sz="0" w:space="0" w:color="auto"/>
        <w:bottom w:val="none" w:sz="0" w:space="0" w:color="auto"/>
        <w:right w:val="none" w:sz="0" w:space="0" w:color="auto"/>
      </w:divBdr>
    </w:div>
    <w:div w:id="1631134115">
      <w:bodyDiv w:val="1"/>
      <w:marLeft w:val="0"/>
      <w:marRight w:val="0"/>
      <w:marTop w:val="0"/>
      <w:marBottom w:val="0"/>
      <w:divBdr>
        <w:top w:val="none" w:sz="0" w:space="0" w:color="auto"/>
        <w:left w:val="none" w:sz="0" w:space="0" w:color="auto"/>
        <w:bottom w:val="none" w:sz="0" w:space="0" w:color="auto"/>
        <w:right w:val="none" w:sz="0" w:space="0" w:color="auto"/>
      </w:divBdr>
    </w:div>
    <w:div w:id="1632051352">
      <w:bodyDiv w:val="1"/>
      <w:marLeft w:val="0"/>
      <w:marRight w:val="0"/>
      <w:marTop w:val="0"/>
      <w:marBottom w:val="0"/>
      <w:divBdr>
        <w:top w:val="none" w:sz="0" w:space="0" w:color="auto"/>
        <w:left w:val="none" w:sz="0" w:space="0" w:color="auto"/>
        <w:bottom w:val="none" w:sz="0" w:space="0" w:color="auto"/>
        <w:right w:val="none" w:sz="0" w:space="0" w:color="auto"/>
      </w:divBdr>
    </w:div>
    <w:div w:id="1633711626">
      <w:bodyDiv w:val="1"/>
      <w:marLeft w:val="0"/>
      <w:marRight w:val="0"/>
      <w:marTop w:val="0"/>
      <w:marBottom w:val="0"/>
      <w:divBdr>
        <w:top w:val="none" w:sz="0" w:space="0" w:color="auto"/>
        <w:left w:val="none" w:sz="0" w:space="0" w:color="auto"/>
        <w:bottom w:val="none" w:sz="0" w:space="0" w:color="auto"/>
        <w:right w:val="none" w:sz="0" w:space="0" w:color="auto"/>
      </w:divBdr>
    </w:div>
    <w:div w:id="1634289236">
      <w:bodyDiv w:val="1"/>
      <w:marLeft w:val="0"/>
      <w:marRight w:val="0"/>
      <w:marTop w:val="0"/>
      <w:marBottom w:val="0"/>
      <w:divBdr>
        <w:top w:val="none" w:sz="0" w:space="0" w:color="auto"/>
        <w:left w:val="none" w:sz="0" w:space="0" w:color="auto"/>
        <w:bottom w:val="none" w:sz="0" w:space="0" w:color="auto"/>
        <w:right w:val="none" w:sz="0" w:space="0" w:color="auto"/>
      </w:divBdr>
    </w:div>
    <w:div w:id="1634675889">
      <w:bodyDiv w:val="1"/>
      <w:marLeft w:val="0"/>
      <w:marRight w:val="0"/>
      <w:marTop w:val="0"/>
      <w:marBottom w:val="0"/>
      <w:divBdr>
        <w:top w:val="none" w:sz="0" w:space="0" w:color="auto"/>
        <w:left w:val="none" w:sz="0" w:space="0" w:color="auto"/>
        <w:bottom w:val="none" w:sz="0" w:space="0" w:color="auto"/>
        <w:right w:val="none" w:sz="0" w:space="0" w:color="auto"/>
      </w:divBdr>
    </w:div>
    <w:div w:id="1634746112">
      <w:bodyDiv w:val="1"/>
      <w:marLeft w:val="0"/>
      <w:marRight w:val="0"/>
      <w:marTop w:val="0"/>
      <w:marBottom w:val="0"/>
      <w:divBdr>
        <w:top w:val="none" w:sz="0" w:space="0" w:color="auto"/>
        <w:left w:val="none" w:sz="0" w:space="0" w:color="auto"/>
        <w:bottom w:val="none" w:sz="0" w:space="0" w:color="auto"/>
        <w:right w:val="none" w:sz="0" w:space="0" w:color="auto"/>
      </w:divBdr>
    </w:div>
    <w:div w:id="1634795626">
      <w:bodyDiv w:val="1"/>
      <w:marLeft w:val="0"/>
      <w:marRight w:val="0"/>
      <w:marTop w:val="0"/>
      <w:marBottom w:val="0"/>
      <w:divBdr>
        <w:top w:val="none" w:sz="0" w:space="0" w:color="auto"/>
        <w:left w:val="none" w:sz="0" w:space="0" w:color="auto"/>
        <w:bottom w:val="none" w:sz="0" w:space="0" w:color="auto"/>
        <w:right w:val="none" w:sz="0" w:space="0" w:color="auto"/>
      </w:divBdr>
    </w:div>
    <w:div w:id="1636254669">
      <w:bodyDiv w:val="1"/>
      <w:marLeft w:val="0"/>
      <w:marRight w:val="0"/>
      <w:marTop w:val="0"/>
      <w:marBottom w:val="0"/>
      <w:divBdr>
        <w:top w:val="none" w:sz="0" w:space="0" w:color="auto"/>
        <w:left w:val="none" w:sz="0" w:space="0" w:color="auto"/>
        <w:bottom w:val="none" w:sz="0" w:space="0" w:color="auto"/>
        <w:right w:val="none" w:sz="0" w:space="0" w:color="auto"/>
      </w:divBdr>
    </w:div>
    <w:div w:id="1636325487">
      <w:bodyDiv w:val="1"/>
      <w:marLeft w:val="0"/>
      <w:marRight w:val="0"/>
      <w:marTop w:val="0"/>
      <w:marBottom w:val="0"/>
      <w:divBdr>
        <w:top w:val="none" w:sz="0" w:space="0" w:color="auto"/>
        <w:left w:val="none" w:sz="0" w:space="0" w:color="auto"/>
        <w:bottom w:val="none" w:sz="0" w:space="0" w:color="auto"/>
        <w:right w:val="none" w:sz="0" w:space="0" w:color="auto"/>
      </w:divBdr>
    </w:div>
    <w:div w:id="1637947701">
      <w:bodyDiv w:val="1"/>
      <w:marLeft w:val="0"/>
      <w:marRight w:val="0"/>
      <w:marTop w:val="0"/>
      <w:marBottom w:val="0"/>
      <w:divBdr>
        <w:top w:val="none" w:sz="0" w:space="0" w:color="auto"/>
        <w:left w:val="none" w:sz="0" w:space="0" w:color="auto"/>
        <w:bottom w:val="none" w:sz="0" w:space="0" w:color="auto"/>
        <w:right w:val="none" w:sz="0" w:space="0" w:color="auto"/>
      </w:divBdr>
    </w:div>
    <w:div w:id="1638030218">
      <w:bodyDiv w:val="1"/>
      <w:marLeft w:val="0"/>
      <w:marRight w:val="0"/>
      <w:marTop w:val="0"/>
      <w:marBottom w:val="0"/>
      <w:divBdr>
        <w:top w:val="none" w:sz="0" w:space="0" w:color="auto"/>
        <w:left w:val="none" w:sz="0" w:space="0" w:color="auto"/>
        <w:bottom w:val="none" w:sz="0" w:space="0" w:color="auto"/>
        <w:right w:val="none" w:sz="0" w:space="0" w:color="auto"/>
      </w:divBdr>
    </w:div>
    <w:div w:id="1638560103">
      <w:bodyDiv w:val="1"/>
      <w:marLeft w:val="0"/>
      <w:marRight w:val="0"/>
      <w:marTop w:val="0"/>
      <w:marBottom w:val="0"/>
      <w:divBdr>
        <w:top w:val="none" w:sz="0" w:space="0" w:color="auto"/>
        <w:left w:val="none" w:sz="0" w:space="0" w:color="auto"/>
        <w:bottom w:val="none" w:sz="0" w:space="0" w:color="auto"/>
        <w:right w:val="none" w:sz="0" w:space="0" w:color="auto"/>
      </w:divBdr>
    </w:div>
    <w:div w:id="1638877642">
      <w:bodyDiv w:val="1"/>
      <w:marLeft w:val="0"/>
      <w:marRight w:val="0"/>
      <w:marTop w:val="0"/>
      <w:marBottom w:val="0"/>
      <w:divBdr>
        <w:top w:val="none" w:sz="0" w:space="0" w:color="auto"/>
        <w:left w:val="none" w:sz="0" w:space="0" w:color="auto"/>
        <w:bottom w:val="none" w:sz="0" w:space="0" w:color="auto"/>
        <w:right w:val="none" w:sz="0" w:space="0" w:color="auto"/>
      </w:divBdr>
    </w:div>
    <w:div w:id="1640376585">
      <w:bodyDiv w:val="1"/>
      <w:marLeft w:val="0"/>
      <w:marRight w:val="0"/>
      <w:marTop w:val="0"/>
      <w:marBottom w:val="0"/>
      <w:divBdr>
        <w:top w:val="none" w:sz="0" w:space="0" w:color="auto"/>
        <w:left w:val="none" w:sz="0" w:space="0" w:color="auto"/>
        <w:bottom w:val="none" w:sz="0" w:space="0" w:color="auto"/>
        <w:right w:val="none" w:sz="0" w:space="0" w:color="auto"/>
      </w:divBdr>
    </w:div>
    <w:div w:id="1641113966">
      <w:bodyDiv w:val="1"/>
      <w:marLeft w:val="0"/>
      <w:marRight w:val="0"/>
      <w:marTop w:val="0"/>
      <w:marBottom w:val="0"/>
      <w:divBdr>
        <w:top w:val="none" w:sz="0" w:space="0" w:color="auto"/>
        <w:left w:val="none" w:sz="0" w:space="0" w:color="auto"/>
        <w:bottom w:val="none" w:sz="0" w:space="0" w:color="auto"/>
        <w:right w:val="none" w:sz="0" w:space="0" w:color="auto"/>
      </w:divBdr>
    </w:div>
    <w:div w:id="1644197616">
      <w:bodyDiv w:val="1"/>
      <w:marLeft w:val="0"/>
      <w:marRight w:val="0"/>
      <w:marTop w:val="0"/>
      <w:marBottom w:val="0"/>
      <w:divBdr>
        <w:top w:val="none" w:sz="0" w:space="0" w:color="auto"/>
        <w:left w:val="none" w:sz="0" w:space="0" w:color="auto"/>
        <w:bottom w:val="none" w:sz="0" w:space="0" w:color="auto"/>
        <w:right w:val="none" w:sz="0" w:space="0" w:color="auto"/>
      </w:divBdr>
    </w:div>
    <w:div w:id="1644968762">
      <w:bodyDiv w:val="1"/>
      <w:marLeft w:val="0"/>
      <w:marRight w:val="0"/>
      <w:marTop w:val="0"/>
      <w:marBottom w:val="0"/>
      <w:divBdr>
        <w:top w:val="none" w:sz="0" w:space="0" w:color="auto"/>
        <w:left w:val="none" w:sz="0" w:space="0" w:color="auto"/>
        <w:bottom w:val="none" w:sz="0" w:space="0" w:color="auto"/>
        <w:right w:val="none" w:sz="0" w:space="0" w:color="auto"/>
      </w:divBdr>
    </w:div>
    <w:div w:id="1645427004">
      <w:bodyDiv w:val="1"/>
      <w:marLeft w:val="0"/>
      <w:marRight w:val="0"/>
      <w:marTop w:val="0"/>
      <w:marBottom w:val="0"/>
      <w:divBdr>
        <w:top w:val="none" w:sz="0" w:space="0" w:color="auto"/>
        <w:left w:val="none" w:sz="0" w:space="0" w:color="auto"/>
        <w:bottom w:val="none" w:sz="0" w:space="0" w:color="auto"/>
        <w:right w:val="none" w:sz="0" w:space="0" w:color="auto"/>
      </w:divBdr>
    </w:div>
    <w:div w:id="1647665101">
      <w:bodyDiv w:val="1"/>
      <w:marLeft w:val="0"/>
      <w:marRight w:val="0"/>
      <w:marTop w:val="0"/>
      <w:marBottom w:val="0"/>
      <w:divBdr>
        <w:top w:val="none" w:sz="0" w:space="0" w:color="auto"/>
        <w:left w:val="none" w:sz="0" w:space="0" w:color="auto"/>
        <w:bottom w:val="none" w:sz="0" w:space="0" w:color="auto"/>
        <w:right w:val="none" w:sz="0" w:space="0" w:color="auto"/>
      </w:divBdr>
    </w:div>
    <w:div w:id="1648701180">
      <w:bodyDiv w:val="1"/>
      <w:marLeft w:val="0"/>
      <w:marRight w:val="0"/>
      <w:marTop w:val="0"/>
      <w:marBottom w:val="0"/>
      <w:divBdr>
        <w:top w:val="none" w:sz="0" w:space="0" w:color="auto"/>
        <w:left w:val="none" w:sz="0" w:space="0" w:color="auto"/>
        <w:bottom w:val="none" w:sz="0" w:space="0" w:color="auto"/>
        <w:right w:val="none" w:sz="0" w:space="0" w:color="auto"/>
      </w:divBdr>
    </w:div>
    <w:div w:id="1649087943">
      <w:bodyDiv w:val="1"/>
      <w:marLeft w:val="0"/>
      <w:marRight w:val="0"/>
      <w:marTop w:val="0"/>
      <w:marBottom w:val="0"/>
      <w:divBdr>
        <w:top w:val="none" w:sz="0" w:space="0" w:color="auto"/>
        <w:left w:val="none" w:sz="0" w:space="0" w:color="auto"/>
        <w:bottom w:val="none" w:sz="0" w:space="0" w:color="auto"/>
        <w:right w:val="none" w:sz="0" w:space="0" w:color="auto"/>
      </w:divBdr>
    </w:div>
    <w:div w:id="1650282712">
      <w:bodyDiv w:val="1"/>
      <w:marLeft w:val="0"/>
      <w:marRight w:val="0"/>
      <w:marTop w:val="0"/>
      <w:marBottom w:val="0"/>
      <w:divBdr>
        <w:top w:val="none" w:sz="0" w:space="0" w:color="auto"/>
        <w:left w:val="none" w:sz="0" w:space="0" w:color="auto"/>
        <w:bottom w:val="none" w:sz="0" w:space="0" w:color="auto"/>
        <w:right w:val="none" w:sz="0" w:space="0" w:color="auto"/>
      </w:divBdr>
    </w:div>
    <w:div w:id="1650476059">
      <w:bodyDiv w:val="1"/>
      <w:marLeft w:val="0"/>
      <w:marRight w:val="0"/>
      <w:marTop w:val="0"/>
      <w:marBottom w:val="0"/>
      <w:divBdr>
        <w:top w:val="none" w:sz="0" w:space="0" w:color="auto"/>
        <w:left w:val="none" w:sz="0" w:space="0" w:color="auto"/>
        <w:bottom w:val="none" w:sz="0" w:space="0" w:color="auto"/>
        <w:right w:val="none" w:sz="0" w:space="0" w:color="auto"/>
      </w:divBdr>
    </w:div>
    <w:div w:id="1650479426">
      <w:bodyDiv w:val="1"/>
      <w:marLeft w:val="0"/>
      <w:marRight w:val="0"/>
      <w:marTop w:val="0"/>
      <w:marBottom w:val="0"/>
      <w:divBdr>
        <w:top w:val="none" w:sz="0" w:space="0" w:color="auto"/>
        <w:left w:val="none" w:sz="0" w:space="0" w:color="auto"/>
        <w:bottom w:val="none" w:sz="0" w:space="0" w:color="auto"/>
        <w:right w:val="none" w:sz="0" w:space="0" w:color="auto"/>
      </w:divBdr>
    </w:div>
    <w:div w:id="1650550183">
      <w:bodyDiv w:val="1"/>
      <w:marLeft w:val="0"/>
      <w:marRight w:val="0"/>
      <w:marTop w:val="0"/>
      <w:marBottom w:val="0"/>
      <w:divBdr>
        <w:top w:val="none" w:sz="0" w:space="0" w:color="auto"/>
        <w:left w:val="none" w:sz="0" w:space="0" w:color="auto"/>
        <w:bottom w:val="none" w:sz="0" w:space="0" w:color="auto"/>
        <w:right w:val="none" w:sz="0" w:space="0" w:color="auto"/>
      </w:divBdr>
    </w:div>
    <w:div w:id="1652251589">
      <w:bodyDiv w:val="1"/>
      <w:marLeft w:val="0"/>
      <w:marRight w:val="0"/>
      <w:marTop w:val="0"/>
      <w:marBottom w:val="0"/>
      <w:divBdr>
        <w:top w:val="none" w:sz="0" w:space="0" w:color="auto"/>
        <w:left w:val="none" w:sz="0" w:space="0" w:color="auto"/>
        <w:bottom w:val="none" w:sz="0" w:space="0" w:color="auto"/>
        <w:right w:val="none" w:sz="0" w:space="0" w:color="auto"/>
      </w:divBdr>
    </w:div>
    <w:div w:id="1652831178">
      <w:bodyDiv w:val="1"/>
      <w:marLeft w:val="0"/>
      <w:marRight w:val="0"/>
      <w:marTop w:val="0"/>
      <w:marBottom w:val="0"/>
      <w:divBdr>
        <w:top w:val="none" w:sz="0" w:space="0" w:color="auto"/>
        <w:left w:val="none" w:sz="0" w:space="0" w:color="auto"/>
        <w:bottom w:val="none" w:sz="0" w:space="0" w:color="auto"/>
        <w:right w:val="none" w:sz="0" w:space="0" w:color="auto"/>
      </w:divBdr>
    </w:div>
    <w:div w:id="1652975473">
      <w:bodyDiv w:val="1"/>
      <w:marLeft w:val="0"/>
      <w:marRight w:val="0"/>
      <w:marTop w:val="0"/>
      <w:marBottom w:val="0"/>
      <w:divBdr>
        <w:top w:val="none" w:sz="0" w:space="0" w:color="auto"/>
        <w:left w:val="none" w:sz="0" w:space="0" w:color="auto"/>
        <w:bottom w:val="none" w:sz="0" w:space="0" w:color="auto"/>
        <w:right w:val="none" w:sz="0" w:space="0" w:color="auto"/>
      </w:divBdr>
    </w:div>
    <w:div w:id="1653169752">
      <w:bodyDiv w:val="1"/>
      <w:marLeft w:val="0"/>
      <w:marRight w:val="0"/>
      <w:marTop w:val="0"/>
      <w:marBottom w:val="0"/>
      <w:divBdr>
        <w:top w:val="none" w:sz="0" w:space="0" w:color="auto"/>
        <w:left w:val="none" w:sz="0" w:space="0" w:color="auto"/>
        <w:bottom w:val="none" w:sz="0" w:space="0" w:color="auto"/>
        <w:right w:val="none" w:sz="0" w:space="0" w:color="auto"/>
      </w:divBdr>
    </w:div>
    <w:div w:id="1653606936">
      <w:bodyDiv w:val="1"/>
      <w:marLeft w:val="0"/>
      <w:marRight w:val="0"/>
      <w:marTop w:val="0"/>
      <w:marBottom w:val="0"/>
      <w:divBdr>
        <w:top w:val="none" w:sz="0" w:space="0" w:color="auto"/>
        <w:left w:val="none" w:sz="0" w:space="0" w:color="auto"/>
        <w:bottom w:val="none" w:sz="0" w:space="0" w:color="auto"/>
        <w:right w:val="none" w:sz="0" w:space="0" w:color="auto"/>
      </w:divBdr>
    </w:div>
    <w:div w:id="1656565137">
      <w:bodyDiv w:val="1"/>
      <w:marLeft w:val="0"/>
      <w:marRight w:val="0"/>
      <w:marTop w:val="0"/>
      <w:marBottom w:val="0"/>
      <w:divBdr>
        <w:top w:val="none" w:sz="0" w:space="0" w:color="auto"/>
        <w:left w:val="none" w:sz="0" w:space="0" w:color="auto"/>
        <w:bottom w:val="none" w:sz="0" w:space="0" w:color="auto"/>
        <w:right w:val="none" w:sz="0" w:space="0" w:color="auto"/>
      </w:divBdr>
    </w:div>
    <w:div w:id="1656647425">
      <w:bodyDiv w:val="1"/>
      <w:marLeft w:val="0"/>
      <w:marRight w:val="0"/>
      <w:marTop w:val="0"/>
      <w:marBottom w:val="0"/>
      <w:divBdr>
        <w:top w:val="none" w:sz="0" w:space="0" w:color="auto"/>
        <w:left w:val="none" w:sz="0" w:space="0" w:color="auto"/>
        <w:bottom w:val="none" w:sz="0" w:space="0" w:color="auto"/>
        <w:right w:val="none" w:sz="0" w:space="0" w:color="auto"/>
      </w:divBdr>
    </w:div>
    <w:div w:id="1658000896">
      <w:bodyDiv w:val="1"/>
      <w:marLeft w:val="0"/>
      <w:marRight w:val="0"/>
      <w:marTop w:val="0"/>
      <w:marBottom w:val="0"/>
      <w:divBdr>
        <w:top w:val="none" w:sz="0" w:space="0" w:color="auto"/>
        <w:left w:val="none" w:sz="0" w:space="0" w:color="auto"/>
        <w:bottom w:val="none" w:sz="0" w:space="0" w:color="auto"/>
        <w:right w:val="none" w:sz="0" w:space="0" w:color="auto"/>
      </w:divBdr>
    </w:div>
    <w:div w:id="1659191346">
      <w:bodyDiv w:val="1"/>
      <w:marLeft w:val="0"/>
      <w:marRight w:val="0"/>
      <w:marTop w:val="0"/>
      <w:marBottom w:val="0"/>
      <w:divBdr>
        <w:top w:val="none" w:sz="0" w:space="0" w:color="auto"/>
        <w:left w:val="none" w:sz="0" w:space="0" w:color="auto"/>
        <w:bottom w:val="none" w:sz="0" w:space="0" w:color="auto"/>
        <w:right w:val="none" w:sz="0" w:space="0" w:color="auto"/>
      </w:divBdr>
    </w:div>
    <w:div w:id="1659378558">
      <w:bodyDiv w:val="1"/>
      <w:marLeft w:val="0"/>
      <w:marRight w:val="0"/>
      <w:marTop w:val="0"/>
      <w:marBottom w:val="0"/>
      <w:divBdr>
        <w:top w:val="none" w:sz="0" w:space="0" w:color="auto"/>
        <w:left w:val="none" w:sz="0" w:space="0" w:color="auto"/>
        <w:bottom w:val="none" w:sz="0" w:space="0" w:color="auto"/>
        <w:right w:val="none" w:sz="0" w:space="0" w:color="auto"/>
      </w:divBdr>
    </w:div>
    <w:div w:id="1659380316">
      <w:bodyDiv w:val="1"/>
      <w:marLeft w:val="0"/>
      <w:marRight w:val="0"/>
      <w:marTop w:val="0"/>
      <w:marBottom w:val="0"/>
      <w:divBdr>
        <w:top w:val="none" w:sz="0" w:space="0" w:color="auto"/>
        <w:left w:val="none" w:sz="0" w:space="0" w:color="auto"/>
        <w:bottom w:val="none" w:sz="0" w:space="0" w:color="auto"/>
        <w:right w:val="none" w:sz="0" w:space="0" w:color="auto"/>
      </w:divBdr>
    </w:div>
    <w:div w:id="1660110771">
      <w:bodyDiv w:val="1"/>
      <w:marLeft w:val="0"/>
      <w:marRight w:val="0"/>
      <w:marTop w:val="0"/>
      <w:marBottom w:val="0"/>
      <w:divBdr>
        <w:top w:val="none" w:sz="0" w:space="0" w:color="auto"/>
        <w:left w:val="none" w:sz="0" w:space="0" w:color="auto"/>
        <w:bottom w:val="none" w:sz="0" w:space="0" w:color="auto"/>
        <w:right w:val="none" w:sz="0" w:space="0" w:color="auto"/>
      </w:divBdr>
    </w:div>
    <w:div w:id="1660571531">
      <w:bodyDiv w:val="1"/>
      <w:marLeft w:val="0"/>
      <w:marRight w:val="0"/>
      <w:marTop w:val="0"/>
      <w:marBottom w:val="0"/>
      <w:divBdr>
        <w:top w:val="none" w:sz="0" w:space="0" w:color="auto"/>
        <w:left w:val="none" w:sz="0" w:space="0" w:color="auto"/>
        <w:bottom w:val="none" w:sz="0" w:space="0" w:color="auto"/>
        <w:right w:val="none" w:sz="0" w:space="0" w:color="auto"/>
      </w:divBdr>
    </w:div>
    <w:div w:id="1662389426">
      <w:bodyDiv w:val="1"/>
      <w:marLeft w:val="0"/>
      <w:marRight w:val="0"/>
      <w:marTop w:val="0"/>
      <w:marBottom w:val="0"/>
      <w:divBdr>
        <w:top w:val="none" w:sz="0" w:space="0" w:color="auto"/>
        <w:left w:val="none" w:sz="0" w:space="0" w:color="auto"/>
        <w:bottom w:val="none" w:sz="0" w:space="0" w:color="auto"/>
        <w:right w:val="none" w:sz="0" w:space="0" w:color="auto"/>
      </w:divBdr>
    </w:div>
    <w:div w:id="1666981346">
      <w:bodyDiv w:val="1"/>
      <w:marLeft w:val="0"/>
      <w:marRight w:val="0"/>
      <w:marTop w:val="0"/>
      <w:marBottom w:val="0"/>
      <w:divBdr>
        <w:top w:val="none" w:sz="0" w:space="0" w:color="auto"/>
        <w:left w:val="none" w:sz="0" w:space="0" w:color="auto"/>
        <w:bottom w:val="none" w:sz="0" w:space="0" w:color="auto"/>
        <w:right w:val="none" w:sz="0" w:space="0" w:color="auto"/>
      </w:divBdr>
    </w:div>
    <w:div w:id="1667516758">
      <w:bodyDiv w:val="1"/>
      <w:marLeft w:val="0"/>
      <w:marRight w:val="0"/>
      <w:marTop w:val="0"/>
      <w:marBottom w:val="0"/>
      <w:divBdr>
        <w:top w:val="none" w:sz="0" w:space="0" w:color="auto"/>
        <w:left w:val="none" w:sz="0" w:space="0" w:color="auto"/>
        <w:bottom w:val="none" w:sz="0" w:space="0" w:color="auto"/>
        <w:right w:val="none" w:sz="0" w:space="0" w:color="auto"/>
      </w:divBdr>
    </w:div>
    <w:div w:id="1668434411">
      <w:bodyDiv w:val="1"/>
      <w:marLeft w:val="0"/>
      <w:marRight w:val="0"/>
      <w:marTop w:val="0"/>
      <w:marBottom w:val="0"/>
      <w:divBdr>
        <w:top w:val="none" w:sz="0" w:space="0" w:color="auto"/>
        <w:left w:val="none" w:sz="0" w:space="0" w:color="auto"/>
        <w:bottom w:val="none" w:sz="0" w:space="0" w:color="auto"/>
        <w:right w:val="none" w:sz="0" w:space="0" w:color="auto"/>
      </w:divBdr>
    </w:div>
    <w:div w:id="1668551918">
      <w:bodyDiv w:val="1"/>
      <w:marLeft w:val="0"/>
      <w:marRight w:val="0"/>
      <w:marTop w:val="0"/>
      <w:marBottom w:val="0"/>
      <w:divBdr>
        <w:top w:val="none" w:sz="0" w:space="0" w:color="auto"/>
        <w:left w:val="none" w:sz="0" w:space="0" w:color="auto"/>
        <w:bottom w:val="none" w:sz="0" w:space="0" w:color="auto"/>
        <w:right w:val="none" w:sz="0" w:space="0" w:color="auto"/>
      </w:divBdr>
    </w:div>
    <w:div w:id="1673295296">
      <w:bodyDiv w:val="1"/>
      <w:marLeft w:val="0"/>
      <w:marRight w:val="0"/>
      <w:marTop w:val="0"/>
      <w:marBottom w:val="0"/>
      <w:divBdr>
        <w:top w:val="none" w:sz="0" w:space="0" w:color="auto"/>
        <w:left w:val="none" w:sz="0" w:space="0" w:color="auto"/>
        <w:bottom w:val="none" w:sz="0" w:space="0" w:color="auto"/>
        <w:right w:val="none" w:sz="0" w:space="0" w:color="auto"/>
      </w:divBdr>
    </w:div>
    <w:div w:id="1673410811">
      <w:bodyDiv w:val="1"/>
      <w:marLeft w:val="0"/>
      <w:marRight w:val="0"/>
      <w:marTop w:val="0"/>
      <w:marBottom w:val="0"/>
      <w:divBdr>
        <w:top w:val="none" w:sz="0" w:space="0" w:color="auto"/>
        <w:left w:val="none" w:sz="0" w:space="0" w:color="auto"/>
        <w:bottom w:val="none" w:sz="0" w:space="0" w:color="auto"/>
        <w:right w:val="none" w:sz="0" w:space="0" w:color="auto"/>
      </w:divBdr>
    </w:div>
    <w:div w:id="1673798939">
      <w:bodyDiv w:val="1"/>
      <w:marLeft w:val="0"/>
      <w:marRight w:val="0"/>
      <w:marTop w:val="0"/>
      <w:marBottom w:val="0"/>
      <w:divBdr>
        <w:top w:val="none" w:sz="0" w:space="0" w:color="auto"/>
        <w:left w:val="none" w:sz="0" w:space="0" w:color="auto"/>
        <w:bottom w:val="none" w:sz="0" w:space="0" w:color="auto"/>
        <w:right w:val="none" w:sz="0" w:space="0" w:color="auto"/>
      </w:divBdr>
    </w:div>
    <w:div w:id="1673995833">
      <w:bodyDiv w:val="1"/>
      <w:marLeft w:val="0"/>
      <w:marRight w:val="0"/>
      <w:marTop w:val="0"/>
      <w:marBottom w:val="0"/>
      <w:divBdr>
        <w:top w:val="none" w:sz="0" w:space="0" w:color="auto"/>
        <w:left w:val="none" w:sz="0" w:space="0" w:color="auto"/>
        <w:bottom w:val="none" w:sz="0" w:space="0" w:color="auto"/>
        <w:right w:val="none" w:sz="0" w:space="0" w:color="auto"/>
      </w:divBdr>
    </w:div>
    <w:div w:id="1675183303">
      <w:bodyDiv w:val="1"/>
      <w:marLeft w:val="0"/>
      <w:marRight w:val="0"/>
      <w:marTop w:val="0"/>
      <w:marBottom w:val="0"/>
      <w:divBdr>
        <w:top w:val="none" w:sz="0" w:space="0" w:color="auto"/>
        <w:left w:val="none" w:sz="0" w:space="0" w:color="auto"/>
        <w:bottom w:val="none" w:sz="0" w:space="0" w:color="auto"/>
        <w:right w:val="none" w:sz="0" w:space="0" w:color="auto"/>
      </w:divBdr>
    </w:div>
    <w:div w:id="1677536143">
      <w:bodyDiv w:val="1"/>
      <w:marLeft w:val="0"/>
      <w:marRight w:val="0"/>
      <w:marTop w:val="0"/>
      <w:marBottom w:val="0"/>
      <w:divBdr>
        <w:top w:val="none" w:sz="0" w:space="0" w:color="auto"/>
        <w:left w:val="none" w:sz="0" w:space="0" w:color="auto"/>
        <w:bottom w:val="none" w:sz="0" w:space="0" w:color="auto"/>
        <w:right w:val="none" w:sz="0" w:space="0" w:color="auto"/>
      </w:divBdr>
    </w:div>
    <w:div w:id="1678265342">
      <w:bodyDiv w:val="1"/>
      <w:marLeft w:val="0"/>
      <w:marRight w:val="0"/>
      <w:marTop w:val="0"/>
      <w:marBottom w:val="0"/>
      <w:divBdr>
        <w:top w:val="none" w:sz="0" w:space="0" w:color="auto"/>
        <w:left w:val="none" w:sz="0" w:space="0" w:color="auto"/>
        <w:bottom w:val="none" w:sz="0" w:space="0" w:color="auto"/>
        <w:right w:val="none" w:sz="0" w:space="0" w:color="auto"/>
      </w:divBdr>
    </w:div>
    <w:div w:id="1679234924">
      <w:bodyDiv w:val="1"/>
      <w:marLeft w:val="0"/>
      <w:marRight w:val="0"/>
      <w:marTop w:val="0"/>
      <w:marBottom w:val="0"/>
      <w:divBdr>
        <w:top w:val="none" w:sz="0" w:space="0" w:color="auto"/>
        <w:left w:val="none" w:sz="0" w:space="0" w:color="auto"/>
        <w:bottom w:val="none" w:sz="0" w:space="0" w:color="auto"/>
        <w:right w:val="none" w:sz="0" w:space="0" w:color="auto"/>
      </w:divBdr>
    </w:div>
    <w:div w:id="1681933376">
      <w:bodyDiv w:val="1"/>
      <w:marLeft w:val="0"/>
      <w:marRight w:val="0"/>
      <w:marTop w:val="0"/>
      <w:marBottom w:val="0"/>
      <w:divBdr>
        <w:top w:val="none" w:sz="0" w:space="0" w:color="auto"/>
        <w:left w:val="none" w:sz="0" w:space="0" w:color="auto"/>
        <w:bottom w:val="none" w:sz="0" w:space="0" w:color="auto"/>
        <w:right w:val="none" w:sz="0" w:space="0" w:color="auto"/>
      </w:divBdr>
    </w:div>
    <w:div w:id="1683168946">
      <w:bodyDiv w:val="1"/>
      <w:marLeft w:val="0"/>
      <w:marRight w:val="0"/>
      <w:marTop w:val="0"/>
      <w:marBottom w:val="0"/>
      <w:divBdr>
        <w:top w:val="none" w:sz="0" w:space="0" w:color="auto"/>
        <w:left w:val="none" w:sz="0" w:space="0" w:color="auto"/>
        <w:bottom w:val="none" w:sz="0" w:space="0" w:color="auto"/>
        <w:right w:val="none" w:sz="0" w:space="0" w:color="auto"/>
      </w:divBdr>
      <w:divsChild>
        <w:div w:id="2118328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086644">
      <w:bodyDiv w:val="1"/>
      <w:marLeft w:val="0"/>
      <w:marRight w:val="0"/>
      <w:marTop w:val="0"/>
      <w:marBottom w:val="0"/>
      <w:divBdr>
        <w:top w:val="none" w:sz="0" w:space="0" w:color="auto"/>
        <w:left w:val="none" w:sz="0" w:space="0" w:color="auto"/>
        <w:bottom w:val="none" w:sz="0" w:space="0" w:color="auto"/>
        <w:right w:val="none" w:sz="0" w:space="0" w:color="auto"/>
      </w:divBdr>
    </w:div>
    <w:div w:id="1685091331">
      <w:bodyDiv w:val="1"/>
      <w:marLeft w:val="0"/>
      <w:marRight w:val="0"/>
      <w:marTop w:val="0"/>
      <w:marBottom w:val="0"/>
      <w:divBdr>
        <w:top w:val="none" w:sz="0" w:space="0" w:color="auto"/>
        <w:left w:val="none" w:sz="0" w:space="0" w:color="auto"/>
        <w:bottom w:val="none" w:sz="0" w:space="0" w:color="auto"/>
        <w:right w:val="none" w:sz="0" w:space="0" w:color="auto"/>
      </w:divBdr>
    </w:div>
    <w:div w:id="1685133192">
      <w:bodyDiv w:val="1"/>
      <w:marLeft w:val="0"/>
      <w:marRight w:val="0"/>
      <w:marTop w:val="0"/>
      <w:marBottom w:val="0"/>
      <w:divBdr>
        <w:top w:val="none" w:sz="0" w:space="0" w:color="auto"/>
        <w:left w:val="none" w:sz="0" w:space="0" w:color="auto"/>
        <w:bottom w:val="none" w:sz="0" w:space="0" w:color="auto"/>
        <w:right w:val="none" w:sz="0" w:space="0" w:color="auto"/>
      </w:divBdr>
    </w:div>
    <w:div w:id="1685936290">
      <w:bodyDiv w:val="1"/>
      <w:marLeft w:val="0"/>
      <w:marRight w:val="0"/>
      <w:marTop w:val="0"/>
      <w:marBottom w:val="0"/>
      <w:divBdr>
        <w:top w:val="none" w:sz="0" w:space="0" w:color="auto"/>
        <w:left w:val="none" w:sz="0" w:space="0" w:color="auto"/>
        <w:bottom w:val="none" w:sz="0" w:space="0" w:color="auto"/>
        <w:right w:val="none" w:sz="0" w:space="0" w:color="auto"/>
      </w:divBdr>
    </w:div>
    <w:div w:id="1685980352">
      <w:bodyDiv w:val="1"/>
      <w:marLeft w:val="0"/>
      <w:marRight w:val="0"/>
      <w:marTop w:val="0"/>
      <w:marBottom w:val="0"/>
      <w:divBdr>
        <w:top w:val="none" w:sz="0" w:space="0" w:color="auto"/>
        <w:left w:val="none" w:sz="0" w:space="0" w:color="auto"/>
        <w:bottom w:val="none" w:sz="0" w:space="0" w:color="auto"/>
        <w:right w:val="none" w:sz="0" w:space="0" w:color="auto"/>
      </w:divBdr>
    </w:div>
    <w:div w:id="1686245939">
      <w:bodyDiv w:val="1"/>
      <w:marLeft w:val="0"/>
      <w:marRight w:val="0"/>
      <w:marTop w:val="0"/>
      <w:marBottom w:val="0"/>
      <w:divBdr>
        <w:top w:val="none" w:sz="0" w:space="0" w:color="auto"/>
        <w:left w:val="none" w:sz="0" w:space="0" w:color="auto"/>
        <w:bottom w:val="none" w:sz="0" w:space="0" w:color="auto"/>
        <w:right w:val="none" w:sz="0" w:space="0" w:color="auto"/>
      </w:divBdr>
    </w:div>
    <w:div w:id="1687101064">
      <w:bodyDiv w:val="1"/>
      <w:marLeft w:val="0"/>
      <w:marRight w:val="0"/>
      <w:marTop w:val="0"/>
      <w:marBottom w:val="0"/>
      <w:divBdr>
        <w:top w:val="none" w:sz="0" w:space="0" w:color="auto"/>
        <w:left w:val="none" w:sz="0" w:space="0" w:color="auto"/>
        <w:bottom w:val="none" w:sz="0" w:space="0" w:color="auto"/>
        <w:right w:val="none" w:sz="0" w:space="0" w:color="auto"/>
      </w:divBdr>
    </w:div>
    <w:div w:id="1687553988">
      <w:bodyDiv w:val="1"/>
      <w:marLeft w:val="0"/>
      <w:marRight w:val="0"/>
      <w:marTop w:val="0"/>
      <w:marBottom w:val="0"/>
      <w:divBdr>
        <w:top w:val="none" w:sz="0" w:space="0" w:color="auto"/>
        <w:left w:val="none" w:sz="0" w:space="0" w:color="auto"/>
        <w:bottom w:val="none" w:sz="0" w:space="0" w:color="auto"/>
        <w:right w:val="none" w:sz="0" w:space="0" w:color="auto"/>
      </w:divBdr>
    </w:div>
    <w:div w:id="1689017080">
      <w:bodyDiv w:val="1"/>
      <w:marLeft w:val="0"/>
      <w:marRight w:val="0"/>
      <w:marTop w:val="0"/>
      <w:marBottom w:val="0"/>
      <w:divBdr>
        <w:top w:val="none" w:sz="0" w:space="0" w:color="auto"/>
        <w:left w:val="none" w:sz="0" w:space="0" w:color="auto"/>
        <w:bottom w:val="none" w:sz="0" w:space="0" w:color="auto"/>
        <w:right w:val="none" w:sz="0" w:space="0" w:color="auto"/>
      </w:divBdr>
    </w:div>
    <w:div w:id="1689720449">
      <w:bodyDiv w:val="1"/>
      <w:marLeft w:val="0"/>
      <w:marRight w:val="0"/>
      <w:marTop w:val="0"/>
      <w:marBottom w:val="0"/>
      <w:divBdr>
        <w:top w:val="none" w:sz="0" w:space="0" w:color="auto"/>
        <w:left w:val="none" w:sz="0" w:space="0" w:color="auto"/>
        <w:bottom w:val="none" w:sz="0" w:space="0" w:color="auto"/>
        <w:right w:val="none" w:sz="0" w:space="0" w:color="auto"/>
      </w:divBdr>
    </w:div>
    <w:div w:id="1690832344">
      <w:bodyDiv w:val="1"/>
      <w:marLeft w:val="0"/>
      <w:marRight w:val="0"/>
      <w:marTop w:val="0"/>
      <w:marBottom w:val="0"/>
      <w:divBdr>
        <w:top w:val="none" w:sz="0" w:space="0" w:color="auto"/>
        <w:left w:val="none" w:sz="0" w:space="0" w:color="auto"/>
        <w:bottom w:val="none" w:sz="0" w:space="0" w:color="auto"/>
        <w:right w:val="none" w:sz="0" w:space="0" w:color="auto"/>
      </w:divBdr>
    </w:div>
    <w:div w:id="1692295192">
      <w:bodyDiv w:val="1"/>
      <w:marLeft w:val="0"/>
      <w:marRight w:val="0"/>
      <w:marTop w:val="0"/>
      <w:marBottom w:val="0"/>
      <w:divBdr>
        <w:top w:val="none" w:sz="0" w:space="0" w:color="auto"/>
        <w:left w:val="none" w:sz="0" w:space="0" w:color="auto"/>
        <w:bottom w:val="none" w:sz="0" w:space="0" w:color="auto"/>
        <w:right w:val="none" w:sz="0" w:space="0" w:color="auto"/>
      </w:divBdr>
    </w:div>
    <w:div w:id="1694186181">
      <w:bodyDiv w:val="1"/>
      <w:marLeft w:val="0"/>
      <w:marRight w:val="0"/>
      <w:marTop w:val="0"/>
      <w:marBottom w:val="0"/>
      <w:divBdr>
        <w:top w:val="none" w:sz="0" w:space="0" w:color="auto"/>
        <w:left w:val="none" w:sz="0" w:space="0" w:color="auto"/>
        <w:bottom w:val="none" w:sz="0" w:space="0" w:color="auto"/>
        <w:right w:val="none" w:sz="0" w:space="0" w:color="auto"/>
      </w:divBdr>
    </w:div>
    <w:div w:id="1694266245">
      <w:bodyDiv w:val="1"/>
      <w:marLeft w:val="0"/>
      <w:marRight w:val="0"/>
      <w:marTop w:val="0"/>
      <w:marBottom w:val="0"/>
      <w:divBdr>
        <w:top w:val="none" w:sz="0" w:space="0" w:color="auto"/>
        <w:left w:val="none" w:sz="0" w:space="0" w:color="auto"/>
        <w:bottom w:val="none" w:sz="0" w:space="0" w:color="auto"/>
        <w:right w:val="none" w:sz="0" w:space="0" w:color="auto"/>
      </w:divBdr>
    </w:div>
    <w:div w:id="1695229567">
      <w:bodyDiv w:val="1"/>
      <w:marLeft w:val="0"/>
      <w:marRight w:val="0"/>
      <w:marTop w:val="0"/>
      <w:marBottom w:val="0"/>
      <w:divBdr>
        <w:top w:val="none" w:sz="0" w:space="0" w:color="auto"/>
        <w:left w:val="none" w:sz="0" w:space="0" w:color="auto"/>
        <w:bottom w:val="none" w:sz="0" w:space="0" w:color="auto"/>
        <w:right w:val="none" w:sz="0" w:space="0" w:color="auto"/>
      </w:divBdr>
    </w:div>
    <w:div w:id="1697391088">
      <w:bodyDiv w:val="1"/>
      <w:marLeft w:val="0"/>
      <w:marRight w:val="0"/>
      <w:marTop w:val="0"/>
      <w:marBottom w:val="0"/>
      <w:divBdr>
        <w:top w:val="none" w:sz="0" w:space="0" w:color="auto"/>
        <w:left w:val="none" w:sz="0" w:space="0" w:color="auto"/>
        <w:bottom w:val="none" w:sz="0" w:space="0" w:color="auto"/>
        <w:right w:val="none" w:sz="0" w:space="0" w:color="auto"/>
      </w:divBdr>
    </w:div>
    <w:div w:id="1698383733">
      <w:bodyDiv w:val="1"/>
      <w:marLeft w:val="0"/>
      <w:marRight w:val="0"/>
      <w:marTop w:val="0"/>
      <w:marBottom w:val="0"/>
      <w:divBdr>
        <w:top w:val="none" w:sz="0" w:space="0" w:color="auto"/>
        <w:left w:val="none" w:sz="0" w:space="0" w:color="auto"/>
        <w:bottom w:val="none" w:sz="0" w:space="0" w:color="auto"/>
        <w:right w:val="none" w:sz="0" w:space="0" w:color="auto"/>
      </w:divBdr>
    </w:div>
    <w:div w:id="1699087389">
      <w:bodyDiv w:val="1"/>
      <w:marLeft w:val="0"/>
      <w:marRight w:val="0"/>
      <w:marTop w:val="0"/>
      <w:marBottom w:val="0"/>
      <w:divBdr>
        <w:top w:val="none" w:sz="0" w:space="0" w:color="auto"/>
        <w:left w:val="none" w:sz="0" w:space="0" w:color="auto"/>
        <w:bottom w:val="none" w:sz="0" w:space="0" w:color="auto"/>
        <w:right w:val="none" w:sz="0" w:space="0" w:color="auto"/>
      </w:divBdr>
    </w:div>
    <w:div w:id="1699309876">
      <w:bodyDiv w:val="1"/>
      <w:marLeft w:val="0"/>
      <w:marRight w:val="0"/>
      <w:marTop w:val="0"/>
      <w:marBottom w:val="0"/>
      <w:divBdr>
        <w:top w:val="none" w:sz="0" w:space="0" w:color="auto"/>
        <w:left w:val="none" w:sz="0" w:space="0" w:color="auto"/>
        <w:bottom w:val="none" w:sz="0" w:space="0" w:color="auto"/>
        <w:right w:val="none" w:sz="0" w:space="0" w:color="auto"/>
      </w:divBdr>
    </w:div>
    <w:div w:id="1699311441">
      <w:bodyDiv w:val="1"/>
      <w:marLeft w:val="0"/>
      <w:marRight w:val="0"/>
      <w:marTop w:val="0"/>
      <w:marBottom w:val="0"/>
      <w:divBdr>
        <w:top w:val="none" w:sz="0" w:space="0" w:color="auto"/>
        <w:left w:val="none" w:sz="0" w:space="0" w:color="auto"/>
        <w:bottom w:val="none" w:sz="0" w:space="0" w:color="auto"/>
        <w:right w:val="none" w:sz="0" w:space="0" w:color="auto"/>
      </w:divBdr>
    </w:div>
    <w:div w:id="1699693722">
      <w:bodyDiv w:val="1"/>
      <w:marLeft w:val="0"/>
      <w:marRight w:val="0"/>
      <w:marTop w:val="0"/>
      <w:marBottom w:val="0"/>
      <w:divBdr>
        <w:top w:val="none" w:sz="0" w:space="0" w:color="auto"/>
        <w:left w:val="none" w:sz="0" w:space="0" w:color="auto"/>
        <w:bottom w:val="none" w:sz="0" w:space="0" w:color="auto"/>
        <w:right w:val="none" w:sz="0" w:space="0" w:color="auto"/>
      </w:divBdr>
    </w:div>
    <w:div w:id="1699887051">
      <w:bodyDiv w:val="1"/>
      <w:marLeft w:val="0"/>
      <w:marRight w:val="0"/>
      <w:marTop w:val="0"/>
      <w:marBottom w:val="0"/>
      <w:divBdr>
        <w:top w:val="none" w:sz="0" w:space="0" w:color="auto"/>
        <w:left w:val="none" w:sz="0" w:space="0" w:color="auto"/>
        <w:bottom w:val="none" w:sz="0" w:space="0" w:color="auto"/>
        <w:right w:val="none" w:sz="0" w:space="0" w:color="auto"/>
      </w:divBdr>
    </w:div>
    <w:div w:id="1701317263">
      <w:bodyDiv w:val="1"/>
      <w:marLeft w:val="0"/>
      <w:marRight w:val="0"/>
      <w:marTop w:val="0"/>
      <w:marBottom w:val="0"/>
      <w:divBdr>
        <w:top w:val="none" w:sz="0" w:space="0" w:color="auto"/>
        <w:left w:val="none" w:sz="0" w:space="0" w:color="auto"/>
        <w:bottom w:val="none" w:sz="0" w:space="0" w:color="auto"/>
        <w:right w:val="none" w:sz="0" w:space="0" w:color="auto"/>
      </w:divBdr>
    </w:div>
    <w:div w:id="1701782216">
      <w:bodyDiv w:val="1"/>
      <w:marLeft w:val="0"/>
      <w:marRight w:val="0"/>
      <w:marTop w:val="0"/>
      <w:marBottom w:val="0"/>
      <w:divBdr>
        <w:top w:val="none" w:sz="0" w:space="0" w:color="auto"/>
        <w:left w:val="none" w:sz="0" w:space="0" w:color="auto"/>
        <w:bottom w:val="none" w:sz="0" w:space="0" w:color="auto"/>
        <w:right w:val="none" w:sz="0" w:space="0" w:color="auto"/>
      </w:divBdr>
    </w:div>
    <w:div w:id="1702510310">
      <w:bodyDiv w:val="1"/>
      <w:marLeft w:val="0"/>
      <w:marRight w:val="0"/>
      <w:marTop w:val="0"/>
      <w:marBottom w:val="0"/>
      <w:divBdr>
        <w:top w:val="none" w:sz="0" w:space="0" w:color="auto"/>
        <w:left w:val="none" w:sz="0" w:space="0" w:color="auto"/>
        <w:bottom w:val="none" w:sz="0" w:space="0" w:color="auto"/>
        <w:right w:val="none" w:sz="0" w:space="0" w:color="auto"/>
      </w:divBdr>
    </w:div>
    <w:div w:id="1703281591">
      <w:bodyDiv w:val="1"/>
      <w:marLeft w:val="0"/>
      <w:marRight w:val="0"/>
      <w:marTop w:val="0"/>
      <w:marBottom w:val="0"/>
      <w:divBdr>
        <w:top w:val="none" w:sz="0" w:space="0" w:color="auto"/>
        <w:left w:val="none" w:sz="0" w:space="0" w:color="auto"/>
        <w:bottom w:val="none" w:sz="0" w:space="0" w:color="auto"/>
        <w:right w:val="none" w:sz="0" w:space="0" w:color="auto"/>
      </w:divBdr>
    </w:div>
    <w:div w:id="1703482090">
      <w:bodyDiv w:val="1"/>
      <w:marLeft w:val="0"/>
      <w:marRight w:val="0"/>
      <w:marTop w:val="0"/>
      <w:marBottom w:val="0"/>
      <w:divBdr>
        <w:top w:val="none" w:sz="0" w:space="0" w:color="auto"/>
        <w:left w:val="none" w:sz="0" w:space="0" w:color="auto"/>
        <w:bottom w:val="none" w:sz="0" w:space="0" w:color="auto"/>
        <w:right w:val="none" w:sz="0" w:space="0" w:color="auto"/>
      </w:divBdr>
    </w:div>
    <w:div w:id="1704359162">
      <w:bodyDiv w:val="1"/>
      <w:marLeft w:val="0"/>
      <w:marRight w:val="0"/>
      <w:marTop w:val="0"/>
      <w:marBottom w:val="0"/>
      <w:divBdr>
        <w:top w:val="none" w:sz="0" w:space="0" w:color="auto"/>
        <w:left w:val="none" w:sz="0" w:space="0" w:color="auto"/>
        <w:bottom w:val="none" w:sz="0" w:space="0" w:color="auto"/>
        <w:right w:val="none" w:sz="0" w:space="0" w:color="auto"/>
      </w:divBdr>
    </w:div>
    <w:div w:id="1704938652">
      <w:bodyDiv w:val="1"/>
      <w:marLeft w:val="0"/>
      <w:marRight w:val="0"/>
      <w:marTop w:val="0"/>
      <w:marBottom w:val="0"/>
      <w:divBdr>
        <w:top w:val="none" w:sz="0" w:space="0" w:color="auto"/>
        <w:left w:val="none" w:sz="0" w:space="0" w:color="auto"/>
        <w:bottom w:val="none" w:sz="0" w:space="0" w:color="auto"/>
        <w:right w:val="none" w:sz="0" w:space="0" w:color="auto"/>
      </w:divBdr>
    </w:div>
    <w:div w:id="1705789551">
      <w:bodyDiv w:val="1"/>
      <w:marLeft w:val="0"/>
      <w:marRight w:val="0"/>
      <w:marTop w:val="0"/>
      <w:marBottom w:val="0"/>
      <w:divBdr>
        <w:top w:val="none" w:sz="0" w:space="0" w:color="auto"/>
        <w:left w:val="none" w:sz="0" w:space="0" w:color="auto"/>
        <w:bottom w:val="none" w:sz="0" w:space="0" w:color="auto"/>
        <w:right w:val="none" w:sz="0" w:space="0" w:color="auto"/>
      </w:divBdr>
    </w:div>
    <w:div w:id="1706711841">
      <w:bodyDiv w:val="1"/>
      <w:marLeft w:val="0"/>
      <w:marRight w:val="0"/>
      <w:marTop w:val="0"/>
      <w:marBottom w:val="0"/>
      <w:divBdr>
        <w:top w:val="none" w:sz="0" w:space="0" w:color="auto"/>
        <w:left w:val="none" w:sz="0" w:space="0" w:color="auto"/>
        <w:bottom w:val="none" w:sz="0" w:space="0" w:color="auto"/>
        <w:right w:val="none" w:sz="0" w:space="0" w:color="auto"/>
      </w:divBdr>
    </w:div>
    <w:div w:id="1707177378">
      <w:bodyDiv w:val="1"/>
      <w:marLeft w:val="0"/>
      <w:marRight w:val="0"/>
      <w:marTop w:val="0"/>
      <w:marBottom w:val="0"/>
      <w:divBdr>
        <w:top w:val="none" w:sz="0" w:space="0" w:color="auto"/>
        <w:left w:val="none" w:sz="0" w:space="0" w:color="auto"/>
        <w:bottom w:val="none" w:sz="0" w:space="0" w:color="auto"/>
        <w:right w:val="none" w:sz="0" w:space="0" w:color="auto"/>
      </w:divBdr>
    </w:div>
    <w:div w:id="1707441348">
      <w:bodyDiv w:val="1"/>
      <w:marLeft w:val="0"/>
      <w:marRight w:val="0"/>
      <w:marTop w:val="0"/>
      <w:marBottom w:val="0"/>
      <w:divBdr>
        <w:top w:val="none" w:sz="0" w:space="0" w:color="auto"/>
        <w:left w:val="none" w:sz="0" w:space="0" w:color="auto"/>
        <w:bottom w:val="none" w:sz="0" w:space="0" w:color="auto"/>
        <w:right w:val="none" w:sz="0" w:space="0" w:color="auto"/>
      </w:divBdr>
    </w:div>
    <w:div w:id="1707826739">
      <w:bodyDiv w:val="1"/>
      <w:marLeft w:val="0"/>
      <w:marRight w:val="0"/>
      <w:marTop w:val="0"/>
      <w:marBottom w:val="0"/>
      <w:divBdr>
        <w:top w:val="none" w:sz="0" w:space="0" w:color="auto"/>
        <w:left w:val="none" w:sz="0" w:space="0" w:color="auto"/>
        <w:bottom w:val="none" w:sz="0" w:space="0" w:color="auto"/>
        <w:right w:val="none" w:sz="0" w:space="0" w:color="auto"/>
      </w:divBdr>
    </w:div>
    <w:div w:id="1708293680">
      <w:bodyDiv w:val="1"/>
      <w:marLeft w:val="0"/>
      <w:marRight w:val="0"/>
      <w:marTop w:val="0"/>
      <w:marBottom w:val="0"/>
      <w:divBdr>
        <w:top w:val="none" w:sz="0" w:space="0" w:color="auto"/>
        <w:left w:val="none" w:sz="0" w:space="0" w:color="auto"/>
        <w:bottom w:val="none" w:sz="0" w:space="0" w:color="auto"/>
        <w:right w:val="none" w:sz="0" w:space="0" w:color="auto"/>
      </w:divBdr>
    </w:div>
    <w:div w:id="1708331453">
      <w:bodyDiv w:val="1"/>
      <w:marLeft w:val="0"/>
      <w:marRight w:val="0"/>
      <w:marTop w:val="0"/>
      <w:marBottom w:val="0"/>
      <w:divBdr>
        <w:top w:val="none" w:sz="0" w:space="0" w:color="auto"/>
        <w:left w:val="none" w:sz="0" w:space="0" w:color="auto"/>
        <w:bottom w:val="none" w:sz="0" w:space="0" w:color="auto"/>
        <w:right w:val="none" w:sz="0" w:space="0" w:color="auto"/>
      </w:divBdr>
    </w:div>
    <w:div w:id="1708410127">
      <w:bodyDiv w:val="1"/>
      <w:marLeft w:val="0"/>
      <w:marRight w:val="0"/>
      <w:marTop w:val="0"/>
      <w:marBottom w:val="0"/>
      <w:divBdr>
        <w:top w:val="none" w:sz="0" w:space="0" w:color="auto"/>
        <w:left w:val="none" w:sz="0" w:space="0" w:color="auto"/>
        <w:bottom w:val="none" w:sz="0" w:space="0" w:color="auto"/>
        <w:right w:val="none" w:sz="0" w:space="0" w:color="auto"/>
      </w:divBdr>
    </w:div>
    <w:div w:id="1708410939">
      <w:bodyDiv w:val="1"/>
      <w:marLeft w:val="0"/>
      <w:marRight w:val="0"/>
      <w:marTop w:val="0"/>
      <w:marBottom w:val="0"/>
      <w:divBdr>
        <w:top w:val="none" w:sz="0" w:space="0" w:color="auto"/>
        <w:left w:val="none" w:sz="0" w:space="0" w:color="auto"/>
        <w:bottom w:val="none" w:sz="0" w:space="0" w:color="auto"/>
        <w:right w:val="none" w:sz="0" w:space="0" w:color="auto"/>
      </w:divBdr>
    </w:div>
    <w:div w:id="1708876279">
      <w:bodyDiv w:val="1"/>
      <w:marLeft w:val="0"/>
      <w:marRight w:val="0"/>
      <w:marTop w:val="0"/>
      <w:marBottom w:val="0"/>
      <w:divBdr>
        <w:top w:val="none" w:sz="0" w:space="0" w:color="auto"/>
        <w:left w:val="none" w:sz="0" w:space="0" w:color="auto"/>
        <w:bottom w:val="none" w:sz="0" w:space="0" w:color="auto"/>
        <w:right w:val="none" w:sz="0" w:space="0" w:color="auto"/>
      </w:divBdr>
    </w:div>
    <w:div w:id="1708944893">
      <w:bodyDiv w:val="1"/>
      <w:marLeft w:val="0"/>
      <w:marRight w:val="0"/>
      <w:marTop w:val="0"/>
      <w:marBottom w:val="0"/>
      <w:divBdr>
        <w:top w:val="none" w:sz="0" w:space="0" w:color="auto"/>
        <w:left w:val="none" w:sz="0" w:space="0" w:color="auto"/>
        <w:bottom w:val="none" w:sz="0" w:space="0" w:color="auto"/>
        <w:right w:val="none" w:sz="0" w:space="0" w:color="auto"/>
      </w:divBdr>
    </w:div>
    <w:div w:id="1710179949">
      <w:bodyDiv w:val="1"/>
      <w:marLeft w:val="0"/>
      <w:marRight w:val="0"/>
      <w:marTop w:val="0"/>
      <w:marBottom w:val="0"/>
      <w:divBdr>
        <w:top w:val="none" w:sz="0" w:space="0" w:color="auto"/>
        <w:left w:val="none" w:sz="0" w:space="0" w:color="auto"/>
        <w:bottom w:val="none" w:sz="0" w:space="0" w:color="auto"/>
        <w:right w:val="none" w:sz="0" w:space="0" w:color="auto"/>
      </w:divBdr>
    </w:div>
    <w:div w:id="1710760609">
      <w:bodyDiv w:val="1"/>
      <w:marLeft w:val="0"/>
      <w:marRight w:val="0"/>
      <w:marTop w:val="0"/>
      <w:marBottom w:val="0"/>
      <w:divBdr>
        <w:top w:val="none" w:sz="0" w:space="0" w:color="auto"/>
        <w:left w:val="none" w:sz="0" w:space="0" w:color="auto"/>
        <w:bottom w:val="none" w:sz="0" w:space="0" w:color="auto"/>
        <w:right w:val="none" w:sz="0" w:space="0" w:color="auto"/>
      </w:divBdr>
    </w:div>
    <w:div w:id="1711342238">
      <w:bodyDiv w:val="1"/>
      <w:marLeft w:val="0"/>
      <w:marRight w:val="0"/>
      <w:marTop w:val="0"/>
      <w:marBottom w:val="0"/>
      <w:divBdr>
        <w:top w:val="none" w:sz="0" w:space="0" w:color="auto"/>
        <w:left w:val="none" w:sz="0" w:space="0" w:color="auto"/>
        <w:bottom w:val="none" w:sz="0" w:space="0" w:color="auto"/>
        <w:right w:val="none" w:sz="0" w:space="0" w:color="auto"/>
      </w:divBdr>
    </w:div>
    <w:div w:id="1712068205">
      <w:bodyDiv w:val="1"/>
      <w:marLeft w:val="0"/>
      <w:marRight w:val="0"/>
      <w:marTop w:val="0"/>
      <w:marBottom w:val="0"/>
      <w:divBdr>
        <w:top w:val="none" w:sz="0" w:space="0" w:color="auto"/>
        <w:left w:val="none" w:sz="0" w:space="0" w:color="auto"/>
        <w:bottom w:val="none" w:sz="0" w:space="0" w:color="auto"/>
        <w:right w:val="none" w:sz="0" w:space="0" w:color="auto"/>
      </w:divBdr>
    </w:div>
    <w:div w:id="1714113975">
      <w:bodyDiv w:val="1"/>
      <w:marLeft w:val="0"/>
      <w:marRight w:val="0"/>
      <w:marTop w:val="0"/>
      <w:marBottom w:val="0"/>
      <w:divBdr>
        <w:top w:val="none" w:sz="0" w:space="0" w:color="auto"/>
        <w:left w:val="none" w:sz="0" w:space="0" w:color="auto"/>
        <w:bottom w:val="none" w:sz="0" w:space="0" w:color="auto"/>
        <w:right w:val="none" w:sz="0" w:space="0" w:color="auto"/>
      </w:divBdr>
    </w:div>
    <w:div w:id="1715426914">
      <w:bodyDiv w:val="1"/>
      <w:marLeft w:val="0"/>
      <w:marRight w:val="0"/>
      <w:marTop w:val="0"/>
      <w:marBottom w:val="0"/>
      <w:divBdr>
        <w:top w:val="none" w:sz="0" w:space="0" w:color="auto"/>
        <w:left w:val="none" w:sz="0" w:space="0" w:color="auto"/>
        <w:bottom w:val="none" w:sz="0" w:space="0" w:color="auto"/>
        <w:right w:val="none" w:sz="0" w:space="0" w:color="auto"/>
      </w:divBdr>
    </w:div>
    <w:div w:id="1717310556">
      <w:bodyDiv w:val="1"/>
      <w:marLeft w:val="0"/>
      <w:marRight w:val="0"/>
      <w:marTop w:val="0"/>
      <w:marBottom w:val="0"/>
      <w:divBdr>
        <w:top w:val="none" w:sz="0" w:space="0" w:color="auto"/>
        <w:left w:val="none" w:sz="0" w:space="0" w:color="auto"/>
        <w:bottom w:val="none" w:sz="0" w:space="0" w:color="auto"/>
        <w:right w:val="none" w:sz="0" w:space="0" w:color="auto"/>
      </w:divBdr>
    </w:div>
    <w:div w:id="1718242643">
      <w:bodyDiv w:val="1"/>
      <w:marLeft w:val="0"/>
      <w:marRight w:val="0"/>
      <w:marTop w:val="0"/>
      <w:marBottom w:val="0"/>
      <w:divBdr>
        <w:top w:val="none" w:sz="0" w:space="0" w:color="auto"/>
        <w:left w:val="none" w:sz="0" w:space="0" w:color="auto"/>
        <w:bottom w:val="none" w:sz="0" w:space="0" w:color="auto"/>
        <w:right w:val="none" w:sz="0" w:space="0" w:color="auto"/>
      </w:divBdr>
    </w:div>
    <w:div w:id="1720933575">
      <w:bodyDiv w:val="1"/>
      <w:marLeft w:val="0"/>
      <w:marRight w:val="0"/>
      <w:marTop w:val="0"/>
      <w:marBottom w:val="0"/>
      <w:divBdr>
        <w:top w:val="none" w:sz="0" w:space="0" w:color="auto"/>
        <w:left w:val="none" w:sz="0" w:space="0" w:color="auto"/>
        <w:bottom w:val="none" w:sz="0" w:space="0" w:color="auto"/>
        <w:right w:val="none" w:sz="0" w:space="0" w:color="auto"/>
      </w:divBdr>
    </w:div>
    <w:div w:id="1722316442">
      <w:bodyDiv w:val="1"/>
      <w:marLeft w:val="0"/>
      <w:marRight w:val="0"/>
      <w:marTop w:val="0"/>
      <w:marBottom w:val="0"/>
      <w:divBdr>
        <w:top w:val="none" w:sz="0" w:space="0" w:color="auto"/>
        <w:left w:val="none" w:sz="0" w:space="0" w:color="auto"/>
        <w:bottom w:val="none" w:sz="0" w:space="0" w:color="auto"/>
        <w:right w:val="none" w:sz="0" w:space="0" w:color="auto"/>
      </w:divBdr>
    </w:div>
    <w:div w:id="1722514460">
      <w:bodyDiv w:val="1"/>
      <w:marLeft w:val="0"/>
      <w:marRight w:val="0"/>
      <w:marTop w:val="0"/>
      <w:marBottom w:val="0"/>
      <w:divBdr>
        <w:top w:val="none" w:sz="0" w:space="0" w:color="auto"/>
        <w:left w:val="none" w:sz="0" w:space="0" w:color="auto"/>
        <w:bottom w:val="none" w:sz="0" w:space="0" w:color="auto"/>
        <w:right w:val="none" w:sz="0" w:space="0" w:color="auto"/>
      </w:divBdr>
    </w:div>
    <w:div w:id="1722561151">
      <w:bodyDiv w:val="1"/>
      <w:marLeft w:val="0"/>
      <w:marRight w:val="0"/>
      <w:marTop w:val="0"/>
      <w:marBottom w:val="0"/>
      <w:divBdr>
        <w:top w:val="none" w:sz="0" w:space="0" w:color="auto"/>
        <w:left w:val="none" w:sz="0" w:space="0" w:color="auto"/>
        <w:bottom w:val="none" w:sz="0" w:space="0" w:color="auto"/>
        <w:right w:val="none" w:sz="0" w:space="0" w:color="auto"/>
      </w:divBdr>
    </w:div>
    <w:div w:id="1723944590">
      <w:bodyDiv w:val="1"/>
      <w:marLeft w:val="0"/>
      <w:marRight w:val="0"/>
      <w:marTop w:val="0"/>
      <w:marBottom w:val="0"/>
      <w:divBdr>
        <w:top w:val="none" w:sz="0" w:space="0" w:color="auto"/>
        <w:left w:val="none" w:sz="0" w:space="0" w:color="auto"/>
        <w:bottom w:val="none" w:sz="0" w:space="0" w:color="auto"/>
        <w:right w:val="none" w:sz="0" w:space="0" w:color="auto"/>
      </w:divBdr>
    </w:div>
    <w:div w:id="1724064179">
      <w:bodyDiv w:val="1"/>
      <w:marLeft w:val="0"/>
      <w:marRight w:val="0"/>
      <w:marTop w:val="0"/>
      <w:marBottom w:val="0"/>
      <w:divBdr>
        <w:top w:val="none" w:sz="0" w:space="0" w:color="auto"/>
        <w:left w:val="none" w:sz="0" w:space="0" w:color="auto"/>
        <w:bottom w:val="none" w:sz="0" w:space="0" w:color="auto"/>
        <w:right w:val="none" w:sz="0" w:space="0" w:color="auto"/>
      </w:divBdr>
    </w:div>
    <w:div w:id="1724252663">
      <w:bodyDiv w:val="1"/>
      <w:marLeft w:val="0"/>
      <w:marRight w:val="0"/>
      <w:marTop w:val="0"/>
      <w:marBottom w:val="0"/>
      <w:divBdr>
        <w:top w:val="none" w:sz="0" w:space="0" w:color="auto"/>
        <w:left w:val="none" w:sz="0" w:space="0" w:color="auto"/>
        <w:bottom w:val="none" w:sz="0" w:space="0" w:color="auto"/>
        <w:right w:val="none" w:sz="0" w:space="0" w:color="auto"/>
      </w:divBdr>
    </w:div>
    <w:div w:id="1725252866">
      <w:bodyDiv w:val="1"/>
      <w:marLeft w:val="0"/>
      <w:marRight w:val="0"/>
      <w:marTop w:val="0"/>
      <w:marBottom w:val="0"/>
      <w:divBdr>
        <w:top w:val="none" w:sz="0" w:space="0" w:color="auto"/>
        <w:left w:val="none" w:sz="0" w:space="0" w:color="auto"/>
        <w:bottom w:val="none" w:sz="0" w:space="0" w:color="auto"/>
        <w:right w:val="none" w:sz="0" w:space="0" w:color="auto"/>
      </w:divBdr>
    </w:div>
    <w:div w:id="1725643353">
      <w:bodyDiv w:val="1"/>
      <w:marLeft w:val="0"/>
      <w:marRight w:val="0"/>
      <w:marTop w:val="0"/>
      <w:marBottom w:val="0"/>
      <w:divBdr>
        <w:top w:val="none" w:sz="0" w:space="0" w:color="auto"/>
        <w:left w:val="none" w:sz="0" w:space="0" w:color="auto"/>
        <w:bottom w:val="none" w:sz="0" w:space="0" w:color="auto"/>
        <w:right w:val="none" w:sz="0" w:space="0" w:color="auto"/>
      </w:divBdr>
    </w:div>
    <w:div w:id="1726684865">
      <w:bodyDiv w:val="1"/>
      <w:marLeft w:val="0"/>
      <w:marRight w:val="0"/>
      <w:marTop w:val="0"/>
      <w:marBottom w:val="0"/>
      <w:divBdr>
        <w:top w:val="none" w:sz="0" w:space="0" w:color="auto"/>
        <w:left w:val="none" w:sz="0" w:space="0" w:color="auto"/>
        <w:bottom w:val="none" w:sz="0" w:space="0" w:color="auto"/>
        <w:right w:val="none" w:sz="0" w:space="0" w:color="auto"/>
      </w:divBdr>
    </w:div>
    <w:div w:id="1727685280">
      <w:bodyDiv w:val="1"/>
      <w:marLeft w:val="0"/>
      <w:marRight w:val="0"/>
      <w:marTop w:val="0"/>
      <w:marBottom w:val="0"/>
      <w:divBdr>
        <w:top w:val="none" w:sz="0" w:space="0" w:color="auto"/>
        <w:left w:val="none" w:sz="0" w:space="0" w:color="auto"/>
        <w:bottom w:val="none" w:sz="0" w:space="0" w:color="auto"/>
        <w:right w:val="none" w:sz="0" w:space="0" w:color="auto"/>
      </w:divBdr>
    </w:div>
    <w:div w:id="1728331998">
      <w:bodyDiv w:val="1"/>
      <w:marLeft w:val="0"/>
      <w:marRight w:val="0"/>
      <w:marTop w:val="0"/>
      <w:marBottom w:val="0"/>
      <w:divBdr>
        <w:top w:val="none" w:sz="0" w:space="0" w:color="auto"/>
        <w:left w:val="none" w:sz="0" w:space="0" w:color="auto"/>
        <w:bottom w:val="none" w:sz="0" w:space="0" w:color="auto"/>
        <w:right w:val="none" w:sz="0" w:space="0" w:color="auto"/>
      </w:divBdr>
    </w:div>
    <w:div w:id="1729303434">
      <w:bodyDiv w:val="1"/>
      <w:marLeft w:val="0"/>
      <w:marRight w:val="0"/>
      <w:marTop w:val="0"/>
      <w:marBottom w:val="0"/>
      <w:divBdr>
        <w:top w:val="none" w:sz="0" w:space="0" w:color="auto"/>
        <w:left w:val="none" w:sz="0" w:space="0" w:color="auto"/>
        <w:bottom w:val="none" w:sz="0" w:space="0" w:color="auto"/>
        <w:right w:val="none" w:sz="0" w:space="0" w:color="auto"/>
      </w:divBdr>
    </w:div>
    <w:div w:id="1729526108">
      <w:bodyDiv w:val="1"/>
      <w:marLeft w:val="0"/>
      <w:marRight w:val="0"/>
      <w:marTop w:val="0"/>
      <w:marBottom w:val="0"/>
      <w:divBdr>
        <w:top w:val="none" w:sz="0" w:space="0" w:color="auto"/>
        <w:left w:val="none" w:sz="0" w:space="0" w:color="auto"/>
        <w:bottom w:val="none" w:sz="0" w:space="0" w:color="auto"/>
        <w:right w:val="none" w:sz="0" w:space="0" w:color="auto"/>
      </w:divBdr>
    </w:div>
    <w:div w:id="1729646979">
      <w:bodyDiv w:val="1"/>
      <w:marLeft w:val="0"/>
      <w:marRight w:val="0"/>
      <w:marTop w:val="0"/>
      <w:marBottom w:val="0"/>
      <w:divBdr>
        <w:top w:val="none" w:sz="0" w:space="0" w:color="auto"/>
        <w:left w:val="none" w:sz="0" w:space="0" w:color="auto"/>
        <w:bottom w:val="none" w:sz="0" w:space="0" w:color="auto"/>
        <w:right w:val="none" w:sz="0" w:space="0" w:color="auto"/>
      </w:divBdr>
    </w:div>
    <w:div w:id="1730836727">
      <w:bodyDiv w:val="1"/>
      <w:marLeft w:val="0"/>
      <w:marRight w:val="0"/>
      <w:marTop w:val="0"/>
      <w:marBottom w:val="0"/>
      <w:divBdr>
        <w:top w:val="none" w:sz="0" w:space="0" w:color="auto"/>
        <w:left w:val="none" w:sz="0" w:space="0" w:color="auto"/>
        <w:bottom w:val="none" w:sz="0" w:space="0" w:color="auto"/>
        <w:right w:val="none" w:sz="0" w:space="0" w:color="auto"/>
      </w:divBdr>
    </w:div>
    <w:div w:id="1730958445">
      <w:bodyDiv w:val="1"/>
      <w:marLeft w:val="0"/>
      <w:marRight w:val="0"/>
      <w:marTop w:val="0"/>
      <w:marBottom w:val="0"/>
      <w:divBdr>
        <w:top w:val="none" w:sz="0" w:space="0" w:color="auto"/>
        <w:left w:val="none" w:sz="0" w:space="0" w:color="auto"/>
        <w:bottom w:val="none" w:sz="0" w:space="0" w:color="auto"/>
        <w:right w:val="none" w:sz="0" w:space="0" w:color="auto"/>
      </w:divBdr>
    </w:div>
    <w:div w:id="1731415252">
      <w:bodyDiv w:val="1"/>
      <w:marLeft w:val="0"/>
      <w:marRight w:val="0"/>
      <w:marTop w:val="0"/>
      <w:marBottom w:val="0"/>
      <w:divBdr>
        <w:top w:val="none" w:sz="0" w:space="0" w:color="auto"/>
        <w:left w:val="none" w:sz="0" w:space="0" w:color="auto"/>
        <w:bottom w:val="none" w:sz="0" w:space="0" w:color="auto"/>
        <w:right w:val="none" w:sz="0" w:space="0" w:color="auto"/>
      </w:divBdr>
    </w:div>
    <w:div w:id="1731734141">
      <w:bodyDiv w:val="1"/>
      <w:marLeft w:val="0"/>
      <w:marRight w:val="0"/>
      <w:marTop w:val="0"/>
      <w:marBottom w:val="0"/>
      <w:divBdr>
        <w:top w:val="none" w:sz="0" w:space="0" w:color="auto"/>
        <w:left w:val="none" w:sz="0" w:space="0" w:color="auto"/>
        <w:bottom w:val="none" w:sz="0" w:space="0" w:color="auto"/>
        <w:right w:val="none" w:sz="0" w:space="0" w:color="auto"/>
      </w:divBdr>
    </w:div>
    <w:div w:id="1732774121">
      <w:bodyDiv w:val="1"/>
      <w:marLeft w:val="0"/>
      <w:marRight w:val="0"/>
      <w:marTop w:val="0"/>
      <w:marBottom w:val="0"/>
      <w:divBdr>
        <w:top w:val="none" w:sz="0" w:space="0" w:color="auto"/>
        <w:left w:val="none" w:sz="0" w:space="0" w:color="auto"/>
        <w:bottom w:val="none" w:sz="0" w:space="0" w:color="auto"/>
        <w:right w:val="none" w:sz="0" w:space="0" w:color="auto"/>
      </w:divBdr>
    </w:div>
    <w:div w:id="1733388749">
      <w:bodyDiv w:val="1"/>
      <w:marLeft w:val="0"/>
      <w:marRight w:val="0"/>
      <w:marTop w:val="0"/>
      <w:marBottom w:val="0"/>
      <w:divBdr>
        <w:top w:val="none" w:sz="0" w:space="0" w:color="auto"/>
        <w:left w:val="none" w:sz="0" w:space="0" w:color="auto"/>
        <w:bottom w:val="none" w:sz="0" w:space="0" w:color="auto"/>
        <w:right w:val="none" w:sz="0" w:space="0" w:color="auto"/>
      </w:divBdr>
    </w:div>
    <w:div w:id="1734818059">
      <w:bodyDiv w:val="1"/>
      <w:marLeft w:val="0"/>
      <w:marRight w:val="0"/>
      <w:marTop w:val="0"/>
      <w:marBottom w:val="0"/>
      <w:divBdr>
        <w:top w:val="none" w:sz="0" w:space="0" w:color="auto"/>
        <w:left w:val="none" w:sz="0" w:space="0" w:color="auto"/>
        <w:bottom w:val="none" w:sz="0" w:space="0" w:color="auto"/>
        <w:right w:val="none" w:sz="0" w:space="0" w:color="auto"/>
      </w:divBdr>
    </w:div>
    <w:div w:id="1735348181">
      <w:bodyDiv w:val="1"/>
      <w:marLeft w:val="0"/>
      <w:marRight w:val="0"/>
      <w:marTop w:val="0"/>
      <w:marBottom w:val="0"/>
      <w:divBdr>
        <w:top w:val="none" w:sz="0" w:space="0" w:color="auto"/>
        <w:left w:val="none" w:sz="0" w:space="0" w:color="auto"/>
        <w:bottom w:val="none" w:sz="0" w:space="0" w:color="auto"/>
        <w:right w:val="none" w:sz="0" w:space="0" w:color="auto"/>
      </w:divBdr>
    </w:div>
    <w:div w:id="1735663439">
      <w:bodyDiv w:val="1"/>
      <w:marLeft w:val="0"/>
      <w:marRight w:val="0"/>
      <w:marTop w:val="0"/>
      <w:marBottom w:val="0"/>
      <w:divBdr>
        <w:top w:val="none" w:sz="0" w:space="0" w:color="auto"/>
        <w:left w:val="none" w:sz="0" w:space="0" w:color="auto"/>
        <w:bottom w:val="none" w:sz="0" w:space="0" w:color="auto"/>
        <w:right w:val="none" w:sz="0" w:space="0" w:color="auto"/>
      </w:divBdr>
    </w:div>
    <w:div w:id="1736319896">
      <w:bodyDiv w:val="1"/>
      <w:marLeft w:val="0"/>
      <w:marRight w:val="0"/>
      <w:marTop w:val="0"/>
      <w:marBottom w:val="0"/>
      <w:divBdr>
        <w:top w:val="none" w:sz="0" w:space="0" w:color="auto"/>
        <w:left w:val="none" w:sz="0" w:space="0" w:color="auto"/>
        <w:bottom w:val="none" w:sz="0" w:space="0" w:color="auto"/>
        <w:right w:val="none" w:sz="0" w:space="0" w:color="auto"/>
      </w:divBdr>
    </w:div>
    <w:div w:id="1736471181">
      <w:bodyDiv w:val="1"/>
      <w:marLeft w:val="0"/>
      <w:marRight w:val="0"/>
      <w:marTop w:val="0"/>
      <w:marBottom w:val="0"/>
      <w:divBdr>
        <w:top w:val="none" w:sz="0" w:space="0" w:color="auto"/>
        <w:left w:val="none" w:sz="0" w:space="0" w:color="auto"/>
        <w:bottom w:val="none" w:sz="0" w:space="0" w:color="auto"/>
        <w:right w:val="none" w:sz="0" w:space="0" w:color="auto"/>
      </w:divBdr>
    </w:div>
    <w:div w:id="1737509774">
      <w:bodyDiv w:val="1"/>
      <w:marLeft w:val="0"/>
      <w:marRight w:val="0"/>
      <w:marTop w:val="0"/>
      <w:marBottom w:val="0"/>
      <w:divBdr>
        <w:top w:val="none" w:sz="0" w:space="0" w:color="auto"/>
        <w:left w:val="none" w:sz="0" w:space="0" w:color="auto"/>
        <w:bottom w:val="none" w:sz="0" w:space="0" w:color="auto"/>
        <w:right w:val="none" w:sz="0" w:space="0" w:color="auto"/>
      </w:divBdr>
    </w:div>
    <w:div w:id="1740865505">
      <w:bodyDiv w:val="1"/>
      <w:marLeft w:val="0"/>
      <w:marRight w:val="0"/>
      <w:marTop w:val="0"/>
      <w:marBottom w:val="0"/>
      <w:divBdr>
        <w:top w:val="none" w:sz="0" w:space="0" w:color="auto"/>
        <w:left w:val="none" w:sz="0" w:space="0" w:color="auto"/>
        <w:bottom w:val="none" w:sz="0" w:space="0" w:color="auto"/>
        <w:right w:val="none" w:sz="0" w:space="0" w:color="auto"/>
      </w:divBdr>
    </w:div>
    <w:div w:id="1742285360">
      <w:bodyDiv w:val="1"/>
      <w:marLeft w:val="0"/>
      <w:marRight w:val="0"/>
      <w:marTop w:val="0"/>
      <w:marBottom w:val="0"/>
      <w:divBdr>
        <w:top w:val="none" w:sz="0" w:space="0" w:color="auto"/>
        <w:left w:val="none" w:sz="0" w:space="0" w:color="auto"/>
        <w:bottom w:val="none" w:sz="0" w:space="0" w:color="auto"/>
        <w:right w:val="none" w:sz="0" w:space="0" w:color="auto"/>
      </w:divBdr>
    </w:div>
    <w:div w:id="1743210256">
      <w:bodyDiv w:val="1"/>
      <w:marLeft w:val="0"/>
      <w:marRight w:val="0"/>
      <w:marTop w:val="0"/>
      <w:marBottom w:val="0"/>
      <w:divBdr>
        <w:top w:val="none" w:sz="0" w:space="0" w:color="auto"/>
        <w:left w:val="none" w:sz="0" w:space="0" w:color="auto"/>
        <w:bottom w:val="none" w:sz="0" w:space="0" w:color="auto"/>
        <w:right w:val="none" w:sz="0" w:space="0" w:color="auto"/>
      </w:divBdr>
    </w:div>
    <w:div w:id="1744185199">
      <w:bodyDiv w:val="1"/>
      <w:marLeft w:val="0"/>
      <w:marRight w:val="0"/>
      <w:marTop w:val="0"/>
      <w:marBottom w:val="0"/>
      <w:divBdr>
        <w:top w:val="none" w:sz="0" w:space="0" w:color="auto"/>
        <w:left w:val="none" w:sz="0" w:space="0" w:color="auto"/>
        <w:bottom w:val="none" w:sz="0" w:space="0" w:color="auto"/>
        <w:right w:val="none" w:sz="0" w:space="0" w:color="auto"/>
      </w:divBdr>
    </w:div>
    <w:div w:id="1745108803">
      <w:bodyDiv w:val="1"/>
      <w:marLeft w:val="0"/>
      <w:marRight w:val="0"/>
      <w:marTop w:val="0"/>
      <w:marBottom w:val="0"/>
      <w:divBdr>
        <w:top w:val="none" w:sz="0" w:space="0" w:color="auto"/>
        <w:left w:val="none" w:sz="0" w:space="0" w:color="auto"/>
        <w:bottom w:val="none" w:sz="0" w:space="0" w:color="auto"/>
        <w:right w:val="none" w:sz="0" w:space="0" w:color="auto"/>
      </w:divBdr>
    </w:div>
    <w:div w:id="1745644486">
      <w:bodyDiv w:val="1"/>
      <w:marLeft w:val="0"/>
      <w:marRight w:val="0"/>
      <w:marTop w:val="0"/>
      <w:marBottom w:val="0"/>
      <w:divBdr>
        <w:top w:val="none" w:sz="0" w:space="0" w:color="auto"/>
        <w:left w:val="none" w:sz="0" w:space="0" w:color="auto"/>
        <w:bottom w:val="none" w:sz="0" w:space="0" w:color="auto"/>
        <w:right w:val="none" w:sz="0" w:space="0" w:color="auto"/>
      </w:divBdr>
    </w:div>
    <w:div w:id="1746298691">
      <w:bodyDiv w:val="1"/>
      <w:marLeft w:val="0"/>
      <w:marRight w:val="0"/>
      <w:marTop w:val="0"/>
      <w:marBottom w:val="0"/>
      <w:divBdr>
        <w:top w:val="none" w:sz="0" w:space="0" w:color="auto"/>
        <w:left w:val="none" w:sz="0" w:space="0" w:color="auto"/>
        <w:bottom w:val="none" w:sz="0" w:space="0" w:color="auto"/>
        <w:right w:val="none" w:sz="0" w:space="0" w:color="auto"/>
      </w:divBdr>
    </w:div>
    <w:div w:id="1748115870">
      <w:bodyDiv w:val="1"/>
      <w:marLeft w:val="0"/>
      <w:marRight w:val="0"/>
      <w:marTop w:val="0"/>
      <w:marBottom w:val="0"/>
      <w:divBdr>
        <w:top w:val="none" w:sz="0" w:space="0" w:color="auto"/>
        <w:left w:val="none" w:sz="0" w:space="0" w:color="auto"/>
        <w:bottom w:val="none" w:sz="0" w:space="0" w:color="auto"/>
        <w:right w:val="none" w:sz="0" w:space="0" w:color="auto"/>
      </w:divBdr>
    </w:div>
    <w:div w:id="1748261809">
      <w:bodyDiv w:val="1"/>
      <w:marLeft w:val="0"/>
      <w:marRight w:val="0"/>
      <w:marTop w:val="0"/>
      <w:marBottom w:val="0"/>
      <w:divBdr>
        <w:top w:val="none" w:sz="0" w:space="0" w:color="auto"/>
        <w:left w:val="none" w:sz="0" w:space="0" w:color="auto"/>
        <w:bottom w:val="none" w:sz="0" w:space="0" w:color="auto"/>
        <w:right w:val="none" w:sz="0" w:space="0" w:color="auto"/>
      </w:divBdr>
    </w:div>
    <w:div w:id="1748769355">
      <w:bodyDiv w:val="1"/>
      <w:marLeft w:val="0"/>
      <w:marRight w:val="0"/>
      <w:marTop w:val="0"/>
      <w:marBottom w:val="0"/>
      <w:divBdr>
        <w:top w:val="none" w:sz="0" w:space="0" w:color="auto"/>
        <w:left w:val="none" w:sz="0" w:space="0" w:color="auto"/>
        <w:bottom w:val="none" w:sz="0" w:space="0" w:color="auto"/>
        <w:right w:val="none" w:sz="0" w:space="0" w:color="auto"/>
      </w:divBdr>
    </w:div>
    <w:div w:id="1749960633">
      <w:bodyDiv w:val="1"/>
      <w:marLeft w:val="0"/>
      <w:marRight w:val="0"/>
      <w:marTop w:val="0"/>
      <w:marBottom w:val="0"/>
      <w:divBdr>
        <w:top w:val="none" w:sz="0" w:space="0" w:color="auto"/>
        <w:left w:val="none" w:sz="0" w:space="0" w:color="auto"/>
        <w:bottom w:val="none" w:sz="0" w:space="0" w:color="auto"/>
        <w:right w:val="none" w:sz="0" w:space="0" w:color="auto"/>
      </w:divBdr>
    </w:div>
    <w:div w:id="1751345326">
      <w:bodyDiv w:val="1"/>
      <w:marLeft w:val="0"/>
      <w:marRight w:val="0"/>
      <w:marTop w:val="0"/>
      <w:marBottom w:val="0"/>
      <w:divBdr>
        <w:top w:val="none" w:sz="0" w:space="0" w:color="auto"/>
        <w:left w:val="none" w:sz="0" w:space="0" w:color="auto"/>
        <w:bottom w:val="none" w:sz="0" w:space="0" w:color="auto"/>
        <w:right w:val="none" w:sz="0" w:space="0" w:color="auto"/>
      </w:divBdr>
    </w:div>
    <w:div w:id="1751808660">
      <w:bodyDiv w:val="1"/>
      <w:marLeft w:val="0"/>
      <w:marRight w:val="0"/>
      <w:marTop w:val="0"/>
      <w:marBottom w:val="0"/>
      <w:divBdr>
        <w:top w:val="none" w:sz="0" w:space="0" w:color="auto"/>
        <w:left w:val="none" w:sz="0" w:space="0" w:color="auto"/>
        <w:bottom w:val="none" w:sz="0" w:space="0" w:color="auto"/>
        <w:right w:val="none" w:sz="0" w:space="0" w:color="auto"/>
      </w:divBdr>
      <w:divsChild>
        <w:div w:id="125006540">
          <w:marLeft w:val="0"/>
          <w:marRight w:val="0"/>
          <w:marTop w:val="0"/>
          <w:marBottom w:val="0"/>
          <w:divBdr>
            <w:top w:val="none" w:sz="0" w:space="0" w:color="auto"/>
            <w:left w:val="none" w:sz="0" w:space="0" w:color="auto"/>
            <w:bottom w:val="none" w:sz="0" w:space="0" w:color="auto"/>
            <w:right w:val="none" w:sz="0" w:space="0" w:color="auto"/>
          </w:divBdr>
        </w:div>
        <w:div w:id="436684067">
          <w:marLeft w:val="0"/>
          <w:marRight w:val="0"/>
          <w:marTop w:val="0"/>
          <w:marBottom w:val="0"/>
          <w:divBdr>
            <w:top w:val="none" w:sz="0" w:space="0" w:color="auto"/>
            <w:left w:val="none" w:sz="0" w:space="0" w:color="auto"/>
            <w:bottom w:val="none" w:sz="0" w:space="0" w:color="auto"/>
            <w:right w:val="none" w:sz="0" w:space="0" w:color="auto"/>
          </w:divBdr>
        </w:div>
        <w:div w:id="1294749738">
          <w:marLeft w:val="0"/>
          <w:marRight w:val="0"/>
          <w:marTop w:val="0"/>
          <w:marBottom w:val="0"/>
          <w:divBdr>
            <w:top w:val="none" w:sz="0" w:space="0" w:color="auto"/>
            <w:left w:val="none" w:sz="0" w:space="0" w:color="auto"/>
            <w:bottom w:val="none" w:sz="0" w:space="0" w:color="auto"/>
            <w:right w:val="none" w:sz="0" w:space="0" w:color="auto"/>
          </w:divBdr>
        </w:div>
        <w:div w:id="1967198745">
          <w:marLeft w:val="0"/>
          <w:marRight w:val="0"/>
          <w:marTop w:val="0"/>
          <w:marBottom w:val="0"/>
          <w:divBdr>
            <w:top w:val="none" w:sz="0" w:space="0" w:color="auto"/>
            <w:left w:val="none" w:sz="0" w:space="0" w:color="auto"/>
            <w:bottom w:val="none" w:sz="0" w:space="0" w:color="auto"/>
            <w:right w:val="none" w:sz="0" w:space="0" w:color="auto"/>
          </w:divBdr>
        </w:div>
      </w:divsChild>
    </w:div>
    <w:div w:id="1753962930">
      <w:bodyDiv w:val="1"/>
      <w:marLeft w:val="0"/>
      <w:marRight w:val="0"/>
      <w:marTop w:val="0"/>
      <w:marBottom w:val="0"/>
      <w:divBdr>
        <w:top w:val="none" w:sz="0" w:space="0" w:color="auto"/>
        <w:left w:val="none" w:sz="0" w:space="0" w:color="auto"/>
        <w:bottom w:val="none" w:sz="0" w:space="0" w:color="auto"/>
        <w:right w:val="none" w:sz="0" w:space="0" w:color="auto"/>
      </w:divBdr>
    </w:div>
    <w:div w:id="1754936420">
      <w:bodyDiv w:val="1"/>
      <w:marLeft w:val="0"/>
      <w:marRight w:val="0"/>
      <w:marTop w:val="0"/>
      <w:marBottom w:val="0"/>
      <w:divBdr>
        <w:top w:val="none" w:sz="0" w:space="0" w:color="auto"/>
        <w:left w:val="none" w:sz="0" w:space="0" w:color="auto"/>
        <w:bottom w:val="none" w:sz="0" w:space="0" w:color="auto"/>
        <w:right w:val="none" w:sz="0" w:space="0" w:color="auto"/>
      </w:divBdr>
    </w:div>
    <w:div w:id="1756439867">
      <w:bodyDiv w:val="1"/>
      <w:marLeft w:val="0"/>
      <w:marRight w:val="0"/>
      <w:marTop w:val="0"/>
      <w:marBottom w:val="0"/>
      <w:divBdr>
        <w:top w:val="none" w:sz="0" w:space="0" w:color="auto"/>
        <w:left w:val="none" w:sz="0" w:space="0" w:color="auto"/>
        <w:bottom w:val="none" w:sz="0" w:space="0" w:color="auto"/>
        <w:right w:val="none" w:sz="0" w:space="0" w:color="auto"/>
      </w:divBdr>
    </w:div>
    <w:div w:id="1756509539">
      <w:bodyDiv w:val="1"/>
      <w:marLeft w:val="0"/>
      <w:marRight w:val="0"/>
      <w:marTop w:val="0"/>
      <w:marBottom w:val="0"/>
      <w:divBdr>
        <w:top w:val="none" w:sz="0" w:space="0" w:color="auto"/>
        <w:left w:val="none" w:sz="0" w:space="0" w:color="auto"/>
        <w:bottom w:val="none" w:sz="0" w:space="0" w:color="auto"/>
        <w:right w:val="none" w:sz="0" w:space="0" w:color="auto"/>
      </w:divBdr>
    </w:div>
    <w:div w:id="1756702019">
      <w:bodyDiv w:val="1"/>
      <w:marLeft w:val="0"/>
      <w:marRight w:val="0"/>
      <w:marTop w:val="0"/>
      <w:marBottom w:val="0"/>
      <w:divBdr>
        <w:top w:val="none" w:sz="0" w:space="0" w:color="auto"/>
        <w:left w:val="none" w:sz="0" w:space="0" w:color="auto"/>
        <w:bottom w:val="none" w:sz="0" w:space="0" w:color="auto"/>
        <w:right w:val="none" w:sz="0" w:space="0" w:color="auto"/>
      </w:divBdr>
    </w:div>
    <w:div w:id="1758095842">
      <w:bodyDiv w:val="1"/>
      <w:marLeft w:val="0"/>
      <w:marRight w:val="0"/>
      <w:marTop w:val="0"/>
      <w:marBottom w:val="0"/>
      <w:divBdr>
        <w:top w:val="none" w:sz="0" w:space="0" w:color="auto"/>
        <w:left w:val="none" w:sz="0" w:space="0" w:color="auto"/>
        <w:bottom w:val="none" w:sz="0" w:space="0" w:color="auto"/>
        <w:right w:val="none" w:sz="0" w:space="0" w:color="auto"/>
      </w:divBdr>
    </w:div>
    <w:div w:id="1759403578">
      <w:bodyDiv w:val="1"/>
      <w:marLeft w:val="0"/>
      <w:marRight w:val="0"/>
      <w:marTop w:val="0"/>
      <w:marBottom w:val="0"/>
      <w:divBdr>
        <w:top w:val="none" w:sz="0" w:space="0" w:color="auto"/>
        <w:left w:val="none" w:sz="0" w:space="0" w:color="auto"/>
        <w:bottom w:val="none" w:sz="0" w:space="0" w:color="auto"/>
        <w:right w:val="none" w:sz="0" w:space="0" w:color="auto"/>
      </w:divBdr>
    </w:div>
    <w:div w:id="1759592861">
      <w:bodyDiv w:val="1"/>
      <w:marLeft w:val="0"/>
      <w:marRight w:val="0"/>
      <w:marTop w:val="0"/>
      <w:marBottom w:val="0"/>
      <w:divBdr>
        <w:top w:val="none" w:sz="0" w:space="0" w:color="auto"/>
        <w:left w:val="none" w:sz="0" w:space="0" w:color="auto"/>
        <w:bottom w:val="none" w:sz="0" w:space="0" w:color="auto"/>
        <w:right w:val="none" w:sz="0" w:space="0" w:color="auto"/>
      </w:divBdr>
    </w:div>
    <w:div w:id="1761946206">
      <w:bodyDiv w:val="1"/>
      <w:marLeft w:val="0"/>
      <w:marRight w:val="0"/>
      <w:marTop w:val="0"/>
      <w:marBottom w:val="0"/>
      <w:divBdr>
        <w:top w:val="none" w:sz="0" w:space="0" w:color="auto"/>
        <w:left w:val="none" w:sz="0" w:space="0" w:color="auto"/>
        <w:bottom w:val="none" w:sz="0" w:space="0" w:color="auto"/>
        <w:right w:val="none" w:sz="0" w:space="0" w:color="auto"/>
      </w:divBdr>
    </w:div>
    <w:div w:id="1762330777">
      <w:bodyDiv w:val="1"/>
      <w:marLeft w:val="0"/>
      <w:marRight w:val="0"/>
      <w:marTop w:val="0"/>
      <w:marBottom w:val="0"/>
      <w:divBdr>
        <w:top w:val="none" w:sz="0" w:space="0" w:color="auto"/>
        <w:left w:val="none" w:sz="0" w:space="0" w:color="auto"/>
        <w:bottom w:val="none" w:sz="0" w:space="0" w:color="auto"/>
        <w:right w:val="none" w:sz="0" w:space="0" w:color="auto"/>
      </w:divBdr>
    </w:div>
    <w:div w:id="1762406358">
      <w:bodyDiv w:val="1"/>
      <w:marLeft w:val="0"/>
      <w:marRight w:val="0"/>
      <w:marTop w:val="0"/>
      <w:marBottom w:val="0"/>
      <w:divBdr>
        <w:top w:val="none" w:sz="0" w:space="0" w:color="auto"/>
        <w:left w:val="none" w:sz="0" w:space="0" w:color="auto"/>
        <w:bottom w:val="none" w:sz="0" w:space="0" w:color="auto"/>
        <w:right w:val="none" w:sz="0" w:space="0" w:color="auto"/>
      </w:divBdr>
    </w:div>
    <w:div w:id="1765151128">
      <w:bodyDiv w:val="1"/>
      <w:marLeft w:val="0"/>
      <w:marRight w:val="0"/>
      <w:marTop w:val="0"/>
      <w:marBottom w:val="0"/>
      <w:divBdr>
        <w:top w:val="none" w:sz="0" w:space="0" w:color="auto"/>
        <w:left w:val="none" w:sz="0" w:space="0" w:color="auto"/>
        <w:bottom w:val="none" w:sz="0" w:space="0" w:color="auto"/>
        <w:right w:val="none" w:sz="0" w:space="0" w:color="auto"/>
      </w:divBdr>
    </w:div>
    <w:div w:id="1765374775">
      <w:bodyDiv w:val="1"/>
      <w:marLeft w:val="0"/>
      <w:marRight w:val="0"/>
      <w:marTop w:val="0"/>
      <w:marBottom w:val="0"/>
      <w:divBdr>
        <w:top w:val="none" w:sz="0" w:space="0" w:color="auto"/>
        <w:left w:val="none" w:sz="0" w:space="0" w:color="auto"/>
        <w:bottom w:val="none" w:sz="0" w:space="0" w:color="auto"/>
        <w:right w:val="none" w:sz="0" w:space="0" w:color="auto"/>
      </w:divBdr>
    </w:div>
    <w:div w:id="1765687879">
      <w:bodyDiv w:val="1"/>
      <w:marLeft w:val="0"/>
      <w:marRight w:val="0"/>
      <w:marTop w:val="0"/>
      <w:marBottom w:val="0"/>
      <w:divBdr>
        <w:top w:val="none" w:sz="0" w:space="0" w:color="auto"/>
        <w:left w:val="none" w:sz="0" w:space="0" w:color="auto"/>
        <w:bottom w:val="none" w:sz="0" w:space="0" w:color="auto"/>
        <w:right w:val="none" w:sz="0" w:space="0" w:color="auto"/>
      </w:divBdr>
    </w:div>
    <w:div w:id="1766609669">
      <w:bodyDiv w:val="1"/>
      <w:marLeft w:val="0"/>
      <w:marRight w:val="0"/>
      <w:marTop w:val="0"/>
      <w:marBottom w:val="0"/>
      <w:divBdr>
        <w:top w:val="none" w:sz="0" w:space="0" w:color="auto"/>
        <w:left w:val="none" w:sz="0" w:space="0" w:color="auto"/>
        <w:bottom w:val="none" w:sz="0" w:space="0" w:color="auto"/>
        <w:right w:val="none" w:sz="0" w:space="0" w:color="auto"/>
      </w:divBdr>
    </w:div>
    <w:div w:id="1766655874">
      <w:bodyDiv w:val="1"/>
      <w:marLeft w:val="0"/>
      <w:marRight w:val="0"/>
      <w:marTop w:val="0"/>
      <w:marBottom w:val="0"/>
      <w:divBdr>
        <w:top w:val="none" w:sz="0" w:space="0" w:color="auto"/>
        <w:left w:val="none" w:sz="0" w:space="0" w:color="auto"/>
        <w:bottom w:val="none" w:sz="0" w:space="0" w:color="auto"/>
        <w:right w:val="none" w:sz="0" w:space="0" w:color="auto"/>
      </w:divBdr>
    </w:div>
    <w:div w:id="1767580326">
      <w:bodyDiv w:val="1"/>
      <w:marLeft w:val="0"/>
      <w:marRight w:val="0"/>
      <w:marTop w:val="0"/>
      <w:marBottom w:val="0"/>
      <w:divBdr>
        <w:top w:val="none" w:sz="0" w:space="0" w:color="auto"/>
        <w:left w:val="none" w:sz="0" w:space="0" w:color="auto"/>
        <w:bottom w:val="none" w:sz="0" w:space="0" w:color="auto"/>
        <w:right w:val="none" w:sz="0" w:space="0" w:color="auto"/>
      </w:divBdr>
    </w:div>
    <w:div w:id="1767772640">
      <w:bodyDiv w:val="1"/>
      <w:marLeft w:val="0"/>
      <w:marRight w:val="0"/>
      <w:marTop w:val="0"/>
      <w:marBottom w:val="0"/>
      <w:divBdr>
        <w:top w:val="none" w:sz="0" w:space="0" w:color="auto"/>
        <w:left w:val="none" w:sz="0" w:space="0" w:color="auto"/>
        <w:bottom w:val="none" w:sz="0" w:space="0" w:color="auto"/>
        <w:right w:val="none" w:sz="0" w:space="0" w:color="auto"/>
      </w:divBdr>
    </w:div>
    <w:div w:id="1770657485">
      <w:bodyDiv w:val="1"/>
      <w:marLeft w:val="0"/>
      <w:marRight w:val="0"/>
      <w:marTop w:val="0"/>
      <w:marBottom w:val="0"/>
      <w:divBdr>
        <w:top w:val="none" w:sz="0" w:space="0" w:color="auto"/>
        <w:left w:val="none" w:sz="0" w:space="0" w:color="auto"/>
        <w:bottom w:val="none" w:sz="0" w:space="0" w:color="auto"/>
        <w:right w:val="none" w:sz="0" w:space="0" w:color="auto"/>
      </w:divBdr>
    </w:div>
    <w:div w:id="1773083302">
      <w:bodyDiv w:val="1"/>
      <w:marLeft w:val="0"/>
      <w:marRight w:val="0"/>
      <w:marTop w:val="0"/>
      <w:marBottom w:val="0"/>
      <w:divBdr>
        <w:top w:val="none" w:sz="0" w:space="0" w:color="auto"/>
        <w:left w:val="none" w:sz="0" w:space="0" w:color="auto"/>
        <w:bottom w:val="none" w:sz="0" w:space="0" w:color="auto"/>
        <w:right w:val="none" w:sz="0" w:space="0" w:color="auto"/>
      </w:divBdr>
    </w:div>
    <w:div w:id="1773819588">
      <w:bodyDiv w:val="1"/>
      <w:marLeft w:val="0"/>
      <w:marRight w:val="0"/>
      <w:marTop w:val="0"/>
      <w:marBottom w:val="0"/>
      <w:divBdr>
        <w:top w:val="none" w:sz="0" w:space="0" w:color="auto"/>
        <w:left w:val="none" w:sz="0" w:space="0" w:color="auto"/>
        <w:bottom w:val="none" w:sz="0" w:space="0" w:color="auto"/>
        <w:right w:val="none" w:sz="0" w:space="0" w:color="auto"/>
      </w:divBdr>
    </w:div>
    <w:div w:id="1773937907">
      <w:bodyDiv w:val="1"/>
      <w:marLeft w:val="0"/>
      <w:marRight w:val="0"/>
      <w:marTop w:val="0"/>
      <w:marBottom w:val="0"/>
      <w:divBdr>
        <w:top w:val="none" w:sz="0" w:space="0" w:color="auto"/>
        <w:left w:val="none" w:sz="0" w:space="0" w:color="auto"/>
        <w:bottom w:val="none" w:sz="0" w:space="0" w:color="auto"/>
        <w:right w:val="none" w:sz="0" w:space="0" w:color="auto"/>
      </w:divBdr>
    </w:div>
    <w:div w:id="1774090753">
      <w:bodyDiv w:val="1"/>
      <w:marLeft w:val="0"/>
      <w:marRight w:val="0"/>
      <w:marTop w:val="0"/>
      <w:marBottom w:val="0"/>
      <w:divBdr>
        <w:top w:val="none" w:sz="0" w:space="0" w:color="auto"/>
        <w:left w:val="none" w:sz="0" w:space="0" w:color="auto"/>
        <w:bottom w:val="none" w:sz="0" w:space="0" w:color="auto"/>
        <w:right w:val="none" w:sz="0" w:space="0" w:color="auto"/>
      </w:divBdr>
    </w:div>
    <w:div w:id="1774737926">
      <w:bodyDiv w:val="1"/>
      <w:marLeft w:val="0"/>
      <w:marRight w:val="0"/>
      <w:marTop w:val="0"/>
      <w:marBottom w:val="0"/>
      <w:divBdr>
        <w:top w:val="none" w:sz="0" w:space="0" w:color="auto"/>
        <w:left w:val="none" w:sz="0" w:space="0" w:color="auto"/>
        <w:bottom w:val="none" w:sz="0" w:space="0" w:color="auto"/>
        <w:right w:val="none" w:sz="0" w:space="0" w:color="auto"/>
      </w:divBdr>
    </w:div>
    <w:div w:id="1775249643">
      <w:bodyDiv w:val="1"/>
      <w:marLeft w:val="0"/>
      <w:marRight w:val="0"/>
      <w:marTop w:val="0"/>
      <w:marBottom w:val="0"/>
      <w:divBdr>
        <w:top w:val="none" w:sz="0" w:space="0" w:color="auto"/>
        <w:left w:val="none" w:sz="0" w:space="0" w:color="auto"/>
        <w:bottom w:val="none" w:sz="0" w:space="0" w:color="auto"/>
        <w:right w:val="none" w:sz="0" w:space="0" w:color="auto"/>
      </w:divBdr>
    </w:div>
    <w:div w:id="1777406327">
      <w:bodyDiv w:val="1"/>
      <w:marLeft w:val="0"/>
      <w:marRight w:val="0"/>
      <w:marTop w:val="0"/>
      <w:marBottom w:val="0"/>
      <w:divBdr>
        <w:top w:val="none" w:sz="0" w:space="0" w:color="auto"/>
        <w:left w:val="none" w:sz="0" w:space="0" w:color="auto"/>
        <w:bottom w:val="none" w:sz="0" w:space="0" w:color="auto"/>
        <w:right w:val="none" w:sz="0" w:space="0" w:color="auto"/>
      </w:divBdr>
    </w:div>
    <w:div w:id="1777552464">
      <w:bodyDiv w:val="1"/>
      <w:marLeft w:val="0"/>
      <w:marRight w:val="0"/>
      <w:marTop w:val="0"/>
      <w:marBottom w:val="0"/>
      <w:divBdr>
        <w:top w:val="none" w:sz="0" w:space="0" w:color="auto"/>
        <w:left w:val="none" w:sz="0" w:space="0" w:color="auto"/>
        <w:bottom w:val="none" w:sz="0" w:space="0" w:color="auto"/>
        <w:right w:val="none" w:sz="0" w:space="0" w:color="auto"/>
      </w:divBdr>
    </w:div>
    <w:div w:id="1778132859">
      <w:bodyDiv w:val="1"/>
      <w:marLeft w:val="0"/>
      <w:marRight w:val="0"/>
      <w:marTop w:val="0"/>
      <w:marBottom w:val="0"/>
      <w:divBdr>
        <w:top w:val="none" w:sz="0" w:space="0" w:color="auto"/>
        <w:left w:val="none" w:sz="0" w:space="0" w:color="auto"/>
        <w:bottom w:val="none" w:sz="0" w:space="0" w:color="auto"/>
        <w:right w:val="none" w:sz="0" w:space="0" w:color="auto"/>
      </w:divBdr>
    </w:div>
    <w:div w:id="1778870993">
      <w:bodyDiv w:val="1"/>
      <w:marLeft w:val="0"/>
      <w:marRight w:val="0"/>
      <w:marTop w:val="0"/>
      <w:marBottom w:val="0"/>
      <w:divBdr>
        <w:top w:val="none" w:sz="0" w:space="0" w:color="auto"/>
        <w:left w:val="none" w:sz="0" w:space="0" w:color="auto"/>
        <w:bottom w:val="none" w:sz="0" w:space="0" w:color="auto"/>
        <w:right w:val="none" w:sz="0" w:space="0" w:color="auto"/>
      </w:divBdr>
    </w:div>
    <w:div w:id="1780880480">
      <w:bodyDiv w:val="1"/>
      <w:marLeft w:val="0"/>
      <w:marRight w:val="0"/>
      <w:marTop w:val="0"/>
      <w:marBottom w:val="0"/>
      <w:divBdr>
        <w:top w:val="none" w:sz="0" w:space="0" w:color="auto"/>
        <w:left w:val="none" w:sz="0" w:space="0" w:color="auto"/>
        <w:bottom w:val="none" w:sz="0" w:space="0" w:color="auto"/>
        <w:right w:val="none" w:sz="0" w:space="0" w:color="auto"/>
      </w:divBdr>
    </w:div>
    <w:div w:id="1781143013">
      <w:bodyDiv w:val="1"/>
      <w:marLeft w:val="0"/>
      <w:marRight w:val="0"/>
      <w:marTop w:val="0"/>
      <w:marBottom w:val="0"/>
      <w:divBdr>
        <w:top w:val="none" w:sz="0" w:space="0" w:color="auto"/>
        <w:left w:val="none" w:sz="0" w:space="0" w:color="auto"/>
        <w:bottom w:val="none" w:sz="0" w:space="0" w:color="auto"/>
        <w:right w:val="none" w:sz="0" w:space="0" w:color="auto"/>
      </w:divBdr>
    </w:div>
    <w:div w:id="1782844856">
      <w:bodyDiv w:val="1"/>
      <w:marLeft w:val="0"/>
      <w:marRight w:val="0"/>
      <w:marTop w:val="0"/>
      <w:marBottom w:val="0"/>
      <w:divBdr>
        <w:top w:val="none" w:sz="0" w:space="0" w:color="auto"/>
        <w:left w:val="none" w:sz="0" w:space="0" w:color="auto"/>
        <w:bottom w:val="none" w:sz="0" w:space="0" w:color="auto"/>
        <w:right w:val="none" w:sz="0" w:space="0" w:color="auto"/>
      </w:divBdr>
    </w:div>
    <w:div w:id="1783763035">
      <w:bodyDiv w:val="1"/>
      <w:marLeft w:val="0"/>
      <w:marRight w:val="0"/>
      <w:marTop w:val="0"/>
      <w:marBottom w:val="0"/>
      <w:divBdr>
        <w:top w:val="none" w:sz="0" w:space="0" w:color="auto"/>
        <w:left w:val="none" w:sz="0" w:space="0" w:color="auto"/>
        <w:bottom w:val="none" w:sz="0" w:space="0" w:color="auto"/>
        <w:right w:val="none" w:sz="0" w:space="0" w:color="auto"/>
      </w:divBdr>
    </w:div>
    <w:div w:id="1784688496">
      <w:bodyDiv w:val="1"/>
      <w:marLeft w:val="0"/>
      <w:marRight w:val="0"/>
      <w:marTop w:val="0"/>
      <w:marBottom w:val="0"/>
      <w:divBdr>
        <w:top w:val="none" w:sz="0" w:space="0" w:color="auto"/>
        <w:left w:val="none" w:sz="0" w:space="0" w:color="auto"/>
        <w:bottom w:val="none" w:sz="0" w:space="0" w:color="auto"/>
        <w:right w:val="none" w:sz="0" w:space="0" w:color="auto"/>
      </w:divBdr>
    </w:div>
    <w:div w:id="1784764651">
      <w:bodyDiv w:val="1"/>
      <w:marLeft w:val="0"/>
      <w:marRight w:val="0"/>
      <w:marTop w:val="0"/>
      <w:marBottom w:val="0"/>
      <w:divBdr>
        <w:top w:val="none" w:sz="0" w:space="0" w:color="auto"/>
        <w:left w:val="none" w:sz="0" w:space="0" w:color="auto"/>
        <w:bottom w:val="none" w:sz="0" w:space="0" w:color="auto"/>
        <w:right w:val="none" w:sz="0" w:space="0" w:color="auto"/>
      </w:divBdr>
    </w:div>
    <w:div w:id="1785152778">
      <w:bodyDiv w:val="1"/>
      <w:marLeft w:val="0"/>
      <w:marRight w:val="0"/>
      <w:marTop w:val="0"/>
      <w:marBottom w:val="0"/>
      <w:divBdr>
        <w:top w:val="none" w:sz="0" w:space="0" w:color="auto"/>
        <w:left w:val="none" w:sz="0" w:space="0" w:color="auto"/>
        <w:bottom w:val="none" w:sz="0" w:space="0" w:color="auto"/>
        <w:right w:val="none" w:sz="0" w:space="0" w:color="auto"/>
      </w:divBdr>
    </w:div>
    <w:div w:id="1785346657">
      <w:bodyDiv w:val="1"/>
      <w:marLeft w:val="0"/>
      <w:marRight w:val="0"/>
      <w:marTop w:val="0"/>
      <w:marBottom w:val="0"/>
      <w:divBdr>
        <w:top w:val="none" w:sz="0" w:space="0" w:color="auto"/>
        <w:left w:val="none" w:sz="0" w:space="0" w:color="auto"/>
        <w:bottom w:val="none" w:sz="0" w:space="0" w:color="auto"/>
        <w:right w:val="none" w:sz="0" w:space="0" w:color="auto"/>
      </w:divBdr>
    </w:div>
    <w:div w:id="1785421830">
      <w:bodyDiv w:val="1"/>
      <w:marLeft w:val="0"/>
      <w:marRight w:val="0"/>
      <w:marTop w:val="0"/>
      <w:marBottom w:val="0"/>
      <w:divBdr>
        <w:top w:val="none" w:sz="0" w:space="0" w:color="auto"/>
        <w:left w:val="none" w:sz="0" w:space="0" w:color="auto"/>
        <w:bottom w:val="none" w:sz="0" w:space="0" w:color="auto"/>
        <w:right w:val="none" w:sz="0" w:space="0" w:color="auto"/>
      </w:divBdr>
    </w:div>
    <w:div w:id="1790469060">
      <w:bodyDiv w:val="1"/>
      <w:marLeft w:val="0"/>
      <w:marRight w:val="0"/>
      <w:marTop w:val="0"/>
      <w:marBottom w:val="0"/>
      <w:divBdr>
        <w:top w:val="none" w:sz="0" w:space="0" w:color="auto"/>
        <w:left w:val="none" w:sz="0" w:space="0" w:color="auto"/>
        <w:bottom w:val="none" w:sz="0" w:space="0" w:color="auto"/>
        <w:right w:val="none" w:sz="0" w:space="0" w:color="auto"/>
      </w:divBdr>
    </w:div>
    <w:div w:id="1790584260">
      <w:bodyDiv w:val="1"/>
      <w:marLeft w:val="0"/>
      <w:marRight w:val="0"/>
      <w:marTop w:val="0"/>
      <w:marBottom w:val="0"/>
      <w:divBdr>
        <w:top w:val="none" w:sz="0" w:space="0" w:color="auto"/>
        <w:left w:val="none" w:sz="0" w:space="0" w:color="auto"/>
        <w:bottom w:val="none" w:sz="0" w:space="0" w:color="auto"/>
        <w:right w:val="none" w:sz="0" w:space="0" w:color="auto"/>
      </w:divBdr>
    </w:div>
    <w:div w:id="1792750123">
      <w:bodyDiv w:val="1"/>
      <w:marLeft w:val="0"/>
      <w:marRight w:val="0"/>
      <w:marTop w:val="0"/>
      <w:marBottom w:val="0"/>
      <w:divBdr>
        <w:top w:val="none" w:sz="0" w:space="0" w:color="auto"/>
        <w:left w:val="none" w:sz="0" w:space="0" w:color="auto"/>
        <w:bottom w:val="none" w:sz="0" w:space="0" w:color="auto"/>
        <w:right w:val="none" w:sz="0" w:space="0" w:color="auto"/>
      </w:divBdr>
    </w:div>
    <w:div w:id="1792936941">
      <w:bodyDiv w:val="1"/>
      <w:marLeft w:val="0"/>
      <w:marRight w:val="0"/>
      <w:marTop w:val="0"/>
      <w:marBottom w:val="0"/>
      <w:divBdr>
        <w:top w:val="none" w:sz="0" w:space="0" w:color="auto"/>
        <w:left w:val="none" w:sz="0" w:space="0" w:color="auto"/>
        <w:bottom w:val="none" w:sz="0" w:space="0" w:color="auto"/>
        <w:right w:val="none" w:sz="0" w:space="0" w:color="auto"/>
      </w:divBdr>
    </w:div>
    <w:div w:id="1793591854">
      <w:bodyDiv w:val="1"/>
      <w:marLeft w:val="0"/>
      <w:marRight w:val="0"/>
      <w:marTop w:val="0"/>
      <w:marBottom w:val="0"/>
      <w:divBdr>
        <w:top w:val="none" w:sz="0" w:space="0" w:color="auto"/>
        <w:left w:val="none" w:sz="0" w:space="0" w:color="auto"/>
        <w:bottom w:val="none" w:sz="0" w:space="0" w:color="auto"/>
        <w:right w:val="none" w:sz="0" w:space="0" w:color="auto"/>
      </w:divBdr>
    </w:div>
    <w:div w:id="1794784513">
      <w:bodyDiv w:val="1"/>
      <w:marLeft w:val="0"/>
      <w:marRight w:val="0"/>
      <w:marTop w:val="0"/>
      <w:marBottom w:val="0"/>
      <w:divBdr>
        <w:top w:val="none" w:sz="0" w:space="0" w:color="auto"/>
        <w:left w:val="none" w:sz="0" w:space="0" w:color="auto"/>
        <w:bottom w:val="none" w:sz="0" w:space="0" w:color="auto"/>
        <w:right w:val="none" w:sz="0" w:space="0" w:color="auto"/>
      </w:divBdr>
    </w:div>
    <w:div w:id="1795059650">
      <w:bodyDiv w:val="1"/>
      <w:marLeft w:val="0"/>
      <w:marRight w:val="0"/>
      <w:marTop w:val="0"/>
      <w:marBottom w:val="0"/>
      <w:divBdr>
        <w:top w:val="none" w:sz="0" w:space="0" w:color="auto"/>
        <w:left w:val="none" w:sz="0" w:space="0" w:color="auto"/>
        <w:bottom w:val="none" w:sz="0" w:space="0" w:color="auto"/>
        <w:right w:val="none" w:sz="0" w:space="0" w:color="auto"/>
      </w:divBdr>
    </w:div>
    <w:div w:id="1795512881">
      <w:bodyDiv w:val="1"/>
      <w:marLeft w:val="0"/>
      <w:marRight w:val="0"/>
      <w:marTop w:val="0"/>
      <w:marBottom w:val="0"/>
      <w:divBdr>
        <w:top w:val="none" w:sz="0" w:space="0" w:color="auto"/>
        <w:left w:val="none" w:sz="0" w:space="0" w:color="auto"/>
        <w:bottom w:val="none" w:sz="0" w:space="0" w:color="auto"/>
        <w:right w:val="none" w:sz="0" w:space="0" w:color="auto"/>
      </w:divBdr>
    </w:div>
    <w:div w:id="1797066627">
      <w:bodyDiv w:val="1"/>
      <w:marLeft w:val="0"/>
      <w:marRight w:val="0"/>
      <w:marTop w:val="0"/>
      <w:marBottom w:val="0"/>
      <w:divBdr>
        <w:top w:val="none" w:sz="0" w:space="0" w:color="auto"/>
        <w:left w:val="none" w:sz="0" w:space="0" w:color="auto"/>
        <w:bottom w:val="none" w:sz="0" w:space="0" w:color="auto"/>
        <w:right w:val="none" w:sz="0" w:space="0" w:color="auto"/>
      </w:divBdr>
    </w:div>
    <w:div w:id="1799256885">
      <w:bodyDiv w:val="1"/>
      <w:marLeft w:val="0"/>
      <w:marRight w:val="0"/>
      <w:marTop w:val="0"/>
      <w:marBottom w:val="0"/>
      <w:divBdr>
        <w:top w:val="none" w:sz="0" w:space="0" w:color="auto"/>
        <w:left w:val="none" w:sz="0" w:space="0" w:color="auto"/>
        <w:bottom w:val="none" w:sz="0" w:space="0" w:color="auto"/>
        <w:right w:val="none" w:sz="0" w:space="0" w:color="auto"/>
      </w:divBdr>
    </w:div>
    <w:div w:id="1802773167">
      <w:bodyDiv w:val="1"/>
      <w:marLeft w:val="0"/>
      <w:marRight w:val="0"/>
      <w:marTop w:val="0"/>
      <w:marBottom w:val="0"/>
      <w:divBdr>
        <w:top w:val="none" w:sz="0" w:space="0" w:color="auto"/>
        <w:left w:val="none" w:sz="0" w:space="0" w:color="auto"/>
        <w:bottom w:val="none" w:sz="0" w:space="0" w:color="auto"/>
        <w:right w:val="none" w:sz="0" w:space="0" w:color="auto"/>
      </w:divBdr>
    </w:div>
    <w:div w:id="1804500553">
      <w:bodyDiv w:val="1"/>
      <w:marLeft w:val="0"/>
      <w:marRight w:val="0"/>
      <w:marTop w:val="0"/>
      <w:marBottom w:val="0"/>
      <w:divBdr>
        <w:top w:val="none" w:sz="0" w:space="0" w:color="auto"/>
        <w:left w:val="none" w:sz="0" w:space="0" w:color="auto"/>
        <w:bottom w:val="none" w:sz="0" w:space="0" w:color="auto"/>
        <w:right w:val="none" w:sz="0" w:space="0" w:color="auto"/>
      </w:divBdr>
    </w:div>
    <w:div w:id="1805004413">
      <w:bodyDiv w:val="1"/>
      <w:marLeft w:val="0"/>
      <w:marRight w:val="0"/>
      <w:marTop w:val="0"/>
      <w:marBottom w:val="0"/>
      <w:divBdr>
        <w:top w:val="none" w:sz="0" w:space="0" w:color="auto"/>
        <w:left w:val="none" w:sz="0" w:space="0" w:color="auto"/>
        <w:bottom w:val="none" w:sz="0" w:space="0" w:color="auto"/>
        <w:right w:val="none" w:sz="0" w:space="0" w:color="auto"/>
      </w:divBdr>
    </w:div>
    <w:div w:id="1805389304">
      <w:bodyDiv w:val="1"/>
      <w:marLeft w:val="0"/>
      <w:marRight w:val="0"/>
      <w:marTop w:val="0"/>
      <w:marBottom w:val="0"/>
      <w:divBdr>
        <w:top w:val="none" w:sz="0" w:space="0" w:color="auto"/>
        <w:left w:val="none" w:sz="0" w:space="0" w:color="auto"/>
        <w:bottom w:val="none" w:sz="0" w:space="0" w:color="auto"/>
        <w:right w:val="none" w:sz="0" w:space="0" w:color="auto"/>
      </w:divBdr>
    </w:div>
    <w:div w:id="1805462450">
      <w:bodyDiv w:val="1"/>
      <w:marLeft w:val="0"/>
      <w:marRight w:val="0"/>
      <w:marTop w:val="0"/>
      <w:marBottom w:val="0"/>
      <w:divBdr>
        <w:top w:val="none" w:sz="0" w:space="0" w:color="auto"/>
        <w:left w:val="none" w:sz="0" w:space="0" w:color="auto"/>
        <w:bottom w:val="none" w:sz="0" w:space="0" w:color="auto"/>
        <w:right w:val="none" w:sz="0" w:space="0" w:color="auto"/>
      </w:divBdr>
    </w:div>
    <w:div w:id="1805808227">
      <w:bodyDiv w:val="1"/>
      <w:marLeft w:val="0"/>
      <w:marRight w:val="0"/>
      <w:marTop w:val="0"/>
      <w:marBottom w:val="0"/>
      <w:divBdr>
        <w:top w:val="none" w:sz="0" w:space="0" w:color="auto"/>
        <w:left w:val="none" w:sz="0" w:space="0" w:color="auto"/>
        <w:bottom w:val="none" w:sz="0" w:space="0" w:color="auto"/>
        <w:right w:val="none" w:sz="0" w:space="0" w:color="auto"/>
      </w:divBdr>
    </w:div>
    <w:div w:id="1806241772">
      <w:bodyDiv w:val="1"/>
      <w:marLeft w:val="0"/>
      <w:marRight w:val="0"/>
      <w:marTop w:val="0"/>
      <w:marBottom w:val="0"/>
      <w:divBdr>
        <w:top w:val="none" w:sz="0" w:space="0" w:color="auto"/>
        <w:left w:val="none" w:sz="0" w:space="0" w:color="auto"/>
        <w:bottom w:val="none" w:sz="0" w:space="0" w:color="auto"/>
        <w:right w:val="none" w:sz="0" w:space="0" w:color="auto"/>
      </w:divBdr>
    </w:div>
    <w:div w:id="1807118301">
      <w:bodyDiv w:val="1"/>
      <w:marLeft w:val="0"/>
      <w:marRight w:val="0"/>
      <w:marTop w:val="0"/>
      <w:marBottom w:val="0"/>
      <w:divBdr>
        <w:top w:val="none" w:sz="0" w:space="0" w:color="auto"/>
        <w:left w:val="none" w:sz="0" w:space="0" w:color="auto"/>
        <w:bottom w:val="none" w:sz="0" w:space="0" w:color="auto"/>
        <w:right w:val="none" w:sz="0" w:space="0" w:color="auto"/>
      </w:divBdr>
    </w:div>
    <w:div w:id="1807355839">
      <w:bodyDiv w:val="1"/>
      <w:marLeft w:val="0"/>
      <w:marRight w:val="0"/>
      <w:marTop w:val="0"/>
      <w:marBottom w:val="0"/>
      <w:divBdr>
        <w:top w:val="none" w:sz="0" w:space="0" w:color="auto"/>
        <w:left w:val="none" w:sz="0" w:space="0" w:color="auto"/>
        <w:bottom w:val="none" w:sz="0" w:space="0" w:color="auto"/>
        <w:right w:val="none" w:sz="0" w:space="0" w:color="auto"/>
      </w:divBdr>
    </w:div>
    <w:div w:id="1808543690">
      <w:bodyDiv w:val="1"/>
      <w:marLeft w:val="0"/>
      <w:marRight w:val="0"/>
      <w:marTop w:val="0"/>
      <w:marBottom w:val="0"/>
      <w:divBdr>
        <w:top w:val="none" w:sz="0" w:space="0" w:color="auto"/>
        <w:left w:val="none" w:sz="0" w:space="0" w:color="auto"/>
        <w:bottom w:val="none" w:sz="0" w:space="0" w:color="auto"/>
        <w:right w:val="none" w:sz="0" w:space="0" w:color="auto"/>
      </w:divBdr>
    </w:div>
    <w:div w:id="1810433793">
      <w:bodyDiv w:val="1"/>
      <w:marLeft w:val="0"/>
      <w:marRight w:val="0"/>
      <w:marTop w:val="0"/>
      <w:marBottom w:val="0"/>
      <w:divBdr>
        <w:top w:val="none" w:sz="0" w:space="0" w:color="auto"/>
        <w:left w:val="none" w:sz="0" w:space="0" w:color="auto"/>
        <w:bottom w:val="none" w:sz="0" w:space="0" w:color="auto"/>
        <w:right w:val="none" w:sz="0" w:space="0" w:color="auto"/>
      </w:divBdr>
    </w:div>
    <w:div w:id="1810706288">
      <w:bodyDiv w:val="1"/>
      <w:marLeft w:val="0"/>
      <w:marRight w:val="0"/>
      <w:marTop w:val="0"/>
      <w:marBottom w:val="0"/>
      <w:divBdr>
        <w:top w:val="none" w:sz="0" w:space="0" w:color="auto"/>
        <w:left w:val="none" w:sz="0" w:space="0" w:color="auto"/>
        <w:bottom w:val="none" w:sz="0" w:space="0" w:color="auto"/>
        <w:right w:val="none" w:sz="0" w:space="0" w:color="auto"/>
      </w:divBdr>
    </w:div>
    <w:div w:id="1810980324">
      <w:bodyDiv w:val="1"/>
      <w:marLeft w:val="0"/>
      <w:marRight w:val="0"/>
      <w:marTop w:val="0"/>
      <w:marBottom w:val="0"/>
      <w:divBdr>
        <w:top w:val="none" w:sz="0" w:space="0" w:color="auto"/>
        <w:left w:val="none" w:sz="0" w:space="0" w:color="auto"/>
        <w:bottom w:val="none" w:sz="0" w:space="0" w:color="auto"/>
        <w:right w:val="none" w:sz="0" w:space="0" w:color="auto"/>
      </w:divBdr>
    </w:div>
    <w:div w:id="1811510321">
      <w:bodyDiv w:val="1"/>
      <w:marLeft w:val="0"/>
      <w:marRight w:val="0"/>
      <w:marTop w:val="0"/>
      <w:marBottom w:val="0"/>
      <w:divBdr>
        <w:top w:val="none" w:sz="0" w:space="0" w:color="auto"/>
        <w:left w:val="none" w:sz="0" w:space="0" w:color="auto"/>
        <w:bottom w:val="none" w:sz="0" w:space="0" w:color="auto"/>
        <w:right w:val="none" w:sz="0" w:space="0" w:color="auto"/>
      </w:divBdr>
    </w:div>
    <w:div w:id="1813323936">
      <w:bodyDiv w:val="1"/>
      <w:marLeft w:val="0"/>
      <w:marRight w:val="0"/>
      <w:marTop w:val="0"/>
      <w:marBottom w:val="0"/>
      <w:divBdr>
        <w:top w:val="none" w:sz="0" w:space="0" w:color="auto"/>
        <w:left w:val="none" w:sz="0" w:space="0" w:color="auto"/>
        <w:bottom w:val="none" w:sz="0" w:space="0" w:color="auto"/>
        <w:right w:val="none" w:sz="0" w:space="0" w:color="auto"/>
      </w:divBdr>
    </w:div>
    <w:div w:id="1813593568">
      <w:bodyDiv w:val="1"/>
      <w:marLeft w:val="0"/>
      <w:marRight w:val="0"/>
      <w:marTop w:val="0"/>
      <w:marBottom w:val="0"/>
      <w:divBdr>
        <w:top w:val="none" w:sz="0" w:space="0" w:color="auto"/>
        <w:left w:val="none" w:sz="0" w:space="0" w:color="auto"/>
        <w:bottom w:val="none" w:sz="0" w:space="0" w:color="auto"/>
        <w:right w:val="none" w:sz="0" w:space="0" w:color="auto"/>
      </w:divBdr>
    </w:div>
    <w:div w:id="1814058387">
      <w:bodyDiv w:val="1"/>
      <w:marLeft w:val="0"/>
      <w:marRight w:val="0"/>
      <w:marTop w:val="0"/>
      <w:marBottom w:val="0"/>
      <w:divBdr>
        <w:top w:val="none" w:sz="0" w:space="0" w:color="auto"/>
        <w:left w:val="none" w:sz="0" w:space="0" w:color="auto"/>
        <w:bottom w:val="none" w:sz="0" w:space="0" w:color="auto"/>
        <w:right w:val="none" w:sz="0" w:space="0" w:color="auto"/>
      </w:divBdr>
    </w:div>
    <w:div w:id="1814442454">
      <w:bodyDiv w:val="1"/>
      <w:marLeft w:val="0"/>
      <w:marRight w:val="0"/>
      <w:marTop w:val="0"/>
      <w:marBottom w:val="0"/>
      <w:divBdr>
        <w:top w:val="none" w:sz="0" w:space="0" w:color="auto"/>
        <w:left w:val="none" w:sz="0" w:space="0" w:color="auto"/>
        <w:bottom w:val="none" w:sz="0" w:space="0" w:color="auto"/>
        <w:right w:val="none" w:sz="0" w:space="0" w:color="auto"/>
      </w:divBdr>
    </w:div>
    <w:div w:id="1815221376">
      <w:bodyDiv w:val="1"/>
      <w:marLeft w:val="0"/>
      <w:marRight w:val="0"/>
      <w:marTop w:val="0"/>
      <w:marBottom w:val="0"/>
      <w:divBdr>
        <w:top w:val="none" w:sz="0" w:space="0" w:color="auto"/>
        <w:left w:val="none" w:sz="0" w:space="0" w:color="auto"/>
        <w:bottom w:val="none" w:sz="0" w:space="0" w:color="auto"/>
        <w:right w:val="none" w:sz="0" w:space="0" w:color="auto"/>
      </w:divBdr>
    </w:div>
    <w:div w:id="1816139832">
      <w:bodyDiv w:val="1"/>
      <w:marLeft w:val="0"/>
      <w:marRight w:val="0"/>
      <w:marTop w:val="0"/>
      <w:marBottom w:val="0"/>
      <w:divBdr>
        <w:top w:val="none" w:sz="0" w:space="0" w:color="auto"/>
        <w:left w:val="none" w:sz="0" w:space="0" w:color="auto"/>
        <w:bottom w:val="none" w:sz="0" w:space="0" w:color="auto"/>
        <w:right w:val="none" w:sz="0" w:space="0" w:color="auto"/>
      </w:divBdr>
    </w:div>
    <w:div w:id="1816987206">
      <w:bodyDiv w:val="1"/>
      <w:marLeft w:val="0"/>
      <w:marRight w:val="0"/>
      <w:marTop w:val="0"/>
      <w:marBottom w:val="0"/>
      <w:divBdr>
        <w:top w:val="none" w:sz="0" w:space="0" w:color="auto"/>
        <w:left w:val="none" w:sz="0" w:space="0" w:color="auto"/>
        <w:bottom w:val="none" w:sz="0" w:space="0" w:color="auto"/>
        <w:right w:val="none" w:sz="0" w:space="0" w:color="auto"/>
      </w:divBdr>
    </w:div>
    <w:div w:id="1817457276">
      <w:bodyDiv w:val="1"/>
      <w:marLeft w:val="0"/>
      <w:marRight w:val="0"/>
      <w:marTop w:val="0"/>
      <w:marBottom w:val="0"/>
      <w:divBdr>
        <w:top w:val="none" w:sz="0" w:space="0" w:color="auto"/>
        <w:left w:val="none" w:sz="0" w:space="0" w:color="auto"/>
        <w:bottom w:val="none" w:sz="0" w:space="0" w:color="auto"/>
        <w:right w:val="none" w:sz="0" w:space="0" w:color="auto"/>
      </w:divBdr>
    </w:div>
    <w:div w:id="1817525544">
      <w:bodyDiv w:val="1"/>
      <w:marLeft w:val="0"/>
      <w:marRight w:val="0"/>
      <w:marTop w:val="0"/>
      <w:marBottom w:val="0"/>
      <w:divBdr>
        <w:top w:val="none" w:sz="0" w:space="0" w:color="auto"/>
        <w:left w:val="none" w:sz="0" w:space="0" w:color="auto"/>
        <w:bottom w:val="none" w:sz="0" w:space="0" w:color="auto"/>
        <w:right w:val="none" w:sz="0" w:space="0" w:color="auto"/>
      </w:divBdr>
    </w:div>
    <w:div w:id="1818573379">
      <w:bodyDiv w:val="1"/>
      <w:marLeft w:val="0"/>
      <w:marRight w:val="0"/>
      <w:marTop w:val="0"/>
      <w:marBottom w:val="0"/>
      <w:divBdr>
        <w:top w:val="none" w:sz="0" w:space="0" w:color="auto"/>
        <w:left w:val="none" w:sz="0" w:space="0" w:color="auto"/>
        <w:bottom w:val="none" w:sz="0" w:space="0" w:color="auto"/>
        <w:right w:val="none" w:sz="0" w:space="0" w:color="auto"/>
      </w:divBdr>
    </w:div>
    <w:div w:id="1819299966">
      <w:bodyDiv w:val="1"/>
      <w:marLeft w:val="0"/>
      <w:marRight w:val="0"/>
      <w:marTop w:val="0"/>
      <w:marBottom w:val="0"/>
      <w:divBdr>
        <w:top w:val="none" w:sz="0" w:space="0" w:color="auto"/>
        <w:left w:val="none" w:sz="0" w:space="0" w:color="auto"/>
        <w:bottom w:val="none" w:sz="0" w:space="0" w:color="auto"/>
        <w:right w:val="none" w:sz="0" w:space="0" w:color="auto"/>
      </w:divBdr>
    </w:div>
    <w:div w:id="1819489537">
      <w:bodyDiv w:val="1"/>
      <w:marLeft w:val="0"/>
      <w:marRight w:val="0"/>
      <w:marTop w:val="0"/>
      <w:marBottom w:val="0"/>
      <w:divBdr>
        <w:top w:val="none" w:sz="0" w:space="0" w:color="auto"/>
        <w:left w:val="none" w:sz="0" w:space="0" w:color="auto"/>
        <w:bottom w:val="none" w:sz="0" w:space="0" w:color="auto"/>
        <w:right w:val="none" w:sz="0" w:space="0" w:color="auto"/>
      </w:divBdr>
    </w:div>
    <w:div w:id="1820922547">
      <w:bodyDiv w:val="1"/>
      <w:marLeft w:val="0"/>
      <w:marRight w:val="0"/>
      <w:marTop w:val="0"/>
      <w:marBottom w:val="0"/>
      <w:divBdr>
        <w:top w:val="none" w:sz="0" w:space="0" w:color="auto"/>
        <w:left w:val="none" w:sz="0" w:space="0" w:color="auto"/>
        <w:bottom w:val="none" w:sz="0" w:space="0" w:color="auto"/>
        <w:right w:val="none" w:sz="0" w:space="0" w:color="auto"/>
      </w:divBdr>
    </w:div>
    <w:div w:id="1820996438">
      <w:bodyDiv w:val="1"/>
      <w:marLeft w:val="0"/>
      <w:marRight w:val="0"/>
      <w:marTop w:val="0"/>
      <w:marBottom w:val="0"/>
      <w:divBdr>
        <w:top w:val="none" w:sz="0" w:space="0" w:color="auto"/>
        <w:left w:val="none" w:sz="0" w:space="0" w:color="auto"/>
        <w:bottom w:val="none" w:sz="0" w:space="0" w:color="auto"/>
        <w:right w:val="none" w:sz="0" w:space="0" w:color="auto"/>
      </w:divBdr>
    </w:div>
    <w:div w:id="1823278360">
      <w:bodyDiv w:val="1"/>
      <w:marLeft w:val="0"/>
      <w:marRight w:val="0"/>
      <w:marTop w:val="0"/>
      <w:marBottom w:val="0"/>
      <w:divBdr>
        <w:top w:val="none" w:sz="0" w:space="0" w:color="auto"/>
        <w:left w:val="none" w:sz="0" w:space="0" w:color="auto"/>
        <w:bottom w:val="none" w:sz="0" w:space="0" w:color="auto"/>
        <w:right w:val="none" w:sz="0" w:space="0" w:color="auto"/>
      </w:divBdr>
    </w:div>
    <w:div w:id="1824349077">
      <w:bodyDiv w:val="1"/>
      <w:marLeft w:val="0"/>
      <w:marRight w:val="0"/>
      <w:marTop w:val="0"/>
      <w:marBottom w:val="0"/>
      <w:divBdr>
        <w:top w:val="none" w:sz="0" w:space="0" w:color="auto"/>
        <w:left w:val="none" w:sz="0" w:space="0" w:color="auto"/>
        <w:bottom w:val="none" w:sz="0" w:space="0" w:color="auto"/>
        <w:right w:val="none" w:sz="0" w:space="0" w:color="auto"/>
      </w:divBdr>
    </w:div>
    <w:div w:id="1824661748">
      <w:bodyDiv w:val="1"/>
      <w:marLeft w:val="0"/>
      <w:marRight w:val="0"/>
      <w:marTop w:val="0"/>
      <w:marBottom w:val="0"/>
      <w:divBdr>
        <w:top w:val="none" w:sz="0" w:space="0" w:color="auto"/>
        <w:left w:val="none" w:sz="0" w:space="0" w:color="auto"/>
        <w:bottom w:val="none" w:sz="0" w:space="0" w:color="auto"/>
        <w:right w:val="none" w:sz="0" w:space="0" w:color="auto"/>
      </w:divBdr>
    </w:div>
    <w:div w:id="1827503939">
      <w:bodyDiv w:val="1"/>
      <w:marLeft w:val="0"/>
      <w:marRight w:val="0"/>
      <w:marTop w:val="0"/>
      <w:marBottom w:val="0"/>
      <w:divBdr>
        <w:top w:val="none" w:sz="0" w:space="0" w:color="auto"/>
        <w:left w:val="none" w:sz="0" w:space="0" w:color="auto"/>
        <w:bottom w:val="none" w:sz="0" w:space="0" w:color="auto"/>
        <w:right w:val="none" w:sz="0" w:space="0" w:color="auto"/>
      </w:divBdr>
    </w:div>
    <w:div w:id="1828084130">
      <w:bodyDiv w:val="1"/>
      <w:marLeft w:val="0"/>
      <w:marRight w:val="0"/>
      <w:marTop w:val="0"/>
      <w:marBottom w:val="0"/>
      <w:divBdr>
        <w:top w:val="none" w:sz="0" w:space="0" w:color="auto"/>
        <w:left w:val="none" w:sz="0" w:space="0" w:color="auto"/>
        <w:bottom w:val="none" w:sz="0" w:space="0" w:color="auto"/>
        <w:right w:val="none" w:sz="0" w:space="0" w:color="auto"/>
      </w:divBdr>
    </w:div>
    <w:div w:id="1828669681">
      <w:bodyDiv w:val="1"/>
      <w:marLeft w:val="0"/>
      <w:marRight w:val="0"/>
      <w:marTop w:val="0"/>
      <w:marBottom w:val="0"/>
      <w:divBdr>
        <w:top w:val="none" w:sz="0" w:space="0" w:color="auto"/>
        <w:left w:val="none" w:sz="0" w:space="0" w:color="auto"/>
        <w:bottom w:val="none" w:sz="0" w:space="0" w:color="auto"/>
        <w:right w:val="none" w:sz="0" w:space="0" w:color="auto"/>
      </w:divBdr>
    </w:div>
    <w:div w:id="1828978918">
      <w:bodyDiv w:val="1"/>
      <w:marLeft w:val="0"/>
      <w:marRight w:val="0"/>
      <w:marTop w:val="0"/>
      <w:marBottom w:val="0"/>
      <w:divBdr>
        <w:top w:val="none" w:sz="0" w:space="0" w:color="auto"/>
        <w:left w:val="none" w:sz="0" w:space="0" w:color="auto"/>
        <w:bottom w:val="none" w:sz="0" w:space="0" w:color="auto"/>
        <w:right w:val="none" w:sz="0" w:space="0" w:color="auto"/>
      </w:divBdr>
    </w:div>
    <w:div w:id="1829130028">
      <w:bodyDiv w:val="1"/>
      <w:marLeft w:val="0"/>
      <w:marRight w:val="0"/>
      <w:marTop w:val="0"/>
      <w:marBottom w:val="0"/>
      <w:divBdr>
        <w:top w:val="none" w:sz="0" w:space="0" w:color="auto"/>
        <w:left w:val="none" w:sz="0" w:space="0" w:color="auto"/>
        <w:bottom w:val="none" w:sz="0" w:space="0" w:color="auto"/>
        <w:right w:val="none" w:sz="0" w:space="0" w:color="auto"/>
      </w:divBdr>
    </w:div>
    <w:div w:id="1829596623">
      <w:bodyDiv w:val="1"/>
      <w:marLeft w:val="0"/>
      <w:marRight w:val="0"/>
      <w:marTop w:val="0"/>
      <w:marBottom w:val="0"/>
      <w:divBdr>
        <w:top w:val="none" w:sz="0" w:space="0" w:color="auto"/>
        <w:left w:val="none" w:sz="0" w:space="0" w:color="auto"/>
        <w:bottom w:val="none" w:sz="0" w:space="0" w:color="auto"/>
        <w:right w:val="none" w:sz="0" w:space="0" w:color="auto"/>
      </w:divBdr>
    </w:div>
    <w:div w:id="1829978719">
      <w:bodyDiv w:val="1"/>
      <w:marLeft w:val="0"/>
      <w:marRight w:val="0"/>
      <w:marTop w:val="0"/>
      <w:marBottom w:val="0"/>
      <w:divBdr>
        <w:top w:val="none" w:sz="0" w:space="0" w:color="auto"/>
        <w:left w:val="none" w:sz="0" w:space="0" w:color="auto"/>
        <w:bottom w:val="none" w:sz="0" w:space="0" w:color="auto"/>
        <w:right w:val="none" w:sz="0" w:space="0" w:color="auto"/>
      </w:divBdr>
    </w:div>
    <w:div w:id="1830318822">
      <w:bodyDiv w:val="1"/>
      <w:marLeft w:val="0"/>
      <w:marRight w:val="0"/>
      <w:marTop w:val="0"/>
      <w:marBottom w:val="0"/>
      <w:divBdr>
        <w:top w:val="none" w:sz="0" w:space="0" w:color="auto"/>
        <w:left w:val="none" w:sz="0" w:space="0" w:color="auto"/>
        <w:bottom w:val="none" w:sz="0" w:space="0" w:color="auto"/>
        <w:right w:val="none" w:sz="0" w:space="0" w:color="auto"/>
      </w:divBdr>
    </w:div>
    <w:div w:id="1830636642">
      <w:bodyDiv w:val="1"/>
      <w:marLeft w:val="0"/>
      <w:marRight w:val="0"/>
      <w:marTop w:val="0"/>
      <w:marBottom w:val="0"/>
      <w:divBdr>
        <w:top w:val="none" w:sz="0" w:space="0" w:color="auto"/>
        <w:left w:val="none" w:sz="0" w:space="0" w:color="auto"/>
        <w:bottom w:val="none" w:sz="0" w:space="0" w:color="auto"/>
        <w:right w:val="none" w:sz="0" w:space="0" w:color="auto"/>
      </w:divBdr>
    </w:div>
    <w:div w:id="1831678207">
      <w:bodyDiv w:val="1"/>
      <w:marLeft w:val="0"/>
      <w:marRight w:val="0"/>
      <w:marTop w:val="0"/>
      <w:marBottom w:val="0"/>
      <w:divBdr>
        <w:top w:val="none" w:sz="0" w:space="0" w:color="auto"/>
        <w:left w:val="none" w:sz="0" w:space="0" w:color="auto"/>
        <w:bottom w:val="none" w:sz="0" w:space="0" w:color="auto"/>
        <w:right w:val="none" w:sz="0" w:space="0" w:color="auto"/>
      </w:divBdr>
    </w:div>
    <w:div w:id="1831942295">
      <w:bodyDiv w:val="1"/>
      <w:marLeft w:val="0"/>
      <w:marRight w:val="0"/>
      <w:marTop w:val="0"/>
      <w:marBottom w:val="0"/>
      <w:divBdr>
        <w:top w:val="none" w:sz="0" w:space="0" w:color="auto"/>
        <w:left w:val="none" w:sz="0" w:space="0" w:color="auto"/>
        <w:bottom w:val="none" w:sz="0" w:space="0" w:color="auto"/>
        <w:right w:val="none" w:sz="0" w:space="0" w:color="auto"/>
      </w:divBdr>
    </w:div>
    <w:div w:id="1833402029">
      <w:bodyDiv w:val="1"/>
      <w:marLeft w:val="0"/>
      <w:marRight w:val="0"/>
      <w:marTop w:val="0"/>
      <w:marBottom w:val="0"/>
      <w:divBdr>
        <w:top w:val="none" w:sz="0" w:space="0" w:color="auto"/>
        <w:left w:val="none" w:sz="0" w:space="0" w:color="auto"/>
        <w:bottom w:val="none" w:sz="0" w:space="0" w:color="auto"/>
        <w:right w:val="none" w:sz="0" w:space="0" w:color="auto"/>
      </w:divBdr>
    </w:div>
    <w:div w:id="1834563771">
      <w:bodyDiv w:val="1"/>
      <w:marLeft w:val="0"/>
      <w:marRight w:val="0"/>
      <w:marTop w:val="0"/>
      <w:marBottom w:val="0"/>
      <w:divBdr>
        <w:top w:val="none" w:sz="0" w:space="0" w:color="auto"/>
        <w:left w:val="none" w:sz="0" w:space="0" w:color="auto"/>
        <w:bottom w:val="none" w:sz="0" w:space="0" w:color="auto"/>
        <w:right w:val="none" w:sz="0" w:space="0" w:color="auto"/>
      </w:divBdr>
    </w:div>
    <w:div w:id="1835217698">
      <w:bodyDiv w:val="1"/>
      <w:marLeft w:val="0"/>
      <w:marRight w:val="0"/>
      <w:marTop w:val="0"/>
      <w:marBottom w:val="0"/>
      <w:divBdr>
        <w:top w:val="none" w:sz="0" w:space="0" w:color="auto"/>
        <w:left w:val="none" w:sz="0" w:space="0" w:color="auto"/>
        <w:bottom w:val="none" w:sz="0" w:space="0" w:color="auto"/>
        <w:right w:val="none" w:sz="0" w:space="0" w:color="auto"/>
      </w:divBdr>
    </w:div>
    <w:div w:id="1837770513">
      <w:bodyDiv w:val="1"/>
      <w:marLeft w:val="0"/>
      <w:marRight w:val="0"/>
      <w:marTop w:val="0"/>
      <w:marBottom w:val="0"/>
      <w:divBdr>
        <w:top w:val="none" w:sz="0" w:space="0" w:color="auto"/>
        <w:left w:val="none" w:sz="0" w:space="0" w:color="auto"/>
        <w:bottom w:val="none" w:sz="0" w:space="0" w:color="auto"/>
        <w:right w:val="none" w:sz="0" w:space="0" w:color="auto"/>
      </w:divBdr>
    </w:div>
    <w:div w:id="1838762346">
      <w:bodyDiv w:val="1"/>
      <w:marLeft w:val="0"/>
      <w:marRight w:val="0"/>
      <w:marTop w:val="0"/>
      <w:marBottom w:val="0"/>
      <w:divBdr>
        <w:top w:val="none" w:sz="0" w:space="0" w:color="auto"/>
        <w:left w:val="none" w:sz="0" w:space="0" w:color="auto"/>
        <w:bottom w:val="none" w:sz="0" w:space="0" w:color="auto"/>
        <w:right w:val="none" w:sz="0" w:space="0" w:color="auto"/>
      </w:divBdr>
    </w:div>
    <w:div w:id="1839954048">
      <w:bodyDiv w:val="1"/>
      <w:marLeft w:val="0"/>
      <w:marRight w:val="0"/>
      <w:marTop w:val="0"/>
      <w:marBottom w:val="0"/>
      <w:divBdr>
        <w:top w:val="none" w:sz="0" w:space="0" w:color="auto"/>
        <w:left w:val="none" w:sz="0" w:space="0" w:color="auto"/>
        <w:bottom w:val="none" w:sz="0" w:space="0" w:color="auto"/>
        <w:right w:val="none" w:sz="0" w:space="0" w:color="auto"/>
      </w:divBdr>
    </w:div>
    <w:div w:id="1840195959">
      <w:bodyDiv w:val="1"/>
      <w:marLeft w:val="0"/>
      <w:marRight w:val="0"/>
      <w:marTop w:val="0"/>
      <w:marBottom w:val="0"/>
      <w:divBdr>
        <w:top w:val="none" w:sz="0" w:space="0" w:color="auto"/>
        <w:left w:val="none" w:sz="0" w:space="0" w:color="auto"/>
        <w:bottom w:val="none" w:sz="0" w:space="0" w:color="auto"/>
        <w:right w:val="none" w:sz="0" w:space="0" w:color="auto"/>
      </w:divBdr>
    </w:div>
    <w:div w:id="1840775367">
      <w:bodyDiv w:val="1"/>
      <w:marLeft w:val="0"/>
      <w:marRight w:val="0"/>
      <w:marTop w:val="0"/>
      <w:marBottom w:val="0"/>
      <w:divBdr>
        <w:top w:val="none" w:sz="0" w:space="0" w:color="auto"/>
        <w:left w:val="none" w:sz="0" w:space="0" w:color="auto"/>
        <w:bottom w:val="none" w:sz="0" w:space="0" w:color="auto"/>
        <w:right w:val="none" w:sz="0" w:space="0" w:color="auto"/>
      </w:divBdr>
    </w:div>
    <w:div w:id="1843429121">
      <w:bodyDiv w:val="1"/>
      <w:marLeft w:val="0"/>
      <w:marRight w:val="0"/>
      <w:marTop w:val="0"/>
      <w:marBottom w:val="0"/>
      <w:divBdr>
        <w:top w:val="none" w:sz="0" w:space="0" w:color="auto"/>
        <w:left w:val="none" w:sz="0" w:space="0" w:color="auto"/>
        <w:bottom w:val="none" w:sz="0" w:space="0" w:color="auto"/>
        <w:right w:val="none" w:sz="0" w:space="0" w:color="auto"/>
      </w:divBdr>
    </w:div>
    <w:div w:id="1843856601">
      <w:bodyDiv w:val="1"/>
      <w:marLeft w:val="0"/>
      <w:marRight w:val="0"/>
      <w:marTop w:val="0"/>
      <w:marBottom w:val="0"/>
      <w:divBdr>
        <w:top w:val="none" w:sz="0" w:space="0" w:color="auto"/>
        <w:left w:val="none" w:sz="0" w:space="0" w:color="auto"/>
        <w:bottom w:val="none" w:sz="0" w:space="0" w:color="auto"/>
        <w:right w:val="none" w:sz="0" w:space="0" w:color="auto"/>
      </w:divBdr>
    </w:div>
    <w:div w:id="1844323288">
      <w:bodyDiv w:val="1"/>
      <w:marLeft w:val="0"/>
      <w:marRight w:val="0"/>
      <w:marTop w:val="0"/>
      <w:marBottom w:val="0"/>
      <w:divBdr>
        <w:top w:val="none" w:sz="0" w:space="0" w:color="auto"/>
        <w:left w:val="none" w:sz="0" w:space="0" w:color="auto"/>
        <w:bottom w:val="none" w:sz="0" w:space="0" w:color="auto"/>
        <w:right w:val="none" w:sz="0" w:space="0" w:color="auto"/>
      </w:divBdr>
    </w:div>
    <w:div w:id="1846240780">
      <w:bodyDiv w:val="1"/>
      <w:marLeft w:val="0"/>
      <w:marRight w:val="0"/>
      <w:marTop w:val="0"/>
      <w:marBottom w:val="0"/>
      <w:divBdr>
        <w:top w:val="none" w:sz="0" w:space="0" w:color="auto"/>
        <w:left w:val="none" w:sz="0" w:space="0" w:color="auto"/>
        <w:bottom w:val="none" w:sz="0" w:space="0" w:color="auto"/>
        <w:right w:val="none" w:sz="0" w:space="0" w:color="auto"/>
      </w:divBdr>
    </w:div>
    <w:div w:id="1846895549">
      <w:bodyDiv w:val="1"/>
      <w:marLeft w:val="0"/>
      <w:marRight w:val="0"/>
      <w:marTop w:val="0"/>
      <w:marBottom w:val="0"/>
      <w:divBdr>
        <w:top w:val="none" w:sz="0" w:space="0" w:color="auto"/>
        <w:left w:val="none" w:sz="0" w:space="0" w:color="auto"/>
        <w:bottom w:val="none" w:sz="0" w:space="0" w:color="auto"/>
        <w:right w:val="none" w:sz="0" w:space="0" w:color="auto"/>
      </w:divBdr>
    </w:div>
    <w:div w:id="1847360809">
      <w:bodyDiv w:val="1"/>
      <w:marLeft w:val="0"/>
      <w:marRight w:val="0"/>
      <w:marTop w:val="0"/>
      <w:marBottom w:val="0"/>
      <w:divBdr>
        <w:top w:val="none" w:sz="0" w:space="0" w:color="auto"/>
        <w:left w:val="none" w:sz="0" w:space="0" w:color="auto"/>
        <w:bottom w:val="none" w:sz="0" w:space="0" w:color="auto"/>
        <w:right w:val="none" w:sz="0" w:space="0" w:color="auto"/>
      </w:divBdr>
    </w:div>
    <w:div w:id="1848327593">
      <w:bodyDiv w:val="1"/>
      <w:marLeft w:val="0"/>
      <w:marRight w:val="0"/>
      <w:marTop w:val="0"/>
      <w:marBottom w:val="0"/>
      <w:divBdr>
        <w:top w:val="none" w:sz="0" w:space="0" w:color="auto"/>
        <w:left w:val="none" w:sz="0" w:space="0" w:color="auto"/>
        <w:bottom w:val="none" w:sz="0" w:space="0" w:color="auto"/>
        <w:right w:val="none" w:sz="0" w:space="0" w:color="auto"/>
      </w:divBdr>
    </w:div>
    <w:div w:id="1848641363">
      <w:bodyDiv w:val="1"/>
      <w:marLeft w:val="0"/>
      <w:marRight w:val="0"/>
      <w:marTop w:val="0"/>
      <w:marBottom w:val="0"/>
      <w:divBdr>
        <w:top w:val="none" w:sz="0" w:space="0" w:color="auto"/>
        <w:left w:val="none" w:sz="0" w:space="0" w:color="auto"/>
        <w:bottom w:val="none" w:sz="0" w:space="0" w:color="auto"/>
        <w:right w:val="none" w:sz="0" w:space="0" w:color="auto"/>
      </w:divBdr>
    </w:div>
    <w:div w:id="1850559046">
      <w:bodyDiv w:val="1"/>
      <w:marLeft w:val="0"/>
      <w:marRight w:val="0"/>
      <w:marTop w:val="0"/>
      <w:marBottom w:val="0"/>
      <w:divBdr>
        <w:top w:val="none" w:sz="0" w:space="0" w:color="auto"/>
        <w:left w:val="none" w:sz="0" w:space="0" w:color="auto"/>
        <w:bottom w:val="none" w:sz="0" w:space="0" w:color="auto"/>
        <w:right w:val="none" w:sz="0" w:space="0" w:color="auto"/>
      </w:divBdr>
    </w:div>
    <w:div w:id="1851217499">
      <w:bodyDiv w:val="1"/>
      <w:marLeft w:val="0"/>
      <w:marRight w:val="0"/>
      <w:marTop w:val="0"/>
      <w:marBottom w:val="0"/>
      <w:divBdr>
        <w:top w:val="none" w:sz="0" w:space="0" w:color="auto"/>
        <w:left w:val="none" w:sz="0" w:space="0" w:color="auto"/>
        <w:bottom w:val="none" w:sz="0" w:space="0" w:color="auto"/>
        <w:right w:val="none" w:sz="0" w:space="0" w:color="auto"/>
      </w:divBdr>
    </w:div>
    <w:div w:id="1851672704">
      <w:bodyDiv w:val="1"/>
      <w:marLeft w:val="0"/>
      <w:marRight w:val="0"/>
      <w:marTop w:val="0"/>
      <w:marBottom w:val="0"/>
      <w:divBdr>
        <w:top w:val="none" w:sz="0" w:space="0" w:color="auto"/>
        <w:left w:val="none" w:sz="0" w:space="0" w:color="auto"/>
        <w:bottom w:val="none" w:sz="0" w:space="0" w:color="auto"/>
        <w:right w:val="none" w:sz="0" w:space="0" w:color="auto"/>
      </w:divBdr>
    </w:div>
    <w:div w:id="1852376431">
      <w:bodyDiv w:val="1"/>
      <w:marLeft w:val="0"/>
      <w:marRight w:val="0"/>
      <w:marTop w:val="0"/>
      <w:marBottom w:val="0"/>
      <w:divBdr>
        <w:top w:val="none" w:sz="0" w:space="0" w:color="auto"/>
        <w:left w:val="none" w:sz="0" w:space="0" w:color="auto"/>
        <w:bottom w:val="none" w:sz="0" w:space="0" w:color="auto"/>
        <w:right w:val="none" w:sz="0" w:space="0" w:color="auto"/>
      </w:divBdr>
    </w:div>
    <w:div w:id="1853105324">
      <w:bodyDiv w:val="1"/>
      <w:marLeft w:val="0"/>
      <w:marRight w:val="0"/>
      <w:marTop w:val="0"/>
      <w:marBottom w:val="0"/>
      <w:divBdr>
        <w:top w:val="none" w:sz="0" w:space="0" w:color="auto"/>
        <w:left w:val="none" w:sz="0" w:space="0" w:color="auto"/>
        <w:bottom w:val="none" w:sz="0" w:space="0" w:color="auto"/>
        <w:right w:val="none" w:sz="0" w:space="0" w:color="auto"/>
      </w:divBdr>
    </w:div>
    <w:div w:id="1858041322">
      <w:bodyDiv w:val="1"/>
      <w:marLeft w:val="0"/>
      <w:marRight w:val="0"/>
      <w:marTop w:val="0"/>
      <w:marBottom w:val="0"/>
      <w:divBdr>
        <w:top w:val="none" w:sz="0" w:space="0" w:color="auto"/>
        <w:left w:val="none" w:sz="0" w:space="0" w:color="auto"/>
        <w:bottom w:val="none" w:sz="0" w:space="0" w:color="auto"/>
        <w:right w:val="none" w:sz="0" w:space="0" w:color="auto"/>
      </w:divBdr>
    </w:div>
    <w:div w:id="1859077456">
      <w:bodyDiv w:val="1"/>
      <w:marLeft w:val="0"/>
      <w:marRight w:val="0"/>
      <w:marTop w:val="0"/>
      <w:marBottom w:val="0"/>
      <w:divBdr>
        <w:top w:val="none" w:sz="0" w:space="0" w:color="auto"/>
        <w:left w:val="none" w:sz="0" w:space="0" w:color="auto"/>
        <w:bottom w:val="none" w:sz="0" w:space="0" w:color="auto"/>
        <w:right w:val="none" w:sz="0" w:space="0" w:color="auto"/>
      </w:divBdr>
    </w:div>
    <w:div w:id="1861510912">
      <w:bodyDiv w:val="1"/>
      <w:marLeft w:val="0"/>
      <w:marRight w:val="0"/>
      <w:marTop w:val="0"/>
      <w:marBottom w:val="0"/>
      <w:divBdr>
        <w:top w:val="none" w:sz="0" w:space="0" w:color="auto"/>
        <w:left w:val="none" w:sz="0" w:space="0" w:color="auto"/>
        <w:bottom w:val="none" w:sz="0" w:space="0" w:color="auto"/>
        <w:right w:val="none" w:sz="0" w:space="0" w:color="auto"/>
      </w:divBdr>
    </w:div>
    <w:div w:id="1862669842">
      <w:bodyDiv w:val="1"/>
      <w:marLeft w:val="0"/>
      <w:marRight w:val="0"/>
      <w:marTop w:val="0"/>
      <w:marBottom w:val="0"/>
      <w:divBdr>
        <w:top w:val="none" w:sz="0" w:space="0" w:color="auto"/>
        <w:left w:val="none" w:sz="0" w:space="0" w:color="auto"/>
        <w:bottom w:val="none" w:sz="0" w:space="0" w:color="auto"/>
        <w:right w:val="none" w:sz="0" w:space="0" w:color="auto"/>
      </w:divBdr>
    </w:div>
    <w:div w:id="1862935926">
      <w:bodyDiv w:val="1"/>
      <w:marLeft w:val="0"/>
      <w:marRight w:val="0"/>
      <w:marTop w:val="0"/>
      <w:marBottom w:val="0"/>
      <w:divBdr>
        <w:top w:val="none" w:sz="0" w:space="0" w:color="auto"/>
        <w:left w:val="none" w:sz="0" w:space="0" w:color="auto"/>
        <w:bottom w:val="none" w:sz="0" w:space="0" w:color="auto"/>
        <w:right w:val="none" w:sz="0" w:space="0" w:color="auto"/>
      </w:divBdr>
    </w:div>
    <w:div w:id="1864047765">
      <w:bodyDiv w:val="1"/>
      <w:marLeft w:val="0"/>
      <w:marRight w:val="0"/>
      <w:marTop w:val="0"/>
      <w:marBottom w:val="0"/>
      <w:divBdr>
        <w:top w:val="none" w:sz="0" w:space="0" w:color="auto"/>
        <w:left w:val="none" w:sz="0" w:space="0" w:color="auto"/>
        <w:bottom w:val="none" w:sz="0" w:space="0" w:color="auto"/>
        <w:right w:val="none" w:sz="0" w:space="0" w:color="auto"/>
      </w:divBdr>
    </w:div>
    <w:div w:id="1864051592">
      <w:bodyDiv w:val="1"/>
      <w:marLeft w:val="0"/>
      <w:marRight w:val="0"/>
      <w:marTop w:val="0"/>
      <w:marBottom w:val="0"/>
      <w:divBdr>
        <w:top w:val="none" w:sz="0" w:space="0" w:color="auto"/>
        <w:left w:val="none" w:sz="0" w:space="0" w:color="auto"/>
        <w:bottom w:val="none" w:sz="0" w:space="0" w:color="auto"/>
        <w:right w:val="none" w:sz="0" w:space="0" w:color="auto"/>
      </w:divBdr>
    </w:div>
    <w:div w:id="1864246171">
      <w:bodyDiv w:val="1"/>
      <w:marLeft w:val="0"/>
      <w:marRight w:val="0"/>
      <w:marTop w:val="0"/>
      <w:marBottom w:val="0"/>
      <w:divBdr>
        <w:top w:val="none" w:sz="0" w:space="0" w:color="auto"/>
        <w:left w:val="none" w:sz="0" w:space="0" w:color="auto"/>
        <w:bottom w:val="none" w:sz="0" w:space="0" w:color="auto"/>
        <w:right w:val="none" w:sz="0" w:space="0" w:color="auto"/>
      </w:divBdr>
    </w:div>
    <w:div w:id="1864779136">
      <w:bodyDiv w:val="1"/>
      <w:marLeft w:val="0"/>
      <w:marRight w:val="0"/>
      <w:marTop w:val="0"/>
      <w:marBottom w:val="0"/>
      <w:divBdr>
        <w:top w:val="none" w:sz="0" w:space="0" w:color="auto"/>
        <w:left w:val="none" w:sz="0" w:space="0" w:color="auto"/>
        <w:bottom w:val="none" w:sz="0" w:space="0" w:color="auto"/>
        <w:right w:val="none" w:sz="0" w:space="0" w:color="auto"/>
      </w:divBdr>
    </w:div>
    <w:div w:id="1865361579">
      <w:bodyDiv w:val="1"/>
      <w:marLeft w:val="0"/>
      <w:marRight w:val="0"/>
      <w:marTop w:val="0"/>
      <w:marBottom w:val="0"/>
      <w:divBdr>
        <w:top w:val="none" w:sz="0" w:space="0" w:color="auto"/>
        <w:left w:val="none" w:sz="0" w:space="0" w:color="auto"/>
        <w:bottom w:val="none" w:sz="0" w:space="0" w:color="auto"/>
        <w:right w:val="none" w:sz="0" w:space="0" w:color="auto"/>
      </w:divBdr>
    </w:div>
    <w:div w:id="1865513077">
      <w:bodyDiv w:val="1"/>
      <w:marLeft w:val="0"/>
      <w:marRight w:val="0"/>
      <w:marTop w:val="0"/>
      <w:marBottom w:val="0"/>
      <w:divBdr>
        <w:top w:val="none" w:sz="0" w:space="0" w:color="auto"/>
        <w:left w:val="none" w:sz="0" w:space="0" w:color="auto"/>
        <w:bottom w:val="none" w:sz="0" w:space="0" w:color="auto"/>
        <w:right w:val="none" w:sz="0" w:space="0" w:color="auto"/>
      </w:divBdr>
    </w:div>
    <w:div w:id="1866480899">
      <w:bodyDiv w:val="1"/>
      <w:marLeft w:val="0"/>
      <w:marRight w:val="0"/>
      <w:marTop w:val="0"/>
      <w:marBottom w:val="0"/>
      <w:divBdr>
        <w:top w:val="none" w:sz="0" w:space="0" w:color="auto"/>
        <w:left w:val="none" w:sz="0" w:space="0" w:color="auto"/>
        <w:bottom w:val="none" w:sz="0" w:space="0" w:color="auto"/>
        <w:right w:val="none" w:sz="0" w:space="0" w:color="auto"/>
      </w:divBdr>
    </w:div>
    <w:div w:id="1866673354">
      <w:bodyDiv w:val="1"/>
      <w:marLeft w:val="0"/>
      <w:marRight w:val="0"/>
      <w:marTop w:val="0"/>
      <w:marBottom w:val="0"/>
      <w:divBdr>
        <w:top w:val="none" w:sz="0" w:space="0" w:color="auto"/>
        <w:left w:val="none" w:sz="0" w:space="0" w:color="auto"/>
        <w:bottom w:val="none" w:sz="0" w:space="0" w:color="auto"/>
        <w:right w:val="none" w:sz="0" w:space="0" w:color="auto"/>
      </w:divBdr>
    </w:div>
    <w:div w:id="1867519227">
      <w:bodyDiv w:val="1"/>
      <w:marLeft w:val="0"/>
      <w:marRight w:val="0"/>
      <w:marTop w:val="0"/>
      <w:marBottom w:val="0"/>
      <w:divBdr>
        <w:top w:val="none" w:sz="0" w:space="0" w:color="auto"/>
        <w:left w:val="none" w:sz="0" w:space="0" w:color="auto"/>
        <w:bottom w:val="none" w:sz="0" w:space="0" w:color="auto"/>
        <w:right w:val="none" w:sz="0" w:space="0" w:color="auto"/>
      </w:divBdr>
    </w:div>
    <w:div w:id="1868981704">
      <w:bodyDiv w:val="1"/>
      <w:marLeft w:val="0"/>
      <w:marRight w:val="0"/>
      <w:marTop w:val="0"/>
      <w:marBottom w:val="0"/>
      <w:divBdr>
        <w:top w:val="none" w:sz="0" w:space="0" w:color="auto"/>
        <w:left w:val="none" w:sz="0" w:space="0" w:color="auto"/>
        <w:bottom w:val="none" w:sz="0" w:space="0" w:color="auto"/>
        <w:right w:val="none" w:sz="0" w:space="0" w:color="auto"/>
      </w:divBdr>
    </w:div>
    <w:div w:id="1868982684">
      <w:bodyDiv w:val="1"/>
      <w:marLeft w:val="0"/>
      <w:marRight w:val="0"/>
      <w:marTop w:val="0"/>
      <w:marBottom w:val="0"/>
      <w:divBdr>
        <w:top w:val="none" w:sz="0" w:space="0" w:color="auto"/>
        <w:left w:val="none" w:sz="0" w:space="0" w:color="auto"/>
        <w:bottom w:val="none" w:sz="0" w:space="0" w:color="auto"/>
        <w:right w:val="none" w:sz="0" w:space="0" w:color="auto"/>
      </w:divBdr>
    </w:div>
    <w:div w:id="1869633770">
      <w:bodyDiv w:val="1"/>
      <w:marLeft w:val="0"/>
      <w:marRight w:val="0"/>
      <w:marTop w:val="0"/>
      <w:marBottom w:val="0"/>
      <w:divBdr>
        <w:top w:val="none" w:sz="0" w:space="0" w:color="auto"/>
        <w:left w:val="none" w:sz="0" w:space="0" w:color="auto"/>
        <w:bottom w:val="none" w:sz="0" w:space="0" w:color="auto"/>
        <w:right w:val="none" w:sz="0" w:space="0" w:color="auto"/>
      </w:divBdr>
    </w:div>
    <w:div w:id="1869828463">
      <w:bodyDiv w:val="1"/>
      <w:marLeft w:val="0"/>
      <w:marRight w:val="0"/>
      <w:marTop w:val="0"/>
      <w:marBottom w:val="0"/>
      <w:divBdr>
        <w:top w:val="none" w:sz="0" w:space="0" w:color="auto"/>
        <w:left w:val="none" w:sz="0" w:space="0" w:color="auto"/>
        <w:bottom w:val="none" w:sz="0" w:space="0" w:color="auto"/>
        <w:right w:val="none" w:sz="0" w:space="0" w:color="auto"/>
      </w:divBdr>
    </w:div>
    <w:div w:id="1870025580">
      <w:bodyDiv w:val="1"/>
      <w:marLeft w:val="0"/>
      <w:marRight w:val="0"/>
      <w:marTop w:val="0"/>
      <w:marBottom w:val="0"/>
      <w:divBdr>
        <w:top w:val="none" w:sz="0" w:space="0" w:color="auto"/>
        <w:left w:val="none" w:sz="0" w:space="0" w:color="auto"/>
        <w:bottom w:val="none" w:sz="0" w:space="0" w:color="auto"/>
        <w:right w:val="none" w:sz="0" w:space="0" w:color="auto"/>
      </w:divBdr>
    </w:div>
    <w:div w:id="1870800471">
      <w:bodyDiv w:val="1"/>
      <w:marLeft w:val="0"/>
      <w:marRight w:val="0"/>
      <w:marTop w:val="0"/>
      <w:marBottom w:val="0"/>
      <w:divBdr>
        <w:top w:val="none" w:sz="0" w:space="0" w:color="auto"/>
        <w:left w:val="none" w:sz="0" w:space="0" w:color="auto"/>
        <w:bottom w:val="none" w:sz="0" w:space="0" w:color="auto"/>
        <w:right w:val="none" w:sz="0" w:space="0" w:color="auto"/>
      </w:divBdr>
    </w:div>
    <w:div w:id="1872765253">
      <w:bodyDiv w:val="1"/>
      <w:marLeft w:val="0"/>
      <w:marRight w:val="0"/>
      <w:marTop w:val="0"/>
      <w:marBottom w:val="0"/>
      <w:divBdr>
        <w:top w:val="none" w:sz="0" w:space="0" w:color="auto"/>
        <w:left w:val="none" w:sz="0" w:space="0" w:color="auto"/>
        <w:bottom w:val="none" w:sz="0" w:space="0" w:color="auto"/>
        <w:right w:val="none" w:sz="0" w:space="0" w:color="auto"/>
      </w:divBdr>
    </w:div>
    <w:div w:id="1873491880">
      <w:bodyDiv w:val="1"/>
      <w:marLeft w:val="0"/>
      <w:marRight w:val="0"/>
      <w:marTop w:val="0"/>
      <w:marBottom w:val="0"/>
      <w:divBdr>
        <w:top w:val="none" w:sz="0" w:space="0" w:color="auto"/>
        <w:left w:val="none" w:sz="0" w:space="0" w:color="auto"/>
        <w:bottom w:val="none" w:sz="0" w:space="0" w:color="auto"/>
        <w:right w:val="none" w:sz="0" w:space="0" w:color="auto"/>
      </w:divBdr>
    </w:div>
    <w:div w:id="1873958052">
      <w:bodyDiv w:val="1"/>
      <w:marLeft w:val="0"/>
      <w:marRight w:val="0"/>
      <w:marTop w:val="0"/>
      <w:marBottom w:val="0"/>
      <w:divBdr>
        <w:top w:val="none" w:sz="0" w:space="0" w:color="auto"/>
        <w:left w:val="none" w:sz="0" w:space="0" w:color="auto"/>
        <w:bottom w:val="none" w:sz="0" w:space="0" w:color="auto"/>
        <w:right w:val="none" w:sz="0" w:space="0" w:color="auto"/>
      </w:divBdr>
    </w:div>
    <w:div w:id="1875534338">
      <w:bodyDiv w:val="1"/>
      <w:marLeft w:val="0"/>
      <w:marRight w:val="0"/>
      <w:marTop w:val="0"/>
      <w:marBottom w:val="0"/>
      <w:divBdr>
        <w:top w:val="none" w:sz="0" w:space="0" w:color="auto"/>
        <w:left w:val="none" w:sz="0" w:space="0" w:color="auto"/>
        <w:bottom w:val="none" w:sz="0" w:space="0" w:color="auto"/>
        <w:right w:val="none" w:sz="0" w:space="0" w:color="auto"/>
      </w:divBdr>
    </w:div>
    <w:div w:id="1875799897">
      <w:bodyDiv w:val="1"/>
      <w:marLeft w:val="0"/>
      <w:marRight w:val="0"/>
      <w:marTop w:val="0"/>
      <w:marBottom w:val="0"/>
      <w:divBdr>
        <w:top w:val="none" w:sz="0" w:space="0" w:color="auto"/>
        <w:left w:val="none" w:sz="0" w:space="0" w:color="auto"/>
        <w:bottom w:val="none" w:sz="0" w:space="0" w:color="auto"/>
        <w:right w:val="none" w:sz="0" w:space="0" w:color="auto"/>
      </w:divBdr>
    </w:div>
    <w:div w:id="1876313720">
      <w:bodyDiv w:val="1"/>
      <w:marLeft w:val="0"/>
      <w:marRight w:val="0"/>
      <w:marTop w:val="0"/>
      <w:marBottom w:val="0"/>
      <w:divBdr>
        <w:top w:val="none" w:sz="0" w:space="0" w:color="auto"/>
        <w:left w:val="none" w:sz="0" w:space="0" w:color="auto"/>
        <w:bottom w:val="none" w:sz="0" w:space="0" w:color="auto"/>
        <w:right w:val="none" w:sz="0" w:space="0" w:color="auto"/>
      </w:divBdr>
    </w:div>
    <w:div w:id="1876968954">
      <w:bodyDiv w:val="1"/>
      <w:marLeft w:val="0"/>
      <w:marRight w:val="0"/>
      <w:marTop w:val="0"/>
      <w:marBottom w:val="0"/>
      <w:divBdr>
        <w:top w:val="none" w:sz="0" w:space="0" w:color="auto"/>
        <w:left w:val="none" w:sz="0" w:space="0" w:color="auto"/>
        <w:bottom w:val="none" w:sz="0" w:space="0" w:color="auto"/>
        <w:right w:val="none" w:sz="0" w:space="0" w:color="auto"/>
      </w:divBdr>
    </w:div>
    <w:div w:id="1877229616">
      <w:bodyDiv w:val="1"/>
      <w:marLeft w:val="0"/>
      <w:marRight w:val="0"/>
      <w:marTop w:val="0"/>
      <w:marBottom w:val="0"/>
      <w:divBdr>
        <w:top w:val="none" w:sz="0" w:space="0" w:color="auto"/>
        <w:left w:val="none" w:sz="0" w:space="0" w:color="auto"/>
        <w:bottom w:val="none" w:sz="0" w:space="0" w:color="auto"/>
        <w:right w:val="none" w:sz="0" w:space="0" w:color="auto"/>
      </w:divBdr>
    </w:div>
    <w:div w:id="1878272793">
      <w:bodyDiv w:val="1"/>
      <w:marLeft w:val="0"/>
      <w:marRight w:val="0"/>
      <w:marTop w:val="0"/>
      <w:marBottom w:val="0"/>
      <w:divBdr>
        <w:top w:val="none" w:sz="0" w:space="0" w:color="auto"/>
        <w:left w:val="none" w:sz="0" w:space="0" w:color="auto"/>
        <w:bottom w:val="none" w:sz="0" w:space="0" w:color="auto"/>
        <w:right w:val="none" w:sz="0" w:space="0" w:color="auto"/>
      </w:divBdr>
    </w:div>
    <w:div w:id="1881285379">
      <w:bodyDiv w:val="1"/>
      <w:marLeft w:val="0"/>
      <w:marRight w:val="0"/>
      <w:marTop w:val="0"/>
      <w:marBottom w:val="0"/>
      <w:divBdr>
        <w:top w:val="none" w:sz="0" w:space="0" w:color="auto"/>
        <w:left w:val="none" w:sz="0" w:space="0" w:color="auto"/>
        <w:bottom w:val="none" w:sz="0" w:space="0" w:color="auto"/>
        <w:right w:val="none" w:sz="0" w:space="0" w:color="auto"/>
      </w:divBdr>
    </w:div>
    <w:div w:id="1882595011">
      <w:bodyDiv w:val="1"/>
      <w:marLeft w:val="0"/>
      <w:marRight w:val="0"/>
      <w:marTop w:val="0"/>
      <w:marBottom w:val="0"/>
      <w:divBdr>
        <w:top w:val="none" w:sz="0" w:space="0" w:color="auto"/>
        <w:left w:val="none" w:sz="0" w:space="0" w:color="auto"/>
        <w:bottom w:val="none" w:sz="0" w:space="0" w:color="auto"/>
        <w:right w:val="none" w:sz="0" w:space="0" w:color="auto"/>
      </w:divBdr>
    </w:div>
    <w:div w:id="1882860869">
      <w:bodyDiv w:val="1"/>
      <w:marLeft w:val="0"/>
      <w:marRight w:val="0"/>
      <w:marTop w:val="0"/>
      <w:marBottom w:val="0"/>
      <w:divBdr>
        <w:top w:val="none" w:sz="0" w:space="0" w:color="auto"/>
        <w:left w:val="none" w:sz="0" w:space="0" w:color="auto"/>
        <w:bottom w:val="none" w:sz="0" w:space="0" w:color="auto"/>
        <w:right w:val="none" w:sz="0" w:space="0" w:color="auto"/>
      </w:divBdr>
    </w:div>
    <w:div w:id="1883052229">
      <w:bodyDiv w:val="1"/>
      <w:marLeft w:val="0"/>
      <w:marRight w:val="0"/>
      <w:marTop w:val="0"/>
      <w:marBottom w:val="0"/>
      <w:divBdr>
        <w:top w:val="none" w:sz="0" w:space="0" w:color="auto"/>
        <w:left w:val="none" w:sz="0" w:space="0" w:color="auto"/>
        <w:bottom w:val="none" w:sz="0" w:space="0" w:color="auto"/>
        <w:right w:val="none" w:sz="0" w:space="0" w:color="auto"/>
      </w:divBdr>
    </w:div>
    <w:div w:id="1883203000">
      <w:bodyDiv w:val="1"/>
      <w:marLeft w:val="0"/>
      <w:marRight w:val="0"/>
      <w:marTop w:val="0"/>
      <w:marBottom w:val="0"/>
      <w:divBdr>
        <w:top w:val="none" w:sz="0" w:space="0" w:color="auto"/>
        <w:left w:val="none" w:sz="0" w:space="0" w:color="auto"/>
        <w:bottom w:val="none" w:sz="0" w:space="0" w:color="auto"/>
        <w:right w:val="none" w:sz="0" w:space="0" w:color="auto"/>
      </w:divBdr>
    </w:div>
    <w:div w:id="1884438704">
      <w:bodyDiv w:val="1"/>
      <w:marLeft w:val="0"/>
      <w:marRight w:val="0"/>
      <w:marTop w:val="0"/>
      <w:marBottom w:val="0"/>
      <w:divBdr>
        <w:top w:val="none" w:sz="0" w:space="0" w:color="auto"/>
        <w:left w:val="none" w:sz="0" w:space="0" w:color="auto"/>
        <w:bottom w:val="none" w:sz="0" w:space="0" w:color="auto"/>
        <w:right w:val="none" w:sz="0" w:space="0" w:color="auto"/>
      </w:divBdr>
    </w:div>
    <w:div w:id="1886333868">
      <w:bodyDiv w:val="1"/>
      <w:marLeft w:val="0"/>
      <w:marRight w:val="0"/>
      <w:marTop w:val="0"/>
      <w:marBottom w:val="0"/>
      <w:divBdr>
        <w:top w:val="none" w:sz="0" w:space="0" w:color="auto"/>
        <w:left w:val="none" w:sz="0" w:space="0" w:color="auto"/>
        <w:bottom w:val="none" w:sz="0" w:space="0" w:color="auto"/>
        <w:right w:val="none" w:sz="0" w:space="0" w:color="auto"/>
      </w:divBdr>
    </w:div>
    <w:div w:id="1886987794">
      <w:bodyDiv w:val="1"/>
      <w:marLeft w:val="0"/>
      <w:marRight w:val="0"/>
      <w:marTop w:val="0"/>
      <w:marBottom w:val="0"/>
      <w:divBdr>
        <w:top w:val="none" w:sz="0" w:space="0" w:color="auto"/>
        <w:left w:val="none" w:sz="0" w:space="0" w:color="auto"/>
        <w:bottom w:val="none" w:sz="0" w:space="0" w:color="auto"/>
        <w:right w:val="none" w:sz="0" w:space="0" w:color="auto"/>
      </w:divBdr>
    </w:div>
    <w:div w:id="1889680240">
      <w:bodyDiv w:val="1"/>
      <w:marLeft w:val="0"/>
      <w:marRight w:val="0"/>
      <w:marTop w:val="0"/>
      <w:marBottom w:val="0"/>
      <w:divBdr>
        <w:top w:val="none" w:sz="0" w:space="0" w:color="auto"/>
        <w:left w:val="none" w:sz="0" w:space="0" w:color="auto"/>
        <w:bottom w:val="none" w:sz="0" w:space="0" w:color="auto"/>
        <w:right w:val="none" w:sz="0" w:space="0" w:color="auto"/>
      </w:divBdr>
    </w:div>
    <w:div w:id="1889993508">
      <w:bodyDiv w:val="1"/>
      <w:marLeft w:val="0"/>
      <w:marRight w:val="0"/>
      <w:marTop w:val="0"/>
      <w:marBottom w:val="0"/>
      <w:divBdr>
        <w:top w:val="none" w:sz="0" w:space="0" w:color="auto"/>
        <w:left w:val="none" w:sz="0" w:space="0" w:color="auto"/>
        <w:bottom w:val="none" w:sz="0" w:space="0" w:color="auto"/>
        <w:right w:val="none" w:sz="0" w:space="0" w:color="auto"/>
      </w:divBdr>
    </w:div>
    <w:div w:id="1890142155">
      <w:bodyDiv w:val="1"/>
      <w:marLeft w:val="0"/>
      <w:marRight w:val="0"/>
      <w:marTop w:val="0"/>
      <w:marBottom w:val="0"/>
      <w:divBdr>
        <w:top w:val="none" w:sz="0" w:space="0" w:color="auto"/>
        <w:left w:val="none" w:sz="0" w:space="0" w:color="auto"/>
        <w:bottom w:val="none" w:sz="0" w:space="0" w:color="auto"/>
        <w:right w:val="none" w:sz="0" w:space="0" w:color="auto"/>
      </w:divBdr>
    </w:div>
    <w:div w:id="1890148652">
      <w:bodyDiv w:val="1"/>
      <w:marLeft w:val="0"/>
      <w:marRight w:val="0"/>
      <w:marTop w:val="0"/>
      <w:marBottom w:val="0"/>
      <w:divBdr>
        <w:top w:val="none" w:sz="0" w:space="0" w:color="auto"/>
        <w:left w:val="none" w:sz="0" w:space="0" w:color="auto"/>
        <w:bottom w:val="none" w:sz="0" w:space="0" w:color="auto"/>
        <w:right w:val="none" w:sz="0" w:space="0" w:color="auto"/>
      </w:divBdr>
    </w:div>
    <w:div w:id="1890654553">
      <w:bodyDiv w:val="1"/>
      <w:marLeft w:val="0"/>
      <w:marRight w:val="0"/>
      <w:marTop w:val="0"/>
      <w:marBottom w:val="0"/>
      <w:divBdr>
        <w:top w:val="none" w:sz="0" w:space="0" w:color="auto"/>
        <w:left w:val="none" w:sz="0" w:space="0" w:color="auto"/>
        <w:bottom w:val="none" w:sz="0" w:space="0" w:color="auto"/>
        <w:right w:val="none" w:sz="0" w:space="0" w:color="auto"/>
      </w:divBdr>
    </w:div>
    <w:div w:id="1891109096">
      <w:bodyDiv w:val="1"/>
      <w:marLeft w:val="0"/>
      <w:marRight w:val="0"/>
      <w:marTop w:val="0"/>
      <w:marBottom w:val="0"/>
      <w:divBdr>
        <w:top w:val="none" w:sz="0" w:space="0" w:color="auto"/>
        <w:left w:val="none" w:sz="0" w:space="0" w:color="auto"/>
        <w:bottom w:val="none" w:sz="0" w:space="0" w:color="auto"/>
        <w:right w:val="none" w:sz="0" w:space="0" w:color="auto"/>
      </w:divBdr>
    </w:div>
    <w:div w:id="1891266504">
      <w:bodyDiv w:val="1"/>
      <w:marLeft w:val="0"/>
      <w:marRight w:val="0"/>
      <w:marTop w:val="0"/>
      <w:marBottom w:val="0"/>
      <w:divBdr>
        <w:top w:val="none" w:sz="0" w:space="0" w:color="auto"/>
        <w:left w:val="none" w:sz="0" w:space="0" w:color="auto"/>
        <w:bottom w:val="none" w:sz="0" w:space="0" w:color="auto"/>
        <w:right w:val="none" w:sz="0" w:space="0" w:color="auto"/>
      </w:divBdr>
    </w:div>
    <w:div w:id="1891767147">
      <w:bodyDiv w:val="1"/>
      <w:marLeft w:val="0"/>
      <w:marRight w:val="0"/>
      <w:marTop w:val="0"/>
      <w:marBottom w:val="0"/>
      <w:divBdr>
        <w:top w:val="none" w:sz="0" w:space="0" w:color="auto"/>
        <w:left w:val="none" w:sz="0" w:space="0" w:color="auto"/>
        <w:bottom w:val="none" w:sz="0" w:space="0" w:color="auto"/>
        <w:right w:val="none" w:sz="0" w:space="0" w:color="auto"/>
      </w:divBdr>
    </w:div>
    <w:div w:id="1892106654">
      <w:bodyDiv w:val="1"/>
      <w:marLeft w:val="0"/>
      <w:marRight w:val="0"/>
      <w:marTop w:val="0"/>
      <w:marBottom w:val="0"/>
      <w:divBdr>
        <w:top w:val="none" w:sz="0" w:space="0" w:color="auto"/>
        <w:left w:val="none" w:sz="0" w:space="0" w:color="auto"/>
        <w:bottom w:val="none" w:sz="0" w:space="0" w:color="auto"/>
        <w:right w:val="none" w:sz="0" w:space="0" w:color="auto"/>
      </w:divBdr>
    </w:div>
    <w:div w:id="1892186512">
      <w:bodyDiv w:val="1"/>
      <w:marLeft w:val="0"/>
      <w:marRight w:val="0"/>
      <w:marTop w:val="0"/>
      <w:marBottom w:val="0"/>
      <w:divBdr>
        <w:top w:val="none" w:sz="0" w:space="0" w:color="auto"/>
        <w:left w:val="none" w:sz="0" w:space="0" w:color="auto"/>
        <w:bottom w:val="none" w:sz="0" w:space="0" w:color="auto"/>
        <w:right w:val="none" w:sz="0" w:space="0" w:color="auto"/>
      </w:divBdr>
    </w:div>
    <w:div w:id="1892300023">
      <w:bodyDiv w:val="1"/>
      <w:marLeft w:val="0"/>
      <w:marRight w:val="0"/>
      <w:marTop w:val="0"/>
      <w:marBottom w:val="0"/>
      <w:divBdr>
        <w:top w:val="none" w:sz="0" w:space="0" w:color="auto"/>
        <w:left w:val="none" w:sz="0" w:space="0" w:color="auto"/>
        <w:bottom w:val="none" w:sz="0" w:space="0" w:color="auto"/>
        <w:right w:val="none" w:sz="0" w:space="0" w:color="auto"/>
      </w:divBdr>
    </w:div>
    <w:div w:id="1894655881">
      <w:bodyDiv w:val="1"/>
      <w:marLeft w:val="0"/>
      <w:marRight w:val="0"/>
      <w:marTop w:val="0"/>
      <w:marBottom w:val="0"/>
      <w:divBdr>
        <w:top w:val="none" w:sz="0" w:space="0" w:color="auto"/>
        <w:left w:val="none" w:sz="0" w:space="0" w:color="auto"/>
        <w:bottom w:val="none" w:sz="0" w:space="0" w:color="auto"/>
        <w:right w:val="none" w:sz="0" w:space="0" w:color="auto"/>
      </w:divBdr>
    </w:div>
    <w:div w:id="1895920690">
      <w:bodyDiv w:val="1"/>
      <w:marLeft w:val="0"/>
      <w:marRight w:val="0"/>
      <w:marTop w:val="0"/>
      <w:marBottom w:val="0"/>
      <w:divBdr>
        <w:top w:val="none" w:sz="0" w:space="0" w:color="auto"/>
        <w:left w:val="none" w:sz="0" w:space="0" w:color="auto"/>
        <w:bottom w:val="none" w:sz="0" w:space="0" w:color="auto"/>
        <w:right w:val="none" w:sz="0" w:space="0" w:color="auto"/>
      </w:divBdr>
    </w:div>
    <w:div w:id="1896551135">
      <w:bodyDiv w:val="1"/>
      <w:marLeft w:val="0"/>
      <w:marRight w:val="0"/>
      <w:marTop w:val="0"/>
      <w:marBottom w:val="0"/>
      <w:divBdr>
        <w:top w:val="none" w:sz="0" w:space="0" w:color="auto"/>
        <w:left w:val="none" w:sz="0" w:space="0" w:color="auto"/>
        <w:bottom w:val="none" w:sz="0" w:space="0" w:color="auto"/>
        <w:right w:val="none" w:sz="0" w:space="0" w:color="auto"/>
      </w:divBdr>
    </w:div>
    <w:div w:id="1896626881">
      <w:bodyDiv w:val="1"/>
      <w:marLeft w:val="0"/>
      <w:marRight w:val="0"/>
      <w:marTop w:val="0"/>
      <w:marBottom w:val="0"/>
      <w:divBdr>
        <w:top w:val="none" w:sz="0" w:space="0" w:color="auto"/>
        <w:left w:val="none" w:sz="0" w:space="0" w:color="auto"/>
        <w:bottom w:val="none" w:sz="0" w:space="0" w:color="auto"/>
        <w:right w:val="none" w:sz="0" w:space="0" w:color="auto"/>
      </w:divBdr>
    </w:div>
    <w:div w:id="1897349461">
      <w:bodyDiv w:val="1"/>
      <w:marLeft w:val="0"/>
      <w:marRight w:val="0"/>
      <w:marTop w:val="0"/>
      <w:marBottom w:val="0"/>
      <w:divBdr>
        <w:top w:val="none" w:sz="0" w:space="0" w:color="auto"/>
        <w:left w:val="none" w:sz="0" w:space="0" w:color="auto"/>
        <w:bottom w:val="none" w:sz="0" w:space="0" w:color="auto"/>
        <w:right w:val="none" w:sz="0" w:space="0" w:color="auto"/>
      </w:divBdr>
    </w:div>
    <w:div w:id="1897548077">
      <w:bodyDiv w:val="1"/>
      <w:marLeft w:val="0"/>
      <w:marRight w:val="0"/>
      <w:marTop w:val="0"/>
      <w:marBottom w:val="0"/>
      <w:divBdr>
        <w:top w:val="none" w:sz="0" w:space="0" w:color="auto"/>
        <w:left w:val="none" w:sz="0" w:space="0" w:color="auto"/>
        <w:bottom w:val="none" w:sz="0" w:space="0" w:color="auto"/>
        <w:right w:val="none" w:sz="0" w:space="0" w:color="auto"/>
      </w:divBdr>
    </w:div>
    <w:div w:id="1898280074">
      <w:bodyDiv w:val="1"/>
      <w:marLeft w:val="0"/>
      <w:marRight w:val="0"/>
      <w:marTop w:val="0"/>
      <w:marBottom w:val="0"/>
      <w:divBdr>
        <w:top w:val="none" w:sz="0" w:space="0" w:color="auto"/>
        <w:left w:val="none" w:sz="0" w:space="0" w:color="auto"/>
        <w:bottom w:val="none" w:sz="0" w:space="0" w:color="auto"/>
        <w:right w:val="none" w:sz="0" w:space="0" w:color="auto"/>
      </w:divBdr>
    </w:div>
    <w:div w:id="1898780889">
      <w:bodyDiv w:val="1"/>
      <w:marLeft w:val="0"/>
      <w:marRight w:val="0"/>
      <w:marTop w:val="0"/>
      <w:marBottom w:val="0"/>
      <w:divBdr>
        <w:top w:val="none" w:sz="0" w:space="0" w:color="auto"/>
        <w:left w:val="none" w:sz="0" w:space="0" w:color="auto"/>
        <w:bottom w:val="none" w:sz="0" w:space="0" w:color="auto"/>
        <w:right w:val="none" w:sz="0" w:space="0" w:color="auto"/>
      </w:divBdr>
    </w:div>
    <w:div w:id="1899588445">
      <w:bodyDiv w:val="1"/>
      <w:marLeft w:val="0"/>
      <w:marRight w:val="0"/>
      <w:marTop w:val="0"/>
      <w:marBottom w:val="0"/>
      <w:divBdr>
        <w:top w:val="none" w:sz="0" w:space="0" w:color="auto"/>
        <w:left w:val="none" w:sz="0" w:space="0" w:color="auto"/>
        <w:bottom w:val="none" w:sz="0" w:space="0" w:color="auto"/>
        <w:right w:val="none" w:sz="0" w:space="0" w:color="auto"/>
      </w:divBdr>
    </w:div>
    <w:div w:id="1900244580">
      <w:bodyDiv w:val="1"/>
      <w:marLeft w:val="0"/>
      <w:marRight w:val="0"/>
      <w:marTop w:val="0"/>
      <w:marBottom w:val="0"/>
      <w:divBdr>
        <w:top w:val="none" w:sz="0" w:space="0" w:color="auto"/>
        <w:left w:val="none" w:sz="0" w:space="0" w:color="auto"/>
        <w:bottom w:val="none" w:sz="0" w:space="0" w:color="auto"/>
        <w:right w:val="none" w:sz="0" w:space="0" w:color="auto"/>
      </w:divBdr>
    </w:div>
    <w:div w:id="1900744971">
      <w:bodyDiv w:val="1"/>
      <w:marLeft w:val="0"/>
      <w:marRight w:val="0"/>
      <w:marTop w:val="0"/>
      <w:marBottom w:val="0"/>
      <w:divBdr>
        <w:top w:val="none" w:sz="0" w:space="0" w:color="auto"/>
        <w:left w:val="none" w:sz="0" w:space="0" w:color="auto"/>
        <w:bottom w:val="none" w:sz="0" w:space="0" w:color="auto"/>
        <w:right w:val="none" w:sz="0" w:space="0" w:color="auto"/>
      </w:divBdr>
    </w:div>
    <w:div w:id="1905986113">
      <w:bodyDiv w:val="1"/>
      <w:marLeft w:val="0"/>
      <w:marRight w:val="0"/>
      <w:marTop w:val="0"/>
      <w:marBottom w:val="0"/>
      <w:divBdr>
        <w:top w:val="none" w:sz="0" w:space="0" w:color="auto"/>
        <w:left w:val="none" w:sz="0" w:space="0" w:color="auto"/>
        <w:bottom w:val="none" w:sz="0" w:space="0" w:color="auto"/>
        <w:right w:val="none" w:sz="0" w:space="0" w:color="auto"/>
      </w:divBdr>
    </w:div>
    <w:div w:id="1907102472">
      <w:bodyDiv w:val="1"/>
      <w:marLeft w:val="0"/>
      <w:marRight w:val="0"/>
      <w:marTop w:val="0"/>
      <w:marBottom w:val="0"/>
      <w:divBdr>
        <w:top w:val="none" w:sz="0" w:space="0" w:color="auto"/>
        <w:left w:val="none" w:sz="0" w:space="0" w:color="auto"/>
        <w:bottom w:val="none" w:sz="0" w:space="0" w:color="auto"/>
        <w:right w:val="none" w:sz="0" w:space="0" w:color="auto"/>
      </w:divBdr>
    </w:div>
    <w:div w:id="1909531276">
      <w:bodyDiv w:val="1"/>
      <w:marLeft w:val="0"/>
      <w:marRight w:val="0"/>
      <w:marTop w:val="0"/>
      <w:marBottom w:val="0"/>
      <w:divBdr>
        <w:top w:val="none" w:sz="0" w:space="0" w:color="auto"/>
        <w:left w:val="none" w:sz="0" w:space="0" w:color="auto"/>
        <w:bottom w:val="none" w:sz="0" w:space="0" w:color="auto"/>
        <w:right w:val="none" w:sz="0" w:space="0" w:color="auto"/>
      </w:divBdr>
    </w:div>
    <w:div w:id="1910069142">
      <w:bodyDiv w:val="1"/>
      <w:marLeft w:val="0"/>
      <w:marRight w:val="0"/>
      <w:marTop w:val="0"/>
      <w:marBottom w:val="0"/>
      <w:divBdr>
        <w:top w:val="none" w:sz="0" w:space="0" w:color="auto"/>
        <w:left w:val="none" w:sz="0" w:space="0" w:color="auto"/>
        <w:bottom w:val="none" w:sz="0" w:space="0" w:color="auto"/>
        <w:right w:val="none" w:sz="0" w:space="0" w:color="auto"/>
      </w:divBdr>
    </w:div>
    <w:div w:id="1910574506">
      <w:bodyDiv w:val="1"/>
      <w:marLeft w:val="0"/>
      <w:marRight w:val="0"/>
      <w:marTop w:val="0"/>
      <w:marBottom w:val="0"/>
      <w:divBdr>
        <w:top w:val="none" w:sz="0" w:space="0" w:color="auto"/>
        <w:left w:val="none" w:sz="0" w:space="0" w:color="auto"/>
        <w:bottom w:val="none" w:sz="0" w:space="0" w:color="auto"/>
        <w:right w:val="none" w:sz="0" w:space="0" w:color="auto"/>
      </w:divBdr>
    </w:div>
    <w:div w:id="1910843349">
      <w:bodyDiv w:val="1"/>
      <w:marLeft w:val="0"/>
      <w:marRight w:val="0"/>
      <w:marTop w:val="0"/>
      <w:marBottom w:val="0"/>
      <w:divBdr>
        <w:top w:val="none" w:sz="0" w:space="0" w:color="auto"/>
        <w:left w:val="none" w:sz="0" w:space="0" w:color="auto"/>
        <w:bottom w:val="none" w:sz="0" w:space="0" w:color="auto"/>
        <w:right w:val="none" w:sz="0" w:space="0" w:color="auto"/>
      </w:divBdr>
    </w:div>
    <w:div w:id="1911308938">
      <w:bodyDiv w:val="1"/>
      <w:marLeft w:val="0"/>
      <w:marRight w:val="0"/>
      <w:marTop w:val="0"/>
      <w:marBottom w:val="0"/>
      <w:divBdr>
        <w:top w:val="none" w:sz="0" w:space="0" w:color="auto"/>
        <w:left w:val="none" w:sz="0" w:space="0" w:color="auto"/>
        <w:bottom w:val="none" w:sz="0" w:space="0" w:color="auto"/>
        <w:right w:val="none" w:sz="0" w:space="0" w:color="auto"/>
      </w:divBdr>
    </w:div>
    <w:div w:id="1911772780">
      <w:bodyDiv w:val="1"/>
      <w:marLeft w:val="0"/>
      <w:marRight w:val="0"/>
      <w:marTop w:val="0"/>
      <w:marBottom w:val="0"/>
      <w:divBdr>
        <w:top w:val="none" w:sz="0" w:space="0" w:color="auto"/>
        <w:left w:val="none" w:sz="0" w:space="0" w:color="auto"/>
        <w:bottom w:val="none" w:sz="0" w:space="0" w:color="auto"/>
        <w:right w:val="none" w:sz="0" w:space="0" w:color="auto"/>
      </w:divBdr>
    </w:div>
    <w:div w:id="1911773720">
      <w:bodyDiv w:val="1"/>
      <w:marLeft w:val="0"/>
      <w:marRight w:val="0"/>
      <w:marTop w:val="0"/>
      <w:marBottom w:val="0"/>
      <w:divBdr>
        <w:top w:val="none" w:sz="0" w:space="0" w:color="auto"/>
        <w:left w:val="none" w:sz="0" w:space="0" w:color="auto"/>
        <w:bottom w:val="none" w:sz="0" w:space="0" w:color="auto"/>
        <w:right w:val="none" w:sz="0" w:space="0" w:color="auto"/>
      </w:divBdr>
    </w:div>
    <w:div w:id="1912234669">
      <w:bodyDiv w:val="1"/>
      <w:marLeft w:val="0"/>
      <w:marRight w:val="0"/>
      <w:marTop w:val="0"/>
      <w:marBottom w:val="0"/>
      <w:divBdr>
        <w:top w:val="none" w:sz="0" w:space="0" w:color="auto"/>
        <w:left w:val="none" w:sz="0" w:space="0" w:color="auto"/>
        <w:bottom w:val="none" w:sz="0" w:space="0" w:color="auto"/>
        <w:right w:val="none" w:sz="0" w:space="0" w:color="auto"/>
      </w:divBdr>
    </w:div>
    <w:div w:id="1912302395">
      <w:bodyDiv w:val="1"/>
      <w:marLeft w:val="0"/>
      <w:marRight w:val="0"/>
      <w:marTop w:val="0"/>
      <w:marBottom w:val="0"/>
      <w:divBdr>
        <w:top w:val="none" w:sz="0" w:space="0" w:color="auto"/>
        <w:left w:val="none" w:sz="0" w:space="0" w:color="auto"/>
        <w:bottom w:val="none" w:sz="0" w:space="0" w:color="auto"/>
        <w:right w:val="none" w:sz="0" w:space="0" w:color="auto"/>
      </w:divBdr>
    </w:div>
    <w:div w:id="1912303742">
      <w:bodyDiv w:val="1"/>
      <w:marLeft w:val="0"/>
      <w:marRight w:val="0"/>
      <w:marTop w:val="0"/>
      <w:marBottom w:val="0"/>
      <w:divBdr>
        <w:top w:val="none" w:sz="0" w:space="0" w:color="auto"/>
        <w:left w:val="none" w:sz="0" w:space="0" w:color="auto"/>
        <w:bottom w:val="none" w:sz="0" w:space="0" w:color="auto"/>
        <w:right w:val="none" w:sz="0" w:space="0" w:color="auto"/>
      </w:divBdr>
    </w:div>
    <w:div w:id="1912346040">
      <w:bodyDiv w:val="1"/>
      <w:marLeft w:val="0"/>
      <w:marRight w:val="0"/>
      <w:marTop w:val="0"/>
      <w:marBottom w:val="0"/>
      <w:divBdr>
        <w:top w:val="none" w:sz="0" w:space="0" w:color="auto"/>
        <w:left w:val="none" w:sz="0" w:space="0" w:color="auto"/>
        <w:bottom w:val="none" w:sz="0" w:space="0" w:color="auto"/>
        <w:right w:val="none" w:sz="0" w:space="0" w:color="auto"/>
      </w:divBdr>
    </w:div>
    <w:div w:id="1912807655">
      <w:bodyDiv w:val="1"/>
      <w:marLeft w:val="0"/>
      <w:marRight w:val="0"/>
      <w:marTop w:val="0"/>
      <w:marBottom w:val="0"/>
      <w:divBdr>
        <w:top w:val="none" w:sz="0" w:space="0" w:color="auto"/>
        <w:left w:val="none" w:sz="0" w:space="0" w:color="auto"/>
        <w:bottom w:val="none" w:sz="0" w:space="0" w:color="auto"/>
        <w:right w:val="none" w:sz="0" w:space="0" w:color="auto"/>
      </w:divBdr>
    </w:div>
    <w:div w:id="1914045244">
      <w:bodyDiv w:val="1"/>
      <w:marLeft w:val="0"/>
      <w:marRight w:val="0"/>
      <w:marTop w:val="0"/>
      <w:marBottom w:val="0"/>
      <w:divBdr>
        <w:top w:val="none" w:sz="0" w:space="0" w:color="auto"/>
        <w:left w:val="none" w:sz="0" w:space="0" w:color="auto"/>
        <w:bottom w:val="none" w:sz="0" w:space="0" w:color="auto"/>
        <w:right w:val="none" w:sz="0" w:space="0" w:color="auto"/>
      </w:divBdr>
    </w:div>
    <w:div w:id="1914771807">
      <w:bodyDiv w:val="1"/>
      <w:marLeft w:val="0"/>
      <w:marRight w:val="0"/>
      <w:marTop w:val="0"/>
      <w:marBottom w:val="0"/>
      <w:divBdr>
        <w:top w:val="none" w:sz="0" w:space="0" w:color="auto"/>
        <w:left w:val="none" w:sz="0" w:space="0" w:color="auto"/>
        <w:bottom w:val="none" w:sz="0" w:space="0" w:color="auto"/>
        <w:right w:val="none" w:sz="0" w:space="0" w:color="auto"/>
      </w:divBdr>
    </w:div>
    <w:div w:id="1915117943">
      <w:bodyDiv w:val="1"/>
      <w:marLeft w:val="0"/>
      <w:marRight w:val="0"/>
      <w:marTop w:val="0"/>
      <w:marBottom w:val="0"/>
      <w:divBdr>
        <w:top w:val="none" w:sz="0" w:space="0" w:color="auto"/>
        <w:left w:val="none" w:sz="0" w:space="0" w:color="auto"/>
        <w:bottom w:val="none" w:sz="0" w:space="0" w:color="auto"/>
        <w:right w:val="none" w:sz="0" w:space="0" w:color="auto"/>
      </w:divBdr>
    </w:div>
    <w:div w:id="1916167217">
      <w:bodyDiv w:val="1"/>
      <w:marLeft w:val="0"/>
      <w:marRight w:val="0"/>
      <w:marTop w:val="0"/>
      <w:marBottom w:val="0"/>
      <w:divBdr>
        <w:top w:val="none" w:sz="0" w:space="0" w:color="auto"/>
        <w:left w:val="none" w:sz="0" w:space="0" w:color="auto"/>
        <w:bottom w:val="none" w:sz="0" w:space="0" w:color="auto"/>
        <w:right w:val="none" w:sz="0" w:space="0" w:color="auto"/>
      </w:divBdr>
    </w:div>
    <w:div w:id="1918854536">
      <w:bodyDiv w:val="1"/>
      <w:marLeft w:val="0"/>
      <w:marRight w:val="0"/>
      <w:marTop w:val="0"/>
      <w:marBottom w:val="0"/>
      <w:divBdr>
        <w:top w:val="none" w:sz="0" w:space="0" w:color="auto"/>
        <w:left w:val="none" w:sz="0" w:space="0" w:color="auto"/>
        <w:bottom w:val="none" w:sz="0" w:space="0" w:color="auto"/>
        <w:right w:val="none" w:sz="0" w:space="0" w:color="auto"/>
      </w:divBdr>
    </w:div>
    <w:div w:id="1919709262">
      <w:bodyDiv w:val="1"/>
      <w:marLeft w:val="0"/>
      <w:marRight w:val="0"/>
      <w:marTop w:val="0"/>
      <w:marBottom w:val="0"/>
      <w:divBdr>
        <w:top w:val="none" w:sz="0" w:space="0" w:color="auto"/>
        <w:left w:val="none" w:sz="0" w:space="0" w:color="auto"/>
        <w:bottom w:val="none" w:sz="0" w:space="0" w:color="auto"/>
        <w:right w:val="none" w:sz="0" w:space="0" w:color="auto"/>
      </w:divBdr>
    </w:div>
    <w:div w:id="1920864257">
      <w:bodyDiv w:val="1"/>
      <w:marLeft w:val="0"/>
      <w:marRight w:val="0"/>
      <w:marTop w:val="0"/>
      <w:marBottom w:val="0"/>
      <w:divBdr>
        <w:top w:val="none" w:sz="0" w:space="0" w:color="auto"/>
        <w:left w:val="none" w:sz="0" w:space="0" w:color="auto"/>
        <w:bottom w:val="none" w:sz="0" w:space="0" w:color="auto"/>
        <w:right w:val="none" w:sz="0" w:space="0" w:color="auto"/>
      </w:divBdr>
    </w:div>
    <w:div w:id="1921937323">
      <w:bodyDiv w:val="1"/>
      <w:marLeft w:val="0"/>
      <w:marRight w:val="0"/>
      <w:marTop w:val="0"/>
      <w:marBottom w:val="0"/>
      <w:divBdr>
        <w:top w:val="none" w:sz="0" w:space="0" w:color="auto"/>
        <w:left w:val="none" w:sz="0" w:space="0" w:color="auto"/>
        <w:bottom w:val="none" w:sz="0" w:space="0" w:color="auto"/>
        <w:right w:val="none" w:sz="0" w:space="0" w:color="auto"/>
      </w:divBdr>
    </w:div>
    <w:div w:id="1921982011">
      <w:bodyDiv w:val="1"/>
      <w:marLeft w:val="0"/>
      <w:marRight w:val="0"/>
      <w:marTop w:val="0"/>
      <w:marBottom w:val="0"/>
      <w:divBdr>
        <w:top w:val="none" w:sz="0" w:space="0" w:color="auto"/>
        <w:left w:val="none" w:sz="0" w:space="0" w:color="auto"/>
        <w:bottom w:val="none" w:sz="0" w:space="0" w:color="auto"/>
        <w:right w:val="none" w:sz="0" w:space="0" w:color="auto"/>
      </w:divBdr>
    </w:div>
    <w:div w:id="1922257012">
      <w:bodyDiv w:val="1"/>
      <w:marLeft w:val="0"/>
      <w:marRight w:val="0"/>
      <w:marTop w:val="0"/>
      <w:marBottom w:val="0"/>
      <w:divBdr>
        <w:top w:val="none" w:sz="0" w:space="0" w:color="auto"/>
        <w:left w:val="none" w:sz="0" w:space="0" w:color="auto"/>
        <w:bottom w:val="none" w:sz="0" w:space="0" w:color="auto"/>
        <w:right w:val="none" w:sz="0" w:space="0" w:color="auto"/>
      </w:divBdr>
    </w:div>
    <w:div w:id="1922762499">
      <w:bodyDiv w:val="1"/>
      <w:marLeft w:val="0"/>
      <w:marRight w:val="0"/>
      <w:marTop w:val="0"/>
      <w:marBottom w:val="0"/>
      <w:divBdr>
        <w:top w:val="none" w:sz="0" w:space="0" w:color="auto"/>
        <w:left w:val="none" w:sz="0" w:space="0" w:color="auto"/>
        <w:bottom w:val="none" w:sz="0" w:space="0" w:color="auto"/>
        <w:right w:val="none" w:sz="0" w:space="0" w:color="auto"/>
      </w:divBdr>
    </w:div>
    <w:div w:id="1924877054">
      <w:bodyDiv w:val="1"/>
      <w:marLeft w:val="0"/>
      <w:marRight w:val="0"/>
      <w:marTop w:val="0"/>
      <w:marBottom w:val="0"/>
      <w:divBdr>
        <w:top w:val="none" w:sz="0" w:space="0" w:color="auto"/>
        <w:left w:val="none" w:sz="0" w:space="0" w:color="auto"/>
        <w:bottom w:val="none" w:sz="0" w:space="0" w:color="auto"/>
        <w:right w:val="none" w:sz="0" w:space="0" w:color="auto"/>
      </w:divBdr>
    </w:div>
    <w:div w:id="1925217020">
      <w:bodyDiv w:val="1"/>
      <w:marLeft w:val="0"/>
      <w:marRight w:val="0"/>
      <w:marTop w:val="0"/>
      <w:marBottom w:val="0"/>
      <w:divBdr>
        <w:top w:val="none" w:sz="0" w:space="0" w:color="auto"/>
        <w:left w:val="none" w:sz="0" w:space="0" w:color="auto"/>
        <w:bottom w:val="none" w:sz="0" w:space="0" w:color="auto"/>
        <w:right w:val="none" w:sz="0" w:space="0" w:color="auto"/>
      </w:divBdr>
    </w:div>
    <w:div w:id="1926575956">
      <w:bodyDiv w:val="1"/>
      <w:marLeft w:val="0"/>
      <w:marRight w:val="0"/>
      <w:marTop w:val="0"/>
      <w:marBottom w:val="0"/>
      <w:divBdr>
        <w:top w:val="none" w:sz="0" w:space="0" w:color="auto"/>
        <w:left w:val="none" w:sz="0" w:space="0" w:color="auto"/>
        <w:bottom w:val="none" w:sz="0" w:space="0" w:color="auto"/>
        <w:right w:val="none" w:sz="0" w:space="0" w:color="auto"/>
      </w:divBdr>
    </w:div>
    <w:div w:id="1927420809">
      <w:bodyDiv w:val="1"/>
      <w:marLeft w:val="0"/>
      <w:marRight w:val="0"/>
      <w:marTop w:val="0"/>
      <w:marBottom w:val="0"/>
      <w:divBdr>
        <w:top w:val="none" w:sz="0" w:space="0" w:color="auto"/>
        <w:left w:val="none" w:sz="0" w:space="0" w:color="auto"/>
        <w:bottom w:val="none" w:sz="0" w:space="0" w:color="auto"/>
        <w:right w:val="none" w:sz="0" w:space="0" w:color="auto"/>
      </w:divBdr>
    </w:div>
    <w:div w:id="1927760065">
      <w:bodyDiv w:val="1"/>
      <w:marLeft w:val="0"/>
      <w:marRight w:val="0"/>
      <w:marTop w:val="0"/>
      <w:marBottom w:val="0"/>
      <w:divBdr>
        <w:top w:val="none" w:sz="0" w:space="0" w:color="auto"/>
        <w:left w:val="none" w:sz="0" w:space="0" w:color="auto"/>
        <w:bottom w:val="none" w:sz="0" w:space="0" w:color="auto"/>
        <w:right w:val="none" w:sz="0" w:space="0" w:color="auto"/>
      </w:divBdr>
    </w:div>
    <w:div w:id="1927958577">
      <w:bodyDiv w:val="1"/>
      <w:marLeft w:val="0"/>
      <w:marRight w:val="0"/>
      <w:marTop w:val="0"/>
      <w:marBottom w:val="0"/>
      <w:divBdr>
        <w:top w:val="none" w:sz="0" w:space="0" w:color="auto"/>
        <w:left w:val="none" w:sz="0" w:space="0" w:color="auto"/>
        <w:bottom w:val="none" w:sz="0" w:space="0" w:color="auto"/>
        <w:right w:val="none" w:sz="0" w:space="0" w:color="auto"/>
      </w:divBdr>
    </w:div>
    <w:div w:id="1928072225">
      <w:bodyDiv w:val="1"/>
      <w:marLeft w:val="0"/>
      <w:marRight w:val="0"/>
      <w:marTop w:val="0"/>
      <w:marBottom w:val="0"/>
      <w:divBdr>
        <w:top w:val="none" w:sz="0" w:space="0" w:color="auto"/>
        <w:left w:val="none" w:sz="0" w:space="0" w:color="auto"/>
        <w:bottom w:val="none" w:sz="0" w:space="0" w:color="auto"/>
        <w:right w:val="none" w:sz="0" w:space="0" w:color="auto"/>
      </w:divBdr>
    </w:div>
    <w:div w:id="1929342128">
      <w:bodyDiv w:val="1"/>
      <w:marLeft w:val="0"/>
      <w:marRight w:val="0"/>
      <w:marTop w:val="0"/>
      <w:marBottom w:val="0"/>
      <w:divBdr>
        <w:top w:val="none" w:sz="0" w:space="0" w:color="auto"/>
        <w:left w:val="none" w:sz="0" w:space="0" w:color="auto"/>
        <w:bottom w:val="none" w:sz="0" w:space="0" w:color="auto"/>
        <w:right w:val="none" w:sz="0" w:space="0" w:color="auto"/>
      </w:divBdr>
    </w:div>
    <w:div w:id="1929581449">
      <w:bodyDiv w:val="1"/>
      <w:marLeft w:val="0"/>
      <w:marRight w:val="0"/>
      <w:marTop w:val="0"/>
      <w:marBottom w:val="0"/>
      <w:divBdr>
        <w:top w:val="none" w:sz="0" w:space="0" w:color="auto"/>
        <w:left w:val="none" w:sz="0" w:space="0" w:color="auto"/>
        <w:bottom w:val="none" w:sz="0" w:space="0" w:color="auto"/>
        <w:right w:val="none" w:sz="0" w:space="0" w:color="auto"/>
      </w:divBdr>
    </w:div>
    <w:div w:id="1929582521">
      <w:bodyDiv w:val="1"/>
      <w:marLeft w:val="0"/>
      <w:marRight w:val="0"/>
      <w:marTop w:val="0"/>
      <w:marBottom w:val="0"/>
      <w:divBdr>
        <w:top w:val="none" w:sz="0" w:space="0" w:color="auto"/>
        <w:left w:val="none" w:sz="0" w:space="0" w:color="auto"/>
        <w:bottom w:val="none" w:sz="0" w:space="0" w:color="auto"/>
        <w:right w:val="none" w:sz="0" w:space="0" w:color="auto"/>
      </w:divBdr>
    </w:div>
    <w:div w:id="1930698156">
      <w:bodyDiv w:val="1"/>
      <w:marLeft w:val="0"/>
      <w:marRight w:val="0"/>
      <w:marTop w:val="0"/>
      <w:marBottom w:val="0"/>
      <w:divBdr>
        <w:top w:val="none" w:sz="0" w:space="0" w:color="auto"/>
        <w:left w:val="none" w:sz="0" w:space="0" w:color="auto"/>
        <w:bottom w:val="none" w:sz="0" w:space="0" w:color="auto"/>
        <w:right w:val="none" w:sz="0" w:space="0" w:color="auto"/>
      </w:divBdr>
    </w:div>
    <w:div w:id="1931114606">
      <w:bodyDiv w:val="1"/>
      <w:marLeft w:val="0"/>
      <w:marRight w:val="0"/>
      <w:marTop w:val="0"/>
      <w:marBottom w:val="0"/>
      <w:divBdr>
        <w:top w:val="none" w:sz="0" w:space="0" w:color="auto"/>
        <w:left w:val="none" w:sz="0" w:space="0" w:color="auto"/>
        <w:bottom w:val="none" w:sz="0" w:space="0" w:color="auto"/>
        <w:right w:val="none" w:sz="0" w:space="0" w:color="auto"/>
      </w:divBdr>
    </w:div>
    <w:div w:id="1931162120">
      <w:bodyDiv w:val="1"/>
      <w:marLeft w:val="0"/>
      <w:marRight w:val="0"/>
      <w:marTop w:val="0"/>
      <w:marBottom w:val="0"/>
      <w:divBdr>
        <w:top w:val="none" w:sz="0" w:space="0" w:color="auto"/>
        <w:left w:val="none" w:sz="0" w:space="0" w:color="auto"/>
        <w:bottom w:val="none" w:sz="0" w:space="0" w:color="auto"/>
        <w:right w:val="none" w:sz="0" w:space="0" w:color="auto"/>
      </w:divBdr>
    </w:div>
    <w:div w:id="1931964584">
      <w:bodyDiv w:val="1"/>
      <w:marLeft w:val="0"/>
      <w:marRight w:val="0"/>
      <w:marTop w:val="0"/>
      <w:marBottom w:val="0"/>
      <w:divBdr>
        <w:top w:val="none" w:sz="0" w:space="0" w:color="auto"/>
        <w:left w:val="none" w:sz="0" w:space="0" w:color="auto"/>
        <w:bottom w:val="none" w:sz="0" w:space="0" w:color="auto"/>
        <w:right w:val="none" w:sz="0" w:space="0" w:color="auto"/>
      </w:divBdr>
    </w:div>
    <w:div w:id="1932544024">
      <w:bodyDiv w:val="1"/>
      <w:marLeft w:val="0"/>
      <w:marRight w:val="0"/>
      <w:marTop w:val="0"/>
      <w:marBottom w:val="0"/>
      <w:divBdr>
        <w:top w:val="none" w:sz="0" w:space="0" w:color="auto"/>
        <w:left w:val="none" w:sz="0" w:space="0" w:color="auto"/>
        <w:bottom w:val="none" w:sz="0" w:space="0" w:color="auto"/>
        <w:right w:val="none" w:sz="0" w:space="0" w:color="auto"/>
      </w:divBdr>
    </w:div>
    <w:div w:id="1932736528">
      <w:bodyDiv w:val="1"/>
      <w:marLeft w:val="0"/>
      <w:marRight w:val="0"/>
      <w:marTop w:val="0"/>
      <w:marBottom w:val="0"/>
      <w:divBdr>
        <w:top w:val="none" w:sz="0" w:space="0" w:color="auto"/>
        <w:left w:val="none" w:sz="0" w:space="0" w:color="auto"/>
        <w:bottom w:val="none" w:sz="0" w:space="0" w:color="auto"/>
        <w:right w:val="none" w:sz="0" w:space="0" w:color="auto"/>
      </w:divBdr>
    </w:div>
    <w:div w:id="1933733337">
      <w:bodyDiv w:val="1"/>
      <w:marLeft w:val="0"/>
      <w:marRight w:val="0"/>
      <w:marTop w:val="0"/>
      <w:marBottom w:val="0"/>
      <w:divBdr>
        <w:top w:val="none" w:sz="0" w:space="0" w:color="auto"/>
        <w:left w:val="none" w:sz="0" w:space="0" w:color="auto"/>
        <w:bottom w:val="none" w:sz="0" w:space="0" w:color="auto"/>
        <w:right w:val="none" w:sz="0" w:space="0" w:color="auto"/>
      </w:divBdr>
    </w:div>
    <w:div w:id="1935088029">
      <w:bodyDiv w:val="1"/>
      <w:marLeft w:val="0"/>
      <w:marRight w:val="0"/>
      <w:marTop w:val="0"/>
      <w:marBottom w:val="0"/>
      <w:divBdr>
        <w:top w:val="none" w:sz="0" w:space="0" w:color="auto"/>
        <w:left w:val="none" w:sz="0" w:space="0" w:color="auto"/>
        <w:bottom w:val="none" w:sz="0" w:space="0" w:color="auto"/>
        <w:right w:val="none" w:sz="0" w:space="0" w:color="auto"/>
      </w:divBdr>
    </w:div>
    <w:div w:id="1935286753">
      <w:bodyDiv w:val="1"/>
      <w:marLeft w:val="0"/>
      <w:marRight w:val="0"/>
      <w:marTop w:val="0"/>
      <w:marBottom w:val="0"/>
      <w:divBdr>
        <w:top w:val="none" w:sz="0" w:space="0" w:color="auto"/>
        <w:left w:val="none" w:sz="0" w:space="0" w:color="auto"/>
        <w:bottom w:val="none" w:sz="0" w:space="0" w:color="auto"/>
        <w:right w:val="none" w:sz="0" w:space="0" w:color="auto"/>
      </w:divBdr>
    </w:div>
    <w:div w:id="1937708356">
      <w:bodyDiv w:val="1"/>
      <w:marLeft w:val="0"/>
      <w:marRight w:val="0"/>
      <w:marTop w:val="0"/>
      <w:marBottom w:val="0"/>
      <w:divBdr>
        <w:top w:val="none" w:sz="0" w:space="0" w:color="auto"/>
        <w:left w:val="none" w:sz="0" w:space="0" w:color="auto"/>
        <w:bottom w:val="none" w:sz="0" w:space="0" w:color="auto"/>
        <w:right w:val="none" w:sz="0" w:space="0" w:color="auto"/>
      </w:divBdr>
    </w:div>
    <w:div w:id="1938173963">
      <w:bodyDiv w:val="1"/>
      <w:marLeft w:val="0"/>
      <w:marRight w:val="0"/>
      <w:marTop w:val="0"/>
      <w:marBottom w:val="0"/>
      <w:divBdr>
        <w:top w:val="none" w:sz="0" w:space="0" w:color="auto"/>
        <w:left w:val="none" w:sz="0" w:space="0" w:color="auto"/>
        <w:bottom w:val="none" w:sz="0" w:space="0" w:color="auto"/>
        <w:right w:val="none" w:sz="0" w:space="0" w:color="auto"/>
      </w:divBdr>
    </w:div>
    <w:div w:id="1938754819">
      <w:bodyDiv w:val="1"/>
      <w:marLeft w:val="0"/>
      <w:marRight w:val="0"/>
      <w:marTop w:val="0"/>
      <w:marBottom w:val="0"/>
      <w:divBdr>
        <w:top w:val="none" w:sz="0" w:space="0" w:color="auto"/>
        <w:left w:val="none" w:sz="0" w:space="0" w:color="auto"/>
        <w:bottom w:val="none" w:sz="0" w:space="0" w:color="auto"/>
        <w:right w:val="none" w:sz="0" w:space="0" w:color="auto"/>
      </w:divBdr>
    </w:div>
    <w:div w:id="1940092375">
      <w:bodyDiv w:val="1"/>
      <w:marLeft w:val="0"/>
      <w:marRight w:val="0"/>
      <w:marTop w:val="0"/>
      <w:marBottom w:val="0"/>
      <w:divBdr>
        <w:top w:val="none" w:sz="0" w:space="0" w:color="auto"/>
        <w:left w:val="none" w:sz="0" w:space="0" w:color="auto"/>
        <w:bottom w:val="none" w:sz="0" w:space="0" w:color="auto"/>
        <w:right w:val="none" w:sz="0" w:space="0" w:color="auto"/>
      </w:divBdr>
    </w:div>
    <w:div w:id="1940795734">
      <w:bodyDiv w:val="1"/>
      <w:marLeft w:val="0"/>
      <w:marRight w:val="0"/>
      <w:marTop w:val="0"/>
      <w:marBottom w:val="0"/>
      <w:divBdr>
        <w:top w:val="none" w:sz="0" w:space="0" w:color="auto"/>
        <w:left w:val="none" w:sz="0" w:space="0" w:color="auto"/>
        <w:bottom w:val="none" w:sz="0" w:space="0" w:color="auto"/>
        <w:right w:val="none" w:sz="0" w:space="0" w:color="auto"/>
      </w:divBdr>
    </w:div>
    <w:div w:id="1941133689">
      <w:bodyDiv w:val="1"/>
      <w:marLeft w:val="0"/>
      <w:marRight w:val="0"/>
      <w:marTop w:val="0"/>
      <w:marBottom w:val="0"/>
      <w:divBdr>
        <w:top w:val="none" w:sz="0" w:space="0" w:color="auto"/>
        <w:left w:val="none" w:sz="0" w:space="0" w:color="auto"/>
        <w:bottom w:val="none" w:sz="0" w:space="0" w:color="auto"/>
        <w:right w:val="none" w:sz="0" w:space="0" w:color="auto"/>
      </w:divBdr>
    </w:div>
    <w:div w:id="1941907951">
      <w:bodyDiv w:val="1"/>
      <w:marLeft w:val="0"/>
      <w:marRight w:val="0"/>
      <w:marTop w:val="0"/>
      <w:marBottom w:val="0"/>
      <w:divBdr>
        <w:top w:val="none" w:sz="0" w:space="0" w:color="auto"/>
        <w:left w:val="none" w:sz="0" w:space="0" w:color="auto"/>
        <w:bottom w:val="none" w:sz="0" w:space="0" w:color="auto"/>
        <w:right w:val="none" w:sz="0" w:space="0" w:color="auto"/>
      </w:divBdr>
    </w:div>
    <w:div w:id="1945845871">
      <w:bodyDiv w:val="1"/>
      <w:marLeft w:val="0"/>
      <w:marRight w:val="0"/>
      <w:marTop w:val="0"/>
      <w:marBottom w:val="0"/>
      <w:divBdr>
        <w:top w:val="none" w:sz="0" w:space="0" w:color="auto"/>
        <w:left w:val="none" w:sz="0" w:space="0" w:color="auto"/>
        <w:bottom w:val="none" w:sz="0" w:space="0" w:color="auto"/>
        <w:right w:val="none" w:sz="0" w:space="0" w:color="auto"/>
      </w:divBdr>
    </w:div>
    <w:div w:id="1946419907">
      <w:bodyDiv w:val="1"/>
      <w:marLeft w:val="0"/>
      <w:marRight w:val="0"/>
      <w:marTop w:val="0"/>
      <w:marBottom w:val="0"/>
      <w:divBdr>
        <w:top w:val="none" w:sz="0" w:space="0" w:color="auto"/>
        <w:left w:val="none" w:sz="0" w:space="0" w:color="auto"/>
        <w:bottom w:val="none" w:sz="0" w:space="0" w:color="auto"/>
        <w:right w:val="none" w:sz="0" w:space="0" w:color="auto"/>
      </w:divBdr>
    </w:div>
    <w:div w:id="1947929634">
      <w:bodyDiv w:val="1"/>
      <w:marLeft w:val="0"/>
      <w:marRight w:val="0"/>
      <w:marTop w:val="0"/>
      <w:marBottom w:val="0"/>
      <w:divBdr>
        <w:top w:val="none" w:sz="0" w:space="0" w:color="auto"/>
        <w:left w:val="none" w:sz="0" w:space="0" w:color="auto"/>
        <w:bottom w:val="none" w:sz="0" w:space="0" w:color="auto"/>
        <w:right w:val="none" w:sz="0" w:space="0" w:color="auto"/>
      </w:divBdr>
    </w:div>
    <w:div w:id="1948341390">
      <w:bodyDiv w:val="1"/>
      <w:marLeft w:val="0"/>
      <w:marRight w:val="0"/>
      <w:marTop w:val="0"/>
      <w:marBottom w:val="0"/>
      <w:divBdr>
        <w:top w:val="none" w:sz="0" w:space="0" w:color="auto"/>
        <w:left w:val="none" w:sz="0" w:space="0" w:color="auto"/>
        <w:bottom w:val="none" w:sz="0" w:space="0" w:color="auto"/>
        <w:right w:val="none" w:sz="0" w:space="0" w:color="auto"/>
      </w:divBdr>
    </w:div>
    <w:div w:id="1948348916">
      <w:bodyDiv w:val="1"/>
      <w:marLeft w:val="0"/>
      <w:marRight w:val="0"/>
      <w:marTop w:val="0"/>
      <w:marBottom w:val="0"/>
      <w:divBdr>
        <w:top w:val="none" w:sz="0" w:space="0" w:color="auto"/>
        <w:left w:val="none" w:sz="0" w:space="0" w:color="auto"/>
        <w:bottom w:val="none" w:sz="0" w:space="0" w:color="auto"/>
        <w:right w:val="none" w:sz="0" w:space="0" w:color="auto"/>
      </w:divBdr>
    </w:div>
    <w:div w:id="1948540474">
      <w:bodyDiv w:val="1"/>
      <w:marLeft w:val="0"/>
      <w:marRight w:val="0"/>
      <w:marTop w:val="0"/>
      <w:marBottom w:val="0"/>
      <w:divBdr>
        <w:top w:val="none" w:sz="0" w:space="0" w:color="auto"/>
        <w:left w:val="none" w:sz="0" w:space="0" w:color="auto"/>
        <w:bottom w:val="none" w:sz="0" w:space="0" w:color="auto"/>
        <w:right w:val="none" w:sz="0" w:space="0" w:color="auto"/>
      </w:divBdr>
    </w:div>
    <w:div w:id="1950116106">
      <w:bodyDiv w:val="1"/>
      <w:marLeft w:val="0"/>
      <w:marRight w:val="0"/>
      <w:marTop w:val="0"/>
      <w:marBottom w:val="0"/>
      <w:divBdr>
        <w:top w:val="none" w:sz="0" w:space="0" w:color="auto"/>
        <w:left w:val="none" w:sz="0" w:space="0" w:color="auto"/>
        <w:bottom w:val="none" w:sz="0" w:space="0" w:color="auto"/>
        <w:right w:val="none" w:sz="0" w:space="0" w:color="auto"/>
      </w:divBdr>
    </w:div>
    <w:div w:id="1951038064">
      <w:bodyDiv w:val="1"/>
      <w:marLeft w:val="0"/>
      <w:marRight w:val="0"/>
      <w:marTop w:val="0"/>
      <w:marBottom w:val="0"/>
      <w:divBdr>
        <w:top w:val="none" w:sz="0" w:space="0" w:color="auto"/>
        <w:left w:val="none" w:sz="0" w:space="0" w:color="auto"/>
        <w:bottom w:val="none" w:sz="0" w:space="0" w:color="auto"/>
        <w:right w:val="none" w:sz="0" w:space="0" w:color="auto"/>
      </w:divBdr>
    </w:div>
    <w:div w:id="1952514339">
      <w:bodyDiv w:val="1"/>
      <w:marLeft w:val="0"/>
      <w:marRight w:val="0"/>
      <w:marTop w:val="0"/>
      <w:marBottom w:val="0"/>
      <w:divBdr>
        <w:top w:val="none" w:sz="0" w:space="0" w:color="auto"/>
        <w:left w:val="none" w:sz="0" w:space="0" w:color="auto"/>
        <w:bottom w:val="none" w:sz="0" w:space="0" w:color="auto"/>
        <w:right w:val="none" w:sz="0" w:space="0" w:color="auto"/>
      </w:divBdr>
    </w:div>
    <w:div w:id="1952979684">
      <w:bodyDiv w:val="1"/>
      <w:marLeft w:val="0"/>
      <w:marRight w:val="0"/>
      <w:marTop w:val="0"/>
      <w:marBottom w:val="0"/>
      <w:divBdr>
        <w:top w:val="none" w:sz="0" w:space="0" w:color="auto"/>
        <w:left w:val="none" w:sz="0" w:space="0" w:color="auto"/>
        <w:bottom w:val="none" w:sz="0" w:space="0" w:color="auto"/>
        <w:right w:val="none" w:sz="0" w:space="0" w:color="auto"/>
      </w:divBdr>
    </w:div>
    <w:div w:id="1953436628">
      <w:bodyDiv w:val="1"/>
      <w:marLeft w:val="0"/>
      <w:marRight w:val="0"/>
      <w:marTop w:val="0"/>
      <w:marBottom w:val="0"/>
      <w:divBdr>
        <w:top w:val="none" w:sz="0" w:space="0" w:color="auto"/>
        <w:left w:val="none" w:sz="0" w:space="0" w:color="auto"/>
        <w:bottom w:val="none" w:sz="0" w:space="0" w:color="auto"/>
        <w:right w:val="none" w:sz="0" w:space="0" w:color="auto"/>
      </w:divBdr>
    </w:div>
    <w:div w:id="1954509614">
      <w:bodyDiv w:val="1"/>
      <w:marLeft w:val="0"/>
      <w:marRight w:val="0"/>
      <w:marTop w:val="0"/>
      <w:marBottom w:val="0"/>
      <w:divBdr>
        <w:top w:val="none" w:sz="0" w:space="0" w:color="auto"/>
        <w:left w:val="none" w:sz="0" w:space="0" w:color="auto"/>
        <w:bottom w:val="none" w:sz="0" w:space="0" w:color="auto"/>
        <w:right w:val="none" w:sz="0" w:space="0" w:color="auto"/>
      </w:divBdr>
    </w:div>
    <w:div w:id="1957130602">
      <w:bodyDiv w:val="1"/>
      <w:marLeft w:val="0"/>
      <w:marRight w:val="0"/>
      <w:marTop w:val="0"/>
      <w:marBottom w:val="0"/>
      <w:divBdr>
        <w:top w:val="none" w:sz="0" w:space="0" w:color="auto"/>
        <w:left w:val="none" w:sz="0" w:space="0" w:color="auto"/>
        <w:bottom w:val="none" w:sz="0" w:space="0" w:color="auto"/>
        <w:right w:val="none" w:sz="0" w:space="0" w:color="auto"/>
      </w:divBdr>
    </w:div>
    <w:div w:id="1961571451">
      <w:bodyDiv w:val="1"/>
      <w:marLeft w:val="0"/>
      <w:marRight w:val="0"/>
      <w:marTop w:val="0"/>
      <w:marBottom w:val="0"/>
      <w:divBdr>
        <w:top w:val="none" w:sz="0" w:space="0" w:color="auto"/>
        <w:left w:val="none" w:sz="0" w:space="0" w:color="auto"/>
        <w:bottom w:val="none" w:sz="0" w:space="0" w:color="auto"/>
        <w:right w:val="none" w:sz="0" w:space="0" w:color="auto"/>
      </w:divBdr>
    </w:div>
    <w:div w:id="1962957835">
      <w:bodyDiv w:val="1"/>
      <w:marLeft w:val="0"/>
      <w:marRight w:val="0"/>
      <w:marTop w:val="0"/>
      <w:marBottom w:val="0"/>
      <w:divBdr>
        <w:top w:val="none" w:sz="0" w:space="0" w:color="auto"/>
        <w:left w:val="none" w:sz="0" w:space="0" w:color="auto"/>
        <w:bottom w:val="none" w:sz="0" w:space="0" w:color="auto"/>
        <w:right w:val="none" w:sz="0" w:space="0" w:color="auto"/>
      </w:divBdr>
    </w:div>
    <w:div w:id="1963606118">
      <w:bodyDiv w:val="1"/>
      <w:marLeft w:val="0"/>
      <w:marRight w:val="0"/>
      <w:marTop w:val="0"/>
      <w:marBottom w:val="0"/>
      <w:divBdr>
        <w:top w:val="none" w:sz="0" w:space="0" w:color="auto"/>
        <w:left w:val="none" w:sz="0" w:space="0" w:color="auto"/>
        <w:bottom w:val="none" w:sz="0" w:space="0" w:color="auto"/>
        <w:right w:val="none" w:sz="0" w:space="0" w:color="auto"/>
      </w:divBdr>
    </w:div>
    <w:div w:id="1964843523">
      <w:bodyDiv w:val="1"/>
      <w:marLeft w:val="0"/>
      <w:marRight w:val="0"/>
      <w:marTop w:val="0"/>
      <w:marBottom w:val="0"/>
      <w:divBdr>
        <w:top w:val="none" w:sz="0" w:space="0" w:color="auto"/>
        <w:left w:val="none" w:sz="0" w:space="0" w:color="auto"/>
        <w:bottom w:val="none" w:sz="0" w:space="0" w:color="auto"/>
        <w:right w:val="none" w:sz="0" w:space="0" w:color="auto"/>
      </w:divBdr>
    </w:div>
    <w:div w:id="1966353730">
      <w:bodyDiv w:val="1"/>
      <w:marLeft w:val="0"/>
      <w:marRight w:val="0"/>
      <w:marTop w:val="0"/>
      <w:marBottom w:val="0"/>
      <w:divBdr>
        <w:top w:val="none" w:sz="0" w:space="0" w:color="auto"/>
        <w:left w:val="none" w:sz="0" w:space="0" w:color="auto"/>
        <w:bottom w:val="none" w:sz="0" w:space="0" w:color="auto"/>
        <w:right w:val="none" w:sz="0" w:space="0" w:color="auto"/>
      </w:divBdr>
    </w:div>
    <w:div w:id="1966887429">
      <w:bodyDiv w:val="1"/>
      <w:marLeft w:val="0"/>
      <w:marRight w:val="0"/>
      <w:marTop w:val="0"/>
      <w:marBottom w:val="0"/>
      <w:divBdr>
        <w:top w:val="none" w:sz="0" w:space="0" w:color="auto"/>
        <w:left w:val="none" w:sz="0" w:space="0" w:color="auto"/>
        <w:bottom w:val="none" w:sz="0" w:space="0" w:color="auto"/>
        <w:right w:val="none" w:sz="0" w:space="0" w:color="auto"/>
      </w:divBdr>
    </w:div>
    <w:div w:id="1967155172">
      <w:bodyDiv w:val="1"/>
      <w:marLeft w:val="0"/>
      <w:marRight w:val="0"/>
      <w:marTop w:val="0"/>
      <w:marBottom w:val="0"/>
      <w:divBdr>
        <w:top w:val="none" w:sz="0" w:space="0" w:color="auto"/>
        <w:left w:val="none" w:sz="0" w:space="0" w:color="auto"/>
        <w:bottom w:val="none" w:sz="0" w:space="0" w:color="auto"/>
        <w:right w:val="none" w:sz="0" w:space="0" w:color="auto"/>
      </w:divBdr>
    </w:div>
    <w:div w:id="1968272721">
      <w:bodyDiv w:val="1"/>
      <w:marLeft w:val="0"/>
      <w:marRight w:val="0"/>
      <w:marTop w:val="0"/>
      <w:marBottom w:val="0"/>
      <w:divBdr>
        <w:top w:val="none" w:sz="0" w:space="0" w:color="auto"/>
        <w:left w:val="none" w:sz="0" w:space="0" w:color="auto"/>
        <w:bottom w:val="none" w:sz="0" w:space="0" w:color="auto"/>
        <w:right w:val="none" w:sz="0" w:space="0" w:color="auto"/>
      </w:divBdr>
    </w:div>
    <w:div w:id="1968848854">
      <w:bodyDiv w:val="1"/>
      <w:marLeft w:val="0"/>
      <w:marRight w:val="0"/>
      <w:marTop w:val="0"/>
      <w:marBottom w:val="0"/>
      <w:divBdr>
        <w:top w:val="none" w:sz="0" w:space="0" w:color="auto"/>
        <w:left w:val="none" w:sz="0" w:space="0" w:color="auto"/>
        <w:bottom w:val="none" w:sz="0" w:space="0" w:color="auto"/>
        <w:right w:val="none" w:sz="0" w:space="0" w:color="auto"/>
      </w:divBdr>
    </w:div>
    <w:div w:id="1970476817">
      <w:bodyDiv w:val="1"/>
      <w:marLeft w:val="0"/>
      <w:marRight w:val="0"/>
      <w:marTop w:val="0"/>
      <w:marBottom w:val="0"/>
      <w:divBdr>
        <w:top w:val="none" w:sz="0" w:space="0" w:color="auto"/>
        <w:left w:val="none" w:sz="0" w:space="0" w:color="auto"/>
        <w:bottom w:val="none" w:sz="0" w:space="0" w:color="auto"/>
        <w:right w:val="none" w:sz="0" w:space="0" w:color="auto"/>
      </w:divBdr>
    </w:div>
    <w:div w:id="1970939671">
      <w:bodyDiv w:val="1"/>
      <w:marLeft w:val="0"/>
      <w:marRight w:val="0"/>
      <w:marTop w:val="0"/>
      <w:marBottom w:val="0"/>
      <w:divBdr>
        <w:top w:val="none" w:sz="0" w:space="0" w:color="auto"/>
        <w:left w:val="none" w:sz="0" w:space="0" w:color="auto"/>
        <w:bottom w:val="none" w:sz="0" w:space="0" w:color="auto"/>
        <w:right w:val="none" w:sz="0" w:space="0" w:color="auto"/>
      </w:divBdr>
    </w:div>
    <w:div w:id="1971127337">
      <w:bodyDiv w:val="1"/>
      <w:marLeft w:val="0"/>
      <w:marRight w:val="0"/>
      <w:marTop w:val="0"/>
      <w:marBottom w:val="0"/>
      <w:divBdr>
        <w:top w:val="none" w:sz="0" w:space="0" w:color="auto"/>
        <w:left w:val="none" w:sz="0" w:space="0" w:color="auto"/>
        <w:bottom w:val="none" w:sz="0" w:space="0" w:color="auto"/>
        <w:right w:val="none" w:sz="0" w:space="0" w:color="auto"/>
      </w:divBdr>
    </w:div>
    <w:div w:id="1972633886">
      <w:bodyDiv w:val="1"/>
      <w:marLeft w:val="0"/>
      <w:marRight w:val="0"/>
      <w:marTop w:val="0"/>
      <w:marBottom w:val="0"/>
      <w:divBdr>
        <w:top w:val="none" w:sz="0" w:space="0" w:color="auto"/>
        <w:left w:val="none" w:sz="0" w:space="0" w:color="auto"/>
        <w:bottom w:val="none" w:sz="0" w:space="0" w:color="auto"/>
        <w:right w:val="none" w:sz="0" w:space="0" w:color="auto"/>
      </w:divBdr>
    </w:div>
    <w:div w:id="1974359551">
      <w:bodyDiv w:val="1"/>
      <w:marLeft w:val="0"/>
      <w:marRight w:val="0"/>
      <w:marTop w:val="0"/>
      <w:marBottom w:val="0"/>
      <w:divBdr>
        <w:top w:val="none" w:sz="0" w:space="0" w:color="auto"/>
        <w:left w:val="none" w:sz="0" w:space="0" w:color="auto"/>
        <w:bottom w:val="none" w:sz="0" w:space="0" w:color="auto"/>
        <w:right w:val="none" w:sz="0" w:space="0" w:color="auto"/>
      </w:divBdr>
    </w:div>
    <w:div w:id="1975479548">
      <w:bodyDiv w:val="1"/>
      <w:marLeft w:val="0"/>
      <w:marRight w:val="0"/>
      <w:marTop w:val="0"/>
      <w:marBottom w:val="0"/>
      <w:divBdr>
        <w:top w:val="none" w:sz="0" w:space="0" w:color="auto"/>
        <w:left w:val="none" w:sz="0" w:space="0" w:color="auto"/>
        <w:bottom w:val="none" w:sz="0" w:space="0" w:color="auto"/>
        <w:right w:val="none" w:sz="0" w:space="0" w:color="auto"/>
      </w:divBdr>
    </w:div>
    <w:div w:id="1978027929">
      <w:bodyDiv w:val="1"/>
      <w:marLeft w:val="0"/>
      <w:marRight w:val="0"/>
      <w:marTop w:val="0"/>
      <w:marBottom w:val="0"/>
      <w:divBdr>
        <w:top w:val="none" w:sz="0" w:space="0" w:color="auto"/>
        <w:left w:val="none" w:sz="0" w:space="0" w:color="auto"/>
        <w:bottom w:val="none" w:sz="0" w:space="0" w:color="auto"/>
        <w:right w:val="none" w:sz="0" w:space="0" w:color="auto"/>
      </w:divBdr>
    </w:div>
    <w:div w:id="1978103212">
      <w:bodyDiv w:val="1"/>
      <w:marLeft w:val="0"/>
      <w:marRight w:val="0"/>
      <w:marTop w:val="0"/>
      <w:marBottom w:val="0"/>
      <w:divBdr>
        <w:top w:val="none" w:sz="0" w:space="0" w:color="auto"/>
        <w:left w:val="none" w:sz="0" w:space="0" w:color="auto"/>
        <w:bottom w:val="none" w:sz="0" w:space="0" w:color="auto"/>
        <w:right w:val="none" w:sz="0" w:space="0" w:color="auto"/>
      </w:divBdr>
    </w:div>
    <w:div w:id="1978365870">
      <w:bodyDiv w:val="1"/>
      <w:marLeft w:val="0"/>
      <w:marRight w:val="0"/>
      <w:marTop w:val="0"/>
      <w:marBottom w:val="0"/>
      <w:divBdr>
        <w:top w:val="none" w:sz="0" w:space="0" w:color="auto"/>
        <w:left w:val="none" w:sz="0" w:space="0" w:color="auto"/>
        <w:bottom w:val="none" w:sz="0" w:space="0" w:color="auto"/>
        <w:right w:val="none" w:sz="0" w:space="0" w:color="auto"/>
      </w:divBdr>
    </w:div>
    <w:div w:id="1979065597">
      <w:bodyDiv w:val="1"/>
      <w:marLeft w:val="0"/>
      <w:marRight w:val="0"/>
      <w:marTop w:val="0"/>
      <w:marBottom w:val="0"/>
      <w:divBdr>
        <w:top w:val="none" w:sz="0" w:space="0" w:color="auto"/>
        <w:left w:val="none" w:sz="0" w:space="0" w:color="auto"/>
        <w:bottom w:val="none" w:sz="0" w:space="0" w:color="auto"/>
        <w:right w:val="none" w:sz="0" w:space="0" w:color="auto"/>
      </w:divBdr>
    </w:div>
    <w:div w:id="1979258670">
      <w:bodyDiv w:val="1"/>
      <w:marLeft w:val="0"/>
      <w:marRight w:val="0"/>
      <w:marTop w:val="0"/>
      <w:marBottom w:val="0"/>
      <w:divBdr>
        <w:top w:val="none" w:sz="0" w:space="0" w:color="auto"/>
        <w:left w:val="none" w:sz="0" w:space="0" w:color="auto"/>
        <w:bottom w:val="none" w:sz="0" w:space="0" w:color="auto"/>
        <w:right w:val="none" w:sz="0" w:space="0" w:color="auto"/>
      </w:divBdr>
    </w:div>
    <w:div w:id="1979916330">
      <w:bodyDiv w:val="1"/>
      <w:marLeft w:val="0"/>
      <w:marRight w:val="0"/>
      <w:marTop w:val="0"/>
      <w:marBottom w:val="0"/>
      <w:divBdr>
        <w:top w:val="none" w:sz="0" w:space="0" w:color="auto"/>
        <w:left w:val="none" w:sz="0" w:space="0" w:color="auto"/>
        <w:bottom w:val="none" w:sz="0" w:space="0" w:color="auto"/>
        <w:right w:val="none" w:sz="0" w:space="0" w:color="auto"/>
      </w:divBdr>
    </w:div>
    <w:div w:id="1980839683">
      <w:bodyDiv w:val="1"/>
      <w:marLeft w:val="0"/>
      <w:marRight w:val="0"/>
      <w:marTop w:val="0"/>
      <w:marBottom w:val="0"/>
      <w:divBdr>
        <w:top w:val="none" w:sz="0" w:space="0" w:color="auto"/>
        <w:left w:val="none" w:sz="0" w:space="0" w:color="auto"/>
        <w:bottom w:val="none" w:sz="0" w:space="0" w:color="auto"/>
        <w:right w:val="none" w:sz="0" w:space="0" w:color="auto"/>
      </w:divBdr>
    </w:div>
    <w:div w:id="1981497125">
      <w:bodyDiv w:val="1"/>
      <w:marLeft w:val="0"/>
      <w:marRight w:val="0"/>
      <w:marTop w:val="0"/>
      <w:marBottom w:val="0"/>
      <w:divBdr>
        <w:top w:val="none" w:sz="0" w:space="0" w:color="auto"/>
        <w:left w:val="none" w:sz="0" w:space="0" w:color="auto"/>
        <w:bottom w:val="none" w:sz="0" w:space="0" w:color="auto"/>
        <w:right w:val="none" w:sz="0" w:space="0" w:color="auto"/>
      </w:divBdr>
    </w:div>
    <w:div w:id="1983581171">
      <w:bodyDiv w:val="1"/>
      <w:marLeft w:val="0"/>
      <w:marRight w:val="0"/>
      <w:marTop w:val="0"/>
      <w:marBottom w:val="0"/>
      <w:divBdr>
        <w:top w:val="none" w:sz="0" w:space="0" w:color="auto"/>
        <w:left w:val="none" w:sz="0" w:space="0" w:color="auto"/>
        <w:bottom w:val="none" w:sz="0" w:space="0" w:color="auto"/>
        <w:right w:val="none" w:sz="0" w:space="0" w:color="auto"/>
      </w:divBdr>
    </w:div>
    <w:div w:id="1988314209">
      <w:bodyDiv w:val="1"/>
      <w:marLeft w:val="0"/>
      <w:marRight w:val="0"/>
      <w:marTop w:val="0"/>
      <w:marBottom w:val="0"/>
      <w:divBdr>
        <w:top w:val="none" w:sz="0" w:space="0" w:color="auto"/>
        <w:left w:val="none" w:sz="0" w:space="0" w:color="auto"/>
        <w:bottom w:val="none" w:sz="0" w:space="0" w:color="auto"/>
        <w:right w:val="none" w:sz="0" w:space="0" w:color="auto"/>
      </w:divBdr>
    </w:div>
    <w:div w:id="1988364458">
      <w:bodyDiv w:val="1"/>
      <w:marLeft w:val="0"/>
      <w:marRight w:val="0"/>
      <w:marTop w:val="0"/>
      <w:marBottom w:val="0"/>
      <w:divBdr>
        <w:top w:val="none" w:sz="0" w:space="0" w:color="auto"/>
        <w:left w:val="none" w:sz="0" w:space="0" w:color="auto"/>
        <w:bottom w:val="none" w:sz="0" w:space="0" w:color="auto"/>
        <w:right w:val="none" w:sz="0" w:space="0" w:color="auto"/>
      </w:divBdr>
    </w:div>
    <w:div w:id="1988626481">
      <w:bodyDiv w:val="1"/>
      <w:marLeft w:val="0"/>
      <w:marRight w:val="0"/>
      <w:marTop w:val="0"/>
      <w:marBottom w:val="0"/>
      <w:divBdr>
        <w:top w:val="none" w:sz="0" w:space="0" w:color="auto"/>
        <w:left w:val="none" w:sz="0" w:space="0" w:color="auto"/>
        <w:bottom w:val="none" w:sz="0" w:space="0" w:color="auto"/>
        <w:right w:val="none" w:sz="0" w:space="0" w:color="auto"/>
      </w:divBdr>
    </w:div>
    <w:div w:id="1988850151">
      <w:bodyDiv w:val="1"/>
      <w:marLeft w:val="0"/>
      <w:marRight w:val="0"/>
      <w:marTop w:val="0"/>
      <w:marBottom w:val="0"/>
      <w:divBdr>
        <w:top w:val="none" w:sz="0" w:space="0" w:color="auto"/>
        <w:left w:val="none" w:sz="0" w:space="0" w:color="auto"/>
        <w:bottom w:val="none" w:sz="0" w:space="0" w:color="auto"/>
        <w:right w:val="none" w:sz="0" w:space="0" w:color="auto"/>
      </w:divBdr>
    </w:div>
    <w:div w:id="1988897653">
      <w:bodyDiv w:val="1"/>
      <w:marLeft w:val="0"/>
      <w:marRight w:val="0"/>
      <w:marTop w:val="0"/>
      <w:marBottom w:val="0"/>
      <w:divBdr>
        <w:top w:val="none" w:sz="0" w:space="0" w:color="auto"/>
        <w:left w:val="none" w:sz="0" w:space="0" w:color="auto"/>
        <w:bottom w:val="none" w:sz="0" w:space="0" w:color="auto"/>
        <w:right w:val="none" w:sz="0" w:space="0" w:color="auto"/>
      </w:divBdr>
    </w:div>
    <w:div w:id="1989242917">
      <w:bodyDiv w:val="1"/>
      <w:marLeft w:val="0"/>
      <w:marRight w:val="0"/>
      <w:marTop w:val="0"/>
      <w:marBottom w:val="0"/>
      <w:divBdr>
        <w:top w:val="none" w:sz="0" w:space="0" w:color="auto"/>
        <w:left w:val="none" w:sz="0" w:space="0" w:color="auto"/>
        <w:bottom w:val="none" w:sz="0" w:space="0" w:color="auto"/>
        <w:right w:val="none" w:sz="0" w:space="0" w:color="auto"/>
      </w:divBdr>
    </w:div>
    <w:div w:id="1993361920">
      <w:bodyDiv w:val="1"/>
      <w:marLeft w:val="0"/>
      <w:marRight w:val="0"/>
      <w:marTop w:val="0"/>
      <w:marBottom w:val="0"/>
      <w:divBdr>
        <w:top w:val="none" w:sz="0" w:space="0" w:color="auto"/>
        <w:left w:val="none" w:sz="0" w:space="0" w:color="auto"/>
        <w:bottom w:val="none" w:sz="0" w:space="0" w:color="auto"/>
        <w:right w:val="none" w:sz="0" w:space="0" w:color="auto"/>
      </w:divBdr>
    </w:div>
    <w:div w:id="1993941721">
      <w:bodyDiv w:val="1"/>
      <w:marLeft w:val="0"/>
      <w:marRight w:val="0"/>
      <w:marTop w:val="0"/>
      <w:marBottom w:val="0"/>
      <w:divBdr>
        <w:top w:val="none" w:sz="0" w:space="0" w:color="auto"/>
        <w:left w:val="none" w:sz="0" w:space="0" w:color="auto"/>
        <w:bottom w:val="none" w:sz="0" w:space="0" w:color="auto"/>
        <w:right w:val="none" w:sz="0" w:space="0" w:color="auto"/>
      </w:divBdr>
    </w:div>
    <w:div w:id="1995138927">
      <w:bodyDiv w:val="1"/>
      <w:marLeft w:val="0"/>
      <w:marRight w:val="0"/>
      <w:marTop w:val="0"/>
      <w:marBottom w:val="0"/>
      <w:divBdr>
        <w:top w:val="none" w:sz="0" w:space="0" w:color="auto"/>
        <w:left w:val="none" w:sz="0" w:space="0" w:color="auto"/>
        <w:bottom w:val="none" w:sz="0" w:space="0" w:color="auto"/>
        <w:right w:val="none" w:sz="0" w:space="0" w:color="auto"/>
      </w:divBdr>
    </w:div>
    <w:div w:id="1995452140">
      <w:bodyDiv w:val="1"/>
      <w:marLeft w:val="0"/>
      <w:marRight w:val="0"/>
      <w:marTop w:val="0"/>
      <w:marBottom w:val="0"/>
      <w:divBdr>
        <w:top w:val="none" w:sz="0" w:space="0" w:color="auto"/>
        <w:left w:val="none" w:sz="0" w:space="0" w:color="auto"/>
        <w:bottom w:val="none" w:sz="0" w:space="0" w:color="auto"/>
        <w:right w:val="none" w:sz="0" w:space="0" w:color="auto"/>
      </w:divBdr>
    </w:div>
    <w:div w:id="1997031583">
      <w:bodyDiv w:val="1"/>
      <w:marLeft w:val="0"/>
      <w:marRight w:val="0"/>
      <w:marTop w:val="0"/>
      <w:marBottom w:val="0"/>
      <w:divBdr>
        <w:top w:val="none" w:sz="0" w:space="0" w:color="auto"/>
        <w:left w:val="none" w:sz="0" w:space="0" w:color="auto"/>
        <w:bottom w:val="none" w:sz="0" w:space="0" w:color="auto"/>
        <w:right w:val="none" w:sz="0" w:space="0" w:color="auto"/>
      </w:divBdr>
    </w:div>
    <w:div w:id="1998875120">
      <w:bodyDiv w:val="1"/>
      <w:marLeft w:val="0"/>
      <w:marRight w:val="0"/>
      <w:marTop w:val="0"/>
      <w:marBottom w:val="0"/>
      <w:divBdr>
        <w:top w:val="none" w:sz="0" w:space="0" w:color="auto"/>
        <w:left w:val="none" w:sz="0" w:space="0" w:color="auto"/>
        <w:bottom w:val="none" w:sz="0" w:space="0" w:color="auto"/>
        <w:right w:val="none" w:sz="0" w:space="0" w:color="auto"/>
      </w:divBdr>
    </w:div>
    <w:div w:id="1999729057">
      <w:bodyDiv w:val="1"/>
      <w:marLeft w:val="0"/>
      <w:marRight w:val="0"/>
      <w:marTop w:val="0"/>
      <w:marBottom w:val="0"/>
      <w:divBdr>
        <w:top w:val="none" w:sz="0" w:space="0" w:color="auto"/>
        <w:left w:val="none" w:sz="0" w:space="0" w:color="auto"/>
        <w:bottom w:val="none" w:sz="0" w:space="0" w:color="auto"/>
        <w:right w:val="none" w:sz="0" w:space="0" w:color="auto"/>
      </w:divBdr>
    </w:div>
    <w:div w:id="2002197194">
      <w:bodyDiv w:val="1"/>
      <w:marLeft w:val="0"/>
      <w:marRight w:val="0"/>
      <w:marTop w:val="0"/>
      <w:marBottom w:val="0"/>
      <w:divBdr>
        <w:top w:val="none" w:sz="0" w:space="0" w:color="auto"/>
        <w:left w:val="none" w:sz="0" w:space="0" w:color="auto"/>
        <w:bottom w:val="none" w:sz="0" w:space="0" w:color="auto"/>
        <w:right w:val="none" w:sz="0" w:space="0" w:color="auto"/>
      </w:divBdr>
    </w:div>
    <w:div w:id="2003191469">
      <w:bodyDiv w:val="1"/>
      <w:marLeft w:val="0"/>
      <w:marRight w:val="0"/>
      <w:marTop w:val="0"/>
      <w:marBottom w:val="0"/>
      <w:divBdr>
        <w:top w:val="none" w:sz="0" w:space="0" w:color="auto"/>
        <w:left w:val="none" w:sz="0" w:space="0" w:color="auto"/>
        <w:bottom w:val="none" w:sz="0" w:space="0" w:color="auto"/>
        <w:right w:val="none" w:sz="0" w:space="0" w:color="auto"/>
      </w:divBdr>
    </w:div>
    <w:div w:id="2003384775">
      <w:bodyDiv w:val="1"/>
      <w:marLeft w:val="0"/>
      <w:marRight w:val="0"/>
      <w:marTop w:val="0"/>
      <w:marBottom w:val="0"/>
      <w:divBdr>
        <w:top w:val="none" w:sz="0" w:space="0" w:color="auto"/>
        <w:left w:val="none" w:sz="0" w:space="0" w:color="auto"/>
        <w:bottom w:val="none" w:sz="0" w:space="0" w:color="auto"/>
        <w:right w:val="none" w:sz="0" w:space="0" w:color="auto"/>
      </w:divBdr>
    </w:div>
    <w:div w:id="2004433145">
      <w:bodyDiv w:val="1"/>
      <w:marLeft w:val="0"/>
      <w:marRight w:val="0"/>
      <w:marTop w:val="0"/>
      <w:marBottom w:val="0"/>
      <w:divBdr>
        <w:top w:val="none" w:sz="0" w:space="0" w:color="auto"/>
        <w:left w:val="none" w:sz="0" w:space="0" w:color="auto"/>
        <w:bottom w:val="none" w:sz="0" w:space="0" w:color="auto"/>
        <w:right w:val="none" w:sz="0" w:space="0" w:color="auto"/>
      </w:divBdr>
    </w:div>
    <w:div w:id="2004578449">
      <w:bodyDiv w:val="1"/>
      <w:marLeft w:val="0"/>
      <w:marRight w:val="0"/>
      <w:marTop w:val="0"/>
      <w:marBottom w:val="0"/>
      <w:divBdr>
        <w:top w:val="none" w:sz="0" w:space="0" w:color="auto"/>
        <w:left w:val="none" w:sz="0" w:space="0" w:color="auto"/>
        <w:bottom w:val="none" w:sz="0" w:space="0" w:color="auto"/>
        <w:right w:val="none" w:sz="0" w:space="0" w:color="auto"/>
      </w:divBdr>
    </w:div>
    <w:div w:id="2004965042">
      <w:bodyDiv w:val="1"/>
      <w:marLeft w:val="0"/>
      <w:marRight w:val="0"/>
      <w:marTop w:val="0"/>
      <w:marBottom w:val="0"/>
      <w:divBdr>
        <w:top w:val="none" w:sz="0" w:space="0" w:color="auto"/>
        <w:left w:val="none" w:sz="0" w:space="0" w:color="auto"/>
        <w:bottom w:val="none" w:sz="0" w:space="0" w:color="auto"/>
        <w:right w:val="none" w:sz="0" w:space="0" w:color="auto"/>
      </w:divBdr>
    </w:div>
    <w:div w:id="2005888329">
      <w:bodyDiv w:val="1"/>
      <w:marLeft w:val="0"/>
      <w:marRight w:val="0"/>
      <w:marTop w:val="0"/>
      <w:marBottom w:val="0"/>
      <w:divBdr>
        <w:top w:val="none" w:sz="0" w:space="0" w:color="auto"/>
        <w:left w:val="none" w:sz="0" w:space="0" w:color="auto"/>
        <w:bottom w:val="none" w:sz="0" w:space="0" w:color="auto"/>
        <w:right w:val="none" w:sz="0" w:space="0" w:color="auto"/>
      </w:divBdr>
    </w:div>
    <w:div w:id="2006084964">
      <w:bodyDiv w:val="1"/>
      <w:marLeft w:val="0"/>
      <w:marRight w:val="0"/>
      <w:marTop w:val="0"/>
      <w:marBottom w:val="0"/>
      <w:divBdr>
        <w:top w:val="none" w:sz="0" w:space="0" w:color="auto"/>
        <w:left w:val="none" w:sz="0" w:space="0" w:color="auto"/>
        <w:bottom w:val="none" w:sz="0" w:space="0" w:color="auto"/>
        <w:right w:val="none" w:sz="0" w:space="0" w:color="auto"/>
      </w:divBdr>
    </w:div>
    <w:div w:id="2006666612">
      <w:bodyDiv w:val="1"/>
      <w:marLeft w:val="0"/>
      <w:marRight w:val="0"/>
      <w:marTop w:val="0"/>
      <w:marBottom w:val="0"/>
      <w:divBdr>
        <w:top w:val="none" w:sz="0" w:space="0" w:color="auto"/>
        <w:left w:val="none" w:sz="0" w:space="0" w:color="auto"/>
        <w:bottom w:val="none" w:sz="0" w:space="0" w:color="auto"/>
        <w:right w:val="none" w:sz="0" w:space="0" w:color="auto"/>
      </w:divBdr>
    </w:div>
    <w:div w:id="2006931098">
      <w:bodyDiv w:val="1"/>
      <w:marLeft w:val="0"/>
      <w:marRight w:val="0"/>
      <w:marTop w:val="0"/>
      <w:marBottom w:val="0"/>
      <w:divBdr>
        <w:top w:val="none" w:sz="0" w:space="0" w:color="auto"/>
        <w:left w:val="none" w:sz="0" w:space="0" w:color="auto"/>
        <w:bottom w:val="none" w:sz="0" w:space="0" w:color="auto"/>
        <w:right w:val="none" w:sz="0" w:space="0" w:color="auto"/>
      </w:divBdr>
    </w:div>
    <w:div w:id="2007976202">
      <w:bodyDiv w:val="1"/>
      <w:marLeft w:val="0"/>
      <w:marRight w:val="0"/>
      <w:marTop w:val="0"/>
      <w:marBottom w:val="0"/>
      <w:divBdr>
        <w:top w:val="none" w:sz="0" w:space="0" w:color="auto"/>
        <w:left w:val="none" w:sz="0" w:space="0" w:color="auto"/>
        <w:bottom w:val="none" w:sz="0" w:space="0" w:color="auto"/>
        <w:right w:val="none" w:sz="0" w:space="0" w:color="auto"/>
      </w:divBdr>
    </w:div>
    <w:div w:id="2008173314">
      <w:bodyDiv w:val="1"/>
      <w:marLeft w:val="0"/>
      <w:marRight w:val="0"/>
      <w:marTop w:val="0"/>
      <w:marBottom w:val="0"/>
      <w:divBdr>
        <w:top w:val="none" w:sz="0" w:space="0" w:color="auto"/>
        <w:left w:val="none" w:sz="0" w:space="0" w:color="auto"/>
        <w:bottom w:val="none" w:sz="0" w:space="0" w:color="auto"/>
        <w:right w:val="none" w:sz="0" w:space="0" w:color="auto"/>
      </w:divBdr>
    </w:div>
    <w:div w:id="2009090166">
      <w:bodyDiv w:val="1"/>
      <w:marLeft w:val="0"/>
      <w:marRight w:val="0"/>
      <w:marTop w:val="0"/>
      <w:marBottom w:val="0"/>
      <w:divBdr>
        <w:top w:val="none" w:sz="0" w:space="0" w:color="auto"/>
        <w:left w:val="none" w:sz="0" w:space="0" w:color="auto"/>
        <w:bottom w:val="none" w:sz="0" w:space="0" w:color="auto"/>
        <w:right w:val="none" w:sz="0" w:space="0" w:color="auto"/>
      </w:divBdr>
    </w:div>
    <w:div w:id="2009365668">
      <w:bodyDiv w:val="1"/>
      <w:marLeft w:val="0"/>
      <w:marRight w:val="0"/>
      <w:marTop w:val="0"/>
      <w:marBottom w:val="0"/>
      <w:divBdr>
        <w:top w:val="none" w:sz="0" w:space="0" w:color="auto"/>
        <w:left w:val="none" w:sz="0" w:space="0" w:color="auto"/>
        <w:bottom w:val="none" w:sz="0" w:space="0" w:color="auto"/>
        <w:right w:val="none" w:sz="0" w:space="0" w:color="auto"/>
      </w:divBdr>
    </w:div>
    <w:div w:id="2010525509">
      <w:bodyDiv w:val="1"/>
      <w:marLeft w:val="0"/>
      <w:marRight w:val="0"/>
      <w:marTop w:val="0"/>
      <w:marBottom w:val="0"/>
      <w:divBdr>
        <w:top w:val="none" w:sz="0" w:space="0" w:color="auto"/>
        <w:left w:val="none" w:sz="0" w:space="0" w:color="auto"/>
        <w:bottom w:val="none" w:sz="0" w:space="0" w:color="auto"/>
        <w:right w:val="none" w:sz="0" w:space="0" w:color="auto"/>
      </w:divBdr>
    </w:div>
    <w:div w:id="2011179247">
      <w:bodyDiv w:val="1"/>
      <w:marLeft w:val="0"/>
      <w:marRight w:val="0"/>
      <w:marTop w:val="0"/>
      <w:marBottom w:val="0"/>
      <w:divBdr>
        <w:top w:val="none" w:sz="0" w:space="0" w:color="auto"/>
        <w:left w:val="none" w:sz="0" w:space="0" w:color="auto"/>
        <w:bottom w:val="none" w:sz="0" w:space="0" w:color="auto"/>
        <w:right w:val="none" w:sz="0" w:space="0" w:color="auto"/>
      </w:divBdr>
    </w:div>
    <w:div w:id="2011365741">
      <w:bodyDiv w:val="1"/>
      <w:marLeft w:val="0"/>
      <w:marRight w:val="0"/>
      <w:marTop w:val="0"/>
      <w:marBottom w:val="0"/>
      <w:divBdr>
        <w:top w:val="none" w:sz="0" w:space="0" w:color="auto"/>
        <w:left w:val="none" w:sz="0" w:space="0" w:color="auto"/>
        <w:bottom w:val="none" w:sz="0" w:space="0" w:color="auto"/>
        <w:right w:val="none" w:sz="0" w:space="0" w:color="auto"/>
      </w:divBdr>
    </w:div>
    <w:div w:id="2012951423">
      <w:bodyDiv w:val="1"/>
      <w:marLeft w:val="0"/>
      <w:marRight w:val="0"/>
      <w:marTop w:val="0"/>
      <w:marBottom w:val="0"/>
      <w:divBdr>
        <w:top w:val="none" w:sz="0" w:space="0" w:color="auto"/>
        <w:left w:val="none" w:sz="0" w:space="0" w:color="auto"/>
        <w:bottom w:val="none" w:sz="0" w:space="0" w:color="auto"/>
        <w:right w:val="none" w:sz="0" w:space="0" w:color="auto"/>
      </w:divBdr>
    </w:div>
    <w:div w:id="2014722079">
      <w:bodyDiv w:val="1"/>
      <w:marLeft w:val="0"/>
      <w:marRight w:val="0"/>
      <w:marTop w:val="0"/>
      <w:marBottom w:val="0"/>
      <w:divBdr>
        <w:top w:val="none" w:sz="0" w:space="0" w:color="auto"/>
        <w:left w:val="none" w:sz="0" w:space="0" w:color="auto"/>
        <w:bottom w:val="none" w:sz="0" w:space="0" w:color="auto"/>
        <w:right w:val="none" w:sz="0" w:space="0" w:color="auto"/>
      </w:divBdr>
    </w:div>
    <w:div w:id="2015641215">
      <w:bodyDiv w:val="1"/>
      <w:marLeft w:val="0"/>
      <w:marRight w:val="0"/>
      <w:marTop w:val="0"/>
      <w:marBottom w:val="0"/>
      <w:divBdr>
        <w:top w:val="none" w:sz="0" w:space="0" w:color="auto"/>
        <w:left w:val="none" w:sz="0" w:space="0" w:color="auto"/>
        <w:bottom w:val="none" w:sz="0" w:space="0" w:color="auto"/>
        <w:right w:val="none" w:sz="0" w:space="0" w:color="auto"/>
      </w:divBdr>
    </w:div>
    <w:div w:id="2017999909">
      <w:bodyDiv w:val="1"/>
      <w:marLeft w:val="0"/>
      <w:marRight w:val="0"/>
      <w:marTop w:val="0"/>
      <w:marBottom w:val="0"/>
      <w:divBdr>
        <w:top w:val="none" w:sz="0" w:space="0" w:color="auto"/>
        <w:left w:val="none" w:sz="0" w:space="0" w:color="auto"/>
        <w:bottom w:val="none" w:sz="0" w:space="0" w:color="auto"/>
        <w:right w:val="none" w:sz="0" w:space="0" w:color="auto"/>
      </w:divBdr>
    </w:div>
    <w:div w:id="2020110608">
      <w:bodyDiv w:val="1"/>
      <w:marLeft w:val="0"/>
      <w:marRight w:val="0"/>
      <w:marTop w:val="0"/>
      <w:marBottom w:val="0"/>
      <w:divBdr>
        <w:top w:val="none" w:sz="0" w:space="0" w:color="auto"/>
        <w:left w:val="none" w:sz="0" w:space="0" w:color="auto"/>
        <w:bottom w:val="none" w:sz="0" w:space="0" w:color="auto"/>
        <w:right w:val="none" w:sz="0" w:space="0" w:color="auto"/>
      </w:divBdr>
    </w:div>
    <w:div w:id="2020816467">
      <w:bodyDiv w:val="1"/>
      <w:marLeft w:val="0"/>
      <w:marRight w:val="0"/>
      <w:marTop w:val="0"/>
      <w:marBottom w:val="0"/>
      <w:divBdr>
        <w:top w:val="none" w:sz="0" w:space="0" w:color="auto"/>
        <w:left w:val="none" w:sz="0" w:space="0" w:color="auto"/>
        <w:bottom w:val="none" w:sz="0" w:space="0" w:color="auto"/>
        <w:right w:val="none" w:sz="0" w:space="0" w:color="auto"/>
      </w:divBdr>
    </w:div>
    <w:div w:id="2020890137">
      <w:bodyDiv w:val="1"/>
      <w:marLeft w:val="0"/>
      <w:marRight w:val="0"/>
      <w:marTop w:val="0"/>
      <w:marBottom w:val="0"/>
      <w:divBdr>
        <w:top w:val="none" w:sz="0" w:space="0" w:color="auto"/>
        <w:left w:val="none" w:sz="0" w:space="0" w:color="auto"/>
        <w:bottom w:val="none" w:sz="0" w:space="0" w:color="auto"/>
        <w:right w:val="none" w:sz="0" w:space="0" w:color="auto"/>
      </w:divBdr>
    </w:div>
    <w:div w:id="2022395545">
      <w:bodyDiv w:val="1"/>
      <w:marLeft w:val="0"/>
      <w:marRight w:val="0"/>
      <w:marTop w:val="0"/>
      <w:marBottom w:val="0"/>
      <w:divBdr>
        <w:top w:val="none" w:sz="0" w:space="0" w:color="auto"/>
        <w:left w:val="none" w:sz="0" w:space="0" w:color="auto"/>
        <w:bottom w:val="none" w:sz="0" w:space="0" w:color="auto"/>
        <w:right w:val="none" w:sz="0" w:space="0" w:color="auto"/>
      </w:divBdr>
    </w:div>
    <w:div w:id="2022852280">
      <w:bodyDiv w:val="1"/>
      <w:marLeft w:val="0"/>
      <w:marRight w:val="0"/>
      <w:marTop w:val="0"/>
      <w:marBottom w:val="0"/>
      <w:divBdr>
        <w:top w:val="none" w:sz="0" w:space="0" w:color="auto"/>
        <w:left w:val="none" w:sz="0" w:space="0" w:color="auto"/>
        <w:bottom w:val="none" w:sz="0" w:space="0" w:color="auto"/>
        <w:right w:val="none" w:sz="0" w:space="0" w:color="auto"/>
      </w:divBdr>
    </w:div>
    <w:div w:id="2022854552">
      <w:bodyDiv w:val="1"/>
      <w:marLeft w:val="0"/>
      <w:marRight w:val="0"/>
      <w:marTop w:val="0"/>
      <w:marBottom w:val="0"/>
      <w:divBdr>
        <w:top w:val="none" w:sz="0" w:space="0" w:color="auto"/>
        <w:left w:val="none" w:sz="0" w:space="0" w:color="auto"/>
        <w:bottom w:val="none" w:sz="0" w:space="0" w:color="auto"/>
        <w:right w:val="none" w:sz="0" w:space="0" w:color="auto"/>
      </w:divBdr>
    </w:div>
    <w:div w:id="2025983042">
      <w:bodyDiv w:val="1"/>
      <w:marLeft w:val="0"/>
      <w:marRight w:val="0"/>
      <w:marTop w:val="0"/>
      <w:marBottom w:val="0"/>
      <w:divBdr>
        <w:top w:val="none" w:sz="0" w:space="0" w:color="auto"/>
        <w:left w:val="none" w:sz="0" w:space="0" w:color="auto"/>
        <w:bottom w:val="none" w:sz="0" w:space="0" w:color="auto"/>
        <w:right w:val="none" w:sz="0" w:space="0" w:color="auto"/>
      </w:divBdr>
    </w:div>
    <w:div w:id="2026520423">
      <w:bodyDiv w:val="1"/>
      <w:marLeft w:val="0"/>
      <w:marRight w:val="0"/>
      <w:marTop w:val="0"/>
      <w:marBottom w:val="0"/>
      <w:divBdr>
        <w:top w:val="none" w:sz="0" w:space="0" w:color="auto"/>
        <w:left w:val="none" w:sz="0" w:space="0" w:color="auto"/>
        <w:bottom w:val="none" w:sz="0" w:space="0" w:color="auto"/>
        <w:right w:val="none" w:sz="0" w:space="0" w:color="auto"/>
      </w:divBdr>
    </w:div>
    <w:div w:id="2027322626">
      <w:bodyDiv w:val="1"/>
      <w:marLeft w:val="0"/>
      <w:marRight w:val="0"/>
      <w:marTop w:val="0"/>
      <w:marBottom w:val="0"/>
      <w:divBdr>
        <w:top w:val="none" w:sz="0" w:space="0" w:color="auto"/>
        <w:left w:val="none" w:sz="0" w:space="0" w:color="auto"/>
        <w:bottom w:val="none" w:sz="0" w:space="0" w:color="auto"/>
        <w:right w:val="none" w:sz="0" w:space="0" w:color="auto"/>
      </w:divBdr>
    </w:div>
    <w:div w:id="2027366587">
      <w:bodyDiv w:val="1"/>
      <w:marLeft w:val="0"/>
      <w:marRight w:val="0"/>
      <w:marTop w:val="0"/>
      <w:marBottom w:val="0"/>
      <w:divBdr>
        <w:top w:val="none" w:sz="0" w:space="0" w:color="auto"/>
        <w:left w:val="none" w:sz="0" w:space="0" w:color="auto"/>
        <w:bottom w:val="none" w:sz="0" w:space="0" w:color="auto"/>
        <w:right w:val="none" w:sz="0" w:space="0" w:color="auto"/>
      </w:divBdr>
    </w:div>
    <w:div w:id="2028208874">
      <w:bodyDiv w:val="1"/>
      <w:marLeft w:val="0"/>
      <w:marRight w:val="0"/>
      <w:marTop w:val="0"/>
      <w:marBottom w:val="0"/>
      <w:divBdr>
        <w:top w:val="none" w:sz="0" w:space="0" w:color="auto"/>
        <w:left w:val="none" w:sz="0" w:space="0" w:color="auto"/>
        <w:bottom w:val="none" w:sz="0" w:space="0" w:color="auto"/>
        <w:right w:val="none" w:sz="0" w:space="0" w:color="auto"/>
      </w:divBdr>
    </w:div>
    <w:div w:id="2028286559">
      <w:bodyDiv w:val="1"/>
      <w:marLeft w:val="0"/>
      <w:marRight w:val="0"/>
      <w:marTop w:val="0"/>
      <w:marBottom w:val="0"/>
      <w:divBdr>
        <w:top w:val="none" w:sz="0" w:space="0" w:color="auto"/>
        <w:left w:val="none" w:sz="0" w:space="0" w:color="auto"/>
        <w:bottom w:val="none" w:sz="0" w:space="0" w:color="auto"/>
        <w:right w:val="none" w:sz="0" w:space="0" w:color="auto"/>
      </w:divBdr>
    </w:div>
    <w:div w:id="2029209371">
      <w:bodyDiv w:val="1"/>
      <w:marLeft w:val="0"/>
      <w:marRight w:val="0"/>
      <w:marTop w:val="0"/>
      <w:marBottom w:val="0"/>
      <w:divBdr>
        <w:top w:val="none" w:sz="0" w:space="0" w:color="auto"/>
        <w:left w:val="none" w:sz="0" w:space="0" w:color="auto"/>
        <w:bottom w:val="none" w:sz="0" w:space="0" w:color="auto"/>
        <w:right w:val="none" w:sz="0" w:space="0" w:color="auto"/>
      </w:divBdr>
    </w:div>
    <w:div w:id="2029746364">
      <w:bodyDiv w:val="1"/>
      <w:marLeft w:val="0"/>
      <w:marRight w:val="0"/>
      <w:marTop w:val="0"/>
      <w:marBottom w:val="0"/>
      <w:divBdr>
        <w:top w:val="none" w:sz="0" w:space="0" w:color="auto"/>
        <w:left w:val="none" w:sz="0" w:space="0" w:color="auto"/>
        <w:bottom w:val="none" w:sz="0" w:space="0" w:color="auto"/>
        <w:right w:val="none" w:sz="0" w:space="0" w:color="auto"/>
      </w:divBdr>
    </w:div>
    <w:div w:id="2030138057">
      <w:bodyDiv w:val="1"/>
      <w:marLeft w:val="0"/>
      <w:marRight w:val="0"/>
      <w:marTop w:val="0"/>
      <w:marBottom w:val="0"/>
      <w:divBdr>
        <w:top w:val="none" w:sz="0" w:space="0" w:color="auto"/>
        <w:left w:val="none" w:sz="0" w:space="0" w:color="auto"/>
        <w:bottom w:val="none" w:sz="0" w:space="0" w:color="auto"/>
        <w:right w:val="none" w:sz="0" w:space="0" w:color="auto"/>
      </w:divBdr>
    </w:div>
    <w:div w:id="2030257653">
      <w:bodyDiv w:val="1"/>
      <w:marLeft w:val="0"/>
      <w:marRight w:val="0"/>
      <w:marTop w:val="0"/>
      <w:marBottom w:val="0"/>
      <w:divBdr>
        <w:top w:val="none" w:sz="0" w:space="0" w:color="auto"/>
        <w:left w:val="none" w:sz="0" w:space="0" w:color="auto"/>
        <w:bottom w:val="none" w:sz="0" w:space="0" w:color="auto"/>
        <w:right w:val="none" w:sz="0" w:space="0" w:color="auto"/>
      </w:divBdr>
    </w:div>
    <w:div w:id="2030989539">
      <w:bodyDiv w:val="1"/>
      <w:marLeft w:val="0"/>
      <w:marRight w:val="0"/>
      <w:marTop w:val="0"/>
      <w:marBottom w:val="0"/>
      <w:divBdr>
        <w:top w:val="none" w:sz="0" w:space="0" w:color="auto"/>
        <w:left w:val="none" w:sz="0" w:space="0" w:color="auto"/>
        <w:bottom w:val="none" w:sz="0" w:space="0" w:color="auto"/>
        <w:right w:val="none" w:sz="0" w:space="0" w:color="auto"/>
      </w:divBdr>
    </w:div>
    <w:div w:id="2031636809">
      <w:bodyDiv w:val="1"/>
      <w:marLeft w:val="0"/>
      <w:marRight w:val="0"/>
      <w:marTop w:val="0"/>
      <w:marBottom w:val="0"/>
      <w:divBdr>
        <w:top w:val="none" w:sz="0" w:space="0" w:color="auto"/>
        <w:left w:val="none" w:sz="0" w:space="0" w:color="auto"/>
        <w:bottom w:val="none" w:sz="0" w:space="0" w:color="auto"/>
        <w:right w:val="none" w:sz="0" w:space="0" w:color="auto"/>
      </w:divBdr>
    </w:div>
    <w:div w:id="2032761871">
      <w:bodyDiv w:val="1"/>
      <w:marLeft w:val="0"/>
      <w:marRight w:val="0"/>
      <w:marTop w:val="0"/>
      <w:marBottom w:val="0"/>
      <w:divBdr>
        <w:top w:val="none" w:sz="0" w:space="0" w:color="auto"/>
        <w:left w:val="none" w:sz="0" w:space="0" w:color="auto"/>
        <w:bottom w:val="none" w:sz="0" w:space="0" w:color="auto"/>
        <w:right w:val="none" w:sz="0" w:space="0" w:color="auto"/>
      </w:divBdr>
    </w:div>
    <w:div w:id="2034333243">
      <w:bodyDiv w:val="1"/>
      <w:marLeft w:val="0"/>
      <w:marRight w:val="0"/>
      <w:marTop w:val="0"/>
      <w:marBottom w:val="0"/>
      <w:divBdr>
        <w:top w:val="none" w:sz="0" w:space="0" w:color="auto"/>
        <w:left w:val="none" w:sz="0" w:space="0" w:color="auto"/>
        <w:bottom w:val="none" w:sz="0" w:space="0" w:color="auto"/>
        <w:right w:val="none" w:sz="0" w:space="0" w:color="auto"/>
      </w:divBdr>
    </w:div>
    <w:div w:id="2035886672">
      <w:bodyDiv w:val="1"/>
      <w:marLeft w:val="0"/>
      <w:marRight w:val="0"/>
      <w:marTop w:val="0"/>
      <w:marBottom w:val="0"/>
      <w:divBdr>
        <w:top w:val="none" w:sz="0" w:space="0" w:color="auto"/>
        <w:left w:val="none" w:sz="0" w:space="0" w:color="auto"/>
        <w:bottom w:val="none" w:sz="0" w:space="0" w:color="auto"/>
        <w:right w:val="none" w:sz="0" w:space="0" w:color="auto"/>
      </w:divBdr>
    </w:div>
    <w:div w:id="2035961966">
      <w:bodyDiv w:val="1"/>
      <w:marLeft w:val="0"/>
      <w:marRight w:val="0"/>
      <w:marTop w:val="0"/>
      <w:marBottom w:val="0"/>
      <w:divBdr>
        <w:top w:val="none" w:sz="0" w:space="0" w:color="auto"/>
        <w:left w:val="none" w:sz="0" w:space="0" w:color="auto"/>
        <w:bottom w:val="none" w:sz="0" w:space="0" w:color="auto"/>
        <w:right w:val="none" w:sz="0" w:space="0" w:color="auto"/>
      </w:divBdr>
    </w:div>
    <w:div w:id="2037653939">
      <w:bodyDiv w:val="1"/>
      <w:marLeft w:val="0"/>
      <w:marRight w:val="0"/>
      <w:marTop w:val="0"/>
      <w:marBottom w:val="0"/>
      <w:divBdr>
        <w:top w:val="none" w:sz="0" w:space="0" w:color="auto"/>
        <w:left w:val="none" w:sz="0" w:space="0" w:color="auto"/>
        <w:bottom w:val="none" w:sz="0" w:space="0" w:color="auto"/>
        <w:right w:val="none" w:sz="0" w:space="0" w:color="auto"/>
      </w:divBdr>
    </w:div>
    <w:div w:id="2037926285">
      <w:bodyDiv w:val="1"/>
      <w:marLeft w:val="0"/>
      <w:marRight w:val="0"/>
      <w:marTop w:val="0"/>
      <w:marBottom w:val="0"/>
      <w:divBdr>
        <w:top w:val="none" w:sz="0" w:space="0" w:color="auto"/>
        <w:left w:val="none" w:sz="0" w:space="0" w:color="auto"/>
        <w:bottom w:val="none" w:sz="0" w:space="0" w:color="auto"/>
        <w:right w:val="none" w:sz="0" w:space="0" w:color="auto"/>
      </w:divBdr>
    </w:div>
    <w:div w:id="2037927769">
      <w:bodyDiv w:val="1"/>
      <w:marLeft w:val="0"/>
      <w:marRight w:val="0"/>
      <w:marTop w:val="0"/>
      <w:marBottom w:val="0"/>
      <w:divBdr>
        <w:top w:val="none" w:sz="0" w:space="0" w:color="auto"/>
        <w:left w:val="none" w:sz="0" w:space="0" w:color="auto"/>
        <w:bottom w:val="none" w:sz="0" w:space="0" w:color="auto"/>
        <w:right w:val="none" w:sz="0" w:space="0" w:color="auto"/>
      </w:divBdr>
    </w:div>
    <w:div w:id="2038461004">
      <w:bodyDiv w:val="1"/>
      <w:marLeft w:val="0"/>
      <w:marRight w:val="0"/>
      <w:marTop w:val="0"/>
      <w:marBottom w:val="0"/>
      <w:divBdr>
        <w:top w:val="none" w:sz="0" w:space="0" w:color="auto"/>
        <w:left w:val="none" w:sz="0" w:space="0" w:color="auto"/>
        <w:bottom w:val="none" w:sz="0" w:space="0" w:color="auto"/>
        <w:right w:val="none" w:sz="0" w:space="0" w:color="auto"/>
      </w:divBdr>
    </w:div>
    <w:div w:id="2038507120">
      <w:bodyDiv w:val="1"/>
      <w:marLeft w:val="0"/>
      <w:marRight w:val="0"/>
      <w:marTop w:val="0"/>
      <w:marBottom w:val="0"/>
      <w:divBdr>
        <w:top w:val="none" w:sz="0" w:space="0" w:color="auto"/>
        <w:left w:val="none" w:sz="0" w:space="0" w:color="auto"/>
        <w:bottom w:val="none" w:sz="0" w:space="0" w:color="auto"/>
        <w:right w:val="none" w:sz="0" w:space="0" w:color="auto"/>
      </w:divBdr>
    </w:div>
    <w:div w:id="2039621176">
      <w:bodyDiv w:val="1"/>
      <w:marLeft w:val="0"/>
      <w:marRight w:val="0"/>
      <w:marTop w:val="0"/>
      <w:marBottom w:val="0"/>
      <w:divBdr>
        <w:top w:val="none" w:sz="0" w:space="0" w:color="auto"/>
        <w:left w:val="none" w:sz="0" w:space="0" w:color="auto"/>
        <w:bottom w:val="none" w:sz="0" w:space="0" w:color="auto"/>
        <w:right w:val="none" w:sz="0" w:space="0" w:color="auto"/>
      </w:divBdr>
    </w:div>
    <w:div w:id="2039693829">
      <w:bodyDiv w:val="1"/>
      <w:marLeft w:val="0"/>
      <w:marRight w:val="0"/>
      <w:marTop w:val="0"/>
      <w:marBottom w:val="0"/>
      <w:divBdr>
        <w:top w:val="none" w:sz="0" w:space="0" w:color="auto"/>
        <w:left w:val="none" w:sz="0" w:space="0" w:color="auto"/>
        <w:bottom w:val="none" w:sz="0" w:space="0" w:color="auto"/>
        <w:right w:val="none" w:sz="0" w:space="0" w:color="auto"/>
      </w:divBdr>
    </w:div>
    <w:div w:id="2040739639">
      <w:bodyDiv w:val="1"/>
      <w:marLeft w:val="0"/>
      <w:marRight w:val="0"/>
      <w:marTop w:val="0"/>
      <w:marBottom w:val="0"/>
      <w:divBdr>
        <w:top w:val="none" w:sz="0" w:space="0" w:color="auto"/>
        <w:left w:val="none" w:sz="0" w:space="0" w:color="auto"/>
        <w:bottom w:val="none" w:sz="0" w:space="0" w:color="auto"/>
        <w:right w:val="none" w:sz="0" w:space="0" w:color="auto"/>
      </w:divBdr>
    </w:div>
    <w:div w:id="2041203748">
      <w:bodyDiv w:val="1"/>
      <w:marLeft w:val="0"/>
      <w:marRight w:val="0"/>
      <w:marTop w:val="0"/>
      <w:marBottom w:val="0"/>
      <w:divBdr>
        <w:top w:val="none" w:sz="0" w:space="0" w:color="auto"/>
        <w:left w:val="none" w:sz="0" w:space="0" w:color="auto"/>
        <w:bottom w:val="none" w:sz="0" w:space="0" w:color="auto"/>
        <w:right w:val="none" w:sz="0" w:space="0" w:color="auto"/>
      </w:divBdr>
    </w:div>
    <w:div w:id="2042776950">
      <w:bodyDiv w:val="1"/>
      <w:marLeft w:val="0"/>
      <w:marRight w:val="0"/>
      <w:marTop w:val="0"/>
      <w:marBottom w:val="0"/>
      <w:divBdr>
        <w:top w:val="none" w:sz="0" w:space="0" w:color="auto"/>
        <w:left w:val="none" w:sz="0" w:space="0" w:color="auto"/>
        <w:bottom w:val="none" w:sz="0" w:space="0" w:color="auto"/>
        <w:right w:val="none" w:sz="0" w:space="0" w:color="auto"/>
      </w:divBdr>
    </w:div>
    <w:div w:id="2043045495">
      <w:bodyDiv w:val="1"/>
      <w:marLeft w:val="0"/>
      <w:marRight w:val="0"/>
      <w:marTop w:val="0"/>
      <w:marBottom w:val="0"/>
      <w:divBdr>
        <w:top w:val="none" w:sz="0" w:space="0" w:color="auto"/>
        <w:left w:val="none" w:sz="0" w:space="0" w:color="auto"/>
        <w:bottom w:val="none" w:sz="0" w:space="0" w:color="auto"/>
        <w:right w:val="none" w:sz="0" w:space="0" w:color="auto"/>
      </w:divBdr>
    </w:div>
    <w:div w:id="2045134129">
      <w:bodyDiv w:val="1"/>
      <w:marLeft w:val="0"/>
      <w:marRight w:val="0"/>
      <w:marTop w:val="0"/>
      <w:marBottom w:val="0"/>
      <w:divBdr>
        <w:top w:val="none" w:sz="0" w:space="0" w:color="auto"/>
        <w:left w:val="none" w:sz="0" w:space="0" w:color="auto"/>
        <w:bottom w:val="none" w:sz="0" w:space="0" w:color="auto"/>
        <w:right w:val="none" w:sz="0" w:space="0" w:color="auto"/>
      </w:divBdr>
    </w:div>
    <w:div w:id="2046367214">
      <w:bodyDiv w:val="1"/>
      <w:marLeft w:val="0"/>
      <w:marRight w:val="0"/>
      <w:marTop w:val="0"/>
      <w:marBottom w:val="0"/>
      <w:divBdr>
        <w:top w:val="none" w:sz="0" w:space="0" w:color="auto"/>
        <w:left w:val="none" w:sz="0" w:space="0" w:color="auto"/>
        <w:bottom w:val="none" w:sz="0" w:space="0" w:color="auto"/>
        <w:right w:val="none" w:sz="0" w:space="0" w:color="auto"/>
      </w:divBdr>
    </w:div>
    <w:div w:id="2046560514">
      <w:bodyDiv w:val="1"/>
      <w:marLeft w:val="0"/>
      <w:marRight w:val="0"/>
      <w:marTop w:val="0"/>
      <w:marBottom w:val="0"/>
      <w:divBdr>
        <w:top w:val="none" w:sz="0" w:space="0" w:color="auto"/>
        <w:left w:val="none" w:sz="0" w:space="0" w:color="auto"/>
        <w:bottom w:val="none" w:sz="0" w:space="0" w:color="auto"/>
        <w:right w:val="none" w:sz="0" w:space="0" w:color="auto"/>
      </w:divBdr>
    </w:div>
    <w:div w:id="2047100778">
      <w:bodyDiv w:val="1"/>
      <w:marLeft w:val="0"/>
      <w:marRight w:val="0"/>
      <w:marTop w:val="0"/>
      <w:marBottom w:val="0"/>
      <w:divBdr>
        <w:top w:val="none" w:sz="0" w:space="0" w:color="auto"/>
        <w:left w:val="none" w:sz="0" w:space="0" w:color="auto"/>
        <w:bottom w:val="none" w:sz="0" w:space="0" w:color="auto"/>
        <w:right w:val="none" w:sz="0" w:space="0" w:color="auto"/>
      </w:divBdr>
    </w:div>
    <w:div w:id="2047293045">
      <w:bodyDiv w:val="1"/>
      <w:marLeft w:val="0"/>
      <w:marRight w:val="0"/>
      <w:marTop w:val="0"/>
      <w:marBottom w:val="0"/>
      <w:divBdr>
        <w:top w:val="none" w:sz="0" w:space="0" w:color="auto"/>
        <w:left w:val="none" w:sz="0" w:space="0" w:color="auto"/>
        <w:bottom w:val="none" w:sz="0" w:space="0" w:color="auto"/>
        <w:right w:val="none" w:sz="0" w:space="0" w:color="auto"/>
      </w:divBdr>
    </w:div>
    <w:div w:id="2047367912">
      <w:bodyDiv w:val="1"/>
      <w:marLeft w:val="0"/>
      <w:marRight w:val="0"/>
      <w:marTop w:val="0"/>
      <w:marBottom w:val="0"/>
      <w:divBdr>
        <w:top w:val="none" w:sz="0" w:space="0" w:color="auto"/>
        <w:left w:val="none" w:sz="0" w:space="0" w:color="auto"/>
        <w:bottom w:val="none" w:sz="0" w:space="0" w:color="auto"/>
        <w:right w:val="none" w:sz="0" w:space="0" w:color="auto"/>
      </w:divBdr>
    </w:div>
    <w:div w:id="2047607654">
      <w:bodyDiv w:val="1"/>
      <w:marLeft w:val="0"/>
      <w:marRight w:val="0"/>
      <w:marTop w:val="0"/>
      <w:marBottom w:val="0"/>
      <w:divBdr>
        <w:top w:val="none" w:sz="0" w:space="0" w:color="auto"/>
        <w:left w:val="none" w:sz="0" w:space="0" w:color="auto"/>
        <w:bottom w:val="none" w:sz="0" w:space="0" w:color="auto"/>
        <w:right w:val="none" w:sz="0" w:space="0" w:color="auto"/>
      </w:divBdr>
    </w:div>
    <w:div w:id="2048144379">
      <w:bodyDiv w:val="1"/>
      <w:marLeft w:val="0"/>
      <w:marRight w:val="0"/>
      <w:marTop w:val="0"/>
      <w:marBottom w:val="0"/>
      <w:divBdr>
        <w:top w:val="none" w:sz="0" w:space="0" w:color="auto"/>
        <w:left w:val="none" w:sz="0" w:space="0" w:color="auto"/>
        <w:bottom w:val="none" w:sz="0" w:space="0" w:color="auto"/>
        <w:right w:val="none" w:sz="0" w:space="0" w:color="auto"/>
      </w:divBdr>
    </w:div>
    <w:div w:id="2052340389">
      <w:bodyDiv w:val="1"/>
      <w:marLeft w:val="0"/>
      <w:marRight w:val="0"/>
      <w:marTop w:val="0"/>
      <w:marBottom w:val="0"/>
      <w:divBdr>
        <w:top w:val="none" w:sz="0" w:space="0" w:color="auto"/>
        <w:left w:val="none" w:sz="0" w:space="0" w:color="auto"/>
        <w:bottom w:val="none" w:sz="0" w:space="0" w:color="auto"/>
        <w:right w:val="none" w:sz="0" w:space="0" w:color="auto"/>
      </w:divBdr>
    </w:div>
    <w:div w:id="2053995451">
      <w:bodyDiv w:val="1"/>
      <w:marLeft w:val="0"/>
      <w:marRight w:val="0"/>
      <w:marTop w:val="0"/>
      <w:marBottom w:val="0"/>
      <w:divBdr>
        <w:top w:val="none" w:sz="0" w:space="0" w:color="auto"/>
        <w:left w:val="none" w:sz="0" w:space="0" w:color="auto"/>
        <w:bottom w:val="none" w:sz="0" w:space="0" w:color="auto"/>
        <w:right w:val="none" w:sz="0" w:space="0" w:color="auto"/>
      </w:divBdr>
    </w:div>
    <w:div w:id="2054763500">
      <w:bodyDiv w:val="1"/>
      <w:marLeft w:val="0"/>
      <w:marRight w:val="0"/>
      <w:marTop w:val="0"/>
      <w:marBottom w:val="0"/>
      <w:divBdr>
        <w:top w:val="none" w:sz="0" w:space="0" w:color="auto"/>
        <w:left w:val="none" w:sz="0" w:space="0" w:color="auto"/>
        <w:bottom w:val="none" w:sz="0" w:space="0" w:color="auto"/>
        <w:right w:val="none" w:sz="0" w:space="0" w:color="auto"/>
      </w:divBdr>
    </w:div>
    <w:div w:id="2054846383">
      <w:bodyDiv w:val="1"/>
      <w:marLeft w:val="0"/>
      <w:marRight w:val="0"/>
      <w:marTop w:val="0"/>
      <w:marBottom w:val="0"/>
      <w:divBdr>
        <w:top w:val="none" w:sz="0" w:space="0" w:color="auto"/>
        <w:left w:val="none" w:sz="0" w:space="0" w:color="auto"/>
        <w:bottom w:val="none" w:sz="0" w:space="0" w:color="auto"/>
        <w:right w:val="none" w:sz="0" w:space="0" w:color="auto"/>
      </w:divBdr>
    </w:div>
    <w:div w:id="2056349035">
      <w:bodyDiv w:val="1"/>
      <w:marLeft w:val="0"/>
      <w:marRight w:val="0"/>
      <w:marTop w:val="0"/>
      <w:marBottom w:val="0"/>
      <w:divBdr>
        <w:top w:val="none" w:sz="0" w:space="0" w:color="auto"/>
        <w:left w:val="none" w:sz="0" w:space="0" w:color="auto"/>
        <w:bottom w:val="none" w:sz="0" w:space="0" w:color="auto"/>
        <w:right w:val="none" w:sz="0" w:space="0" w:color="auto"/>
      </w:divBdr>
    </w:div>
    <w:div w:id="2056738548">
      <w:bodyDiv w:val="1"/>
      <w:marLeft w:val="0"/>
      <w:marRight w:val="0"/>
      <w:marTop w:val="0"/>
      <w:marBottom w:val="0"/>
      <w:divBdr>
        <w:top w:val="none" w:sz="0" w:space="0" w:color="auto"/>
        <w:left w:val="none" w:sz="0" w:space="0" w:color="auto"/>
        <w:bottom w:val="none" w:sz="0" w:space="0" w:color="auto"/>
        <w:right w:val="none" w:sz="0" w:space="0" w:color="auto"/>
      </w:divBdr>
    </w:div>
    <w:div w:id="2059357687">
      <w:bodyDiv w:val="1"/>
      <w:marLeft w:val="0"/>
      <w:marRight w:val="0"/>
      <w:marTop w:val="0"/>
      <w:marBottom w:val="0"/>
      <w:divBdr>
        <w:top w:val="none" w:sz="0" w:space="0" w:color="auto"/>
        <w:left w:val="none" w:sz="0" w:space="0" w:color="auto"/>
        <w:bottom w:val="none" w:sz="0" w:space="0" w:color="auto"/>
        <w:right w:val="none" w:sz="0" w:space="0" w:color="auto"/>
      </w:divBdr>
    </w:div>
    <w:div w:id="2060745917">
      <w:bodyDiv w:val="1"/>
      <w:marLeft w:val="0"/>
      <w:marRight w:val="0"/>
      <w:marTop w:val="0"/>
      <w:marBottom w:val="0"/>
      <w:divBdr>
        <w:top w:val="none" w:sz="0" w:space="0" w:color="auto"/>
        <w:left w:val="none" w:sz="0" w:space="0" w:color="auto"/>
        <w:bottom w:val="none" w:sz="0" w:space="0" w:color="auto"/>
        <w:right w:val="none" w:sz="0" w:space="0" w:color="auto"/>
      </w:divBdr>
    </w:div>
    <w:div w:id="2060787235">
      <w:bodyDiv w:val="1"/>
      <w:marLeft w:val="0"/>
      <w:marRight w:val="0"/>
      <w:marTop w:val="0"/>
      <w:marBottom w:val="0"/>
      <w:divBdr>
        <w:top w:val="none" w:sz="0" w:space="0" w:color="auto"/>
        <w:left w:val="none" w:sz="0" w:space="0" w:color="auto"/>
        <w:bottom w:val="none" w:sz="0" w:space="0" w:color="auto"/>
        <w:right w:val="none" w:sz="0" w:space="0" w:color="auto"/>
      </w:divBdr>
    </w:div>
    <w:div w:id="2063868090">
      <w:bodyDiv w:val="1"/>
      <w:marLeft w:val="0"/>
      <w:marRight w:val="0"/>
      <w:marTop w:val="0"/>
      <w:marBottom w:val="0"/>
      <w:divBdr>
        <w:top w:val="none" w:sz="0" w:space="0" w:color="auto"/>
        <w:left w:val="none" w:sz="0" w:space="0" w:color="auto"/>
        <w:bottom w:val="none" w:sz="0" w:space="0" w:color="auto"/>
        <w:right w:val="none" w:sz="0" w:space="0" w:color="auto"/>
      </w:divBdr>
    </w:div>
    <w:div w:id="2068457936">
      <w:bodyDiv w:val="1"/>
      <w:marLeft w:val="0"/>
      <w:marRight w:val="0"/>
      <w:marTop w:val="0"/>
      <w:marBottom w:val="0"/>
      <w:divBdr>
        <w:top w:val="none" w:sz="0" w:space="0" w:color="auto"/>
        <w:left w:val="none" w:sz="0" w:space="0" w:color="auto"/>
        <w:bottom w:val="none" w:sz="0" w:space="0" w:color="auto"/>
        <w:right w:val="none" w:sz="0" w:space="0" w:color="auto"/>
      </w:divBdr>
    </w:div>
    <w:div w:id="2068525424">
      <w:bodyDiv w:val="1"/>
      <w:marLeft w:val="0"/>
      <w:marRight w:val="0"/>
      <w:marTop w:val="0"/>
      <w:marBottom w:val="0"/>
      <w:divBdr>
        <w:top w:val="none" w:sz="0" w:space="0" w:color="auto"/>
        <w:left w:val="none" w:sz="0" w:space="0" w:color="auto"/>
        <w:bottom w:val="none" w:sz="0" w:space="0" w:color="auto"/>
        <w:right w:val="none" w:sz="0" w:space="0" w:color="auto"/>
      </w:divBdr>
    </w:div>
    <w:div w:id="2068870497">
      <w:bodyDiv w:val="1"/>
      <w:marLeft w:val="0"/>
      <w:marRight w:val="0"/>
      <w:marTop w:val="0"/>
      <w:marBottom w:val="0"/>
      <w:divBdr>
        <w:top w:val="none" w:sz="0" w:space="0" w:color="auto"/>
        <w:left w:val="none" w:sz="0" w:space="0" w:color="auto"/>
        <w:bottom w:val="none" w:sz="0" w:space="0" w:color="auto"/>
        <w:right w:val="none" w:sz="0" w:space="0" w:color="auto"/>
      </w:divBdr>
    </w:div>
    <w:div w:id="2069069082">
      <w:bodyDiv w:val="1"/>
      <w:marLeft w:val="0"/>
      <w:marRight w:val="0"/>
      <w:marTop w:val="0"/>
      <w:marBottom w:val="0"/>
      <w:divBdr>
        <w:top w:val="none" w:sz="0" w:space="0" w:color="auto"/>
        <w:left w:val="none" w:sz="0" w:space="0" w:color="auto"/>
        <w:bottom w:val="none" w:sz="0" w:space="0" w:color="auto"/>
        <w:right w:val="none" w:sz="0" w:space="0" w:color="auto"/>
      </w:divBdr>
    </w:div>
    <w:div w:id="2069842250">
      <w:bodyDiv w:val="1"/>
      <w:marLeft w:val="0"/>
      <w:marRight w:val="0"/>
      <w:marTop w:val="0"/>
      <w:marBottom w:val="0"/>
      <w:divBdr>
        <w:top w:val="none" w:sz="0" w:space="0" w:color="auto"/>
        <w:left w:val="none" w:sz="0" w:space="0" w:color="auto"/>
        <w:bottom w:val="none" w:sz="0" w:space="0" w:color="auto"/>
        <w:right w:val="none" w:sz="0" w:space="0" w:color="auto"/>
      </w:divBdr>
    </w:div>
    <w:div w:id="2069956358">
      <w:bodyDiv w:val="1"/>
      <w:marLeft w:val="0"/>
      <w:marRight w:val="0"/>
      <w:marTop w:val="0"/>
      <w:marBottom w:val="0"/>
      <w:divBdr>
        <w:top w:val="none" w:sz="0" w:space="0" w:color="auto"/>
        <w:left w:val="none" w:sz="0" w:space="0" w:color="auto"/>
        <w:bottom w:val="none" w:sz="0" w:space="0" w:color="auto"/>
        <w:right w:val="none" w:sz="0" w:space="0" w:color="auto"/>
      </w:divBdr>
    </w:div>
    <w:div w:id="2070372845">
      <w:bodyDiv w:val="1"/>
      <w:marLeft w:val="0"/>
      <w:marRight w:val="0"/>
      <w:marTop w:val="0"/>
      <w:marBottom w:val="0"/>
      <w:divBdr>
        <w:top w:val="none" w:sz="0" w:space="0" w:color="auto"/>
        <w:left w:val="none" w:sz="0" w:space="0" w:color="auto"/>
        <w:bottom w:val="none" w:sz="0" w:space="0" w:color="auto"/>
        <w:right w:val="none" w:sz="0" w:space="0" w:color="auto"/>
      </w:divBdr>
    </w:div>
    <w:div w:id="2070685291">
      <w:bodyDiv w:val="1"/>
      <w:marLeft w:val="0"/>
      <w:marRight w:val="0"/>
      <w:marTop w:val="0"/>
      <w:marBottom w:val="0"/>
      <w:divBdr>
        <w:top w:val="none" w:sz="0" w:space="0" w:color="auto"/>
        <w:left w:val="none" w:sz="0" w:space="0" w:color="auto"/>
        <w:bottom w:val="none" w:sz="0" w:space="0" w:color="auto"/>
        <w:right w:val="none" w:sz="0" w:space="0" w:color="auto"/>
      </w:divBdr>
    </w:div>
    <w:div w:id="2071533358">
      <w:bodyDiv w:val="1"/>
      <w:marLeft w:val="0"/>
      <w:marRight w:val="0"/>
      <w:marTop w:val="0"/>
      <w:marBottom w:val="0"/>
      <w:divBdr>
        <w:top w:val="none" w:sz="0" w:space="0" w:color="auto"/>
        <w:left w:val="none" w:sz="0" w:space="0" w:color="auto"/>
        <w:bottom w:val="none" w:sz="0" w:space="0" w:color="auto"/>
        <w:right w:val="none" w:sz="0" w:space="0" w:color="auto"/>
      </w:divBdr>
    </w:div>
    <w:div w:id="2073504407">
      <w:bodyDiv w:val="1"/>
      <w:marLeft w:val="0"/>
      <w:marRight w:val="0"/>
      <w:marTop w:val="0"/>
      <w:marBottom w:val="0"/>
      <w:divBdr>
        <w:top w:val="none" w:sz="0" w:space="0" w:color="auto"/>
        <w:left w:val="none" w:sz="0" w:space="0" w:color="auto"/>
        <w:bottom w:val="none" w:sz="0" w:space="0" w:color="auto"/>
        <w:right w:val="none" w:sz="0" w:space="0" w:color="auto"/>
      </w:divBdr>
    </w:div>
    <w:div w:id="2074427760">
      <w:bodyDiv w:val="1"/>
      <w:marLeft w:val="0"/>
      <w:marRight w:val="0"/>
      <w:marTop w:val="0"/>
      <w:marBottom w:val="0"/>
      <w:divBdr>
        <w:top w:val="none" w:sz="0" w:space="0" w:color="auto"/>
        <w:left w:val="none" w:sz="0" w:space="0" w:color="auto"/>
        <w:bottom w:val="none" w:sz="0" w:space="0" w:color="auto"/>
        <w:right w:val="none" w:sz="0" w:space="0" w:color="auto"/>
      </w:divBdr>
    </w:div>
    <w:div w:id="2074690686">
      <w:bodyDiv w:val="1"/>
      <w:marLeft w:val="0"/>
      <w:marRight w:val="0"/>
      <w:marTop w:val="0"/>
      <w:marBottom w:val="0"/>
      <w:divBdr>
        <w:top w:val="none" w:sz="0" w:space="0" w:color="auto"/>
        <w:left w:val="none" w:sz="0" w:space="0" w:color="auto"/>
        <w:bottom w:val="none" w:sz="0" w:space="0" w:color="auto"/>
        <w:right w:val="none" w:sz="0" w:space="0" w:color="auto"/>
      </w:divBdr>
    </w:div>
    <w:div w:id="2076855829">
      <w:bodyDiv w:val="1"/>
      <w:marLeft w:val="0"/>
      <w:marRight w:val="0"/>
      <w:marTop w:val="0"/>
      <w:marBottom w:val="0"/>
      <w:divBdr>
        <w:top w:val="none" w:sz="0" w:space="0" w:color="auto"/>
        <w:left w:val="none" w:sz="0" w:space="0" w:color="auto"/>
        <w:bottom w:val="none" w:sz="0" w:space="0" w:color="auto"/>
        <w:right w:val="none" w:sz="0" w:space="0" w:color="auto"/>
      </w:divBdr>
    </w:div>
    <w:div w:id="2076930206">
      <w:bodyDiv w:val="1"/>
      <w:marLeft w:val="0"/>
      <w:marRight w:val="0"/>
      <w:marTop w:val="0"/>
      <w:marBottom w:val="0"/>
      <w:divBdr>
        <w:top w:val="none" w:sz="0" w:space="0" w:color="auto"/>
        <w:left w:val="none" w:sz="0" w:space="0" w:color="auto"/>
        <w:bottom w:val="none" w:sz="0" w:space="0" w:color="auto"/>
        <w:right w:val="none" w:sz="0" w:space="0" w:color="auto"/>
      </w:divBdr>
    </w:div>
    <w:div w:id="2076970882">
      <w:bodyDiv w:val="1"/>
      <w:marLeft w:val="0"/>
      <w:marRight w:val="0"/>
      <w:marTop w:val="0"/>
      <w:marBottom w:val="0"/>
      <w:divBdr>
        <w:top w:val="none" w:sz="0" w:space="0" w:color="auto"/>
        <w:left w:val="none" w:sz="0" w:space="0" w:color="auto"/>
        <w:bottom w:val="none" w:sz="0" w:space="0" w:color="auto"/>
        <w:right w:val="none" w:sz="0" w:space="0" w:color="auto"/>
      </w:divBdr>
    </w:div>
    <w:div w:id="2077819859">
      <w:bodyDiv w:val="1"/>
      <w:marLeft w:val="0"/>
      <w:marRight w:val="0"/>
      <w:marTop w:val="0"/>
      <w:marBottom w:val="0"/>
      <w:divBdr>
        <w:top w:val="none" w:sz="0" w:space="0" w:color="auto"/>
        <w:left w:val="none" w:sz="0" w:space="0" w:color="auto"/>
        <w:bottom w:val="none" w:sz="0" w:space="0" w:color="auto"/>
        <w:right w:val="none" w:sz="0" w:space="0" w:color="auto"/>
      </w:divBdr>
    </w:div>
    <w:div w:id="2079555200">
      <w:bodyDiv w:val="1"/>
      <w:marLeft w:val="0"/>
      <w:marRight w:val="0"/>
      <w:marTop w:val="0"/>
      <w:marBottom w:val="0"/>
      <w:divBdr>
        <w:top w:val="none" w:sz="0" w:space="0" w:color="auto"/>
        <w:left w:val="none" w:sz="0" w:space="0" w:color="auto"/>
        <w:bottom w:val="none" w:sz="0" w:space="0" w:color="auto"/>
        <w:right w:val="none" w:sz="0" w:space="0" w:color="auto"/>
      </w:divBdr>
    </w:div>
    <w:div w:id="2079788971">
      <w:bodyDiv w:val="1"/>
      <w:marLeft w:val="0"/>
      <w:marRight w:val="0"/>
      <w:marTop w:val="0"/>
      <w:marBottom w:val="0"/>
      <w:divBdr>
        <w:top w:val="none" w:sz="0" w:space="0" w:color="auto"/>
        <w:left w:val="none" w:sz="0" w:space="0" w:color="auto"/>
        <w:bottom w:val="none" w:sz="0" w:space="0" w:color="auto"/>
        <w:right w:val="none" w:sz="0" w:space="0" w:color="auto"/>
      </w:divBdr>
    </w:div>
    <w:div w:id="2079933641">
      <w:bodyDiv w:val="1"/>
      <w:marLeft w:val="0"/>
      <w:marRight w:val="0"/>
      <w:marTop w:val="0"/>
      <w:marBottom w:val="0"/>
      <w:divBdr>
        <w:top w:val="none" w:sz="0" w:space="0" w:color="auto"/>
        <w:left w:val="none" w:sz="0" w:space="0" w:color="auto"/>
        <w:bottom w:val="none" w:sz="0" w:space="0" w:color="auto"/>
        <w:right w:val="none" w:sz="0" w:space="0" w:color="auto"/>
      </w:divBdr>
    </w:div>
    <w:div w:id="2081754413">
      <w:bodyDiv w:val="1"/>
      <w:marLeft w:val="0"/>
      <w:marRight w:val="0"/>
      <w:marTop w:val="0"/>
      <w:marBottom w:val="0"/>
      <w:divBdr>
        <w:top w:val="none" w:sz="0" w:space="0" w:color="auto"/>
        <w:left w:val="none" w:sz="0" w:space="0" w:color="auto"/>
        <w:bottom w:val="none" w:sz="0" w:space="0" w:color="auto"/>
        <w:right w:val="none" w:sz="0" w:space="0" w:color="auto"/>
      </w:divBdr>
    </w:div>
    <w:div w:id="2082096828">
      <w:bodyDiv w:val="1"/>
      <w:marLeft w:val="0"/>
      <w:marRight w:val="0"/>
      <w:marTop w:val="0"/>
      <w:marBottom w:val="0"/>
      <w:divBdr>
        <w:top w:val="none" w:sz="0" w:space="0" w:color="auto"/>
        <w:left w:val="none" w:sz="0" w:space="0" w:color="auto"/>
        <w:bottom w:val="none" w:sz="0" w:space="0" w:color="auto"/>
        <w:right w:val="none" w:sz="0" w:space="0" w:color="auto"/>
      </w:divBdr>
    </w:div>
    <w:div w:id="2082485418">
      <w:bodyDiv w:val="1"/>
      <w:marLeft w:val="0"/>
      <w:marRight w:val="0"/>
      <w:marTop w:val="0"/>
      <w:marBottom w:val="0"/>
      <w:divBdr>
        <w:top w:val="none" w:sz="0" w:space="0" w:color="auto"/>
        <w:left w:val="none" w:sz="0" w:space="0" w:color="auto"/>
        <w:bottom w:val="none" w:sz="0" w:space="0" w:color="auto"/>
        <w:right w:val="none" w:sz="0" w:space="0" w:color="auto"/>
      </w:divBdr>
    </w:div>
    <w:div w:id="2083062026">
      <w:bodyDiv w:val="1"/>
      <w:marLeft w:val="0"/>
      <w:marRight w:val="0"/>
      <w:marTop w:val="0"/>
      <w:marBottom w:val="0"/>
      <w:divBdr>
        <w:top w:val="none" w:sz="0" w:space="0" w:color="auto"/>
        <w:left w:val="none" w:sz="0" w:space="0" w:color="auto"/>
        <w:bottom w:val="none" w:sz="0" w:space="0" w:color="auto"/>
        <w:right w:val="none" w:sz="0" w:space="0" w:color="auto"/>
      </w:divBdr>
    </w:div>
    <w:div w:id="2083987686">
      <w:bodyDiv w:val="1"/>
      <w:marLeft w:val="0"/>
      <w:marRight w:val="0"/>
      <w:marTop w:val="0"/>
      <w:marBottom w:val="0"/>
      <w:divBdr>
        <w:top w:val="none" w:sz="0" w:space="0" w:color="auto"/>
        <w:left w:val="none" w:sz="0" w:space="0" w:color="auto"/>
        <w:bottom w:val="none" w:sz="0" w:space="0" w:color="auto"/>
        <w:right w:val="none" w:sz="0" w:space="0" w:color="auto"/>
      </w:divBdr>
    </w:div>
    <w:div w:id="2085377209">
      <w:bodyDiv w:val="1"/>
      <w:marLeft w:val="0"/>
      <w:marRight w:val="0"/>
      <w:marTop w:val="0"/>
      <w:marBottom w:val="0"/>
      <w:divBdr>
        <w:top w:val="none" w:sz="0" w:space="0" w:color="auto"/>
        <w:left w:val="none" w:sz="0" w:space="0" w:color="auto"/>
        <w:bottom w:val="none" w:sz="0" w:space="0" w:color="auto"/>
        <w:right w:val="none" w:sz="0" w:space="0" w:color="auto"/>
      </w:divBdr>
    </w:div>
    <w:div w:id="2088577963">
      <w:bodyDiv w:val="1"/>
      <w:marLeft w:val="0"/>
      <w:marRight w:val="0"/>
      <w:marTop w:val="0"/>
      <w:marBottom w:val="0"/>
      <w:divBdr>
        <w:top w:val="none" w:sz="0" w:space="0" w:color="auto"/>
        <w:left w:val="none" w:sz="0" w:space="0" w:color="auto"/>
        <w:bottom w:val="none" w:sz="0" w:space="0" w:color="auto"/>
        <w:right w:val="none" w:sz="0" w:space="0" w:color="auto"/>
      </w:divBdr>
    </w:div>
    <w:div w:id="2091729695">
      <w:bodyDiv w:val="1"/>
      <w:marLeft w:val="0"/>
      <w:marRight w:val="0"/>
      <w:marTop w:val="0"/>
      <w:marBottom w:val="0"/>
      <w:divBdr>
        <w:top w:val="none" w:sz="0" w:space="0" w:color="auto"/>
        <w:left w:val="none" w:sz="0" w:space="0" w:color="auto"/>
        <w:bottom w:val="none" w:sz="0" w:space="0" w:color="auto"/>
        <w:right w:val="none" w:sz="0" w:space="0" w:color="auto"/>
      </w:divBdr>
    </w:div>
    <w:div w:id="2092265212">
      <w:bodyDiv w:val="1"/>
      <w:marLeft w:val="0"/>
      <w:marRight w:val="0"/>
      <w:marTop w:val="0"/>
      <w:marBottom w:val="0"/>
      <w:divBdr>
        <w:top w:val="none" w:sz="0" w:space="0" w:color="auto"/>
        <w:left w:val="none" w:sz="0" w:space="0" w:color="auto"/>
        <w:bottom w:val="none" w:sz="0" w:space="0" w:color="auto"/>
        <w:right w:val="none" w:sz="0" w:space="0" w:color="auto"/>
      </w:divBdr>
    </w:div>
    <w:div w:id="2093769720">
      <w:bodyDiv w:val="1"/>
      <w:marLeft w:val="0"/>
      <w:marRight w:val="0"/>
      <w:marTop w:val="0"/>
      <w:marBottom w:val="0"/>
      <w:divBdr>
        <w:top w:val="none" w:sz="0" w:space="0" w:color="auto"/>
        <w:left w:val="none" w:sz="0" w:space="0" w:color="auto"/>
        <w:bottom w:val="none" w:sz="0" w:space="0" w:color="auto"/>
        <w:right w:val="none" w:sz="0" w:space="0" w:color="auto"/>
      </w:divBdr>
    </w:div>
    <w:div w:id="2094282548">
      <w:bodyDiv w:val="1"/>
      <w:marLeft w:val="0"/>
      <w:marRight w:val="0"/>
      <w:marTop w:val="0"/>
      <w:marBottom w:val="0"/>
      <w:divBdr>
        <w:top w:val="none" w:sz="0" w:space="0" w:color="auto"/>
        <w:left w:val="none" w:sz="0" w:space="0" w:color="auto"/>
        <w:bottom w:val="none" w:sz="0" w:space="0" w:color="auto"/>
        <w:right w:val="none" w:sz="0" w:space="0" w:color="auto"/>
      </w:divBdr>
    </w:div>
    <w:div w:id="2095321517">
      <w:bodyDiv w:val="1"/>
      <w:marLeft w:val="0"/>
      <w:marRight w:val="0"/>
      <w:marTop w:val="0"/>
      <w:marBottom w:val="0"/>
      <w:divBdr>
        <w:top w:val="none" w:sz="0" w:space="0" w:color="auto"/>
        <w:left w:val="none" w:sz="0" w:space="0" w:color="auto"/>
        <w:bottom w:val="none" w:sz="0" w:space="0" w:color="auto"/>
        <w:right w:val="none" w:sz="0" w:space="0" w:color="auto"/>
      </w:divBdr>
    </w:div>
    <w:div w:id="2096048949">
      <w:bodyDiv w:val="1"/>
      <w:marLeft w:val="0"/>
      <w:marRight w:val="0"/>
      <w:marTop w:val="0"/>
      <w:marBottom w:val="0"/>
      <w:divBdr>
        <w:top w:val="none" w:sz="0" w:space="0" w:color="auto"/>
        <w:left w:val="none" w:sz="0" w:space="0" w:color="auto"/>
        <w:bottom w:val="none" w:sz="0" w:space="0" w:color="auto"/>
        <w:right w:val="none" w:sz="0" w:space="0" w:color="auto"/>
      </w:divBdr>
    </w:div>
    <w:div w:id="2096054268">
      <w:bodyDiv w:val="1"/>
      <w:marLeft w:val="0"/>
      <w:marRight w:val="0"/>
      <w:marTop w:val="0"/>
      <w:marBottom w:val="0"/>
      <w:divBdr>
        <w:top w:val="none" w:sz="0" w:space="0" w:color="auto"/>
        <w:left w:val="none" w:sz="0" w:space="0" w:color="auto"/>
        <w:bottom w:val="none" w:sz="0" w:space="0" w:color="auto"/>
        <w:right w:val="none" w:sz="0" w:space="0" w:color="auto"/>
      </w:divBdr>
    </w:div>
    <w:div w:id="2096124090">
      <w:bodyDiv w:val="1"/>
      <w:marLeft w:val="0"/>
      <w:marRight w:val="0"/>
      <w:marTop w:val="0"/>
      <w:marBottom w:val="0"/>
      <w:divBdr>
        <w:top w:val="none" w:sz="0" w:space="0" w:color="auto"/>
        <w:left w:val="none" w:sz="0" w:space="0" w:color="auto"/>
        <w:bottom w:val="none" w:sz="0" w:space="0" w:color="auto"/>
        <w:right w:val="none" w:sz="0" w:space="0" w:color="auto"/>
      </w:divBdr>
    </w:div>
    <w:div w:id="2098135303">
      <w:bodyDiv w:val="1"/>
      <w:marLeft w:val="0"/>
      <w:marRight w:val="0"/>
      <w:marTop w:val="0"/>
      <w:marBottom w:val="0"/>
      <w:divBdr>
        <w:top w:val="none" w:sz="0" w:space="0" w:color="auto"/>
        <w:left w:val="none" w:sz="0" w:space="0" w:color="auto"/>
        <w:bottom w:val="none" w:sz="0" w:space="0" w:color="auto"/>
        <w:right w:val="none" w:sz="0" w:space="0" w:color="auto"/>
      </w:divBdr>
    </w:div>
    <w:div w:id="2099862008">
      <w:bodyDiv w:val="1"/>
      <w:marLeft w:val="0"/>
      <w:marRight w:val="0"/>
      <w:marTop w:val="0"/>
      <w:marBottom w:val="0"/>
      <w:divBdr>
        <w:top w:val="none" w:sz="0" w:space="0" w:color="auto"/>
        <w:left w:val="none" w:sz="0" w:space="0" w:color="auto"/>
        <w:bottom w:val="none" w:sz="0" w:space="0" w:color="auto"/>
        <w:right w:val="none" w:sz="0" w:space="0" w:color="auto"/>
      </w:divBdr>
    </w:div>
    <w:div w:id="2100829613">
      <w:bodyDiv w:val="1"/>
      <w:marLeft w:val="0"/>
      <w:marRight w:val="0"/>
      <w:marTop w:val="0"/>
      <w:marBottom w:val="0"/>
      <w:divBdr>
        <w:top w:val="none" w:sz="0" w:space="0" w:color="auto"/>
        <w:left w:val="none" w:sz="0" w:space="0" w:color="auto"/>
        <w:bottom w:val="none" w:sz="0" w:space="0" w:color="auto"/>
        <w:right w:val="none" w:sz="0" w:space="0" w:color="auto"/>
      </w:divBdr>
    </w:div>
    <w:div w:id="2104260071">
      <w:bodyDiv w:val="1"/>
      <w:marLeft w:val="0"/>
      <w:marRight w:val="0"/>
      <w:marTop w:val="0"/>
      <w:marBottom w:val="0"/>
      <w:divBdr>
        <w:top w:val="none" w:sz="0" w:space="0" w:color="auto"/>
        <w:left w:val="none" w:sz="0" w:space="0" w:color="auto"/>
        <w:bottom w:val="none" w:sz="0" w:space="0" w:color="auto"/>
        <w:right w:val="none" w:sz="0" w:space="0" w:color="auto"/>
      </w:divBdr>
    </w:div>
    <w:div w:id="2104452610">
      <w:bodyDiv w:val="1"/>
      <w:marLeft w:val="0"/>
      <w:marRight w:val="0"/>
      <w:marTop w:val="0"/>
      <w:marBottom w:val="0"/>
      <w:divBdr>
        <w:top w:val="none" w:sz="0" w:space="0" w:color="auto"/>
        <w:left w:val="none" w:sz="0" w:space="0" w:color="auto"/>
        <w:bottom w:val="none" w:sz="0" w:space="0" w:color="auto"/>
        <w:right w:val="none" w:sz="0" w:space="0" w:color="auto"/>
      </w:divBdr>
    </w:div>
    <w:div w:id="2104648489">
      <w:bodyDiv w:val="1"/>
      <w:marLeft w:val="0"/>
      <w:marRight w:val="0"/>
      <w:marTop w:val="0"/>
      <w:marBottom w:val="0"/>
      <w:divBdr>
        <w:top w:val="none" w:sz="0" w:space="0" w:color="auto"/>
        <w:left w:val="none" w:sz="0" w:space="0" w:color="auto"/>
        <w:bottom w:val="none" w:sz="0" w:space="0" w:color="auto"/>
        <w:right w:val="none" w:sz="0" w:space="0" w:color="auto"/>
      </w:divBdr>
    </w:div>
    <w:div w:id="2105300434">
      <w:bodyDiv w:val="1"/>
      <w:marLeft w:val="0"/>
      <w:marRight w:val="0"/>
      <w:marTop w:val="0"/>
      <w:marBottom w:val="0"/>
      <w:divBdr>
        <w:top w:val="none" w:sz="0" w:space="0" w:color="auto"/>
        <w:left w:val="none" w:sz="0" w:space="0" w:color="auto"/>
        <w:bottom w:val="none" w:sz="0" w:space="0" w:color="auto"/>
        <w:right w:val="none" w:sz="0" w:space="0" w:color="auto"/>
      </w:divBdr>
    </w:div>
    <w:div w:id="2106994281">
      <w:bodyDiv w:val="1"/>
      <w:marLeft w:val="0"/>
      <w:marRight w:val="0"/>
      <w:marTop w:val="0"/>
      <w:marBottom w:val="0"/>
      <w:divBdr>
        <w:top w:val="none" w:sz="0" w:space="0" w:color="auto"/>
        <w:left w:val="none" w:sz="0" w:space="0" w:color="auto"/>
        <w:bottom w:val="none" w:sz="0" w:space="0" w:color="auto"/>
        <w:right w:val="none" w:sz="0" w:space="0" w:color="auto"/>
      </w:divBdr>
    </w:div>
    <w:div w:id="2107577390">
      <w:bodyDiv w:val="1"/>
      <w:marLeft w:val="0"/>
      <w:marRight w:val="0"/>
      <w:marTop w:val="0"/>
      <w:marBottom w:val="0"/>
      <w:divBdr>
        <w:top w:val="none" w:sz="0" w:space="0" w:color="auto"/>
        <w:left w:val="none" w:sz="0" w:space="0" w:color="auto"/>
        <w:bottom w:val="none" w:sz="0" w:space="0" w:color="auto"/>
        <w:right w:val="none" w:sz="0" w:space="0" w:color="auto"/>
      </w:divBdr>
    </w:div>
    <w:div w:id="2108424558">
      <w:bodyDiv w:val="1"/>
      <w:marLeft w:val="0"/>
      <w:marRight w:val="0"/>
      <w:marTop w:val="0"/>
      <w:marBottom w:val="0"/>
      <w:divBdr>
        <w:top w:val="none" w:sz="0" w:space="0" w:color="auto"/>
        <w:left w:val="none" w:sz="0" w:space="0" w:color="auto"/>
        <w:bottom w:val="none" w:sz="0" w:space="0" w:color="auto"/>
        <w:right w:val="none" w:sz="0" w:space="0" w:color="auto"/>
      </w:divBdr>
    </w:div>
    <w:div w:id="2109159459">
      <w:bodyDiv w:val="1"/>
      <w:marLeft w:val="0"/>
      <w:marRight w:val="0"/>
      <w:marTop w:val="0"/>
      <w:marBottom w:val="0"/>
      <w:divBdr>
        <w:top w:val="none" w:sz="0" w:space="0" w:color="auto"/>
        <w:left w:val="none" w:sz="0" w:space="0" w:color="auto"/>
        <w:bottom w:val="none" w:sz="0" w:space="0" w:color="auto"/>
        <w:right w:val="none" w:sz="0" w:space="0" w:color="auto"/>
      </w:divBdr>
    </w:div>
    <w:div w:id="2111048907">
      <w:bodyDiv w:val="1"/>
      <w:marLeft w:val="0"/>
      <w:marRight w:val="0"/>
      <w:marTop w:val="0"/>
      <w:marBottom w:val="0"/>
      <w:divBdr>
        <w:top w:val="none" w:sz="0" w:space="0" w:color="auto"/>
        <w:left w:val="none" w:sz="0" w:space="0" w:color="auto"/>
        <w:bottom w:val="none" w:sz="0" w:space="0" w:color="auto"/>
        <w:right w:val="none" w:sz="0" w:space="0" w:color="auto"/>
      </w:divBdr>
    </w:div>
    <w:div w:id="2111460858">
      <w:bodyDiv w:val="1"/>
      <w:marLeft w:val="0"/>
      <w:marRight w:val="0"/>
      <w:marTop w:val="0"/>
      <w:marBottom w:val="0"/>
      <w:divBdr>
        <w:top w:val="none" w:sz="0" w:space="0" w:color="auto"/>
        <w:left w:val="none" w:sz="0" w:space="0" w:color="auto"/>
        <w:bottom w:val="none" w:sz="0" w:space="0" w:color="auto"/>
        <w:right w:val="none" w:sz="0" w:space="0" w:color="auto"/>
      </w:divBdr>
    </w:div>
    <w:div w:id="2112969082">
      <w:bodyDiv w:val="1"/>
      <w:marLeft w:val="0"/>
      <w:marRight w:val="0"/>
      <w:marTop w:val="0"/>
      <w:marBottom w:val="0"/>
      <w:divBdr>
        <w:top w:val="none" w:sz="0" w:space="0" w:color="auto"/>
        <w:left w:val="none" w:sz="0" w:space="0" w:color="auto"/>
        <w:bottom w:val="none" w:sz="0" w:space="0" w:color="auto"/>
        <w:right w:val="none" w:sz="0" w:space="0" w:color="auto"/>
      </w:divBdr>
    </w:div>
    <w:div w:id="2113551753">
      <w:bodyDiv w:val="1"/>
      <w:marLeft w:val="0"/>
      <w:marRight w:val="0"/>
      <w:marTop w:val="0"/>
      <w:marBottom w:val="0"/>
      <w:divBdr>
        <w:top w:val="none" w:sz="0" w:space="0" w:color="auto"/>
        <w:left w:val="none" w:sz="0" w:space="0" w:color="auto"/>
        <w:bottom w:val="none" w:sz="0" w:space="0" w:color="auto"/>
        <w:right w:val="none" w:sz="0" w:space="0" w:color="auto"/>
      </w:divBdr>
    </w:div>
    <w:div w:id="2113933802">
      <w:bodyDiv w:val="1"/>
      <w:marLeft w:val="0"/>
      <w:marRight w:val="0"/>
      <w:marTop w:val="0"/>
      <w:marBottom w:val="0"/>
      <w:divBdr>
        <w:top w:val="none" w:sz="0" w:space="0" w:color="auto"/>
        <w:left w:val="none" w:sz="0" w:space="0" w:color="auto"/>
        <w:bottom w:val="none" w:sz="0" w:space="0" w:color="auto"/>
        <w:right w:val="none" w:sz="0" w:space="0" w:color="auto"/>
      </w:divBdr>
    </w:div>
    <w:div w:id="2120371020">
      <w:bodyDiv w:val="1"/>
      <w:marLeft w:val="0"/>
      <w:marRight w:val="0"/>
      <w:marTop w:val="0"/>
      <w:marBottom w:val="0"/>
      <w:divBdr>
        <w:top w:val="none" w:sz="0" w:space="0" w:color="auto"/>
        <w:left w:val="none" w:sz="0" w:space="0" w:color="auto"/>
        <w:bottom w:val="none" w:sz="0" w:space="0" w:color="auto"/>
        <w:right w:val="none" w:sz="0" w:space="0" w:color="auto"/>
      </w:divBdr>
    </w:div>
    <w:div w:id="2120447963">
      <w:bodyDiv w:val="1"/>
      <w:marLeft w:val="0"/>
      <w:marRight w:val="0"/>
      <w:marTop w:val="0"/>
      <w:marBottom w:val="0"/>
      <w:divBdr>
        <w:top w:val="none" w:sz="0" w:space="0" w:color="auto"/>
        <w:left w:val="none" w:sz="0" w:space="0" w:color="auto"/>
        <w:bottom w:val="none" w:sz="0" w:space="0" w:color="auto"/>
        <w:right w:val="none" w:sz="0" w:space="0" w:color="auto"/>
      </w:divBdr>
    </w:div>
    <w:div w:id="2120753107">
      <w:bodyDiv w:val="1"/>
      <w:marLeft w:val="0"/>
      <w:marRight w:val="0"/>
      <w:marTop w:val="0"/>
      <w:marBottom w:val="0"/>
      <w:divBdr>
        <w:top w:val="none" w:sz="0" w:space="0" w:color="auto"/>
        <w:left w:val="none" w:sz="0" w:space="0" w:color="auto"/>
        <w:bottom w:val="none" w:sz="0" w:space="0" w:color="auto"/>
        <w:right w:val="none" w:sz="0" w:space="0" w:color="auto"/>
      </w:divBdr>
    </w:div>
    <w:div w:id="2121024919">
      <w:bodyDiv w:val="1"/>
      <w:marLeft w:val="0"/>
      <w:marRight w:val="0"/>
      <w:marTop w:val="0"/>
      <w:marBottom w:val="0"/>
      <w:divBdr>
        <w:top w:val="none" w:sz="0" w:space="0" w:color="auto"/>
        <w:left w:val="none" w:sz="0" w:space="0" w:color="auto"/>
        <w:bottom w:val="none" w:sz="0" w:space="0" w:color="auto"/>
        <w:right w:val="none" w:sz="0" w:space="0" w:color="auto"/>
      </w:divBdr>
    </w:div>
    <w:div w:id="2121954426">
      <w:bodyDiv w:val="1"/>
      <w:marLeft w:val="0"/>
      <w:marRight w:val="0"/>
      <w:marTop w:val="0"/>
      <w:marBottom w:val="0"/>
      <w:divBdr>
        <w:top w:val="none" w:sz="0" w:space="0" w:color="auto"/>
        <w:left w:val="none" w:sz="0" w:space="0" w:color="auto"/>
        <w:bottom w:val="none" w:sz="0" w:space="0" w:color="auto"/>
        <w:right w:val="none" w:sz="0" w:space="0" w:color="auto"/>
      </w:divBdr>
    </w:div>
    <w:div w:id="2122189718">
      <w:bodyDiv w:val="1"/>
      <w:marLeft w:val="0"/>
      <w:marRight w:val="0"/>
      <w:marTop w:val="0"/>
      <w:marBottom w:val="0"/>
      <w:divBdr>
        <w:top w:val="none" w:sz="0" w:space="0" w:color="auto"/>
        <w:left w:val="none" w:sz="0" w:space="0" w:color="auto"/>
        <w:bottom w:val="none" w:sz="0" w:space="0" w:color="auto"/>
        <w:right w:val="none" w:sz="0" w:space="0" w:color="auto"/>
      </w:divBdr>
    </w:div>
    <w:div w:id="2122449864">
      <w:bodyDiv w:val="1"/>
      <w:marLeft w:val="0"/>
      <w:marRight w:val="0"/>
      <w:marTop w:val="0"/>
      <w:marBottom w:val="0"/>
      <w:divBdr>
        <w:top w:val="none" w:sz="0" w:space="0" w:color="auto"/>
        <w:left w:val="none" w:sz="0" w:space="0" w:color="auto"/>
        <w:bottom w:val="none" w:sz="0" w:space="0" w:color="auto"/>
        <w:right w:val="none" w:sz="0" w:space="0" w:color="auto"/>
      </w:divBdr>
    </w:div>
    <w:div w:id="2124036823">
      <w:bodyDiv w:val="1"/>
      <w:marLeft w:val="0"/>
      <w:marRight w:val="0"/>
      <w:marTop w:val="0"/>
      <w:marBottom w:val="0"/>
      <w:divBdr>
        <w:top w:val="none" w:sz="0" w:space="0" w:color="auto"/>
        <w:left w:val="none" w:sz="0" w:space="0" w:color="auto"/>
        <w:bottom w:val="none" w:sz="0" w:space="0" w:color="auto"/>
        <w:right w:val="none" w:sz="0" w:space="0" w:color="auto"/>
      </w:divBdr>
    </w:div>
    <w:div w:id="2124572852">
      <w:bodyDiv w:val="1"/>
      <w:marLeft w:val="0"/>
      <w:marRight w:val="0"/>
      <w:marTop w:val="0"/>
      <w:marBottom w:val="0"/>
      <w:divBdr>
        <w:top w:val="none" w:sz="0" w:space="0" w:color="auto"/>
        <w:left w:val="none" w:sz="0" w:space="0" w:color="auto"/>
        <w:bottom w:val="none" w:sz="0" w:space="0" w:color="auto"/>
        <w:right w:val="none" w:sz="0" w:space="0" w:color="auto"/>
      </w:divBdr>
    </w:div>
    <w:div w:id="2128425812">
      <w:bodyDiv w:val="1"/>
      <w:marLeft w:val="0"/>
      <w:marRight w:val="0"/>
      <w:marTop w:val="0"/>
      <w:marBottom w:val="0"/>
      <w:divBdr>
        <w:top w:val="none" w:sz="0" w:space="0" w:color="auto"/>
        <w:left w:val="none" w:sz="0" w:space="0" w:color="auto"/>
        <w:bottom w:val="none" w:sz="0" w:space="0" w:color="auto"/>
        <w:right w:val="none" w:sz="0" w:space="0" w:color="auto"/>
      </w:divBdr>
    </w:div>
    <w:div w:id="2129271758">
      <w:bodyDiv w:val="1"/>
      <w:marLeft w:val="0"/>
      <w:marRight w:val="0"/>
      <w:marTop w:val="0"/>
      <w:marBottom w:val="0"/>
      <w:divBdr>
        <w:top w:val="none" w:sz="0" w:space="0" w:color="auto"/>
        <w:left w:val="none" w:sz="0" w:space="0" w:color="auto"/>
        <w:bottom w:val="none" w:sz="0" w:space="0" w:color="auto"/>
        <w:right w:val="none" w:sz="0" w:space="0" w:color="auto"/>
      </w:divBdr>
    </w:div>
    <w:div w:id="2129347461">
      <w:bodyDiv w:val="1"/>
      <w:marLeft w:val="0"/>
      <w:marRight w:val="0"/>
      <w:marTop w:val="0"/>
      <w:marBottom w:val="0"/>
      <w:divBdr>
        <w:top w:val="none" w:sz="0" w:space="0" w:color="auto"/>
        <w:left w:val="none" w:sz="0" w:space="0" w:color="auto"/>
        <w:bottom w:val="none" w:sz="0" w:space="0" w:color="auto"/>
        <w:right w:val="none" w:sz="0" w:space="0" w:color="auto"/>
      </w:divBdr>
    </w:div>
    <w:div w:id="2130006375">
      <w:bodyDiv w:val="1"/>
      <w:marLeft w:val="0"/>
      <w:marRight w:val="0"/>
      <w:marTop w:val="0"/>
      <w:marBottom w:val="0"/>
      <w:divBdr>
        <w:top w:val="none" w:sz="0" w:space="0" w:color="auto"/>
        <w:left w:val="none" w:sz="0" w:space="0" w:color="auto"/>
        <w:bottom w:val="none" w:sz="0" w:space="0" w:color="auto"/>
        <w:right w:val="none" w:sz="0" w:space="0" w:color="auto"/>
      </w:divBdr>
    </w:div>
    <w:div w:id="2130658616">
      <w:bodyDiv w:val="1"/>
      <w:marLeft w:val="0"/>
      <w:marRight w:val="0"/>
      <w:marTop w:val="0"/>
      <w:marBottom w:val="0"/>
      <w:divBdr>
        <w:top w:val="none" w:sz="0" w:space="0" w:color="auto"/>
        <w:left w:val="none" w:sz="0" w:space="0" w:color="auto"/>
        <w:bottom w:val="none" w:sz="0" w:space="0" w:color="auto"/>
        <w:right w:val="none" w:sz="0" w:space="0" w:color="auto"/>
      </w:divBdr>
    </w:div>
    <w:div w:id="2133668196">
      <w:bodyDiv w:val="1"/>
      <w:marLeft w:val="0"/>
      <w:marRight w:val="0"/>
      <w:marTop w:val="0"/>
      <w:marBottom w:val="0"/>
      <w:divBdr>
        <w:top w:val="none" w:sz="0" w:space="0" w:color="auto"/>
        <w:left w:val="none" w:sz="0" w:space="0" w:color="auto"/>
        <w:bottom w:val="none" w:sz="0" w:space="0" w:color="auto"/>
        <w:right w:val="none" w:sz="0" w:space="0" w:color="auto"/>
      </w:divBdr>
    </w:div>
    <w:div w:id="2135319428">
      <w:bodyDiv w:val="1"/>
      <w:marLeft w:val="0"/>
      <w:marRight w:val="0"/>
      <w:marTop w:val="0"/>
      <w:marBottom w:val="0"/>
      <w:divBdr>
        <w:top w:val="none" w:sz="0" w:space="0" w:color="auto"/>
        <w:left w:val="none" w:sz="0" w:space="0" w:color="auto"/>
        <w:bottom w:val="none" w:sz="0" w:space="0" w:color="auto"/>
        <w:right w:val="none" w:sz="0" w:space="0" w:color="auto"/>
      </w:divBdr>
    </w:div>
    <w:div w:id="2135559121">
      <w:bodyDiv w:val="1"/>
      <w:marLeft w:val="0"/>
      <w:marRight w:val="0"/>
      <w:marTop w:val="0"/>
      <w:marBottom w:val="0"/>
      <w:divBdr>
        <w:top w:val="none" w:sz="0" w:space="0" w:color="auto"/>
        <w:left w:val="none" w:sz="0" w:space="0" w:color="auto"/>
        <w:bottom w:val="none" w:sz="0" w:space="0" w:color="auto"/>
        <w:right w:val="none" w:sz="0" w:space="0" w:color="auto"/>
      </w:divBdr>
    </w:div>
    <w:div w:id="2138185567">
      <w:bodyDiv w:val="1"/>
      <w:marLeft w:val="0"/>
      <w:marRight w:val="0"/>
      <w:marTop w:val="0"/>
      <w:marBottom w:val="0"/>
      <w:divBdr>
        <w:top w:val="none" w:sz="0" w:space="0" w:color="auto"/>
        <w:left w:val="none" w:sz="0" w:space="0" w:color="auto"/>
        <w:bottom w:val="none" w:sz="0" w:space="0" w:color="auto"/>
        <w:right w:val="none" w:sz="0" w:space="0" w:color="auto"/>
      </w:divBdr>
    </w:div>
    <w:div w:id="2139570640">
      <w:bodyDiv w:val="1"/>
      <w:marLeft w:val="0"/>
      <w:marRight w:val="0"/>
      <w:marTop w:val="0"/>
      <w:marBottom w:val="0"/>
      <w:divBdr>
        <w:top w:val="none" w:sz="0" w:space="0" w:color="auto"/>
        <w:left w:val="none" w:sz="0" w:space="0" w:color="auto"/>
        <w:bottom w:val="none" w:sz="0" w:space="0" w:color="auto"/>
        <w:right w:val="none" w:sz="0" w:space="0" w:color="auto"/>
      </w:divBdr>
    </w:div>
    <w:div w:id="2139685265">
      <w:bodyDiv w:val="1"/>
      <w:marLeft w:val="0"/>
      <w:marRight w:val="0"/>
      <w:marTop w:val="0"/>
      <w:marBottom w:val="0"/>
      <w:divBdr>
        <w:top w:val="none" w:sz="0" w:space="0" w:color="auto"/>
        <w:left w:val="none" w:sz="0" w:space="0" w:color="auto"/>
        <w:bottom w:val="none" w:sz="0" w:space="0" w:color="auto"/>
        <w:right w:val="none" w:sz="0" w:space="0" w:color="auto"/>
      </w:divBdr>
    </w:div>
    <w:div w:id="2140028395">
      <w:bodyDiv w:val="1"/>
      <w:marLeft w:val="0"/>
      <w:marRight w:val="0"/>
      <w:marTop w:val="0"/>
      <w:marBottom w:val="0"/>
      <w:divBdr>
        <w:top w:val="none" w:sz="0" w:space="0" w:color="auto"/>
        <w:left w:val="none" w:sz="0" w:space="0" w:color="auto"/>
        <w:bottom w:val="none" w:sz="0" w:space="0" w:color="auto"/>
        <w:right w:val="none" w:sz="0" w:space="0" w:color="auto"/>
      </w:divBdr>
    </w:div>
    <w:div w:id="2140297706">
      <w:bodyDiv w:val="1"/>
      <w:marLeft w:val="0"/>
      <w:marRight w:val="0"/>
      <w:marTop w:val="0"/>
      <w:marBottom w:val="0"/>
      <w:divBdr>
        <w:top w:val="none" w:sz="0" w:space="0" w:color="auto"/>
        <w:left w:val="none" w:sz="0" w:space="0" w:color="auto"/>
        <w:bottom w:val="none" w:sz="0" w:space="0" w:color="auto"/>
        <w:right w:val="none" w:sz="0" w:space="0" w:color="auto"/>
      </w:divBdr>
    </w:div>
    <w:div w:id="2141146218">
      <w:bodyDiv w:val="1"/>
      <w:marLeft w:val="0"/>
      <w:marRight w:val="0"/>
      <w:marTop w:val="0"/>
      <w:marBottom w:val="0"/>
      <w:divBdr>
        <w:top w:val="none" w:sz="0" w:space="0" w:color="auto"/>
        <w:left w:val="none" w:sz="0" w:space="0" w:color="auto"/>
        <w:bottom w:val="none" w:sz="0" w:space="0" w:color="auto"/>
        <w:right w:val="none" w:sz="0" w:space="0" w:color="auto"/>
      </w:divBdr>
    </w:div>
    <w:div w:id="2142376908">
      <w:bodyDiv w:val="1"/>
      <w:marLeft w:val="0"/>
      <w:marRight w:val="0"/>
      <w:marTop w:val="0"/>
      <w:marBottom w:val="0"/>
      <w:divBdr>
        <w:top w:val="none" w:sz="0" w:space="0" w:color="auto"/>
        <w:left w:val="none" w:sz="0" w:space="0" w:color="auto"/>
        <w:bottom w:val="none" w:sz="0" w:space="0" w:color="auto"/>
        <w:right w:val="none" w:sz="0" w:space="0" w:color="auto"/>
      </w:divBdr>
    </w:div>
    <w:div w:id="2142838179">
      <w:bodyDiv w:val="1"/>
      <w:marLeft w:val="0"/>
      <w:marRight w:val="0"/>
      <w:marTop w:val="0"/>
      <w:marBottom w:val="0"/>
      <w:divBdr>
        <w:top w:val="none" w:sz="0" w:space="0" w:color="auto"/>
        <w:left w:val="none" w:sz="0" w:space="0" w:color="auto"/>
        <w:bottom w:val="none" w:sz="0" w:space="0" w:color="auto"/>
        <w:right w:val="none" w:sz="0" w:space="0" w:color="auto"/>
      </w:divBdr>
    </w:div>
    <w:div w:id="2142915546">
      <w:bodyDiv w:val="1"/>
      <w:marLeft w:val="0"/>
      <w:marRight w:val="0"/>
      <w:marTop w:val="0"/>
      <w:marBottom w:val="0"/>
      <w:divBdr>
        <w:top w:val="none" w:sz="0" w:space="0" w:color="auto"/>
        <w:left w:val="none" w:sz="0" w:space="0" w:color="auto"/>
        <w:bottom w:val="none" w:sz="0" w:space="0" w:color="auto"/>
        <w:right w:val="none" w:sz="0" w:space="0" w:color="auto"/>
      </w:divBdr>
    </w:div>
    <w:div w:id="2143113795">
      <w:bodyDiv w:val="1"/>
      <w:marLeft w:val="0"/>
      <w:marRight w:val="0"/>
      <w:marTop w:val="0"/>
      <w:marBottom w:val="0"/>
      <w:divBdr>
        <w:top w:val="none" w:sz="0" w:space="0" w:color="auto"/>
        <w:left w:val="none" w:sz="0" w:space="0" w:color="auto"/>
        <w:bottom w:val="none" w:sz="0" w:space="0" w:color="auto"/>
        <w:right w:val="none" w:sz="0" w:space="0" w:color="auto"/>
      </w:divBdr>
    </w:div>
    <w:div w:id="2144419793">
      <w:bodyDiv w:val="1"/>
      <w:marLeft w:val="0"/>
      <w:marRight w:val="0"/>
      <w:marTop w:val="0"/>
      <w:marBottom w:val="0"/>
      <w:divBdr>
        <w:top w:val="none" w:sz="0" w:space="0" w:color="auto"/>
        <w:left w:val="none" w:sz="0" w:space="0" w:color="auto"/>
        <w:bottom w:val="none" w:sz="0" w:space="0" w:color="auto"/>
        <w:right w:val="none" w:sz="0" w:space="0" w:color="auto"/>
      </w:divBdr>
    </w:div>
    <w:div w:id="2145804599">
      <w:bodyDiv w:val="1"/>
      <w:marLeft w:val="0"/>
      <w:marRight w:val="0"/>
      <w:marTop w:val="0"/>
      <w:marBottom w:val="0"/>
      <w:divBdr>
        <w:top w:val="none" w:sz="0" w:space="0" w:color="auto"/>
        <w:left w:val="none" w:sz="0" w:space="0" w:color="auto"/>
        <w:bottom w:val="none" w:sz="0" w:space="0" w:color="auto"/>
        <w:right w:val="none" w:sz="0" w:space="0" w:color="auto"/>
      </w:divBdr>
    </w:div>
    <w:div w:id="2145853348">
      <w:bodyDiv w:val="1"/>
      <w:marLeft w:val="0"/>
      <w:marRight w:val="0"/>
      <w:marTop w:val="0"/>
      <w:marBottom w:val="0"/>
      <w:divBdr>
        <w:top w:val="none" w:sz="0" w:space="0" w:color="auto"/>
        <w:left w:val="none" w:sz="0" w:space="0" w:color="auto"/>
        <w:bottom w:val="none" w:sz="0" w:space="0" w:color="auto"/>
        <w:right w:val="none" w:sz="0" w:space="0" w:color="auto"/>
      </w:divBdr>
    </w:div>
    <w:div w:id="21467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futuregridaccelerator.com/glossary/emergence/" TargetMode="External"/><Relationship Id="rId68" Type="http://schemas.openxmlformats.org/officeDocument/2006/relationships/hyperlink" Target="https://futuregridaccelerator.com/glossary/reserves/" TargetMode="External"/><Relationship Id="rId84" Type="http://schemas.openxmlformats.org/officeDocument/2006/relationships/hyperlink" Target="https://futuregridaccelerator.com/glossary/complexity/" TargetMode="External"/><Relationship Id="rId89" Type="http://schemas.microsoft.com/office/2019/05/relationships/documenttasks" Target="documenttasks/documenttasks1.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jpg"/><Relationship Id="rId58" Type="http://schemas.openxmlformats.org/officeDocument/2006/relationships/image" Target="media/image40.png"/><Relationship Id="rId74" Type="http://schemas.openxmlformats.org/officeDocument/2006/relationships/hyperlink" Target="https://futuregridaccelerator.com/glossary/feeder/" TargetMode="External"/><Relationship Id="rId79" Type="http://schemas.openxmlformats.org/officeDocument/2006/relationships/hyperlink" Target="https://futuregridaccelerator.com/glossary/controllable-load/" TargetMode="External"/><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gridarchitecture.pnnl.gov/media/advanced/Comparative%20Architecture%20Analysis-Final.pdf" TargetMode="External"/><Relationship Id="rId69" Type="http://schemas.openxmlformats.org/officeDocument/2006/relationships/hyperlink" Target="https://futuregridaccelerator.com/glossary/bulk-power-system/" TargetMode="External"/><Relationship Id="rId77" Type="http://schemas.openxmlformats.org/officeDocument/2006/relationships/hyperlink" Target="https://futuregridaccelerator.com/glossary/demand-response/"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futuregridaccelerator.com/glossary/operational-coordination/" TargetMode="External"/><Relationship Id="rId80" Type="http://schemas.openxmlformats.org/officeDocument/2006/relationships/hyperlink" Target="https://futuregridaccelerator.com/glossary/interruptible-load/" TargetMode="External"/><Relationship Id="rId85" Type="http://schemas.openxmlformats.org/officeDocument/2006/relationships/hyperlink" Target="https://futuregridaccelerator.com/glossary/emergence/" TargetMode="External"/><Relationship Id="rId3" Type="http://schemas.openxmlformats.org/officeDocument/2006/relationships/customXml" Target="../customXml/item3.xml"/><Relationship Id="rId12" Type="http://schemas.openxmlformats.org/officeDocument/2006/relationships/hyperlink" Target="https://energycatalyst.au/"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hyperlink" Target="https://futuregridaccelerator.com/glossary/reactive-power/" TargetMode="External"/><Relationship Id="rId20" Type="http://schemas.openxmlformats.org/officeDocument/2006/relationships/hyperlink" Target="http://www.energycatalyst.au/futuregrid"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futuregridaccelerator.com/glossary/complexity/" TargetMode="External"/><Relationship Id="rId70" Type="http://schemas.openxmlformats.org/officeDocument/2006/relationships/hyperlink" Target="https://futuregridaccelerator.com/glossary/transmission-network/" TargetMode="External"/><Relationship Id="rId75" Type="http://schemas.openxmlformats.org/officeDocument/2006/relationships/hyperlink" Target="https://futuregridaccelerator.com/glossary/substation/" TargetMode="External"/><Relationship Id="rId83" Type="http://schemas.openxmlformats.org/officeDocument/2006/relationships/hyperlink" Target="https://futuregridaccelerator.com/glossary/system-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hyperlink" Target="https://futuregridaccelerator.com/glossary/real-power-active-power/" TargetMode="External"/><Relationship Id="rId73" Type="http://schemas.openxmlformats.org/officeDocument/2006/relationships/hyperlink" Target="https://futuregridaccelerator.com/glossary/demand/" TargetMode="External"/><Relationship Id="rId78" Type="http://schemas.openxmlformats.org/officeDocument/2006/relationships/hyperlink" Target="https://futuregridaccelerator.com/glossary/load-shifting/" TargetMode="External"/><Relationship Id="rId81" Type="http://schemas.openxmlformats.org/officeDocument/2006/relationships/hyperlink" Target="https://futuregridaccelerator.com/glossary/system-2/" TargetMode="External"/><Relationship Id="rId86"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futuregridaccelerator.com/glossary/demand-management/" TargetMode="External"/><Relationship Id="rId7" Type="http://schemas.openxmlformats.org/officeDocument/2006/relationships/settings" Target="settings.xml"/><Relationship Id="rId71" Type="http://schemas.openxmlformats.org/officeDocument/2006/relationships/hyperlink" Target="https://futuregridaccelerator.com/glossary/customers/"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futuregridaccelerator.com/glossary/energy/" TargetMode="External"/><Relationship Id="rId87" Type="http://schemas.openxmlformats.org/officeDocument/2006/relationships/fontTable" Target="fontTable.xml"/><Relationship Id="rId61" Type="http://schemas.openxmlformats.org/officeDocument/2006/relationships/hyperlink" Target="https://futuregridaccelerator.com/glossary/system-2/" TargetMode="External"/><Relationship Id="rId82" Type="http://schemas.openxmlformats.org/officeDocument/2006/relationships/hyperlink" Target="https://futuregridaccelerator.com/glossary/structure/" TargetMode="External"/><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BDD1F-2C36-486B-B48E-C55EE1E5CEF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E0DE886E-74A6-4561-A90D-B42A1CD5F88B}">
      <dgm:prSet phldrT="[Text]"/>
      <dgm:spPr/>
      <dgm:t>
        <a:bodyPr/>
        <a:lstStyle/>
        <a:p>
          <a:pPr algn="ctr">
            <a:lnSpc>
              <a:spcPct val="100000"/>
            </a:lnSpc>
            <a:spcBef>
              <a:spcPts val="0"/>
            </a:spcBef>
            <a:spcAft>
              <a:spcPts val="0"/>
            </a:spcAft>
          </a:pPr>
          <a:r>
            <a:rPr lang="en-AU"/>
            <a:t>System / Market Operator</a:t>
          </a:r>
        </a:p>
      </dgm:t>
    </dgm:pt>
    <dgm:pt modelId="{368A2BEF-18C6-4966-A1AC-7F1429FE10C6}" type="parTrans" cxnId="{4ABD8543-4893-48D0-BFD2-566BA560A36E}">
      <dgm:prSet/>
      <dgm:spPr/>
      <dgm:t>
        <a:bodyPr/>
        <a:lstStyle/>
        <a:p>
          <a:pPr algn="ctr">
            <a:lnSpc>
              <a:spcPct val="100000"/>
            </a:lnSpc>
            <a:spcBef>
              <a:spcPts val="0"/>
            </a:spcBef>
            <a:spcAft>
              <a:spcPts val="0"/>
            </a:spcAft>
          </a:pPr>
          <a:endParaRPr lang="en-AU"/>
        </a:p>
      </dgm:t>
    </dgm:pt>
    <dgm:pt modelId="{680C9BB6-BA1C-43C7-B4A1-4F968444BB6A}" type="sibTrans" cxnId="{4ABD8543-4893-48D0-BFD2-566BA560A36E}">
      <dgm:prSet/>
      <dgm:spPr/>
      <dgm:t>
        <a:bodyPr/>
        <a:lstStyle/>
        <a:p>
          <a:pPr algn="ctr">
            <a:lnSpc>
              <a:spcPct val="100000"/>
            </a:lnSpc>
            <a:spcBef>
              <a:spcPts val="0"/>
            </a:spcBef>
            <a:spcAft>
              <a:spcPts val="0"/>
            </a:spcAft>
          </a:pPr>
          <a:endParaRPr lang="en-AU"/>
        </a:p>
      </dgm:t>
    </dgm:pt>
    <dgm:pt modelId="{79F49608-3930-40FE-A055-B64F96CB26EB}">
      <dgm:prSet phldrT="[Text]"/>
      <dgm:spPr/>
      <dgm:t>
        <a:bodyPr/>
        <a:lstStyle/>
        <a:p>
          <a:pPr algn="ctr">
            <a:lnSpc>
              <a:spcPct val="100000"/>
            </a:lnSpc>
            <a:spcBef>
              <a:spcPts val="0"/>
            </a:spcBef>
            <a:spcAft>
              <a:spcPts val="0"/>
            </a:spcAft>
          </a:pPr>
          <a:r>
            <a:rPr lang="en-AU"/>
            <a:t>Transmission Network #1</a:t>
          </a:r>
        </a:p>
      </dgm:t>
    </dgm:pt>
    <dgm:pt modelId="{59E98438-C252-4D53-AEDF-12EC92B899D1}" type="sibTrans" cxnId="{88EF9799-E3D9-4285-A87F-6C8BA3DF3D97}">
      <dgm:prSet/>
      <dgm:spPr/>
      <dgm:t>
        <a:bodyPr/>
        <a:lstStyle/>
        <a:p>
          <a:pPr algn="ctr">
            <a:lnSpc>
              <a:spcPct val="100000"/>
            </a:lnSpc>
            <a:spcBef>
              <a:spcPts val="0"/>
            </a:spcBef>
            <a:spcAft>
              <a:spcPts val="0"/>
            </a:spcAft>
          </a:pPr>
          <a:endParaRPr lang="en-AU"/>
        </a:p>
      </dgm:t>
    </dgm:pt>
    <dgm:pt modelId="{7F355290-CCA3-498C-8CD8-7C1FABC92E2B}" type="parTrans" cxnId="{88EF9799-E3D9-4285-A87F-6C8BA3DF3D97}">
      <dgm:prSet/>
      <dgm:spPr/>
      <dgm:t>
        <a:bodyPr/>
        <a:lstStyle/>
        <a:p>
          <a:pPr algn="ctr">
            <a:lnSpc>
              <a:spcPct val="100000"/>
            </a:lnSpc>
            <a:spcBef>
              <a:spcPts val="0"/>
            </a:spcBef>
            <a:spcAft>
              <a:spcPts val="0"/>
            </a:spcAft>
          </a:pPr>
          <a:endParaRPr lang="en-AU"/>
        </a:p>
      </dgm:t>
    </dgm:pt>
    <dgm:pt modelId="{1C2B34E1-2657-4F75-9812-CDD050BA85DD}">
      <dgm:prSet phldrT="[Text]"/>
      <dgm:spPr/>
      <dgm:t>
        <a:bodyPr/>
        <a:lstStyle/>
        <a:p>
          <a:pPr algn="ctr">
            <a:lnSpc>
              <a:spcPct val="100000"/>
            </a:lnSpc>
            <a:spcBef>
              <a:spcPts val="0"/>
            </a:spcBef>
            <a:spcAft>
              <a:spcPts val="0"/>
            </a:spcAft>
          </a:pPr>
          <a:r>
            <a:rPr lang="en-AU"/>
            <a:t>Transmission Network #2</a:t>
          </a:r>
        </a:p>
      </dgm:t>
    </dgm:pt>
    <dgm:pt modelId="{9C9A9C5D-17E0-42E2-B017-6947977B9E53}" type="sibTrans" cxnId="{362EAF2E-0DC3-469F-AEFA-108B166164B3}">
      <dgm:prSet/>
      <dgm:spPr/>
      <dgm:t>
        <a:bodyPr/>
        <a:lstStyle/>
        <a:p>
          <a:pPr algn="ctr">
            <a:lnSpc>
              <a:spcPct val="100000"/>
            </a:lnSpc>
            <a:spcBef>
              <a:spcPts val="0"/>
            </a:spcBef>
            <a:spcAft>
              <a:spcPts val="0"/>
            </a:spcAft>
          </a:pPr>
          <a:endParaRPr lang="en-AU"/>
        </a:p>
      </dgm:t>
    </dgm:pt>
    <dgm:pt modelId="{54A5E080-EAC8-4DF3-A1E5-ED1A2BCCA200}" type="parTrans" cxnId="{362EAF2E-0DC3-469F-AEFA-108B166164B3}">
      <dgm:prSet/>
      <dgm:spPr/>
      <dgm:t>
        <a:bodyPr/>
        <a:lstStyle/>
        <a:p>
          <a:pPr algn="ctr">
            <a:lnSpc>
              <a:spcPct val="100000"/>
            </a:lnSpc>
            <a:spcBef>
              <a:spcPts val="0"/>
            </a:spcBef>
            <a:spcAft>
              <a:spcPts val="0"/>
            </a:spcAft>
          </a:pPr>
          <a:endParaRPr lang="en-AU"/>
        </a:p>
      </dgm:t>
    </dgm:pt>
    <dgm:pt modelId="{635A0B7C-7405-4B53-83AE-19174E8B0A34}">
      <dgm:prSet phldrT="[Text]"/>
      <dgm:spPr/>
      <dgm:t>
        <a:bodyPr/>
        <a:lstStyle/>
        <a:p>
          <a:pPr algn="ctr">
            <a:lnSpc>
              <a:spcPct val="100000"/>
            </a:lnSpc>
            <a:spcBef>
              <a:spcPts val="0"/>
            </a:spcBef>
            <a:spcAft>
              <a:spcPts val="0"/>
            </a:spcAft>
          </a:pPr>
          <a:r>
            <a:rPr lang="en-AU"/>
            <a:t>Transmission Network #3</a:t>
          </a:r>
        </a:p>
      </dgm:t>
    </dgm:pt>
    <dgm:pt modelId="{B8274C02-4F9A-40A7-964B-165461305775}" type="sibTrans" cxnId="{6696CA54-0E45-4695-B21A-7E3E089CBCB0}">
      <dgm:prSet/>
      <dgm:spPr/>
      <dgm:t>
        <a:bodyPr/>
        <a:lstStyle/>
        <a:p>
          <a:pPr algn="ctr">
            <a:lnSpc>
              <a:spcPct val="100000"/>
            </a:lnSpc>
            <a:spcBef>
              <a:spcPts val="0"/>
            </a:spcBef>
            <a:spcAft>
              <a:spcPts val="0"/>
            </a:spcAft>
          </a:pPr>
          <a:endParaRPr lang="en-AU"/>
        </a:p>
      </dgm:t>
    </dgm:pt>
    <dgm:pt modelId="{38D4CCE0-D42C-436F-86EA-4C51DD05E0B2}" type="parTrans" cxnId="{6696CA54-0E45-4695-B21A-7E3E089CBCB0}">
      <dgm:prSet/>
      <dgm:spPr/>
      <dgm:t>
        <a:bodyPr/>
        <a:lstStyle/>
        <a:p>
          <a:pPr algn="ctr">
            <a:lnSpc>
              <a:spcPct val="100000"/>
            </a:lnSpc>
            <a:spcBef>
              <a:spcPts val="0"/>
            </a:spcBef>
            <a:spcAft>
              <a:spcPts val="0"/>
            </a:spcAft>
          </a:pPr>
          <a:endParaRPr lang="en-AU"/>
        </a:p>
      </dgm:t>
    </dgm:pt>
    <dgm:pt modelId="{F906711E-0591-4F2B-A6B9-6EA7468101F9}">
      <dgm:prSet phldrT="[Text]"/>
      <dgm:spPr/>
      <dgm:t>
        <a:bodyPr/>
        <a:lstStyle/>
        <a:p>
          <a:pPr algn="ctr">
            <a:lnSpc>
              <a:spcPct val="100000"/>
            </a:lnSpc>
            <a:spcBef>
              <a:spcPts val="0"/>
            </a:spcBef>
            <a:spcAft>
              <a:spcPts val="0"/>
            </a:spcAft>
          </a:pPr>
          <a:r>
            <a:rPr lang="en-AU"/>
            <a:t>DSO/Distribution Network #3A</a:t>
          </a:r>
        </a:p>
      </dgm:t>
    </dgm:pt>
    <dgm:pt modelId="{FFC5A37C-C8B3-430B-B240-0EAACEE1BD07}" type="sibTrans" cxnId="{B91F0DB6-9945-4554-B3AD-D462BE026A6B}">
      <dgm:prSet/>
      <dgm:spPr/>
      <dgm:t>
        <a:bodyPr/>
        <a:lstStyle/>
        <a:p>
          <a:pPr algn="ctr">
            <a:lnSpc>
              <a:spcPct val="100000"/>
            </a:lnSpc>
            <a:spcBef>
              <a:spcPts val="0"/>
            </a:spcBef>
            <a:spcAft>
              <a:spcPts val="0"/>
            </a:spcAft>
          </a:pPr>
          <a:endParaRPr lang="en-AU"/>
        </a:p>
      </dgm:t>
    </dgm:pt>
    <dgm:pt modelId="{5A0E4B4F-3745-4C0B-9D85-1BB81927BC78}" type="parTrans" cxnId="{B91F0DB6-9945-4554-B3AD-D462BE026A6B}">
      <dgm:prSet/>
      <dgm:spPr/>
      <dgm:t>
        <a:bodyPr/>
        <a:lstStyle/>
        <a:p>
          <a:pPr algn="ctr">
            <a:lnSpc>
              <a:spcPct val="100000"/>
            </a:lnSpc>
            <a:spcBef>
              <a:spcPts val="0"/>
            </a:spcBef>
            <a:spcAft>
              <a:spcPts val="0"/>
            </a:spcAft>
          </a:pPr>
          <a:endParaRPr lang="en-AU"/>
        </a:p>
      </dgm:t>
    </dgm:pt>
    <dgm:pt modelId="{6DCC9D84-975E-4EAA-8631-F1E4570F67B4}">
      <dgm:prSet phldrT="[Text]"/>
      <dgm:spPr/>
      <dgm:t>
        <a:bodyPr/>
        <a:lstStyle/>
        <a:p>
          <a:pPr algn="ctr">
            <a:lnSpc>
              <a:spcPct val="100000"/>
            </a:lnSpc>
            <a:spcBef>
              <a:spcPts val="0"/>
            </a:spcBef>
            <a:spcAft>
              <a:spcPts val="0"/>
            </a:spcAft>
          </a:pPr>
          <a:r>
            <a:rPr lang="en-AU"/>
            <a:t>DSO/Distribution Network #1A</a:t>
          </a:r>
        </a:p>
      </dgm:t>
    </dgm:pt>
    <dgm:pt modelId="{1F9F3C4C-EE23-46BE-8CF9-D61B50D78392}" type="parTrans" cxnId="{3E4F0EF1-1026-414D-9C5E-1B6A58706801}">
      <dgm:prSet/>
      <dgm:spPr/>
      <dgm:t>
        <a:bodyPr/>
        <a:lstStyle/>
        <a:p>
          <a:pPr algn="ctr">
            <a:lnSpc>
              <a:spcPct val="100000"/>
            </a:lnSpc>
            <a:spcBef>
              <a:spcPts val="0"/>
            </a:spcBef>
            <a:spcAft>
              <a:spcPts val="0"/>
            </a:spcAft>
          </a:pPr>
          <a:endParaRPr lang="en-AU"/>
        </a:p>
      </dgm:t>
    </dgm:pt>
    <dgm:pt modelId="{3A30BD9F-689D-4758-A7CA-3D99CF1393FF}" type="sibTrans" cxnId="{3E4F0EF1-1026-414D-9C5E-1B6A58706801}">
      <dgm:prSet/>
      <dgm:spPr/>
      <dgm:t>
        <a:bodyPr/>
        <a:lstStyle/>
        <a:p>
          <a:pPr algn="ctr">
            <a:lnSpc>
              <a:spcPct val="100000"/>
            </a:lnSpc>
            <a:spcBef>
              <a:spcPts val="0"/>
            </a:spcBef>
            <a:spcAft>
              <a:spcPts val="0"/>
            </a:spcAft>
          </a:pPr>
          <a:endParaRPr lang="en-AU"/>
        </a:p>
      </dgm:t>
    </dgm:pt>
    <dgm:pt modelId="{F12183CF-D543-4905-B9BA-C90BD1BADD3F}">
      <dgm:prSet phldrT="[Text]"/>
      <dgm:spPr/>
      <dgm:t>
        <a:bodyPr/>
        <a:lstStyle/>
        <a:p>
          <a:pPr algn="ctr">
            <a:lnSpc>
              <a:spcPct val="100000"/>
            </a:lnSpc>
            <a:spcBef>
              <a:spcPts val="0"/>
            </a:spcBef>
            <a:spcAft>
              <a:spcPts val="0"/>
            </a:spcAft>
          </a:pPr>
          <a:r>
            <a:rPr lang="en-AU"/>
            <a:t>DSO/Distribution Network #1B</a:t>
          </a:r>
        </a:p>
      </dgm:t>
    </dgm:pt>
    <dgm:pt modelId="{E2C8002C-D220-47F3-80A8-49ACB3C75DA0}" type="parTrans" cxnId="{5AF8CF34-A60B-49DC-A14C-8B9B138C88B6}">
      <dgm:prSet/>
      <dgm:spPr/>
      <dgm:t>
        <a:bodyPr/>
        <a:lstStyle/>
        <a:p>
          <a:pPr algn="ctr">
            <a:lnSpc>
              <a:spcPct val="100000"/>
            </a:lnSpc>
            <a:spcBef>
              <a:spcPts val="0"/>
            </a:spcBef>
            <a:spcAft>
              <a:spcPts val="0"/>
            </a:spcAft>
          </a:pPr>
          <a:endParaRPr lang="en-AU"/>
        </a:p>
      </dgm:t>
    </dgm:pt>
    <dgm:pt modelId="{3D9411D1-DBE8-4024-A279-F00F29669BA2}" type="sibTrans" cxnId="{5AF8CF34-A60B-49DC-A14C-8B9B138C88B6}">
      <dgm:prSet/>
      <dgm:spPr/>
      <dgm:t>
        <a:bodyPr/>
        <a:lstStyle/>
        <a:p>
          <a:pPr algn="ctr">
            <a:lnSpc>
              <a:spcPct val="100000"/>
            </a:lnSpc>
            <a:spcBef>
              <a:spcPts val="0"/>
            </a:spcBef>
            <a:spcAft>
              <a:spcPts val="0"/>
            </a:spcAft>
          </a:pPr>
          <a:endParaRPr lang="en-AU"/>
        </a:p>
      </dgm:t>
    </dgm:pt>
    <dgm:pt modelId="{D8C7B24A-C588-4DAD-AF5D-812CA97AF4BB}">
      <dgm:prSet phldrT="[Text]"/>
      <dgm:spPr/>
      <dgm:t>
        <a:bodyPr/>
        <a:lstStyle/>
        <a:p>
          <a:pPr algn="ctr">
            <a:lnSpc>
              <a:spcPct val="100000"/>
            </a:lnSpc>
            <a:spcBef>
              <a:spcPts val="0"/>
            </a:spcBef>
            <a:spcAft>
              <a:spcPts val="0"/>
            </a:spcAft>
          </a:pPr>
          <a:r>
            <a:rPr lang="en-AU"/>
            <a:t>DSO/Distribution  Network #1C</a:t>
          </a:r>
        </a:p>
      </dgm:t>
    </dgm:pt>
    <dgm:pt modelId="{1128FF9F-6E9E-4A73-807D-6C75B7B690C0}" type="parTrans" cxnId="{D230F94D-3D47-4109-8C56-3D0AAFC2C0E7}">
      <dgm:prSet/>
      <dgm:spPr/>
      <dgm:t>
        <a:bodyPr/>
        <a:lstStyle/>
        <a:p>
          <a:pPr algn="ctr">
            <a:lnSpc>
              <a:spcPct val="100000"/>
            </a:lnSpc>
            <a:spcBef>
              <a:spcPts val="0"/>
            </a:spcBef>
            <a:spcAft>
              <a:spcPts val="0"/>
            </a:spcAft>
          </a:pPr>
          <a:endParaRPr lang="en-AU"/>
        </a:p>
      </dgm:t>
    </dgm:pt>
    <dgm:pt modelId="{5BC7BFE7-D17D-4864-BB77-F87006376336}" type="sibTrans" cxnId="{D230F94D-3D47-4109-8C56-3D0AAFC2C0E7}">
      <dgm:prSet/>
      <dgm:spPr/>
      <dgm:t>
        <a:bodyPr/>
        <a:lstStyle/>
        <a:p>
          <a:pPr algn="ctr">
            <a:lnSpc>
              <a:spcPct val="100000"/>
            </a:lnSpc>
            <a:spcBef>
              <a:spcPts val="0"/>
            </a:spcBef>
            <a:spcAft>
              <a:spcPts val="0"/>
            </a:spcAft>
          </a:pPr>
          <a:endParaRPr lang="en-AU"/>
        </a:p>
      </dgm:t>
    </dgm:pt>
    <dgm:pt modelId="{385FD66D-BD76-478A-8094-33DD559632C4}">
      <dgm:prSet phldrT="[Text]"/>
      <dgm:spPr/>
      <dgm:t>
        <a:bodyPr/>
        <a:lstStyle/>
        <a:p>
          <a:pPr algn="ctr">
            <a:lnSpc>
              <a:spcPct val="100000"/>
            </a:lnSpc>
            <a:spcBef>
              <a:spcPts val="0"/>
            </a:spcBef>
            <a:spcAft>
              <a:spcPts val="0"/>
            </a:spcAft>
          </a:pPr>
          <a:r>
            <a:rPr lang="en-AU"/>
            <a:t>DSO/Distribution Network #2A</a:t>
          </a:r>
        </a:p>
      </dgm:t>
    </dgm:pt>
    <dgm:pt modelId="{0BC59A64-F003-447B-8E56-F85B66A9706F}" type="parTrans" cxnId="{841D9437-5064-47A0-9751-6BE87BF1B12C}">
      <dgm:prSet/>
      <dgm:spPr/>
      <dgm:t>
        <a:bodyPr/>
        <a:lstStyle/>
        <a:p>
          <a:pPr algn="ctr">
            <a:lnSpc>
              <a:spcPct val="100000"/>
            </a:lnSpc>
            <a:spcBef>
              <a:spcPts val="0"/>
            </a:spcBef>
            <a:spcAft>
              <a:spcPts val="0"/>
            </a:spcAft>
          </a:pPr>
          <a:endParaRPr lang="en-AU"/>
        </a:p>
      </dgm:t>
    </dgm:pt>
    <dgm:pt modelId="{918D9343-9D04-40CE-91DF-390F12677C4F}" type="sibTrans" cxnId="{841D9437-5064-47A0-9751-6BE87BF1B12C}">
      <dgm:prSet/>
      <dgm:spPr/>
      <dgm:t>
        <a:bodyPr/>
        <a:lstStyle/>
        <a:p>
          <a:pPr algn="ctr">
            <a:lnSpc>
              <a:spcPct val="100000"/>
            </a:lnSpc>
            <a:spcBef>
              <a:spcPts val="0"/>
            </a:spcBef>
            <a:spcAft>
              <a:spcPts val="0"/>
            </a:spcAft>
          </a:pPr>
          <a:endParaRPr lang="en-AU"/>
        </a:p>
      </dgm:t>
    </dgm:pt>
    <dgm:pt modelId="{70278BE6-CD6C-48B0-8C90-FBC4C8FC88AB}">
      <dgm:prSet phldrT="[Text]"/>
      <dgm:spPr/>
      <dgm:t>
        <a:bodyPr/>
        <a:lstStyle/>
        <a:p>
          <a:pPr algn="ctr">
            <a:lnSpc>
              <a:spcPct val="100000"/>
            </a:lnSpc>
            <a:spcBef>
              <a:spcPts val="0"/>
            </a:spcBef>
            <a:spcAft>
              <a:spcPts val="0"/>
            </a:spcAft>
          </a:pPr>
          <a:r>
            <a:rPr lang="en-AU"/>
            <a:t>DSO/Distribution Network #2B</a:t>
          </a:r>
        </a:p>
      </dgm:t>
    </dgm:pt>
    <dgm:pt modelId="{39BF6963-7A3E-44C5-BEF8-7C6A43833715}" type="parTrans" cxnId="{75719638-724C-43F4-B59C-F6441D0E4AE1}">
      <dgm:prSet/>
      <dgm:spPr/>
      <dgm:t>
        <a:bodyPr/>
        <a:lstStyle/>
        <a:p>
          <a:pPr algn="ctr">
            <a:lnSpc>
              <a:spcPct val="100000"/>
            </a:lnSpc>
            <a:spcBef>
              <a:spcPts val="0"/>
            </a:spcBef>
            <a:spcAft>
              <a:spcPts val="0"/>
            </a:spcAft>
          </a:pPr>
          <a:endParaRPr lang="en-AU"/>
        </a:p>
      </dgm:t>
    </dgm:pt>
    <dgm:pt modelId="{A45B727D-CBCA-4AB2-AB1A-669E908A43E2}" type="sibTrans" cxnId="{75719638-724C-43F4-B59C-F6441D0E4AE1}">
      <dgm:prSet/>
      <dgm:spPr/>
      <dgm:t>
        <a:bodyPr/>
        <a:lstStyle/>
        <a:p>
          <a:pPr algn="ctr">
            <a:lnSpc>
              <a:spcPct val="100000"/>
            </a:lnSpc>
            <a:spcBef>
              <a:spcPts val="0"/>
            </a:spcBef>
            <a:spcAft>
              <a:spcPts val="0"/>
            </a:spcAft>
          </a:pPr>
          <a:endParaRPr lang="en-AU"/>
        </a:p>
      </dgm:t>
    </dgm:pt>
    <dgm:pt modelId="{871A5B12-9D6D-404F-A49E-62326986C16F}">
      <dgm:prSet phldrT="[Text]"/>
      <dgm:spPr/>
      <dgm:t>
        <a:bodyPr/>
        <a:lstStyle/>
        <a:p>
          <a:pPr algn="ctr">
            <a:lnSpc>
              <a:spcPct val="100000"/>
            </a:lnSpc>
            <a:spcBef>
              <a:spcPts val="0"/>
            </a:spcBef>
            <a:spcAft>
              <a:spcPts val="0"/>
            </a:spcAft>
          </a:pPr>
          <a:r>
            <a:rPr lang="en-AU"/>
            <a:t>DSO/Distribution Network #3B</a:t>
          </a:r>
        </a:p>
      </dgm:t>
    </dgm:pt>
    <dgm:pt modelId="{1B47BDC8-21F3-4FC3-AF92-362F9A31E0A0}" type="parTrans" cxnId="{DE020FEB-5A64-48FC-B4F8-0A2044CDEB28}">
      <dgm:prSet/>
      <dgm:spPr/>
      <dgm:t>
        <a:bodyPr/>
        <a:lstStyle/>
        <a:p>
          <a:pPr algn="ctr">
            <a:lnSpc>
              <a:spcPct val="100000"/>
            </a:lnSpc>
            <a:spcBef>
              <a:spcPts val="0"/>
            </a:spcBef>
            <a:spcAft>
              <a:spcPts val="0"/>
            </a:spcAft>
          </a:pPr>
          <a:endParaRPr lang="en-AU"/>
        </a:p>
      </dgm:t>
    </dgm:pt>
    <dgm:pt modelId="{C3238A26-4E62-45A2-8B25-E633EA09D18F}" type="sibTrans" cxnId="{DE020FEB-5A64-48FC-B4F8-0A2044CDEB28}">
      <dgm:prSet/>
      <dgm:spPr/>
      <dgm:t>
        <a:bodyPr/>
        <a:lstStyle/>
        <a:p>
          <a:pPr algn="ctr">
            <a:lnSpc>
              <a:spcPct val="100000"/>
            </a:lnSpc>
            <a:spcBef>
              <a:spcPts val="0"/>
            </a:spcBef>
            <a:spcAft>
              <a:spcPts val="0"/>
            </a:spcAft>
          </a:pPr>
          <a:endParaRPr lang="en-AU"/>
        </a:p>
      </dgm:t>
    </dgm:pt>
    <dgm:pt modelId="{A83BD96E-E326-4ACE-93D9-BDC835C9DB0E}">
      <dgm:prSet phldrT="[Text]"/>
      <dgm:spPr/>
      <dgm:t>
        <a:bodyPr/>
        <a:lstStyle/>
        <a:p>
          <a:pPr algn="ctr">
            <a:lnSpc>
              <a:spcPct val="100000"/>
            </a:lnSpc>
            <a:spcBef>
              <a:spcPts val="0"/>
            </a:spcBef>
            <a:spcAft>
              <a:spcPts val="0"/>
            </a:spcAft>
          </a:pPr>
          <a:r>
            <a:rPr lang="en-AU"/>
            <a:t>DSO/Distribution Network #3C</a:t>
          </a:r>
        </a:p>
      </dgm:t>
    </dgm:pt>
    <dgm:pt modelId="{3E675FDE-507F-4C7D-A598-DFFC895CB0C9}" type="parTrans" cxnId="{FBBAFE35-53FA-45DC-B2B4-0C09731C0802}">
      <dgm:prSet/>
      <dgm:spPr/>
      <dgm:t>
        <a:bodyPr/>
        <a:lstStyle/>
        <a:p>
          <a:pPr algn="ctr">
            <a:lnSpc>
              <a:spcPct val="100000"/>
            </a:lnSpc>
            <a:spcBef>
              <a:spcPts val="0"/>
            </a:spcBef>
            <a:spcAft>
              <a:spcPts val="0"/>
            </a:spcAft>
          </a:pPr>
          <a:endParaRPr lang="en-AU"/>
        </a:p>
      </dgm:t>
    </dgm:pt>
    <dgm:pt modelId="{BA894A60-AA79-45A9-BDF1-A1980BDF9487}" type="sibTrans" cxnId="{FBBAFE35-53FA-45DC-B2B4-0C09731C0802}">
      <dgm:prSet/>
      <dgm:spPr/>
      <dgm:t>
        <a:bodyPr/>
        <a:lstStyle/>
        <a:p>
          <a:pPr algn="ctr">
            <a:lnSpc>
              <a:spcPct val="100000"/>
            </a:lnSpc>
            <a:spcBef>
              <a:spcPts val="0"/>
            </a:spcBef>
            <a:spcAft>
              <a:spcPts val="0"/>
            </a:spcAft>
          </a:pPr>
          <a:endParaRPr lang="en-AU"/>
        </a:p>
      </dgm:t>
    </dgm:pt>
    <dgm:pt modelId="{D58EEB38-BACC-4629-B943-5572F99B1DD0}" type="pres">
      <dgm:prSet presAssocID="{E36BDD1F-2C36-486B-B48E-C55EE1E5CEF6}" presName="diagram" presStyleCnt="0">
        <dgm:presLayoutVars>
          <dgm:chPref val="1"/>
          <dgm:dir/>
          <dgm:animOne val="branch"/>
          <dgm:animLvl val="lvl"/>
          <dgm:resizeHandles val="exact"/>
        </dgm:presLayoutVars>
      </dgm:prSet>
      <dgm:spPr/>
    </dgm:pt>
    <dgm:pt modelId="{9E7044C6-3163-4533-9CAB-D3F28A296E5D}" type="pres">
      <dgm:prSet presAssocID="{E0DE886E-74A6-4561-A90D-B42A1CD5F88B}" presName="root1" presStyleCnt="0"/>
      <dgm:spPr/>
    </dgm:pt>
    <dgm:pt modelId="{4C421107-881E-431B-8C31-969C2BBB4311}" type="pres">
      <dgm:prSet presAssocID="{E0DE886E-74A6-4561-A90D-B42A1CD5F88B}" presName="LevelOneTextNode" presStyleLbl="node0" presStyleIdx="0" presStyleCnt="1">
        <dgm:presLayoutVars>
          <dgm:chPref val="3"/>
        </dgm:presLayoutVars>
      </dgm:prSet>
      <dgm:spPr/>
    </dgm:pt>
    <dgm:pt modelId="{51BA3D95-7018-411E-8EF9-C4886A07C262}" type="pres">
      <dgm:prSet presAssocID="{E0DE886E-74A6-4561-A90D-B42A1CD5F88B}" presName="level2hierChild" presStyleCnt="0"/>
      <dgm:spPr/>
    </dgm:pt>
    <dgm:pt modelId="{7E19B875-1D1E-4C31-BD94-CB82CEEEAAB7}" type="pres">
      <dgm:prSet presAssocID="{7F355290-CCA3-498C-8CD8-7C1FABC92E2B}" presName="conn2-1" presStyleLbl="parChTrans1D2" presStyleIdx="0" presStyleCnt="3"/>
      <dgm:spPr/>
    </dgm:pt>
    <dgm:pt modelId="{98853AE4-E60F-4139-B716-22F93A58427F}" type="pres">
      <dgm:prSet presAssocID="{7F355290-CCA3-498C-8CD8-7C1FABC92E2B}" presName="connTx" presStyleLbl="parChTrans1D2" presStyleIdx="0" presStyleCnt="3"/>
      <dgm:spPr/>
    </dgm:pt>
    <dgm:pt modelId="{38CB5108-9806-4135-9F8F-40A84DAB62C3}" type="pres">
      <dgm:prSet presAssocID="{79F49608-3930-40FE-A055-B64F96CB26EB}" presName="root2" presStyleCnt="0"/>
      <dgm:spPr/>
    </dgm:pt>
    <dgm:pt modelId="{CFE7715A-6779-464E-8E36-7F7222456C36}" type="pres">
      <dgm:prSet presAssocID="{79F49608-3930-40FE-A055-B64F96CB26EB}" presName="LevelTwoTextNode" presStyleLbl="node2" presStyleIdx="0" presStyleCnt="3">
        <dgm:presLayoutVars>
          <dgm:chPref val="3"/>
        </dgm:presLayoutVars>
      </dgm:prSet>
      <dgm:spPr/>
    </dgm:pt>
    <dgm:pt modelId="{134C7ECC-871C-4EBB-8FEC-73B4A8169A4E}" type="pres">
      <dgm:prSet presAssocID="{79F49608-3930-40FE-A055-B64F96CB26EB}" presName="level3hierChild" presStyleCnt="0"/>
      <dgm:spPr/>
    </dgm:pt>
    <dgm:pt modelId="{D1320812-A22D-4A4A-AAAA-B6E9733C14E5}" type="pres">
      <dgm:prSet presAssocID="{1F9F3C4C-EE23-46BE-8CF9-D61B50D78392}" presName="conn2-1" presStyleLbl="parChTrans1D3" presStyleIdx="0" presStyleCnt="8"/>
      <dgm:spPr/>
    </dgm:pt>
    <dgm:pt modelId="{63B10544-8FBE-45EB-95C0-5E7243F657F5}" type="pres">
      <dgm:prSet presAssocID="{1F9F3C4C-EE23-46BE-8CF9-D61B50D78392}" presName="connTx" presStyleLbl="parChTrans1D3" presStyleIdx="0" presStyleCnt="8"/>
      <dgm:spPr/>
    </dgm:pt>
    <dgm:pt modelId="{92A4B325-9034-410B-83F6-ABEAE48E9376}" type="pres">
      <dgm:prSet presAssocID="{6DCC9D84-975E-4EAA-8631-F1E4570F67B4}" presName="root2" presStyleCnt="0"/>
      <dgm:spPr/>
    </dgm:pt>
    <dgm:pt modelId="{45EC86B8-3003-4239-AC5A-5916F5CDDB31}" type="pres">
      <dgm:prSet presAssocID="{6DCC9D84-975E-4EAA-8631-F1E4570F67B4}" presName="LevelTwoTextNode" presStyleLbl="node3" presStyleIdx="0" presStyleCnt="8">
        <dgm:presLayoutVars>
          <dgm:chPref val="3"/>
        </dgm:presLayoutVars>
      </dgm:prSet>
      <dgm:spPr/>
    </dgm:pt>
    <dgm:pt modelId="{8F49D8E9-BEC5-4749-8312-A745D37B902B}" type="pres">
      <dgm:prSet presAssocID="{6DCC9D84-975E-4EAA-8631-F1E4570F67B4}" presName="level3hierChild" presStyleCnt="0"/>
      <dgm:spPr/>
    </dgm:pt>
    <dgm:pt modelId="{79878949-EE7B-4AFF-AF4C-53BF0BC4C08A}" type="pres">
      <dgm:prSet presAssocID="{E2C8002C-D220-47F3-80A8-49ACB3C75DA0}" presName="conn2-1" presStyleLbl="parChTrans1D3" presStyleIdx="1" presStyleCnt="8"/>
      <dgm:spPr/>
    </dgm:pt>
    <dgm:pt modelId="{F27A2E79-DD5D-40B2-8B8A-05A15F583CC9}" type="pres">
      <dgm:prSet presAssocID="{E2C8002C-D220-47F3-80A8-49ACB3C75DA0}" presName="connTx" presStyleLbl="parChTrans1D3" presStyleIdx="1" presStyleCnt="8"/>
      <dgm:spPr/>
    </dgm:pt>
    <dgm:pt modelId="{CE59BB6C-68A5-4DCD-AC77-28C084D919BD}" type="pres">
      <dgm:prSet presAssocID="{F12183CF-D543-4905-B9BA-C90BD1BADD3F}" presName="root2" presStyleCnt="0"/>
      <dgm:spPr/>
    </dgm:pt>
    <dgm:pt modelId="{AF5F9864-BACE-4E3B-911F-C853A77AED13}" type="pres">
      <dgm:prSet presAssocID="{F12183CF-D543-4905-B9BA-C90BD1BADD3F}" presName="LevelTwoTextNode" presStyleLbl="node3" presStyleIdx="1" presStyleCnt="8">
        <dgm:presLayoutVars>
          <dgm:chPref val="3"/>
        </dgm:presLayoutVars>
      </dgm:prSet>
      <dgm:spPr/>
    </dgm:pt>
    <dgm:pt modelId="{8ECAC1A2-DAE8-42D0-8448-A008F5601125}" type="pres">
      <dgm:prSet presAssocID="{F12183CF-D543-4905-B9BA-C90BD1BADD3F}" presName="level3hierChild" presStyleCnt="0"/>
      <dgm:spPr/>
    </dgm:pt>
    <dgm:pt modelId="{CC435CF3-0590-44E5-8AC2-39B77821BE08}" type="pres">
      <dgm:prSet presAssocID="{1128FF9F-6E9E-4A73-807D-6C75B7B690C0}" presName="conn2-1" presStyleLbl="parChTrans1D3" presStyleIdx="2" presStyleCnt="8"/>
      <dgm:spPr/>
    </dgm:pt>
    <dgm:pt modelId="{F5134675-4F41-4056-AAC0-8C6E4F5F4D48}" type="pres">
      <dgm:prSet presAssocID="{1128FF9F-6E9E-4A73-807D-6C75B7B690C0}" presName="connTx" presStyleLbl="parChTrans1D3" presStyleIdx="2" presStyleCnt="8"/>
      <dgm:spPr/>
    </dgm:pt>
    <dgm:pt modelId="{D5CD10E5-E6FF-40BF-9FB6-2618FE1AACB3}" type="pres">
      <dgm:prSet presAssocID="{D8C7B24A-C588-4DAD-AF5D-812CA97AF4BB}" presName="root2" presStyleCnt="0"/>
      <dgm:spPr/>
    </dgm:pt>
    <dgm:pt modelId="{5E35EDCE-F077-4781-B64B-30C9C00D409B}" type="pres">
      <dgm:prSet presAssocID="{D8C7B24A-C588-4DAD-AF5D-812CA97AF4BB}" presName="LevelTwoTextNode" presStyleLbl="node3" presStyleIdx="2" presStyleCnt="8">
        <dgm:presLayoutVars>
          <dgm:chPref val="3"/>
        </dgm:presLayoutVars>
      </dgm:prSet>
      <dgm:spPr/>
    </dgm:pt>
    <dgm:pt modelId="{4AF454F2-C499-42E9-ABEE-2F87356B3AE4}" type="pres">
      <dgm:prSet presAssocID="{D8C7B24A-C588-4DAD-AF5D-812CA97AF4BB}" presName="level3hierChild" presStyleCnt="0"/>
      <dgm:spPr/>
    </dgm:pt>
    <dgm:pt modelId="{FCE47424-3A87-4DBE-B87F-227D22F381D5}" type="pres">
      <dgm:prSet presAssocID="{54A5E080-EAC8-4DF3-A1E5-ED1A2BCCA200}" presName="conn2-1" presStyleLbl="parChTrans1D2" presStyleIdx="1" presStyleCnt="3"/>
      <dgm:spPr/>
    </dgm:pt>
    <dgm:pt modelId="{12600BCC-4CC8-460C-A344-991295038BC5}" type="pres">
      <dgm:prSet presAssocID="{54A5E080-EAC8-4DF3-A1E5-ED1A2BCCA200}" presName="connTx" presStyleLbl="parChTrans1D2" presStyleIdx="1" presStyleCnt="3"/>
      <dgm:spPr/>
    </dgm:pt>
    <dgm:pt modelId="{1AE9EF40-8BFD-44DA-92C5-B3C7805F9842}" type="pres">
      <dgm:prSet presAssocID="{1C2B34E1-2657-4F75-9812-CDD050BA85DD}" presName="root2" presStyleCnt="0"/>
      <dgm:spPr/>
    </dgm:pt>
    <dgm:pt modelId="{92027258-FAC7-47FF-9169-0EECBB4E9994}" type="pres">
      <dgm:prSet presAssocID="{1C2B34E1-2657-4F75-9812-CDD050BA85DD}" presName="LevelTwoTextNode" presStyleLbl="node2" presStyleIdx="1" presStyleCnt="3">
        <dgm:presLayoutVars>
          <dgm:chPref val="3"/>
        </dgm:presLayoutVars>
      </dgm:prSet>
      <dgm:spPr/>
    </dgm:pt>
    <dgm:pt modelId="{AA09AA58-4410-4B21-A576-464F63E8AED4}" type="pres">
      <dgm:prSet presAssocID="{1C2B34E1-2657-4F75-9812-CDD050BA85DD}" presName="level3hierChild" presStyleCnt="0"/>
      <dgm:spPr/>
    </dgm:pt>
    <dgm:pt modelId="{EE62C64E-11C1-4AE7-B8BD-105810C4A7F2}" type="pres">
      <dgm:prSet presAssocID="{0BC59A64-F003-447B-8E56-F85B66A9706F}" presName="conn2-1" presStyleLbl="parChTrans1D3" presStyleIdx="3" presStyleCnt="8"/>
      <dgm:spPr/>
    </dgm:pt>
    <dgm:pt modelId="{372486F5-F8C0-4F32-9C52-FEC3EB08DF9B}" type="pres">
      <dgm:prSet presAssocID="{0BC59A64-F003-447B-8E56-F85B66A9706F}" presName="connTx" presStyleLbl="parChTrans1D3" presStyleIdx="3" presStyleCnt="8"/>
      <dgm:spPr/>
    </dgm:pt>
    <dgm:pt modelId="{49D3B5C9-0FD3-4980-A4BE-89DA0E9FCA28}" type="pres">
      <dgm:prSet presAssocID="{385FD66D-BD76-478A-8094-33DD559632C4}" presName="root2" presStyleCnt="0"/>
      <dgm:spPr/>
    </dgm:pt>
    <dgm:pt modelId="{7F896D3C-F386-4249-9C9D-34B2AC932BD1}" type="pres">
      <dgm:prSet presAssocID="{385FD66D-BD76-478A-8094-33DD559632C4}" presName="LevelTwoTextNode" presStyleLbl="node3" presStyleIdx="3" presStyleCnt="8">
        <dgm:presLayoutVars>
          <dgm:chPref val="3"/>
        </dgm:presLayoutVars>
      </dgm:prSet>
      <dgm:spPr/>
    </dgm:pt>
    <dgm:pt modelId="{D9586C9E-1317-415F-9247-DA113178EE7E}" type="pres">
      <dgm:prSet presAssocID="{385FD66D-BD76-478A-8094-33DD559632C4}" presName="level3hierChild" presStyleCnt="0"/>
      <dgm:spPr/>
    </dgm:pt>
    <dgm:pt modelId="{A81A30BF-9E4A-46DF-B374-2272176BD894}" type="pres">
      <dgm:prSet presAssocID="{39BF6963-7A3E-44C5-BEF8-7C6A43833715}" presName="conn2-1" presStyleLbl="parChTrans1D3" presStyleIdx="4" presStyleCnt="8"/>
      <dgm:spPr/>
    </dgm:pt>
    <dgm:pt modelId="{25836587-4AE5-42D4-886D-85419BE238D1}" type="pres">
      <dgm:prSet presAssocID="{39BF6963-7A3E-44C5-BEF8-7C6A43833715}" presName="connTx" presStyleLbl="parChTrans1D3" presStyleIdx="4" presStyleCnt="8"/>
      <dgm:spPr/>
    </dgm:pt>
    <dgm:pt modelId="{DCD62E2F-44F2-4A72-A5EE-12B8AA2021A5}" type="pres">
      <dgm:prSet presAssocID="{70278BE6-CD6C-48B0-8C90-FBC4C8FC88AB}" presName="root2" presStyleCnt="0"/>
      <dgm:spPr/>
    </dgm:pt>
    <dgm:pt modelId="{E266A2C5-D07D-42F7-AAC2-C795F72F1965}" type="pres">
      <dgm:prSet presAssocID="{70278BE6-CD6C-48B0-8C90-FBC4C8FC88AB}" presName="LevelTwoTextNode" presStyleLbl="node3" presStyleIdx="4" presStyleCnt="8">
        <dgm:presLayoutVars>
          <dgm:chPref val="3"/>
        </dgm:presLayoutVars>
      </dgm:prSet>
      <dgm:spPr/>
    </dgm:pt>
    <dgm:pt modelId="{734A050A-C0F8-4846-BEFB-E8B940D2A127}" type="pres">
      <dgm:prSet presAssocID="{70278BE6-CD6C-48B0-8C90-FBC4C8FC88AB}" presName="level3hierChild" presStyleCnt="0"/>
      <dgm:spPr/>
    </dgm:pt>
    <dgm:pt modelId="{68CD7997-3932-4B4A-B29B-608D03E6B961}" type="pres">
      <dgm:prSet presAssocID="{38D4CCE0-D42C-436F-86EA-4C51DD05E0B2}" presName="conn2-1" presStyleLbl="parChTrans1D2" presStyleIdx="2" presStyleCnt="3"/>
      <dgm:spPr/>
    </dgm:pt>
    <dgm:pt modelId="{D8260BE7-F3EE-4C9D-88AB-732EEFA9F892}" type="pres">
      <dgm:prSet presAssocID="{38D4CCE0-D42C-436F-86EA-4C51DD05E0B2}" presName="connTx" presStyleLbl="parChTrans1D2" presStyleIdx="2" presStyleCnt="3"/>
      <dgm:spPr/>
    </dgm:pt>
    <dgm:pt modelId="{760C3959-02C7-49B3-A80A-4DEC6F3F37BB}" type="pres">
      <dgm:prSet presAssocID="{635A0B7C-7405-4B53-83AE-19174E8B0A34}" presName="root2" presStyleCnt="0"/>
      <dgm:spPr/>
    </dgm:pt>
    <dgm:pt modelId="{5E9AB819-C2F0-43BD-BB94-183E82DD7A6C}" type="pres">
      <dgm:prSet presAssocID="{635A0B7C-7405-4B53-83AE-19174E8B0A34}" presName="LevelTwoTextNode" presStyleLbl="node2" presStyleIdx="2" presStyleCnt="3">
        <dgm:presLayoutVars>
          <dgm:chPref val="3"/>
        </dgm:presLayoutVars>
      </dgm:prSet>
      <dgm:spPr/>
    </dgm:pt>
    <dgm:pt modelId="{B5AD4006-B294-4C5C-B447-7A7E19629417}" type="pres">
      <dgm:prSet presAssocID="{635A0B7C-7405-4B53-83AE-19174E8B0A34}" presName="level3hierChild" presStyleCnt="0"/>
      <dgm:spPr/>
    </dgm:pt>
    <dgm:pt modelId="{7F800938-55EE-4CE4-9C0E-3B134A8066FA}" type="pres">
      <dgm:prSet presAssocID="{5A0E4B4F-3745-4C0B-9D85-1BB81927BC78}" presName="conn2-1" presStyleLbl="parChTrans1D3" presStyleIdx="5" presStyleCnt="8"/>
      <dgm:spPr/>
    </dgm:pt>
    <dgm:pt modelId="{E424C3A2-6157-4D43-9E08-2FC4D9DA7AC1}" type="pres">
      <dgm:prSet presAssocID="{5A0E4B4F-3745-4C0B-9D85-1BB81927BC78}" presName="connTx" presStyleLbl="parChTrans1D3" presStyleIdx="5" presStyleCnt="8"/>
      <dgm:spPr/>
    </dgm:pt>
    <dgm:pt modelId="{E401064F-02AD-45D9-9C70-986A823CE5B3}" type="pres">
      <dgm:prSet presAssocID="{F906711E-0591-4F2B-A6B9-6EA7468101F9}" presName="root2" presStyleCnt="0"/>
      <dgm:spPr/>
    </dgm:pt>
    <dgm:pt modelId="{2124126E-831E-4C41-9793-8243C450E834}" type="pres">
      <dgm:prSet presAssocID="{F906711E-0591-4F2B-A6B9-6EA7468101F9}" presName="LevelTwoTextNode" presStyleLbl="node3" presStyleIdx="5" presStyleCnt="8">
        <dgm:presLayoutVars>
          <dgm:chPref val="3"/>
        </dgm:presLayoutVars>
      </dgm:prSet>
      <dgm:spPr/>
    </dgm:pt>
    <dgm:pt modelId="{6D617AC0-C6C5-40AF-B52F-7F38255A8483}" type="pres">
      <dgm:prSet presAssocID="{F906711E-0591-4F2B-A6B9-6EA7468101F9}" presName="level3hierChild" presStyleCnt="0"/>
      <dgm:spPr/>
    </dgm:pt>
    <dgm:pt modelId="{A350C75D-463B-4ADC-AFA1-71187F7C2527}" type="pres">
      <dgm:prSet presAssocID="{1B47BDC8-21F3-4FC3-AF92-362F9A31E0A0}" presName="conn2-1" presStyleLbl="parChTrans1D3" presStyleIdx="6" presStyleCnt="8"/>
      <dgm:spPr/>
    </dgm:pt>
    <dgm:pt modelId="{AFCC3BC2-AE64-46C9-A66F-22CE7B0C9E43}" type="pres">
      <dgm:prSet presAssocID="{1B47BDC8-21F3-4FC3-AF92-362F9A31E0A0}" presName="connTx" presStyleLbl="parChTrans1D3" presStyleIdx="6" presStyleCnt="8"/>
      <dgm:spPr/>
    </dgm:pt>
    <dgm:pt modelId="{B21E8989-6815-4660-BF68-BFA6F7DF3478}" type="pres">
      <dgm:prSet presAssocID="{871A5B12-9D6D-404F-A49E-62326986C16F}" presName="root2" presStyleCnt="0"/>
      <dgm:spPr/>
    </dgm:pt>
    <dgm:pt modelId="{7D6905BD-4637-47A7-A45B-197C4ACE7440}" type="pres">
      <dgm:prSet presAssocID="{871A5B12-9D6D-404F-A49E-62326986C16F}" presName="LevelTwoTextNode" presStyleLbl="node3" presStyleIdx="6" presStyleCnt="8">
        <dgm:presLayoutVars>
          <dgm:chPref val="3"/>
        </dgm:presLayoutVars>
      </dgm:prSet>
      <dgm:spPr/>
    </dgm:pt>
    <dgm:pt modelId="{84F1606E-F935-48D5-80EA-6AE6DE67EA47}" type="pres">
      <dgm:prSet presAssocID="{871A5B12-9D6D-404F-A49E-62326986C16F}" presName="level3hierChild" presStyleCnt="0"/>
      <dgm:spPr/>
    </dgm:pt>
    <dgm:pt modelId="{DB8D037E-A3EE-4459-99E2-7565FE24409D}" type="pres">
      <dgm:prSet presAssocID="{3E675FDE-507F-4C7D-A598-DFFC895CB0C9}" presName="conn2-1" presStyleLbl="parChTrans1D3" presStyleIdx="7" presStyleCnt="8"/>
      <dgm:spPr/>
    </dgm:pt>
    <dgm:pt modelId="{C447F859-578D-4034-BB8D-308D3E1B8433}" type="pres">
      <dgm:prSet presAssocID="{3E675FDE-507F-4C7D-A598-DFFC895CB0C9}" presName="connTx" presStyleLbl="parChTrans1D3" presStyleIdx="7" presStyleCnt="8"/>
      <dgm:spPr/>
    </dgm:pt>
    <dgm:pt modelId="{94993E2B-2EA4-41D3-A154-D255D5F86D2D}" type="pres">
      <dgm:prSet presAssocID="{A83BD96E-E326-4ACE-93D9-BDC835C9DB0E}" presName="root2" presStyleCnt="0"/>
      <dgm:spPr/>
    </dgm:pt>
    <dgm:pt modelId="{F0ED1E37-5C38-41B2-A48B-C14F06C601B1}" type="pres">
      <dgm:prSet presAssocID="{A83BD96E-E326-4ACE-93D9-BDC835C9DB0E}" presName="LevelTwoTextNode" presStyleLbl="node3" presStyleIdx="7" presStyleCnt="8">
        <dgm:presLayoutVars>
          <dgm:chPref val="3"/>
        </dgm:presLayoutVars>
      </dgm:prSet>
      <dgm:spPr/>
    </dgm:pt>
    <dgm:pt modelId="{DCA0E840-CD06-4997-BF83-CAA8C5DB5158}" type="pres">
      <dgm:prSet presAssocID="{A83BD96E-E326-4ACE-93D9-BDC835C9DB0E}" presName="level3hierChild" presStyleCnt="0"/>
      <dgm:spPr/>
    </dgm:pt>
  </dgm:ptLst>
  <dgm:cxnLst>
    <dgm:cxn modelId="{150C3811-A7EF-4D93-B5FE-AEC54C4BA47C}" type="presOf" srcId="{79F49608-3930-40FE-A055-B64F96CB26EB}" destId="{CFE7715A-6779-464E-8E36-7F7222456C36}" srcOrd="0" destOrd="0" presId="urn:microsoft.com/office/officeart/2005/8/layout/hierarchy2"/>
    <dgm:cxn modelId="{6E403C12-3E92-4B1B-B088-FB9D7334AC26}" type="presOf" srcId="{E0DE886E-74A6-4561-A90D-B42A1CD5F88B}" destId="{4C421107-881E-431B-8C31-969C2BBB4311}" srcOrd="0" destOrd="0" presId="urn:microsoft.com/office/officeart/2005/8/layout/hierarchy2"/>
    <dgm:cxn modelId="{B17E0D13-3224-4080-9417-CF2916576C8E}" type="presOf" srcId="{A83BD96E-E326-4ACE-93D9-BDC835C9DB0E}" destId="{F0ED1E37-5C38-41B2-A48B-C14F06C601B1}" srcOrd="0" destOrd="0" presId="urn:microsoft.com/office/officeart/2005/8/layout/hierarchy2"/>
    <dgm:cxn modelId="{3E046B15-DFC5-450D-8846-D8C27AD3CEEB}" type="presOf" srcId="{385FD66D-BD76-478A-8094-33DD559632C4}" destId="{7F896D3C-F386-4249-9C9D-34B2AC932BD1}" srcOrd="0" destOrd="0" presId="urn:microsoft.com/office/officeart/2005/8/layout/hierarchy2"/>
    <dgm:cxn modelId="{4EB4992D-03A2-4B26-BADD-25FA355F9CCA}" type="presOf" srcId="{38D4CCE0-D42C-436F-86EA-4C51DD05E0B2}" destId="{D8260BE7-F3EE-4C9D-88AB-732EEFA9F892}" srcOrd="1" destOrd="0" presId="urn:microsoft.com/office/officeart/2005/8/layout/hierarchy2"/>
    <dgm:cxn modelId="{362EAF2E-0DC3-469F-AEFA-108B166164B3}" srcId="{E0DE886E-74A6-4561-A90D-B42A1CD5F88B}" destId="{1C2B34E1-2657-4F75-9812-CDD050BA85DD}" srcOrd="1" destOrd="0" parTransId="{54A5E080-EAC8-4DF3-A1E5-ED1A2BCCA200}" sibTransId="{9C9A9C5D-17E0-42E2-B017-6947977B9E53}"/>
    <dgm:cxn modelId="{6381192F-38FD-4BD6-AD18-25C1408D4341}" type="presOf" srcId="{871A5B12-9D6D-404F-A49E-62326986C16F}" destId="{7D6905BD-4637-47A7-A45B-197C4ACE7440}" srcOrd="0" destOrd="0" presId="urn:microsoft.com/office/officeart/2005/8/layout/hierarchy2"/>
    <dgm:cxn modelId="{D2A10930-8A1E-4ADC-93E2-317DF39A2E10}" type="presOf" srcId="{3E675FDE-507F-4C7D-A598-DFFC895CB0C9}" destId="{C447F859-578D-4034-BB8D-308D3E1B8433}" srcOrd="1" destOrd="0" presId="urn:microsoft.com/office/officeart/2005/8/layout/hierarchy2"/>
    <dgm:cxn modelId="{35C8ED33-9F67-4BFF-932F-E5BBF25497ED}" type="presOf" srcId="{E2C8002C-D220-47F3-80A8-49ACB3C75DA0}" destId="{79878949-EE7B-4AFF-AF4C-53BF0BC4C08A}" srcOrd="0" destOrd="0" presId="urn:microsoft.com/office/officeart/2005/8/layout/hierarchy2"/>
    <dgm:cxn modelId="{5AF8CF34-A60B-49DC-A14C-8B9B138C88B6}" srcId="{79F49608-3930-40FE-A055-B64F96CB26EB}" destId="{F12183CF-D543-4905-B9BA-C90BD1BADD3F}" srcOrd="1" destOrd="0" parTransId="{E2C8002C-D220-47F3-80A8-49ACB3C75DA0}" sibTransId="{3D9411D1-DBE8-4024-A279-F00F29669BA2}"/>
    <dgm:cxn modelId="{FBBAFE35-53FA-45DC-B2B4-0C09731C0802}" srcId="{635A0B7C-7405-4B53-83AE-19174E8B0A34}" destId="{A83BD96E-E326-4ACE-93D9-BDC835C9DB0E}" srcOrd="2" destOrd="0" parTransId="{3E675FDE-507F-4C7D-A598-DFFC895CB0C9}" sibTransId="{BA894A60-AA79-45A9-BDF1-A1980BDF9487}"/>
    <dgm:cxn modelId="{841D9437-5064-47A0-9751-6BE87BF1B12C}" srcId="{1C2B34E1-2657-4F75-9812-CDD050BA85DD}" destId="{385FD66D-BD76-478A-8094-33DD559632C4}" srcOrd="0" destOrd="0" parTransId="{0BC59A64-F003-447B-8E56-F85B66A9706F}" sibTransId="{918D9343-9D04-40CE-91DF-390F12677C4F}"/>
    <dgm:cxn modelId="{75719638-724C-43F4-B59C-F6441D0E4AE1}" srcId="{1C2B34E1-2657-4F75-9812-CDD050BA85DD}" destId="{70278BE6-CD6C-48B0-8C90-FBC4C8FC88AB}" srcOrd="1" destOrd="0" parTransId="{39BF6963-7A3E-44C5-BEF8-7C6A43833715}" sibTransId="{A45B727D-CBCA-4AB2-AB1A-669E908A43E2}"/>
    <dgm:cxn modelId="{16786C41-3F5D-4F63-8F3B-583E32F95363}" type="presOf" srcId="{E2C8002C-D220-47F3-80A8-49ACB3C75DA0}" destId="{F27A2E79-DD5D-40B2-8B8A-05A15F583CC9}" srcOrd="1" destOrd="0" presId="urn:microsoft.com/office/officeart/2005/8/layout/hierarchy2"/>
    <dgm:cxn modelId="{4ABD8543-4893-48D0-BFD2-566BA560A36E}" srcId="{E36BDD1F-2C36-486B-B48E-C55EE1E5CEF6}" destId="{E0DE886E-74A6-4561-A90D-B42A1CD5F88B}" srcOrd="0" destOrd="0" parTransId="{368A2BEF-18C6-4966-A1AC-7F1429FE10C6}" sibTransId="{680C9BB6-BA1C-43C7-B4A1-4F968444BB6A}"/>
    <dgm:cxn modelId="{B27A8F46-06A5-43DF-B635-22E7C679FCA2}" type="presOf" srcId="{7F355290-CCA3-498C-8CD8-7C1FABC92E2B}" destId="{98853AE4-E60F-4139-B716-22F93A58427F}" srcOrd="1" destOrd="0" presId="urn:microsoft.com/office/officeart/2005/8/layout/hierarchy2"/>
    <dgm:cxn modelId="{26EE1A67-7266-49A0-B79F-DCE828AFF2AA}" type="presOf" srcId="{F906711E-0591-4F2B-A6B9-6EA7468101F9}" destId="{2124126E-831E-4C41-9793-8243C450E834}" srcOrd="0" destOrd="0" presId="urn:microsoft.com/office/officeart/2005/8/layout/hierarchy2"/>
    <dgm:cxn modelId="{3ABE7B47-B9A8-4908-A56B-D6B77164496B}" type="presOf" srcId="{D8C7B24A-C588-4DAD-AF5D-812CA97AF4BB}" destId="{5E35EDCE-F077-4781-B64B-30C9C00D409B}" srcOrd="0" destOrd="0" presId="urn:microsoft.com/office/officeart/2005/8/layout/hierarchy2"/>
    <dgm:cxn modelId="{EB015249-D4EE-4586-9E3F-A697843CAEB9}" type="presOf" srcId="{39BF6963-7A3E-44C5-BEF8-7C6A43833715}" destId="{A81A30BF-9E4A-46DF-B374-2272176BD894}" srcOrd="0" destOrd="0" presId="urn:microsoft.com/office/officeart/2005/8/layout/hierarchy2"/>
    <dgm:cxn modelId="{B65EE66A-55DE-4D69-9EA9-1D6ED82D858B}" type="presOf" srcId="{39BF6963-7A3E-44C5-BEF8-7C6A43833715}" destId="{25836587-4AE5-42D4-886D-85419BE238D1}" srcOrd="1" destOrd="0" presId="urn:microsoft.com/office/officeart/2005/8/layout/hierarchy2"/>
    <dgm:cxn modelId="{4D37F04B-5A40-42AB-A37F-02756023C559}" type="presOf" srcId="{6DCC9D84-975E-4EAA-8631-F1E4570F67B4}" destId="{45EC86B8-3003-4239-AC5A-5916F5CDDB31}" srcOrd="0" destOrd="0" presId="urn:microsoft.com/office/officeart/2005/8/layout/hierarchy2"/>
    <dgm:cxn modelId="{D230F94D-3D47-4109-8C56-3D0AAFC2C0E7}" srcId="{79F49608-3930-40FE-A055-B64F96CB26EB}" destId="{D8C7B24A-C588-4DAD-AF5D-812CA97AF4BB}" srcOrd="2" destOrd="0" parTransId="{1128FF9F-6E9E-4A73-807D-6C75B7B690C0}" sibTransId="{5BC7BFE7-D17D-4864-BB77-F87006376336}"/>
    <dgm:cxn modelId="{C08D374E-5ADB-45AF-A188-D52F263B435F}" type="presOf" srcId="{1128FF9F-6E9E-4A73-807D-6C75B7B690C0}" destId="{CC435CF3-0590-44E5-8AC2-39B77821BE08}" srcOrd="0" destOrd="0" presId="urn:microsoft.com/office/officeart/2005/8/layout/hierarchy2"/>
    <dgm:cxn modelId="{5E0FDD52-0C34-45E4-96EA-371C8A76103F}" type="presOf" srcId="{E36BDD1F-2C36-486B-B48E-C55EE1E5CEF6}" destId="{D58EEB38-BACC-4629-B943-5572F99B1DD0}" srcOrd="0" destOrd="0" presId="urn:microsoft.com/office/officeart/2005/8/layout/hierarchy2"/>
    <dgm:cxn modelId="{88860253-903E-4ABD-99C1-1E3096130FF2}" type="presOf" srcId="{1F9F3C4C-EE23-46BE-8CF9-D61B50D78392}" destId="{63B10544-8FBE-45EB-95C0-5E7243F657F5}" srcOrd="1" destOrd="0" presId="urn:microsoft.com/office/officeart/2005/8/layout/hierarchy2"/>
    <dgm:cxn modelId="{6696CA54-0E45-4695-B21A-7E3E089CBCB0}" srcId="{E0DE886E-74A6-4561-A90D-B42A1CD5F88B}" destId="{635A0B7C-7405-4B53-83AE-19174E8B0A34}" srcOrd="2" destOrd="0" parTransId="{38D4CCE0-D42C-436F-86EA-4C51DD05E0B2}" sibTransId="{B8274C02-4F9A-40A7-964B-165461305775}"/>
    <dgm:cxn modelId="{F627FE58-BAD4-444D-B3DE-2CEFA183145B}" type="presOf" srcId="{0BC59A64-F003-447B-8E56-F85B66A9706F}" destId="{EE62C64E-11C1-4AE7-B8BD-105810C4A7F2}" srcOrd="0" destOrd="0" presId="urn:microsoft.com/office/officeart/2005/8/layout/hierarchy2"/>
    <dgm:cxn modelId="{81DD0B7D-D5C7-4CA9-909C-6D605DE5D321}" type="presOf" srcId="{1B47BDC8-21F3-4FC3-AF92-362F9A31E0A0}" destId="{AFCC3BC2-AE64-46C9-A66F-22CE7B0C9E43}" srcOrd="1" destOrd="0" presId="urn:microsoft.com/office/officeart/2005/8/layout/hierarchy2"/>
    <dgm:cxn modelId="{EE19347D-3FE5-484E-BB1A-138B4A1ECCEE}" type="presOf" srcId="{1128FF9F-6E9E-4A73-807D-6C75B7B690C0}" destId="{F5134675-4F41-4056-AAC0-8C6E4F5F4D48}" srcOrd="1" destOrd="0" presId="urn:microsoft.com/office/officeart/2005/8/layout/hierarchy2"/>
    <dgm:cxn modelId="{AB60BE8A-27C3-4673-92D0-79CD370CC695}" type="presOf" srcId="{0BC59A64-F003-447B-8E56-F85B66A9706F}" destId="{372486F5-F8C0-4F32-9C52-FEC3EB08DF9B}" srcOrd="1" destOrd="0" presId="urn:microsoft.com/office/officeart/2005/8/layout/hierarchy2"/>
    <dgm:cxn modelId="{32348396-887B-4C6C-A1A4-B7AA86C7E6EC}" type="presOf" srcId="{54A5E080-EAC8-4DF3-A1E5-ED1A2BCCA200}" destId="{12600BCC-4CC8-460C-A344-991295038BC5}" srcOrd="1" destOrd="0" presId="urn:microsoft.com/office/officeart/2005/8/layout/hierarchy2"/>
    <dgm:cxn modelId="{88EF9799-E3D9-4285-A87F-6C8BA3DF3D97}" srcId="{E0DE886E-74A6-4561-A90D-B42A1CD5F88B}" destId="{79F49608-3930-40FE-A055-B64F96CB26EB}" srcOrd="0" destOrd="0" parTransId="{7F355290-CCA3-498C-8CD8-7C1FABC92E2B}" sibTransId="{59E98438-C252-4D53-AEDF-12EC92B899D1}"/>
    <dgm:cxn modelId="{EFAA4AA5-E9B2-43E5-93EA-5343B17BCFF3}" type="presOf" srcId="{635A0B7C-7405-4B53-83AE-19174E8B0A34}" destId="{5E9AB819-C2F0-43BD-BB94-183E82DD7A6C}" srcOrd="0" destOrd="0" presId="urn:microsoft.com/office/officeart/2005/8/layout/hierarchy2"/>
    <dgm:cxn modelId="{4BD408A8-C5CF-4D24-A955-15DACDBBA657}" type="presOf" srcId="{1F9F3C4C-EE23-46BE-8CF9-D61B50D78392}" destId="{D1320812-A22D-4A4A-AAAA-B6E9733C14E5}" srcOrd="0" destOrd="0" presId="urn:microsoft.com/office/officeart/2005/8/layout/hierarchy2"/>
    <dgm:cxn modelId="{D9B135B3-E480-41B9-8F2C-7EF2E4EF88C4}" type="presOf" srcId="{1B47BDC8-21F3-4FC3-AF92-362F9A31E0A0}" destId="{A350C75D-463B-4ADC-AFA1-71187F7C2527}" srcOrd="0" destOrd="0" presId="urn:microsoft.com/office/officeart/2005/8/layout/hierarchy2"/>
    <dgm:cxn modelId="{B91F0DB6-9945-4554-B3AD-D462BE026A6B}" srcId="{635A0B7C-7405-4B53-83AE-19174E8B0A34}" destId="{F906711E-0591-4F2B-A6B9-6EA7468101F9}" srcOrd="0" destOrd="0" parTransId="{5A0E4B4F-3745-4C0B-9D85-1BB81927BC78}" sibTransId="{FFC5A37C-C8B3-430B-B240-0EAACEE1BD07}"/>
    <dgm:cxn modelId="{D3B21AB8-6DB6-44A6-9744-91370ABAC50F}" type="presOf" srcId="{7F355290-CCA3-498C-8CD8-7C1FABC92E2B}" destId="{7E19B875-1D1E-4C31-BD94-CB82CEEEAAB7}" srcOrd="0" destOrd="0" presId="urn:microsoft.com/office/officeart/2005/8/layout/hierarchy2"/>
    <dgm:cxn modelId="{275B52BB-9B29-4435-9E2C-3A141772C4E0}" type="presOf" srcId="{5A0E4B4F-3745-4C0B-9D85-1BB81927BC78}" destId="{7F800938-55EE-4CE4-9C0E-3B134A8066FA}" srcOrd="0" destOrd="0" presId="urn:microsoft.com/office/officeart/2005/8/layout/hierarchy2"/>
    <dgm:cxn modelId="{BC6308C0-3E1D-4953-8F93-20A2ACA7547B}" type="presOf" srcId="{54A5E080-EAC8-4DF3-A1E5-ED1A2BCCA200}" destId="{FCE47424-3A87-4DBE-B87F-227D22F381D5}" srcOrd="0" destOrd="0" presId="urn:microsoft.com/office/officeart/2005/8/layout/hierarchy2"/>
    <dgm:cxn modelId="{3DDA75C5-20B0-4780-9D01-353601B13034}" type="presOf" srcId="{F12183CF-D543-4905-B9BA-C90BD1BADD3F}" destId="{AF5F9864-BACE-4E3B-911F-C853A77AED13}" srcOrd="0" destOrd="0" presId="urn:microsoft.com/office/officeart/2005/8/layout/hierarchy2"/>
    <dgm:cxn modelId="{BEEA6FC8-278F-4252-BA49-929DAAF7FCDE}" type="presOf" srcId="{1C2B34E1-2657-4F75-9812-CDD050BA85DD}" destId="{92027258-FAC7-47FF-9169-0EECBB4E9994}" srcOrd="0" destOrd="0" presId="urn:microsoft.com/office/officeart/2005/8/layout/hierarchy2"/>
    <dgm:cxn modelId="{AA156ECB-DB9E-42B8-AFCF-6EFC6CEAB2CE}" type="presOf" srcId="{70278BE6-CD6C-48B0-8C90-FBC4C8FC88AB}" destId="{E266A2C5-D07D-42F7-AAC2-C795F72F1965}" srcOrd="0" destOrd="0" presId="urn:microsoft.com/office/officeart/2005/8/layout/hierarchy2"/>
    <dgm:cxn modelId="{E6C702D8-EE49-4AEA-B77E-F52B6CE838C2}" type="presOf" srcId="{3E675FDE-507F-4C7D-A598-DFFC895CB0C9}" destId="{DB8D037E-A3EE-4459-99E2-7565FE24409D}" srcOrd="0" destOrd="0" presId="urn:microsoft.com/office/officeart/2005/8/layout/hierarchy2"/>
    <dgm:cxn modelId="{032BD3E8-B476-4D8D-B8F4-137DF84C7006}" type="presOf" srcId="{5A0E4B4F-3745-4C0B-9D85-1BB81927BC78}" destId="{E424C3A2-6157-4D43-9E08-2FC4D9DA7AC1}" srcOrd="1" destOrd="0" presId="urn:microsoft.com/office/officeart/2005/8/layout/hierarchy2"/>
    <dgm:cxn modelId="{DE020FEB-5A64-48FC-B4F8-0A2044CDEB28}" srcId="{635A0B7C-7405-4B53-83AE-19174E8B0A34}" destId="{871A5B12-9D6D-404F-A49E-62326986C16F}" srcOrd="1" destOrd="0" parTransId="{1B47BDC8-21F3-4FC3-AF92-362F9A31E0A0}" sibTransId="{C3238A26-4E62-45A2-8B25-E633EA09D18F}"/>
    <dgm:cxn modelId="{3E4F0EF1-1026-414D-9C5E-1B6A58706801}" srcId="{79F49608-3930-40FE-A055-B64F96CB26EB}" destId="{6DCC9D84-975E-4EAA-8631-F1E4570F67B4}" srcOrd="0" destOrd="0" parTransId="{1F9F3C4C-EE23-46BE-8CF9-D61B50D78392}" sibTransId="{3A30BD9F-689D-4758-A7CA-3D99CF1393FF}"/>
    <dgm:cxn modelId="{0F466EF5-84CA-441C-B322-2EFBE2DFFC8D}" type="presOf" srcId="{38D4CCE0-D42C-436F-86EA-4C51DD05E0B2}" destId="{68CD7997-3932-4B4A-B29B-608D03E6B961}" srcOrd="0" destOrd="0" presId="urn:microsoft.com/office/officeart/2005/8/layout/hierarchy2"/>
    <dgm:cxn modelId="{7189F877-2886-4E6E-95D4-237B228A4251}" type="presParOf" srcId="{D58EEB38-BACC-4629-B943-5572F99B1DD0}" destId="{9E7044C6-3163-4533-9CAB-D3F28A296E5D}" srcOrd="0" destOrd="0" presId="urn:microsoft.com/office/officeart/2005/8/layout/hierarchy2"/>
    <dgm:cxn modelId="{4E4507F0-0D44-46E6-8AC1-71250C61A9C5}" type="presParOf" srcId="{9E7044C6-3163-4533-9CAB-D3F28A296E5D}" destId="{4C421107-881E-431B-8C31-969C2BBB4311}" srcOrd="0" destOrd="0" presId="urn:microsoft.com/office/officeart/2005/8/layout/hierarchy2"/>
    <dgm:cxn modelId="{E1D6BF7F-8E7F-493F-8D6E-EB5C48ACE73D}" type="presParOf" srcId="{9E7044C6-3163-4533-9CAB-D3F28A296E5D}" destId="{51BA3D95-7018-411E-8EF9-C4886A07C262}" srcOrd="1" destOrd="0" presId="urn:microsoft.com/office/officeart/2005/8/layout/hierarchy2"/>
    <dgm:cxn modelId="{541CC4CC-1772-40BE-B678-2EE008DD5B9E}" type="presParOf" srcId="{51BA3D95-7018-411E-8EF9-C4886A07C262}" destId="{7E19B875-1D1E-4C31-BD94-CB82CEEEAAB7}" srcOrd="0" destOrd="0" presId="urn:microsoft.com/office/officeart/2005/8/layout/hierarchy2"/>
    <dgm:cxn modelId="{33C6C29B-FEB0-42F3-A21F-EDD98FFA7A16}" type="presParOf" srcId="{7E19B875-1D1E-4C31-BD94-CB82CEEEAAB7}" destId="{98853AE4-E60F-4139-B716-22F93A58427F}" srcOrd="0" destOrd="0" presId="urn:microsoft.com/office/officeart/2005/8/layout/hierarchy2"/>
    <dgm:cxn modelId="{3AF8762C-F13F-4935-964E-D0BA5036B5BF}" type="presParOf" srcId="{51BA3D95-7018-411E-8EF9-C4886A07C262}" destId="{38CB5108-9806-4135-9F8F-40A84DAB62C3}" srcOrd="1" destOrd="0" presId="urn:microsoft.com/office/officeart/2005/8/layout/hierarchy2"/>
    <dgm:cxn modelId="{EE130C47-DEF4-48FD-BAA3-E98F3394BB9B}" type="presParOf" srcId="{38CB5108-9806-4135-9F8F-40A84DAB62C3}" destId="{CFE7715A-6779-464E-8E36-7F7222456C36}" srcOrd="0" destOrd="0" presId="urn:microsoft.com/office/officeart/2005/8/layout/hierarchy2"/>
    <dgm:cxn modelId="{3CA7378F-674B-4002-91AC-A0782CFA3606}" type="presParOf" srcId="{38CB5108-9806-4135-9F8F-40A84DAB62C3}" destId="{134C7ECC-871C-4EBB-8FEC-73B4A8169A4E}" srcOrd="1" destOrd="0" presId="urn:microsoft.com/office/officeart/2005/8/layout/hierarchy2"/>
    <dgm:cxn modelId="{D30F5A54-1E56-483A-A240-984BAE06C9CB}" type="presParOf" srcId="{134C7ECC-871C-4EBB-8FEC-73B4A8169A4E}" destId="{D1320812-A22D-4A4A-AAAA-B6E9733C14E5}" srcOrd="0" destOrd="0" presId="urn:microsoft.com/office/officeart/2005/8/layout/hierarchy2"/>
    <dgm:cxn modelId="{12040EB7-A0D1-4B4D-8C3F-AE73E4E50E12}" type="presParOf" srcId="{D1320812-A22D-4A4A-AAAA-B6E9733C14E5}" destId="{63B10544-8FBE-45EB-95C0-5E7243F657F5}" srcOrd="0" destOrd="0" presId="urn:microsoft.com/office/officeart/2005/8/layout/hierarchy2"/>
    <dgm:cxn modelId="{87E64CF2-E484-40B1-82BA-B5E889B80167}" type="presParOf" srcId="{134C7ECC-871C-4EBB-8FEC-73B4A8169A4E}" destId="{92A4B325-9034-410B-83F6-ABEAE48E9376}" srcOrd="1" destOrd="0" presId="urn:microsoft.com/office/officeart/2005/8/layout/hierarchy2"/>
    <dgm:cxn modelId="{FB34A25C-D9E3-4CC9-896B-651C20BE0D00}" type="presParOf" srcId="{92A4B325-9034-410B-83F6-ABEAE48E9376}" destId="{45EC86B8-3003-4239-AC5A-5916F5CDDB31}" srcOrd="0" destOrd="0" presId="urn:microsoft.com/office/officeart/2005/8/layout/hierarchy2"/>
    <dgm:cxn modelId="{7451AEF2-CDD0-47EA-99E6-92052B39FB18}" type="presParOf" srcId="{92A4B325-9034-410B-83F6-ABEAE48E9376}" destId="{8F49D8E9-BEC5-4749-8312-A745D37B902B}" srcOrd="1" destOrd="0" presId="urn:microsoft.com/office/officeart/2005/8/layout/hierarchy2"/>
    <dgm:cxn modelId="{6ED7F33D-70AE-49F3-A58E-EC20A376D28B}" type="presParOf" srcId="{134C7ECC-871C-4EBB-8FEC-73B4A8169A4E}" destId="{79878949-EE7B-4AFF-AF4C-53BF0BC4C08A}" srcOrd="2" destOrd="0" presId="urn:microsoft.com/office/officeart/2005/8/layout/hierarchy2"/>
    <dgm:cxn modelId="{89DB2E5F-451E-4DC9-A068-FABAD8C1E157}" type="presParOf" srcId="{79878949-EE7B-4AFF-AF4C-53BF0BC4C08A}" destId="{F27A2E79-DD5D-40B2-8B8A-05A15F583CC9}" srcOrd="0" destOrd="0" presId="urn:microsoft.com/office/officeart/2005/8/layout/hierarchy2"/>
    <dgm:cxn modelId="{300FD027-6498-43D5-9781-39678B94A78D}" type="presParOf" srcId="{134C7ECC-871C-4EBB-8FEC-73B4A8169A4E}" destId="{CE59BB6C-68A5-4DCD-AC77-28C084D919BD}" srcOrd="3" destOrd="0" presId="urn:microsoft.com/office/officeart/2005/8/layout/hierarchy2"/>
    <dgm:cxn modelId="{C34B9084-1367-4A77-9E8C-D297D9B6D0FF}" type="presParOf" srcId="{CE59BB6C-68A5-4DCD-AC77-28C084D919BD}" destId="{AF5F9864-BACE-4E3B-911F-C853A77AED13}" srcOrd="0" destOrd="0" presId="urn:microsoft.com/office/officeart/2005/8/layout/hierarchy2"/>
    <dgm:cxn modelId="{2D639783-265C-4950-81FE-BD45255B23D4}" type="presParOf" srcId="{CE59BB6C-68A5-4DCD-AC77-28C084D919BD}" destId="{8ECAC1A2-DAE8-42D0-8448-A008F5601125}" srcOrd="1" destOrd="0" presId="urn:microsoft.com/office/officeart/2005/8/layout/hierarchy2"/>
    <dgm:cxn modelId="{B48CA2B4-6906-494E-8839-F1E17F7DD03D}" type="presParOf" srcId="{134C7ECC-871C-4EBB-8FEC-73B4A8169A4E}" destId="{CC435CF3-0590-44E5-8AC2-39B77821BE08}" srcOrd="4" destOrd="0" presId="urn:microsoft.com/office/officeart/2005/8/layout/hierarchy2"/>
    <dgm:cxn modelId="{75B00FDF-4171-4BD4-BFAB-0AA0E4DAE514}" type="presParOf" srcId="{CC435CF3-0590-44E5-8AC2-39B77821BE08}" destId="{F5134675-4F41-4056-AAC0-8C6E4F5F4D48}" srcOrd="0" destOrd="0" presId="urn:microsoft.com/office/officeart/2005/8/layout/hierarchy2"/>
    <dgm:cxn modelId="{BD0781CD-7807-4556-BEEB-3F7BC548C815}" type="presParOf" srcId="{134C7ECC-871C-4EBB-8FEC-73B4A8169A4E}" destId="{D5CD10E5-E6FF-40BF-9FB6-2618FE1AACB3}" srcOrd="5" destOrd="0" presId="urn:microsoft.com/office/officeart/2005/8/layout/hierarchy2"/>
    <dgm:cxn modelId="{5E252B07-F44C-4C62-90FE-085FDC966237}" type="presParOf" srcId="{D5CD10E5-E6FF-40BF-9FB6-2618FE1AACB3}" destId="{5E35EDCE-F077-4781-B64B-30C9C00D409B}" srcOrd="0" destOrd="0" presId="urn:microsoft.com/office/officeart/2005/8/layout/hierarchy2"/>
    <dgm:cxn modelId="{7478135B-8651-4731-B7B8-F77E1D0DFD8E}" type="presParOf" srcId="{D5CD10E5-E6FF-40BF-9FB6-2618FE1AACB3}" destId="{4AF454F2-C499-42E9-ABEE-2F87356B3AE4}" srcOrd="1" destOrd="0" presId="urn:microsoft.com/office/officeart/2005/8/layout/hierarchy2"/>
    <dgm:cxn modelId="{16FD5F48-0680-4B2F-A0CC-68E857CEC597}" type="presParOf" srcId="{51BA3D95-7018-411E-8EF9-C4886A07C262}" destId="{FCE47424-3A87-4DBE-B87F-227D22F381D5}" srcOrd="2" destOrd="0" presId="urn:microsoft.com/office/officeart/2005/8/layout/hierarchy2"/>
    <dgm:cxn modelId="{B8455344-1738-4E30-9C93-5107AB6C78CA}" type="presParOf" srcId="{FCE47424-3A87-4DBE-B87F-227D22F381D5}" destId="{12600BCC-4CC8-460C-A344-991295038BC5}" srcOrd="0" destOrd="0" presId="urn:microsoft.com/office/officeart/2005/8/layout/hierarchy2"/>
    <dgm:cxn modelId="{4C53364D-6CE6-497B-ADDC-72CBA8003C64}" type="presParOf" srcId="{51BA3D95-7018-411E-8EF9-C4886A07C262}" destId="{1AE9EF40-8BFD-44DA-92C5-B3C7805F9842}" srcOrd="3" destOrd="0" presId="urn:microsoft.com/office/officeart/2005/8/layout/hierarchy2"/>
    <dgm:cxn modelId="{68CEC80A-7A5D-437F-A25C-2F36B9707C82}" type="presParOf" srcId="{1AE9EF40-8BFD-44DA-92C5-B3C7805F9842}" destId="{92027258-FAC7-47FF-9169-0EECBB4E9994}" srcOrd="0" destOrd="0" presId="urn:microsoft.com/office/officeart/2005/8/layout/hierarchy2"/>
    <dgm:cxn modelId="{A522CAB6-66F4-456F-B0B3-CBB3E1B6DD45}" type="presParOf" srcId="{1AE9EF40-8BFD-44DA-92C5-B3C7805F9842}" destId="{AA09AA58-4410-4B21-A576-464F63E8AED4}" srcOrd="1" destOrd="0" presId="urn:microsoft.com/office/officeart/2005/8/layout/hierarchy2"/>
    <dgm:cxn modelId="{5195B3D1-0C4B-466B-94D8-E9A1ABA666C6}" type="presParOf" srcId="{AA09AA58-4410-4B21-A576-464F63E8AED4}" destId="{EE62C64E-11C1-4AE7-B8BD-105810C4A7F2}" srcOrd="0" destOrd="0" presId="urn:microsoft.com/office/officeart/2005/8/layout/hierarchy2"/>
    <dgm:cxn modelId="{A7AD2C2A-9933-472F-B193-8F1579367A6C}" type="presParOf" srcId="{EE62C64E-11C1-4AE7-B8BD-105810C4A7F2}" destId="{372486F5-F8C0-4F32-9C52-FEC3EB08DF9B}" srcOrd="0" destOrd="0" presId="urn:microsoft.com/office/officeart/2005/8/layout/hierarchy2"/>
    <dgm:cxn modelId="{7EEC83DC-D8FF-4463-9D5B-F0FC57DE3887}" type="presParOf" srcId="{AA09AA58-4410-4B21-A576-464F63E8AED4}" destId="{49D3B5C9-0FD3-4980-A4BE-89DA0E9FCA28}" srcOrd="1" destOrd="0" presId="urn:microsoft.com/office/officeart/2005/8/layout/hierarchy2"/>
    <dgm:cxn modelId="{3FA78990-CC15-46FE-B32A-FA6B074554E3}" type="presParOf" srcId="{49D3B5C9-0FD3-4980-A4BE-89DA0E9FCA28}" destId="{7F896D3C-F386-4249-9C9D-34B2AC932BD1}" srcOrd="0" destOrd="0" presId="urn:microsoft.com/office/officeart/2005/8/layout/hierarchy2"/>
    <dgm:cxn modelId="{06DEA5D7-FB29-4378-826B-3631B529E815}" type="presParOf" srcId="{49D3B5C9-0FD3-4980-A4BE-89DA0E9FCA28}" destId="{D9586C9E-1317-415F-9247-DA113178EE7E}" srcOrd="1" destOrd="0" presId="urn:microsoft.com/office/officeart/2005/8/layout/hierarchy2"/>
    <dgm:cxn modelId="{488307E7-1E78-4270-83A7-A2086E72CDA4}" type="presParOf" srcId="{AA09AA58-4410-4B21-A576-464F63E8AED4}" destId="{A81A30BF-9E4A-46DF-B374-2272176BD894}" srcOrd="2" destOrd="0" presId="urn:microsoft.com/office/officeart/2005/8/layout/hierarchy2"/>
    <dgm:cxn modelId="{4B7B823B-ECBA-448C-B065-4896C6EC73AC}" type="presParOf" srcId="{A81A30BF-9E4A-46DF-B374-2272176BD894}" destId="{25836587-4AE5-42D4-886D-85419BE238D1}" srcOrd="0" destOrd="0" presId="urn:microsoft.com/office/officeart/2005/8/layout/hierarchy2"/>
    <dgm:cxn modelId="{C1558BD0-E37A-4932-A182-9F7FA08E05F5}" type="presParOf" srcId="{AA09AA58-4410-4B21-A576-464F63E8AED4}" destId="{DCD62E2F-44F2-4A72-A5EE-12B8AA2021A5}" srcOrd="3" destOrd="0" presId="urn:microsoft.com/office/officeart/2005/8/layout/hierarchy2"/>
    <dgm:cxn modelId="{2A5DCD45-2BAD-45C4-85FE-FA1A4CACAED3}" type="presParOf" srcId="{DCD62E2F-44F2-4A72-A5EE-12B8AA2021A5}" destId="{E266A2C5-D07D-42F7-AAC2-C795F72F1965}" srcOrd="0" destOrd="0" presId="urn:microsoft.com/office/officeart/2005/8/layout/hierarchy2"/>
    <dgm:cxn modelId="{2C146144-8856-446D-AE4E-3BE935D13122}" type="presParOf" srcId="{DCD62E2F-44F2-4A72-A5EE-12B8AA2021A5}" destId="{734A050A-C0F8-4846-BEFB-E8B940D2A127}" srcOrd="1" destOrd="0" presId="urn:microsoft.com/office/officeart/2005/8/layout/hierarchy2"/>
    <dgm:cxn modelId="{3D6B2C2F-F5F9-4F05-AD15-2CB418D9311F}" type="presParOf" srcId="{51BA3D95-7018-411E-8EF9-C4886A07C262}" destId="{68CD7997-3932-4B4A-B29B-608D03E6B961}" srcOrd="4" destOrd="0" presId="urn:microsoft.com/office/officeart/2005/8/layout/hierarchy2"/>
    <dgm:cxn modelId="{213393DB-3FF0-4E9C-B4BB-AB8D80A517AD}" type="presParOf" srcId="{68CD7997-3932-4B4A-B29B-608D03E6B961}" destId="{D8260BE7-F3EE-4C9D-88AB-732EEFA9F892}" srcOrd="0" destOrd="0" presId="urn:microsoft.com/office/officeart/2005/8/layout/hierarchy2"/>
    <dgm:cxn modelId="{FDD993C7-A1E9-4ABD-A5F3-718239FB8A42}" type="presParOf" srcId="{51BA3D95-7018-411E-8EF9-C4886A07C262}" destId="{760C3959-02C7-49B3-A80A-4DEC6F3F37BB}" srcOrd="5" destOrd="0" presId="urn:microsoft.com/office/officeart/2005/8/layout/hierarchy2"/>
    <dgm:cxn modelId="{2E2C345E-736C-4693-AE1C-BA42A49EB025}" type="presParOf" srcId="{760C3959-02C7-49B3-A80A-4DEC6F3F37BB}" destId="{5E9AB819-C2F0-43BD-BB94-183E82DD7A6C}" srcOrd="0" destOrd="0" presId="urn:microsoft.com/office/officeart/2005/8/layout/hierarchy2"/>
    <dgm:cxn modelId="{C08249B6-DCA7-4DED-AB33-856FD8C18693}" type="presParOf" srcId="{760C3959-02C7-49B3-A80A-4DEC6F3F37BB}" destId="{B5AD4006-B294-4C5C-B447-7A7E19629417}" srcOrd="1" destOrd="0" presId="urn:microsoft.com/office/officeart/2005/8/layout/hierarchy2"/>
    <dgm:cxn modelId="{058258A0-5467-47CF-B64B-BA951BD6D39F}" type="presParOf" srcId="{B5AD4006-B294-4C5C-B447-7A7E19629417}" destId="{7F800938-55EE-4CE4-9C0E-3B134A8066FA}" srcOrd="0" destOrd="0" presId="urn:microsoft.com/office/officeart/2005/8/layout/hierarchy2"/>
    <dgm:cxn modelId="{63464619-E2CF-42CD-B422-7EAE6E4FFFF3}" type="presParOf" srcId="{7F800938-55EE-4CE4-9C0E-3B134A8066FA}" destId="{E424C3A2-6157-4D43-9E08-2FC4D9DA7AC1}" srcOrd="0" destOrd="0" presId="urn:microsoft.com/office/officeart/2005/8/layout/hierarchy2"/>
    <dgm:cxn modelId="{DDE86096-E204-49F0-8A26-527F39E4E8D0}" type="presParOf" srcId="{B5AD4006-B294-4C5C-B447-7A7E19629417}" destId="{E401064F-02AD-45D9-9C70-986A823CE5B3}" srcOrd="1" destOrd="0" presId="urn:microsoft.com/office/officeart/2005/8/layout/hierarchy2"/>
    <dgm:cxn modelId="{EA5FDA52-1C92-422C-B248-47DA1D86BB7E}" type="presParOf" srcId="{E401064F-02AD-45D9-9C70-986A823CE5B3}" destId="{2124126E-831E-4C41-9793-8243C450E834}" srcOrd="0" destOrd="0" presId="urn:microsoft.com/office/officeart/2005/8/layout/hierarchy2"/>
    <dgm:cxn modelId="{0E3C6515-C14D-4ECC-8865-E6E0D523627F}" type="presParOf" srcId="{E401064F-02AD-45D9-9C70-986A823CE5B3}" destId="{6D617AC0-C6C5-40AF-B52F-7F38255A8483}" srcOrd="1" destOrd="0" presId="urn:microsoft.com/office/officeart/2005/8/layout/hierarchy2"/>
    <dgm:cxn modelId="{16066E94-756F-4129-B57F-720EC71A3B2D}" type="presParOf" srcId="{B5AD4006-B294-4C5C-B447-7A7E19629417}" destId="{A350C75D-463B-4ADC-AFA1-71187F7C2527}" srcOrd="2" destOrd="0" presId="urn:microsoft.com/office/officeart/2005/8/layout/hierarchy2"/>
    <dgm:cxn modelId="{6F1C61D3-7743-42C9-90B1-DB3F7826371B}" type="presParOf" srcId="{A350C75D-463B-4ADC-AFA1-71187F7C2527}" destId="{AFCC3BC2-AE64-46C9-A66F-22CE7B0C9E43}" srcOrd="0" destOrd="0" presId="urn:microsoft.com/office/officeart/2005/8/layout/hierarchy2"/>
    <dgm:cxn modelId="{5B8CF4AF-F253-4113-97DA-568FECDDAEE0}" type="presParOf" srcId="{B5AD4006-B294-4C5C-B447-7A7E19629417}" destId="{B21E8989-6815-4660-BF68-BFA6F7DF3478}" srcOrd="3" destOrd="0" presId="urn:microsoft.com/office/officeart/2005/8/layout/hierarchy2"/>
    <dgm:cxn modelId="{BE3C4D1D-BE51-4448-8757-519FEA34FED0}" type="presParOf" srcId="{B21E8989-6815-4660-BF68-BFA6F7DF3478}" destId="{7D6905BD-4637-47A7-A45B-197C4ACE7440}" srcOrd="0" destOrd="0" presId="urn:microsoft.com/office/officeart/2005/8/layout/hierarchy2"/>
    <dgm:cxn modelId="{035ADC79-1197-4B14-AAC0-9705B117A1FB}" type="presParOf" srcId="{B21E8989-6815-4660-BF68-BFA6F7DF3478}" destId="{84F1606E-F935-48D5-80EA-6AE6DE67EA47}" srcOrd="1" destOrd="0" presId="urn:microsoft.com/office/officeart/2005/8/layout/hierarchy2"/>
    <dgm:cxn modelId="{4ACB5353-05EA-4AC1-8FA6-DAE5464FDCB2}" type="presParOf" srcId="{B5AD4006-B294-4C5C-B447-7A7E19629417}" destId="{DB8D037E-A3EE-4459-99E2-7565FE24409D}" srcOrd="4" destOrd="0" presId="urn:microsoft.com/office/officeart/2005/8/layout/hierarchy2"/>
    <dgm:cxn modelId="{3674F494-05B3-4947-B0C3-3F5AA08EE86A}" type="presParOf" srcId="{DB8D037E-A3EE-4459-99E2-7565FE24409D}" destId="{C447F859-578D-4034-BB8D-308D3E1B8433}" srcOrd="0" destOrd="0" presId="urn:microsoft.com/office/officeart/2005/8/layout/hierarchy2"/>
    <dgm:cxn modelId="{5D073C57-BE0A-4593-A54D-3BC449200030}" type="presParOf" srcId="{B5AD4006-B294-4C5C-B447-7A7E19629417}" destId="{94993E2B-2EA4-41D3-A154-D255D5F86D2D}" srcOrd="5" destOrd="0" presId="urn:microsoft.com/office/officeart/2005/8/layout/hierarchy2"/>
    <dgm:cxn modelId="{6BFCA71A-565F-4B3C-819E-49F6B3481192}" type="presParOf" srcId="{94993E2B-2EA4-41D3-A154-D255D5F86D2D}" destId="{F0ED1E37-5C38-41B2-A48B-C14F06C601B1}" srcOrd="0" destOrd="0" presId="urn:microsoft.com/office/officeart/2005/8/layout/hierarchy2"/>
    <dgm:cxn modelId="{072F711E-60AF-4A4E-A0E0-A5C65F67535E}" type="presParOf" srcId="{94993E2B-2EA4-41D3-A154-D255D5F86D2D}" destId="{DCA0E840-CD06-4997-BF83-CAA8C5DB5158}"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421107-881E-431B-8C31-969C2BBB4311}">
      <dsp:nvSpPr>
        <dsp:cNvPr id="0" name=""/>
        <dsp:cNvSpPr/>
      </dsp:nvSpPr>
      <dsp:spPr>
        <a:xfrm>
          <a:off x="1450321" y="1369759"/>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System / Market Operator</a:t>
          </a:r>
        </a:p>
      </dsp:txBody>
      <dsp:txXfrm>
        <a:off x="1460286" y="1379724"/>
        <a:ext cx="660532" cy="320301"/>
      </dsp:txXfrm>
    </dsp:sp>
    <dsp:sp modelId="{7E19B875-1D1E-4C31-BD94-CB82CEEEAAB7}">
      <dsp:nvSpPr>
        <dsp:cNvPr id="0" name=""/>
        <dsp:cNvSpPr/>
      </dsp:nvSpPr>
      <dsp:spPr>
        <a:xfrm rot="17132988">
          <a:off x="1759212" y="1040850"/>
          <a:ext cx="1015327" cy="19885"/>
        </a:xfrm>
        <a:custGeom>
          <a:avLst/>
          <a:gdLst/>
          <a:ahLst/>
          <a:cxnLst/>
          <a:rect l="0" t="0" r="0" b="0"/>
          <a:pathLst>
            <a:path>
              <a:moveTo>
                <a:pt x="0" y="9942"/>
              </a:moveTo>
              <a:lnTo>
                <a:pt x="1015327"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2241493" y="1025409"/>
        <a:ext cx="50766" cy="50766"/>
      </dsp:txXfrm>
    </dsp:sp>
    <dsp:sp modelId="{CFE7715A-6779-464E-8E36-7F7222456C36}">
      <dsp:nvSpPr>
        <dsp:cNvPr id="0" name=""/>
        <dsp:cNvSpPr/>
      </dsp:nvSpPr>
      <dsp:spPr>
        <a:xfrm>
          <a:off x="2402968" y="391594"/>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Transmission Network #1</a:t>
          </a:r>
        </a:p>
      </dsp:txBody>
      <dsp:txXfrm>
        <a:off x="2412933" y="401559"/>
        <a:ext cx="660532" cy="320301"/>
      </dsp:txXfrm>
    </dsp:sp>
    <dsp:sp modelId="{D1320812-A22D-4A4A-AAAA-B6E9733C14E5}">
      <dsp:nvSpPr>
        <dsp:cNvPr id="0" name=""/>
        <dsp:cNvSpPr/>
      </dsp:nvSpPr>
      <dsp:spPr>
        <a:xfrm rot="18289469">
          <a:off x="2981209" y="356134"/>
          <a:ext cx="476627" cy="19885"/>
        </a:xfrm>
        <a:custGeom>
          <a:avLst/>
          <a:gdLst/>
          <a:ahLst/>
          <a:cxnLst/>
          <a:rect l="0" t="0" r="0" b="0"/>
          <a:pathLst>
            <a:path>
              <a:moveTo>
                <a:pt x="0" y="9942"/>
              </a:moveTo>
              <a:lnTo>
                <a:pt x="476627"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07607" y="354161"/>
        <a:ext cx="23831" cy="23831"/>
      </dsp:txXfrm>
    </dsp:sp>
    <dsp:sp modelId="{45EC86B8-3003-4239-AC5A-5916F5CDDB31}">
      <dsp:nvSpPr>
        <dsp:cNvPr id="0" name=""/>
        <dsp:cNvSpPr/>
      </dsp:nvSpPr>
      <dsp:spPr>
        <a:xfrm>
          <a:off x="3355616" y="328"/>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#1A</a:t>
          </a:r>
        </a:p>
      </dsp:txBody>
      <dsp:txXfrm>
        <a:off x="3365581" y="10293"/>
        <a:ext cx="660532" cy="320301"/>
      </dsp:txXfrm>
    </dsp:sp>
    <dsp:sp modelId="{79878949-EE7B-4AFF-AF4C-53BF0BC4C08A}">
      <dsp:nvSpPr>
        <dsp:cNvPr id="0" name=""/>
        <dsp:cNvSpPr/>
      </dsp:nvSpPr>
      <dsp:spPr>
        <a:xfrm>
          <a:off x="3083431" y="551767"/>
          <a:ext cx="272184" cy="19885"/>
        </a:xfrm>
        <a:custGeom>
          <a:avLst/>
          <a:gdLst/>
          <a:ahLst/>
          <a:cxnLst/>
          <a:rect l="0" t="0" r="0" b="0"/>
          <a:pathLst>
            <a:path>
              <a:moveTo>
                <a:pt x="0" y="9942"/>
              </a:moveTo>
              <a:lnTo>
                <a:pt x="272184"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12719" y="554905"/>
        <a:ext cx="13609" cy="13609"/>
      </dsp:txXfrm>
    </dsp:sp>
    <dsp:sp modelId="{AF5F9864-BACE-4E3B-911F-C853A77AED13}">
      <dsp:nvSpPr>
        <dsp:cNvPr id="0" name=""/>
        <dsp:cNvSpPr/>
      </dsp:nvSpPr>
      <dsp:spPr>
        <a:xfrm>
          <a:off x="3355616" y="391594"/>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#1B</a:t>
          </a:r>
        </a:p>
      </dsp:txBody>
      <dsp:txXfrm>
        <a:off x="3365581" y="401559"/>
        <a:ext cx="660532" cy="320301"/>
      </dsp:txXfrm>
    </dsp:sp>
    <dsp:sp modelId="{CC435CF3-0590-44E5-8AC2-39B77821BE08}">
      <dsp:nvSpPr>
        <dsp:cNvPr id="0" name=""/>
        <dsp:cNvSpPr/>
      </dsp:nvSpPr>
      <dsp:spPr>
        <a:xfrm rot="3310531">
          <a:off x="2981209" y="747400"/>
          <a:ext cx="476627" cy="19885"/>
        </a:xfrm>
        <a:custGeom>
          <a:avLst/>
          <a:gdLst/>
          <a:ahLst/>
          <a:cxnLst/>
          <a:rect l="0" t="0" r="0" b="0"/>
          <a:pathLst>
            <a:path>
              <a:moveTo>
                <a:pt x="0" y="9942"/>
              </a:moveTo>
              <a:lnTo>
                <a:pt x="476627"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07607" y="745427"/>
        <a:ext cx="23831" cy="23831"/>
      </dsp:txXfrm>
    </dsp:sp>
    <dsp:sp modelId="{5E35EDCE-F077-4781-B64B-30C9C00D409B}">
      <dsp:nvSpPr>
        <dsp:cNvPr id="0" name=""/>
        <dsp:cNvSpPr/>
      </dsp:nvSpPr>
      <dsp:spPr>
        <a:xfrm>
          <a:off x="3355616" y="782860"/>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#1C</a:t>
          </a:r>
        </a:p>
      </dsp:txBody>
      <dsp:txXfrm>
        <a:off x="3365581" y="792825"/>
        <a:ext cx="660532" cy="320301"/>
      </dsp:txXfrm>
    </dsp:sp>
    <dsp:sp modelId="{FCE47424-3A87-4DBE-B87F-227D22F381D5}">
      <dsp:nvSpPr>
        <dsp:cNvPr id="0" name=""/>
        <dsp:cNvSpPr/>
      </dsp:nvSpPr>
      <dsp:spPr>
        <a:xfrm>
          <a:off x="2130783" y="1529932"/>
          <a:ext cx="272184" cy="19885"/>
        </a:xfrm>
        <a:custGeom>
          <a:avLst/>
          <a:gdLst/>
          <a:ahLst/>
          <a:cxnLst/>
          <a:rect l="0" t="0" r="0" b="0"/>
          <a:pathLst>
            <a:path>
              <a:moveTo>
                <a:pt x="0" y="9942"/>
              </a:moveTo>
              <a:lnTo>
                <a:pt x="272184"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2260071" y="1533070"/>
        <a:ext cx="13609" cy="13609"/>
      </dsp:txXfrm>
    </dsp:sp>
    <dsp:sp modelId="{92027258-FAC7-47FF-9169-0EECBB4E9994}">
      <dsp:nvSpPr>
        <dsp:cNvPr id="0" name=""/>
        <dsp:cNvSpPr/>
      </dsp:nvSpPr>
      <dsp:spPr>
        <a:xfrm>
          <a:off x="2402968" y="1369759"/>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Transmission Network #2</a:t>
          </a:r>
        </a:p>
      </dsp:txBody>
      <dsp:txXfrm>
        <a:off x="2412933" y="1379724"/>
        <a:ext cx="660532" cy="320301"/>
      </dsp:txXfrm>
    </dsp:sp>
    <dsp:sp modelId="{EE62C64E-11C1-4AE7-B8BD-105810C4A7F2}">
      <dsp:nvSpPr>
        <dsp:cNvPr id="0" name=""/>
        <dsp:cNvSpPr/>
      </dsp:nvSpPr>
      <dsp:spPr>
        <a:xfrm rot="19457599">
          <a:off x="3051925" y="1432115"/>
          <a:ext cx="335196" cy="19885"/>
        </a:xfrm>
        <a:custGeom>
          <a:avLst/>
          <a:gdLst/>
          <a:ahLst/>
          <a:cxnLst/>
          <a:rect l="0" t="0" r="0" b="0"/>
          <a:pathLst>
            <a:path>
              <a:moveTo>
                <a:pt x="0" y="9942"/>
              </a:moveTo>
              <a:lnTo>
                <a:pt x="335196"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11143" y="1433678"/>
        <a:ext cx="16759" cy="16759"/>
      </dsp:txXfrm>
    </dsp:sp>
    <dsp:sp modelId="{7F896D3C-F386-4249-9C9D-34B2AC932BD1}">
      <dsp:nvSpPr>
        <dsp:cNvPr id="0" name=""/>
        <dsp:cNvSpPr/>
      </dsp:nvSpPr>
      <dsp:spPr>
        <a:xfrm>
          <a:off x="3355616" y="1174126"/>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#2A</a:t>
          </a:r>
        </a:p>
      </dsp:txBody>
      <dsp:txXfrm>
        <a:off x="3365581" y="1184091"/>
        <a:ext cx="660532" cy="320301"/>
      </dsp:txXfrm>
    </dsp:sp>
    <dsp:sp modelId="{A81A30BF-9E4A-46DF-B374-2272176BD894}">
      <dsp:nvSpPr>
        <dsp:cNvPr id="0" name=""/>
        <dsp:cNvSpPr/>
      </dsp:nvSpPr>
      <dsp:spPr>
        <a:xfrm rot="2142401">
          <a:off x="3051925" y="1627748"/>
          <a:ext cx="335196" cy="19885"/>
        </a:xfrm>
        <a:custGeom>
          <a:avLst/>
          <a:gdLst/>
          <a:ahLst/>
          <a:cxnLst/>
          <a:rect l="0" t="0" r="0" b="0"/>
          <a:pathLst>
            <a:path>
              <a:moveTo>
                <a:pt x="0" y="9942"/>
              </a:moveTo>
              <a:lnTo>
                <a:pt x="335196"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11143" y="1629311"/>
        <a:ext cx="16759" cy="16759"/>
      </dsp:txXfrm>
    </dsp:sp>
    <dsp:sp modelId="{E266A2C5-D07D-42F7-AAC2-C795F72F1965}">
      <dsp:nvSpPr>
        <dsp:cNvPr id="0" name=""/>
        <dsp:cNvSpPr/>
      </dsp:nvSpPr>
      <dsp:spPr>
        <a:xfrm>
          <a:off x="3355616" y="1565392"/>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#2B</a:t>
          </a:r>
        </a:p>
      </dsp:txBody>
      <dsp:txXfrm>
        <a:off x="3365581" y="1575357"/>
        <a:ext cx="660532" cy="320301"/>
      </dsp:txXfrm>
    </dsp:sp>
    <dsp:sp modelId="{68CD7997-3932-4B4A-B29B-608D03E6B961}">
      <dsp:nvSpPr>
        <dsp:cNvPr id="0" name=""/>
        <dsp:cNvSpPr/>
      </dsp:nvSpPr>
      <dsp:spPr>
        <a:xfrm rot="4467012">
          <a:off x="1759212" y="2019014"/>
          <a:ext cx="1015327" cy="19885"/>
        </a:xfrm>
        <a:custGeom>
          <a:avLst/>
          <a:gdLst/>
          <a:ahLst/>
          <a:cxnLst/>
          <a:rect l="0" t="0" r="0" b="0"/>
          <a:pathLst>
            <a:path>
              <a:moveTo>
                <a:pt x="0" y="9942"/>
              </a:moveTo>
              <a:lnTo>
                <a:pt x="1015327"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2241493" y="2003574"/>
        <a:ext cx="50766" cy="50766"/>
      </dsp:txXfrm>
    </dsp:sp>
    <dsp:sp modelId="{5E9AB819-C2F0-43BD-BB94-183E82DD7A6C}">
      <dsp:nvSpPr>
        <dsp:cNvPr id="0" name=""/>
        <dsp:cNvSpPr/>
      </dsp:nvSpPr>
      <dsp:spPr>
        <a:xfrm>
          <a:off x="2402968" y="2347924"/>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Transmission Network #3</a:t>
          </a:r>
        </a:p>
      </dsp:txBody>
      <dsp:txXfrm>
        <a:off x="2412933" y="2357889"/>
        <a:ext cx="660532" cy="320301"/>
      </dsp:txXfrm>
    </dsp:sp>
    <dsp:sp modelId="{7F800938-55EE-4CE4-9C0E-3B134A8066FA}">
      <dsp:nvSpPr>
        <dsp:cNvPr id="0" name=""/>
        <dsp:cNvSpPr/>
      </dsp:nvSpPr>
      <dsp:spPr>
        <a:xfrm rot="18289469">
          <a:off x="2981209" y="2312464"/>
          <a:ext cx="476627" cy="19885"/>
        </a:xfrm>
        <a:custGeom>
          <a:avLst/>
          <a:gdLst/>
          <a:ahLst/>
          <a:cxnLst/>
          <a:rect l="0" t="0" r="0" b="0"/>
          <a:pathLst>
            <a:path>
              <a:moveTo>
                <a:pt x="0" y="9942"/>
              </a:moveTo>
              <a:lnTo>
                <a:pt x="476627"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07607" y="2310491"/>
        <a:ext cx="23831" cy="23831"/>
      </dsp:txXfrm>
    </dsp:sp>
    <dsp:sp modelId="{2124126E-831E-4C41-9793-8243C450E834}">
      <dsp:nvSpPr>
        <dsp:cNvPr id="0" name=""/>
        <dsp:cNvSpPr/>
      </dsp:nvSpPr>
      <dsp:spPr>
        <a:xfrm>
          <a:off x="3355616" y="1956658"/>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#3A</a:t>
          </a:r>
        </a:p>
      </dsp:txBody>
      <dsp:txXfrm>
        <a:off x="3365581" y="1966623"/>
        <a:ext cx="660532" cy="320301"/>
      </dsp:txXfrm>
    </dsp:sp>
    <dsp:sp modelId="{A350C75D-463B-4ADC-AFA1-71187F7C2527}">
      <dsp:nvSpPr>
        <dsp:cNvPr id="0" name=""/>
        <dsp:cNvSpPr/>
      </dsp:nvSpPr>
      <dsp:spPr>
        <a:xfrm>
          <a:off x="3083431" y="2508096"/>
          <a:ext cx="272184" cy="19885"/>
        </a:xfrm>
        <a:custGeom>
          <a:avLst/>
          <a:gdLst/>
          <a:ahLst/>
          <a:cxnLst/>
          <a:rect l="0" t="0" r="0" b="0"/>
          <a:pathLst>
            <a:path>
              <a:moveTo>
                <a:pt x="0" y="9942"/>
              </a:moveTo>
              <a:lnTo>
                <a:pt x="272184"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12719" y="2511234"/>
        <a:ext cx="13609" cy="13609"/>
      </dsp:txXfrm>
    </dsp:sp>
    <dsp:sp modelId="{7D6905BD-4637-47A7-A45B-197C4ACE7440}">
      <dsp:nvSpPr>
        <dsp:cNvPr id="0" name=""/>
        <dsp:cNvSpPr/>
      </dsp:nvSpPr>
      <dsp:spPr>
        <a:xfrm>
          <a:off x="3355616" y="2347924"/>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#3B</a:t>
          </a:r>
        </a:p>
      </dsp:txBody>
      <dsp:txXfrm>
        <a:off x="3365581" y="2357889"/>
        <a:ext cx="660532" cy="320301"/>
      </dsp:txXfrm>
    </dsp:sp>
    <dsp:sp modelId="{DB8D037E-A3EE-4459-99E2-7565FE24409D}">
      <dsp:nvSpPr>
        <dsp:cNvPr id="0" name=""/>
        <dsp:cNvSpPr/>
      </dsp:nvSpPr>
      <dsp:spPr>
        <a:xfrm rot="3310531">
          <a:off x="2981209" y="2703729"/>
          <a:ext cx="476627" cy="19885"/>
        </a:xfrm>
        <a:custGeom>
          <a:avLst/>
          <a:gdLst/>
          <a:ahLst/>
          <a:cxnLst/>
          <a:rect l="0" t="0" r="0" b="0"/>
          <a:pathLst>
            <a:path>
              <a:moveTo>
                <a:pt x="0" y="9942"/>
              </a:moveTo>
              <a:lnTo>
                <a:pt x="476627"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100000"/>
            </a:lnSpc>
            <a:spcBef>
              <a:spcPts val="0"/>
            </a:spcBef>
            <a:spcAft>
              <a:spcPts val="0"/>
            </a:spcAft>
            <a:buNone/>
          </a:pPr>
          <a:endParaRPr lang="en-AU" sz="500" kern="1200"/>
        </a:p>
      </dsp:txBody>
      <dsp:txXfrm>
        <a:off x="3207607" y="2701756"/>
        <a:ext cx="23831" cy="23831"/>
      </dsp:txXfrm>
    </dsp:sp>
    <dsp:sp modelId="{F0ED1E37-5C38-41B2-A48B-C14F06C601B1}">
      <dsp:nvSpPr>
        <dsp:cNvPr id="0" name=""/>
        <dsp:cNvSpPr/>
      </dsp:nvSpPr>
      <dsp:spPr>
        <a:xfrm>
          <a:off x="3355616" y="2739189"/>
          <a:ext cx="680462" cy="340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100000"/>
            </a:lnSpc>
            <a:spcBef>
              <a:spcPts val="0"/>
            </a:spcBef>
            <a:spcAft>
              <a:spcPts val="0"/>
            </a:spcAft>
            <a:buNone/>
          </a:pPr>
          <a:r>
            <a:rPr lang="en-AU" sz="700" kern="1200"/>
            <a:t>DSO/Distribution Network #3C</a:t>
          </a:r>
        </a:p>
      </dsp:txBody>
      <dsp:txXfrm>
        <a:off x="3365581" y="2749154"/>
        <a:ext cx="660532" cy="3203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C9515AB-3E22-45A0-8BDF-19CB0373011D}">
    <t:Anchor>
      <t:Comment id="1763671603"/>
    </t:Anchor>
    <t:History>
      <t:Event id="{8B58C42D-D0CA-446A-B1FD-A0D414EFDD8C}" time="2025-03-03T04:39:30.972Z">
        <t:Attribution userId="S::mbird@energycatalyst.au::a70c0846-611f-4c30-9682-d2220b95a466" userProvider="AD" userName="Matthew Bird"/>
        <t:Anchor>
          <t:Comment id="1763671603"/>
        </t:Anchor>
        <t:Create/>
      </t:Event>
      <t:Event id="{6BB040AD-86BB-4655-9844-7B4BAC981E08}" time="2025-03-03T04:39:30.972Z">
        <t:Attribution userId="S::mbird@energycatalyst.au::a70c0846-611f-4c30-9682-d2220b95a466" userProvider="AD" userName="Matthew Bird"/>
        <t:Anchor>
          <t:Comment id="1763671603"/>
        </t:Anchor>
        <t:Assign userId="S::eariztiamanterola@energycatalyst.au::304887e5-5364-4570-9dc2-ad519b9225e8" userProvider="AD" userName="Eduardo Ariztia Manterola"/>
      </t:Event>
      <t:Event id="{60F06498-7E06-4FC1-9555-C3246A1F8530}" time="2025-03-03T04:39:30.972Z">
        <t:Attribution userId="S::mbird@energycatalyst.au::a70c0846-611f-4c30-9682-d2220b95a466" userProvider="AD" userName="Matthew Bird"/>
        <t:Anchor>
          <t:Comment id="1763671603"/>
        </t:Anchor>
        <t:SetTitle title="@Eduardo Ariztia Manterola - please fix up the entries that list a bunch of initials - I think they need to have their authors listed separately in the reference list. "/>
      </t:Event>
      <t:Event id="{BFB4317D-0FDA-4227-B0F8-F1EF9108384B}" time="2025-04-11T04:21:18.17Z">
        <t:Attribution userId="S::mbird@energycatalyst.au::a70c0846-611f-4c30-9682-d2220b95a466" userProvider="AD" userName="Matthew Bird"/>
        <t:Progress percentComplete="100"/>
      </t:Event>
    </t:History>
  </t:Task>
  <t:Task id="{2E5FAB00-9E22-4718-9A5C-BEDB5286CD47}">
    <t:Anchor>
      <t:Comment id="241266706"/>
    </t:Anchor>
    <t:History>
      <t:Event id="{078D1774-BEBB-4A4F-B202-70FE6DC8603D}" time="2025-06-14T04:34:42.011Z">
        <t:Attribution userId="S::mpaterson@energycatalyst.au::42de4a7a-d5a6-466f-93d9-cf843582350f" userProvider="AD" userName="Mark Paterson"/>
        <t:Anchor>
          <t:Comment id="241266706"/>
        </t:Anchor>
        <t:Create/>
      </t:Event>
      <t:Event id="{15938F68-D654-4F7B-8296-B18FEAF6E2EF}" time="2025-06-14T04:34:42.011Z">
        <t:Attribution userId="S::mpaterson@energycatalyst.au::42de4a7a-d5a6-466f-93d9-cf843582350f" userProvider="AD" userName="Mark Paterson"/>
        <t:Anchor>
          <t:Comment id="241266706"/>
        </t:Anchor>
        <t:Assign userId="S::mbird@energycatalyst.au::a70c0846-611f-4c30-9682-d2220b95a466" userProvider="AD" userName="Matthew Bird"/>
      </t:Event>
      <t:Event id="{647E61B3-4DF0-46AB-8338-B06C6C424515}" time="2025-06-14T04:34:42.011Z">
        <t:Attribution userId="S::mpaterson@energycatalyst.au::42de4a7a-d5a6-466f-93d9-cf843582350f" userProvider="AD" userName="Mark Paterson"/>
        <t:Anchor>
          <t:Comment id="241266706"/>
        </t:Anchor>
        <t:SetTitle title="@Matthew Bird - Need something here? "/>
      </t:Event>
    </t:History>
  </t:Task>
  <t:Task id="{33BCC173-9DFB-43A5-97EF-4FA897451954}">
    <t:Anchor>
      <t:Comment id="1625630092"/>
    </t:Anchor>
    <t:History>
      <t:Event id="{F30FC88F-D259-43DE-995F-52E5EE3B7E89}" time="2025-08-03T22:23:35.022Z">
        <t:Attribution userId="S::eariztia@energycatalyst.au::304887e5-5364-4570-9dc2-ad519b9225e8" userProvider="AD" userName="Eduardo Ariztia"/>
        <t:Anchor>
          <t:Comment id="1625630092"/>
        </t:Anchor>
        <t:Create/>
      </t:Event>
      <t:Event id="{47CD566D-77D3-47A5-B65A-2A80C6ADC08B}" time="2025-08-03T22:23:35.022Z">
        <t:Attribution userId="S::eariztia@energycatalyst.au::304887e5-5364-4570-9dc2-ad519b9225e8" userProvider="AD" userName="Eduardo Ariztia"/>
        <t:Anchor>
          <t:Comment id="1625630092"/>
        </t:Anchor>
        <t:Assign userId="S::eariztia@energycatalyst.au::304887e5-5364-4570-9dc2-ad519b9225e8" userProvider="AD" userName="Eduardo Ariztia"/>
      </t:Event>
      <t:Event id="{892E615B-53CC-45CD-9CD8-BCB931E68118}" time="2025-08-03T22:23:35.022Z">
        <t:Attribution userId="S::eariztia@energycatalyst.au::304887e5-5364-4570-9dc2-ad519b9225e8" userProvider="AD" userName="Eduardo Ariztia"/>
        <t:Anchor>
          <t:Comment id="1625630092"/>
        </t:Anchor>
        <t:SetTitle title="@Eduardo Ariztia check the order. Automatic version states F.50 while in order is 48"/>
      </t:Event>
      <t:Event id="{CAFFF2E7-8415-4F62-A394-66F287C0ED60}" time="2025-08-04T20:42:30.089Z">
        <t:Attribution userId="S::mbird@energycatalyst.au::a70c0846-611f-4c30-9682-d2220b95a466" userProvider="AD" userName="Matthew Bird"/>
        <t:Progress percentComplete="100"/>
      </t:Event>
    </t:History>
  </t:Task>
</t:Tasks>
</file>

<file path=word/theme/theme1.xml><?xml version="1.0" encoding="utf-8"?>
<a:theme xmlns:a="http://schemas.openxmlformats.org/drawingml/2006/main" name="Office Theme">
  <a:themeElements>
    <a:clrScheme name="Energy Catalyst">
      <a:dk1>
        <a:srgbClr val="013C4C"/>
      </a:dk1>
      <a:lt1>
        <a:srgbClr val="FAFAFA"/>
      </a:lt1>
      <a:dk2>
        <a:srgbClr val="067296"/>
      </a:dk2>
      <a:lt2>
        <a:srgbClr val="E7E6E6"/>
      </a:lt2>
      <a:accent1>
        <a:srgbClr val="013C4C"/>
      </a:accent1>
      <a:accent2>
        <a:srgbClr val="8DD1E8"/>
      </a:accent2>
      <a:accent3>
        <a:srgbClr val="067296"/>
      </a:accent3>
      <a:accent4>
        <a:srgbClr val="F85C5D"/>
      </a:accent4>
      <a:accent5>
        <a:srgbClr val="2F2F2F"/>
      </a:accent5>
      <a:accent6>
        <a:srgbClr val="FAFAFA"/>
      </a:accent6>
      <a:hlink>
        <a:srgbClr val="F85C5D"/>
      </a:hlink>
      <a:folHlink>
        <a:srgbClr val="8DD1E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e25d29-f4a8-4908-9d00-0fd219b6dff9" xsi:nil="true"/>
    <lcf76f155ced4ddcb4097134ff3c332f xmlns="5e2f252f-8900-4f4b-82b1-fdec8db9274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Ene24</b:Tag>
    <b:SourceType>Book</b:SourceType>
    <b:Guid>{D3C5A119-9E0D-42C1-AFC4-E59B53C99DF3}</b:Guid>
    <b:Author>
      <b:Author>
        <b:Corporate>Energy Networks Association</b:Corporate>
      </b:Author>
    </b:Author>
    <b:Title>Primacy Rules for ESO/DNO Coordination – Increment 2</b:Title>
    <b:Year>Oct. 2024</b:Year>
    <b:Publisher>Open Networks Programme, Version 1.0</b:Publisher>
    <b:RefOrder>6</b:RefOrder>
  </b:Source>
  <b:Source>
    <b:Tag>LTh24</b:Tag>
    <b:SourceType>Book</b:SourceType>
    <b:Guid>{DD16D4C1-8238-418D-8DDE-4654E3A47320}</b:Guid>
    <b:Author>
      <b:Author>
        <b:NameList>
          <b:Person>
            <b:Last>Thompson</b:Last>
            <b:First>L.</b:First>
          </b:Person>
        </b:NameList>
      </b:Author>
    </b:Author>
    <b:Title>Transmission-Distribution Coordination Working Group: IESO-Administered Markets Communication Interfaces</b:Title>
    <b:Year>April 2024</b:Year>
    <b:Publisher>Independent Electricity System Operator, Ontario, Canda</b:Publisher>
    <b:RefOrder>7</b:RefOrder>
  </b:Source>
  <b:Source>
    <b:Tag>PDe241</b:Tag>
    <b:SourceType>Book</b:SourceType>
    <b:Guid>{529CEA42-4C37-4565-B554-21FCDBFF2178}</b:Guid>
    <b:Author>
      <b:Author>
        <b:NameList>
          <b:Person>
            <b:Last>De Martini</b:Last>
            <b:First>P</b:First>
          </b:Person>
          <b:Person>
            <b:Last>Patel</b:Last>
            <b:First>S.</b:First>
          </b:Person>
          <b:Person>
            <b:Last>Kathan</b:Last>
            <b:First>D.</b:First>
          </b:Person>
        </b:NameList>
      </b:Author>
    </b:Author>
    <b:Title>TSO-DSO-Aggregator Market and Operational Coordination Requirements</b:Title>
    <b:Year>April 2024</b:Year>
    <b:Publisher>U.S. Department of Energy, Office of Electricity</b:Publisher>
    <b:RefOrder>8</b:RefOrder>
  </b:Source>
  <b:Source>
    <b:Tag>Mor19</b:Tag>
    <b:SourceType>Book</b:SourceType>
    <b:Guid>{88AC2F4B-0D97-4CE9-B765-8A21FD43DDB3}</b:Guid>
    <b:Title>Architectures for Optimised Interaction Between TSOs and DSOs: Compliance With The Present Practice, Regulation And Roadmaps</b:Title>
    <b:Year>June, 2019</b:Year>
    <b:Publisher>25th International Conference on Electricity Distribution</b:Publisher>
    <b:Author>
      <b:Author>
        <b:NameList>
          <b:Person>
            <b:Last>Morch</b:Last>
            <b:First>Andrei</b:First>
          </b:Person>
          <b:Person>
            <b:Last>Migliavacca</b:Last>
            <b:First>Ginaluigi</b:First>
          </b:Person>
          <b:Person>
            <b:Last>Kockar</b:Last>
            <b:First>Ivana</b:First>
          </b:Person>
          <b:Person>
            <b:Last>Xu</b:Last>
            <b:First>Han</b:First>
          </b:Person>
          <b:Person>
            <b:Last>Fernnandez Tecnalia</b:Last>
            <b:First>Julia Merino</b:First>
          </b:Person>
          <b:Person>
            <b:Last>Gerard</b:Last>
            <b:First>Helena</b:First>
          </b:Person>
        </b:NameList>
      </b:Author>
    </b:Author>
    <b:RefOrder>9</b:RefOrder>
  </b:Source>
  <b:Source>
    <b:Tag>Gri24</b:Tag>
    <b:SourceType>Book</b:SourceType>
    <b:Guid>{0D770999-ED76-4416-95BE-51D392C05954}</b:Guid>
    <b:Author>
      <b:Author>
        <b:NameList>
          <b:Person>
            <b:Last>Council</b:Last>
            <b:First>GridWise</b:First>
            <b:Middle>Architecture</b:Middle>
          </b:Person>
        </b:NameList>
      </b:Author>
    </b:Author>
    <b:Title>A Practical Introduction to Common Grid Architecture Techniques</b:Title>
    <b:Year>April 2024</b:Year>
    <b:Publisher>GridWise Architecture Council</b:Publisher>
    <b:RefOrder>10</b:RefOrder>
  </b:Source>
  <b:Source>
    <b:Tag>Ned</b:Tag>
    <b:SourceType>InternetSite</b:SourceType>
    <b:Guid>{9CE7CF28-4334-464A-9C5E-F3DA1A6C1B00}</b:Guid>
    <b:Title>Common Information Model Ontology Class Library</b:Title>
    <b:Author>
      <b:Author>
        <b:Corporate>Nederlandse Organisatie voor Toegepast Natuurwetenschappelijk Onderzoek (TNO)</b:Corporate>
      </b:Author>
    </b:Author>
    <b:URL>https://ontology.tno.nl/IEC_CIM/</b:URL>
    <b:RefOrder>11</b:RefOrder>
  </b:Source>
  <b:Source>
    <b:Tag>FMa19</b:Tag>
    <b:SourceType>Book</b:SourceType>
    <b:Guid>{03F320BC-E0B8-4DF3-A524-08898FFF3143}</b:Guid>
    <b:Author>
      <b:Author>
        <b:Corporate>F. Marten, I. Hammermeister, J. Ringelstein, B. Requardt, and M. Braun</b:Corporate>
      </b:Author>
    </b:Author>
    <b:Title>CIM CGMES-extensions for the TSO-DSO data exchange in the EU-project ‘TDX-ASSIST’</b:Title>
    <b:Year>2019</b:Year>
    <b:JournalName>ETG-Kongress</b:JournalName>
    <b:City>Kassel, Germany</b:City>
    <b:Publisher>Horizon 2020</b:Publisher>
    <b:RefOrder>12</b:RefOrder>
  </b:Source>
  <b:Source>
    <b:Tag>ASt22</b:Tag>
    <b:SourceType>Book</b:SourceType>
    <b:Guid>{59C20098-2396-45EC-87ED-E23CDE03B274}</b:Guid>
    <b:Author>
      <b:Author>
        <b:NameList>
          <b:Person>
            <b:Last>Stokes</b:Last>
            <b:First>A</b:First>
          </b:Person>
          <b:Person>
            <b:Last>Das</b:Last>
            <b:First>R</b:First>
          </b:Person>
          <b:Person>
            <b:Last>Joseph</b:Last>
            <b:First>T.</b:First>
          </b:Person>
          <b:Person>
            <b:Last>Aithal</b:Last>
            <b:First>A.</b:First>
          </b:Person>
          <b:Person>
            <b:Last>Addison</b:Last>
            <b:First>C.</b:First>
          </b:Person>
          <b:Person>
            <b:Last>Healey</b:Last>
            <b:First>D.</b:First>
          </b:Person>
          <b:Person>
            <b:Last>Balrey</b:Last>
            <b:First>C.</b:First>
          </b:Person>
          <b:Person>
            <b:Last>Horn</b:Last>
            <b:First>E.</b:First>
          </b:Person>
        </b:NameList>
      </b:Author>
    </b:Author>
    <b:Title>Flexibility Markets: Development and Implementation - TSO-DSO Coordination: The UK Case</b:Title>
    <b:Year>Mar. 2022</b:Year>
    <b:Publisher>ISGAN Annex 9, Energy Systems Catapult</b:Publisher>
    <b:RefOrder>13</b:RefOrder>
  </b:Source>
  <b:Source>
    <b:Tag>MOt24</b:Tag>
    <b:SourceType>Book</b:SourceType>
    <b:Guid>{BEA6E84E-4BC6-4C50-AF26-EDCEDD21FA04}</b:Guid>
    <b:Author>
      <b:Author>
        <b:NameList>
          <b:Person>
            <b:Last>Kamsamrong</b:Last>
            <b:First>J.</b:First>
          </b:Person>
          <b:Person>
            <b:Last>Lehnhoff</b:Last>
            <b:First>S.</b:First>
          </b:Person>
        </b:NameList>
      </b:Author>
    </b:Author>
    <b:Title>Aggregators in Digitalised Power Systems: How can Aggregators Improve the TSO-DSO-Customer Coordination in Digitalised Power Systems?</b:Title>
    <b:Year>July 2024</b:Year>
    <b:Publisher>ISGAN Working Group 6</b:Publisher>
    <b:URL>Available: https://iea-isgan.org</b:URL>
    <b:RefOrder>14</b:RefOrder>
  </b:Source>
  <b:Source>
    <b:Tag>BHe22</b:Tag>
    <b:SourceType>Book</b:SourceType>
    <b:Guid>{5572F71A-58E5-495A-A53B-A58D6A97DB77}</b:Guid>
    <b:Author>
      <b:Author>
        <b:NameList>
          <b:Person>
            <b:Last>Herndler</b:Last>
            <b:First>B.</b:First>
          </b:Person>
          <b:Person>
            <b:Last>Evrenosoglu</b:Last>
            <b:First>C.Y.</b:First>
          </b:Person>
          <b:Person>
            <b:Last>Migliavacca</b:Last>
            <b:First>G.</b:First>
          </b:Person>
          <b:Person>
            <b:Last>Gerard</b:Last>
            <b:First>H.</b:First>
          </b:Person>
          <b:Person>
            <b:Last>Vilgan</b:Last>
            <b:First>I.</b:First>
          </b:Person>
          <b:Person>
            <b:Last>Ávila</b:Last>
            <b:First>JP</b:First>
            <b:Middle>Chaves</b:Middle>
          </b:Person>
          <b:Person>
            <b:Last>Kessels</b:Last>
            <b:First>K.</b:First>
          </b:Person>
          <b:Person>
            <b:Last>Rossi</b:Last>
            <b:First>M.</b:First>
          </b:Person>
          <b:Person>
            <b:Last>Lo</b:Last>
            <b:First>P.</b:First>
          </b:Person>
          <b:Person>
            <b:Last>Wong</b:Last>
            <b:First>S.</b:First>
          </b:Person>
        </b:NameList>
      </b:Author>
    </b:Author>
    <b:Title>Power Transmission &amp; Distribution Systems: Flexibility Harvesting and Its Impact on Stakeholder Interaction</b:Title>
    <b:Year>Dec. 2022</b:Year>
    <b:Publisher>ISGAN Working Group 6</b:Publisher>
    <b:RefOrder>15</b:RefOrder>
  </b:Source>
  <b:Source>
    <b:Tag>IRE19</b:Tag>
    <b:SourceType>Book</b:SourceType>
    <b:Guid>{8344B75A-CE31-4ACB-8A59-A310676229F7}</b:Guid>
    <b:Author>
      <b:Author>
        <b:Corporate>IRENA</b:Corporate>
      </b:Author>
    </b:Author>
    <b:Title>Innovation landscape brief: Future role of distribution system operators</b:Title>
    <b:Year>2019</b:Year>
    <b:City>Abu Dhabi</b:City>
    <b:Publisher>International Renewable Energy Agency</b:Publisher>
    <b:RefOrder>16</b:RefOrder>
  </b:Source>
  <b:Source>
    <b:Tag>PDe24</b:Tag>
    <b:SourceType>Book</b:SourceType>
    <b:Guid>{86242CB5-A9AF-4C45-BABD-6D36017EFB7D}</b:Guid>
    <b:Author>
      <b:Author>
        <b:NameList>
          <b:Person>
            <b:Last>Martini</b:Last>
            <b:First>P.</b:First>
            <b:Middle>De</b:Middle>
          </b:Person>
          <b:Person>
            <b:Last>Succar</b:Last>
            <b:First>S.</b:First>
          </b:Person>
          <b:Person>
            <b:Last>Cook</b:Last>
            <b:First>P.</b:First>
          </b:Person>
        </b:NameList>
      </b:Author>
    </b:Author>
    <b:Title>Sourcing Distributed Energy Resources for Distribution Grid Services</b:Title>
    <b:Year>Dec. 2024</b:Year>
    <b:Publisher>U.S. Department of Energy, Office of Electricity</b:Publisher>
    <b:RefOrder>17</b:RefOrder>
  </b:Source>
  <b:Source>
    <b:Tag>NOm23</b:Tag>
    <b:SourceType>Book</b:SourceType>
    <b:Guid>{36FA2F34-5878-45E6-9B50-F3A11CD388F7}</b:Guid>
    <b:Author>
      <b:Author>
        <b:NameList>
          <b:Person>
            <b:Last>Golriz</b:Last>
            <b:First>A.</b:First>
          </b:Person>
          <b:Person>
            <b:Last>Omran</b:Last>
            <b:First>N.</b:First>
          </b:Person>
        </b:NameList>
      </b:Author>
    </b:Author>
    <b:Title>T-D Coordination to Support Reliable Performance of BPS with DER Integration</b:Title>
    <b:Year>Dec. 2023</b:Year>
    <b:Publisher>Independent Electricity System Operator</b:Publisher>
    <b:City>Ontario, Canada</b:City>
    <b:RefOrder>18</b:RefOrder>
  </b:Source>
  <b:Source>
    <b:Tag>CEE24</b:Tag>
    <b:SourceType>Book</b:SourceType>
    <b:Guid>{155E0229-B49D-480E-9DE5-B076AD57D0DE}</b:Guid>
    <b:Author>
      <b:Author>
        <b:Corporate>CEER</b:Corporate>
      </b:Author>
    </b:Author>
    <b:Title>Paper on DSO Data Exchange Relating to Flexibility and NRAs’ Role</b:Title>
    <b:Year>2024</b:Year>
    <b:City>Brussels, Belgium</b:City>
    <b:RefOrder>19</b:RefOrder>
  </b:Source>
  <b:Source>
    <b:Tag>IRE20</b:Tag>
    <b:SourceType>Book</b:SourceType>
    <b:Guid>{D0149A8B-8973-41B5-82F0-F12FE18D4A6D}</b:Guid>
    <b:Author>
      <b:Author>
        <b:Corporate>IRENA</b:Corporate>
      </b:Author>
    </b:Author>
    <b:Title>Innovation Landscape Brief: Co-Operation Between Transmission and Distribution System Operators </b:Title>
    <b:Year>2020</b:Year>
    <b:City>Abu Dhabi</b:City>
    <b:Publisher>International Renewable Energy Agency</b:Publisher>
    <b:RefOrder>20</b:RefOrder>
  </b:Source>
  <b:Source>
    <b:Tag>MIS24</b:Tag>
    <b:SourceType>DocumentFromInternetSite</b:SourceType>
    <b:Guid>{D8804797-0469-4D68-B507-B30D2A0EA4B3}</b:Guid>
    <b:Title>Distribution System Operators (DSOs) &amp; MISO Market Interactions</b:Title>
    <b:Year>2024</b:Year>
    <b:Author>
      <b:Author>
        <b:Corporate>MISO</b:Corporate>
      </b:Author>
    </b:Author>
    <b:Month>November</b:Month>
    <b:Day>18</b:Day>
    <b:URL>https://cdn.misoenergy.org/20241118%20DERTF%20Item%2004%20Distribution%20System%20Operators_Camus661034.pdf#:~:text=DSO%20Role%201,for%20DERs%20between%20utility%20and</b:URL>
    <b:RefOrder>21</b:RefOrder>
  </b:Source>
  <b:Source>
    <b:Tag>sma23</b:Tag>
    <b:SourceType>DocumentFromInternetSite</b:SourceType>
    <b:Guid>{9E1397D4-4E0F-4C7C-AF06-473C522195DC}</b:Guid>
    <b:Author>
      <b:Author>
        <b:Corporate>smartEn</b:Corporate>
      </b:Author>
    </b:Author>
    <b:Title>Data Exchanges for the System Integration of COnsumers: Assessment of Available Standars and Protocols</b:Title>
    <b:Year>2023</b:Year>
    <b:Month>May</b:Month>
    <b:URL>https://smarten.eu/wp-content/uploads/2023/06/smartEn-Standards-mapping-position-paper_final.pdf</b:URL>
    <b:InternetSiteTitle>www.smarten.eu</b:InternetSiteTitle>
    <b:RefOrder>22</b:RefOrder>
  </b:Source>
  <b:Source>
    <b:Tag>ESB21</b:Tag>
    <b:SourceType>DocumentFromInternetSite</b:SourceType>
    <b:Guid>{7BB1A0A7-5531-4DFF-8C63-734EDF9657B3}</b:Guid>
    <b:Author>
      <b:Author>
        <b:Corporate>ESB Networks</b:Corporate>
      </b:Author>
    </b:Author>
    <b:Title>Signals &amp; Data Exchange Guidance for DER</b:Title>
    <b:Year>2021</b:Year>
    <b:Month>September</b:Month>
    <b:Day>23</b:Day>
    <b:URL>https://www.esbnetworks.ie/docs/default-source/publications/esb-networks-national-network-local-connections-programme-signal-data-exchange-roadmap.pdf?sfvrsn=8774badc_12</b:URL>
    <b:RefOrder>23</b:RefOrder>
  </b:Source>
  <b:Source>
    <b:Tag>Qua21</b:Tag>
    <b:SourceType>DocumentFromInternetSite</b:SourceType>
    <b:Guid>{BAAE4CC3-2C44-442A-BE0A-1E20414E6320}</b:Guid>
    <b:Author>
      <b:Author>
        <b:Corporate>QualityLogic</b:Corporate>
      </b:Author>
    </b:Author>
    <b:Title>Is IEEE 2030.5 THE DER Protocol? - GridEdge Intelligence Mini Forum</b:Title>
    <b:Year>2021</b:Year>
    <b:Month>May</b:Month>
    <b:Day>25</b:Day>
    <b:URL>https://www.qualitylogic.com/wp-content/uploads/2021/05/GEI-Mini-Forum-2030.5.pdf</b:URL>
    <b:RefOrder>24</b:RefOrder>
  </b:Source>
  <b:Source>
    <b:Tag>AEM22</b:Tag>
    <b:SourceType>DocumentFromInternetSite</b:SourceType>
    <b:Guid>{13B08AE4-4688-47D3-9727-EE07783DB20C}</b:Guid>
    <b:Author>
      <b:Author>
        <b:Corporate>AEMO</b:Corporate>
      </b:Author>
    </b:Author>
    <b:Title>Project EDGE - Public Interim Report</b:Title>
    <b:Year>2022</b:Year>
    <b:Month>June</b:Month>
    <b:URL>https://aemo.com.au/-/media/files/initiatives/der/2022/public-interim-report.pdf?la=en&amp;hash=45036CAC8BE6B43C186426B0B5B8005C</b:URL>
    <b:RefOrder>25</b:RefOrder>
  </b:Source>
  <b:Source>
    <b:Tag>GDo23</b:Tag>
    <b:SourceType>DocumentFromInternetSite</b:SourceType>
    <b:Guid>{D7B21A87-EF8D-4007-B311-FFE166B80AB4}</b:Guid>
    <b:Title>Cybersecurity of DER-DSO data exchanges. From Europead Regulations to Italian Norms</b:Title>
    <b:Year>2023</b:Year>
    <b:Author>
      <b:Author>
        <b:NameList>
          <b:Person>
            <b:Last>G. Donodossola</b:Last>
            <b:First>CET</b:First>
            <b:Middle>Partnership</b:Middle>
          </b:Person>
        </b:NameList>
      </b:Author>
    </b:Author>
    <b:Month>July</b:Month>
    <b:Day>13</b:Day>
    <b:URL>https://cetpartnership.eu/sites/default/files/documentation/CETP%2060%20minutes%20on%20Cybersecurity%20by%20design_Dondossola_Cybersecurity%20of%20DER-DSO%20exchanges%2013072023_0.pdf#:~:text=%E2%96%A0%20Cybersecurity%20of%20firmware%2Fsoftware%20upgrades</b:URL>
    <b:RefOrder>26</b:RefOrder>
  </b:Source>
  <b:Source>
    <b:Tag>JWi25</b:Tag>
    <b:SourceType>Book</b:SourceType>
    <b:Guid>{0A3C1A57-3ED5-4AEE-A4DD-60700C9F13CB}</b:Guid>
    <b:Author>
      <b:Author>
        <b:NameList>
          <b:Person>
            <b:Last>L. Schmitt</b:Last>
            <b:First>J.</b:First>
            <b:Middle>Wilders</b:Middle>
          </b:Person>
        </b:NameList>
      </b:Author>
    </b:Author>
    <b:Title>Future Control Room Architectures for Grid and Market Integrated Operation</b:Title>
    <b:Year>Jan. 2025</b:Year>
    <b:Publisher>Axual and Digital4Grids</b:Publisher>
    <b:RefOrder>27</b:RefOrder>
  </b:Source>
  <b:Source>
    <b:Tag>CWD17</b:Tag>
    <b:SourceType>ElectronicSource</b:SourceType>
    <b:Guid>{CECB4965-ECC7-47AC-88FB-4847BD371C36}</b:Guid>
    <b:Title>Cybersecurity White Paper</b:Title>
    <b:Year>2017</b:Year>
    <b:Author>
      <b:Author>
        <b:NameList>
          <b:Person>
            <b:Last>C.W. Draffin</b:Last>
            <b:First>Jr.</b:First>
          </b:Person>
        </b:NameList>
      </b:Author>
    </b:Author>
    <b:Publisher>MIT Energy Initiative</b:Publisher>
    <b:RefOrder>28</b:RefOrder>
  </b:Source>
  <b:Source>
    <b:Tag>ENT16</b:Tag>
    <b:SourceType>DocumentFromInternetSite</b:SourceType>
    <b:Guid>{332B4A4D-D437-4DAE-A72D-62F462A0120B}</b:Guid>
    <b:Author>
      <b:Author>
        <b:Corporate>ENTSO-E, CEDEC, GEODE, EURELECTRIC, EDSO for Smart Grids</b:Corporate>
      </b:Author>
    </b:Author>
    <b:Title>TSO-DSO Data Management Report</b:Title>
    <b:Year>2016</b:Year>
    <b:Month>July</b:Month>
    <b:Day>27</b:Day>
    <b:URL>https://eepublicdownloads.entsoe.eu/clean-documents/Publications/Position%20papers%20and%20reports/entsoe_TSO-DSO_DMR_web.pdf#:~:text=The%20architecture%20of%20IT%20and,</b:URL>
    <b:RefOrder>29</b:RefOrder>
  </b:Source>
  <b:Source>
    <b:Tag>WSP24</b:Tag>
    <b:SourceType>Book</b:SourceType>
    <b:Guid>{948EF9FB-51E7-41EF-B47F-FC357D511163}</b:Guid>
    <b:Author>
      <b:Author>
        <b:Corporate>WSP, Imperial College London Consultants, National Grid</b:Corporate>
      </b:Author>
    </b:Author>
    <b:Title>Dissemination of project findings: Final Dissemination Webinar</b:Title>
    <b:Year>July 2024</b:Year>
    <b:Publisher>Energy System Operator (ESO)</b:Publisher>
    <b:RefOrder>30</b:RefOrder>
  </b:Source>
  <b:Source>
    <b:Tag>AEM24</b:Tag>
    <b:SourceType>Report</b:SourceType>
    <b:Guid>{481F5516-0ACE-4D23-8A68-FB714AEA73C5}</b:Guid>
    <b:Title>Integrated System Plan For the National Electricity Market</b:Title>
    <b:Year>2024</b:Year>
    <b:Author>
      <b:Author>
        <b:Corporate>AEMO</b:Corporate>
      </b:Author>
    </b:Author>
    <b:RefOrder>31</b:RefOrder>
  </b:Source>
  <b:Source>
    <b:Tag>AEM241</b:Tag>
    <b:SourceType>Report</b:SourceType>
    <b:Guid>{9F8F367D-7443-4BA8-ACCA-E43CD50D99C0}</b:Guid>
    <b:Author>
      <b:Author>
        <b:Corporate>AEMO</b:Corporate>
      </b:Author>
    </b:Author>
    <b:Title>Engineering Roadmap - FY2025 Priority Actions Report</b:Title>
    <b:Year>2024</b:Year>
    <b:RefOrder>32</b:RefOrder>
  </b:Source>
  <b:Source>
    <b:Tag>Ofg23</b:Tag>
    <b:SourceType>DocumentFromInternetSite</b:SourceType>
    <b:Guid>{DD8A8E01-48D5-4CDA-B014-00EBBF048AC1}</b:Guid>
    <b:Title>Future Systems and Network Regulation: Framework</b:Title>
    <b:Year>2023</b:Year>
    <b:Month>October</b:Month>
    <b:Day>26</b:Day>
    <b:URL>www.ofgem.gov.uk</b:URL>
    <b:Author>
      <b:Author>
        <b:Corporate>Ofgem</b:Corporate>
      </b:Author>
    </b:Author>
    <b:RefOrder>33</b:RefOrder>
  </b:Source>
  <b:Source>
    <b:Tag>PJM22</b:Tag>
    <b:SourceType>InternetSite</b:SourceType>
    <b:Guid>{BC6C4071-E10A-482D-AB3B-F4BDDB6D6453}</b:Guid>
    <b:Title>Order 2222 Filing Furthers DER Market Participation</b:Title>
    <b:Year>2022</b:Year>
    <b:Month>February</b:Month>
    <b:Day>2</b:Day>
    <b:URL>https://insidelines.pjm.com/order-2222-filing-furthers-der-market-participation/</b:URL>
    <b:Author>
      <b:Author>
        <b:Corporate>PJM Inside Lines</b:Corporate>
      </b:Author>
    </b:Author>
    <b:RefOrder>34</b:RefOrder>
  </b:Source>
  <b:Source>
    <b:Tag>Ele23</b:Tag>
    <b:SourceType>Report</b:SourceType>
    <b:Guid>{EAFF9FBE-1D47-4D2C-B670-1C1AEFD5F0A9}</b:Guid>
    <b:Title>TSO-DSO Coordination Frameworks for DER Services</b:Title>
    <b:Year>2023</b:Year>
    <b:Author>
      <b:Author>
        <b:Corporate>Electric Power Research Institute (EPRI)</b:Corporate>
      </b:Author>
    </b:Author>
    <b:City>Palo Alto, CA</b:City>
    <b:RefOrder>35</b:RefOrder>
  </b:Source>
  <b:Source>
    <b:Tag>CED16</b:Tag>
    <b:SourceType>DocumentFromInternetSite</b:SourceType>
    <b:Guid>{1E92B98A-7A58-4CD7-B55D-C1C94A1A6879}</b:Guid>
    <b:Author>
      <b:Author>
        <b:Corporate>CEDEC; EDSO; ENTSOE; EURELECTRIC; GEODE</b:Corporate>
      </b:Author>
    </b:Author>
    <b:Title>TSO-DSO Data Management Report</b:Title>
    <b:Year>2016</b:Year>
    <b:YearAccessed>2025</b:YearAccessed>
    <b:MonthAccessed>March</b:MonthAccessed>
    <b:DayAccessed>20</b:DayAccessed>
    <b:URL>https://eepublicdownloads.entsoe.eu/clean-documents/Publications/Position%20papers%20and%20reports/entsoe_TSO-DSO_DMR_web.pdf</b:URL>
    <b:RefOrder>36</b:RefOrder>
  </b:Source>
  <b:Source>
    <b:Tag>IES23</b:Tag>
    <b:SourceType>DocumentFromInternetSite</b:SourceType>
    <b:Guid>{B94B4BC7-415D-41FA-9451-73B51F332802}</b:Guid>
    <b:Title>Distributed Energy Resources (DER) - Market Vision and Design Project</b:Title>
    <b:Year>2023</b:Year>
    <b:Month>January</b:Month>
    <b:Day>25</b:Day>
    <b:YearAccessed>20</b:YearAccessed>
    <b:MonthAccessed>March</b:MonthAccessed>
    <b:DayAccessed>20</b:DayAccessed>
    <b:URL>https://www.ieso.ca/en/Sector-Participants/Engagement-Initiatives/Engagements/Distributed-Energy-Resources-Market-Vision-and-Design-Project</b:URL>
    <b:Author>
      <b:Author>
        <b:Corporate>IESO</b:Corporate>
      </b:Author>
    </b:Author>
    <b:RefOrder>37</b:RefOrder>
  </b:Source>
  <b:Source>
    <b:Tag>ICF20</b:Tag>
    <b:SourceType>DocumentFromInternetSite</b:SourceType>
    <b:Guid>{EDEF7A1B-DFA7-45B5-AF86-A62578245C0E}</b:Guid>
    <b:Author>
      <b:Author>
        <b:Corporate>ICF</b:Corporate>
      </b:Author>
    </b:Author>
    <b:Title>Development of a Transmission - Distribution Interoperability Framework</b:Title>
    <b:Year>2020</b:Year>
    <b:Month>May</b:Month>
    <b:URL>https://www.ieso.ca/-/media/Files/IESO/Document-Library/White-papers/IESO-T-D-Coordination-Framework.pdf</b:URL>
    <b:RefOrder>38</b:RefOrder>
  </b:Source>
  <b:Source>
    <b:Tag>AKa23</b:Tag>
    <b:SourceType>InternetSite</b:SourceType>
    <b:Guid>{7D77EBAB-A701-488F-8835-3E15707EE941}</b:Guid>
    <b:Title>Solving the DER communication problem with HIL Compatible and MBSE</b:Title>
    <b:Year>2023</b:Year>
    <b:Month>February</b:Month>
    <b:Day>1</b:Day>
    <b:URL>https://www.typhoon-hil.com/blog/der-communication-challenge/#:~:text=Some%20modern%20communication%20protocols%2C%20such,or%20full%20support%20for%20multiple%20now%20this,%20please</b:URL>
    <b:Author>
      <b:Author>
        <b:NameList>
          <b:Person>
            <b:Last>A. Kavgic</b:Last>
          </b:Person>
        </b:NameList>
      </b:Author>
    </b:Author>
    <b:ProductionCompany>Typhoon HIL Blog</b:ProductionCompany>
    <b:RefOrder>39</b:RefOrder>
  </b:Source>
  <b:Source>
    <b:Tag>NSu19</b:Tag>
    <b:SourceType>DocumentFromInternetSite</b:SourceType>
    <b:Guid>{DB87BB63-7E19-4F9A-BB0F-2DB8FE7466B6}</b:Guid>
    <b:Author>
      <b:Author>
        <b:NameList>
          <b:Person>
            <b:Last>Suljanović</b:Last>
            <b:First>N.</b:First>
          </b:Person>
          <b:Person>
            <b:Last>Souvent</b:Last>
            <b:First>A.</b:First>
          </b:Person>
          <b:Person>
            <b:Last>Taylor</b:Last>
            <b:First>G.</b:First>
          </b:Person>
          <b:Person>
            <b:Last>Radi</b:Last>
            <b:First>M.</b:First>
          </b:Person>
          <b:Person>
            <b:Last>Lambert</b:Last>
            <b:First>E.</b:First>
          </b:Person>
          <b:Person>
            <b:Last>Morais</b:Last>
            <b:First>H.</b:First>
          </b:Person>
        </b:NameList>
      </b:Author>
    </b:Author>
    <b:Title>Design of Interoperable Communication Architecture for TSO-DSO Data Exchange</b:Title>
    <b:Year>2019</b:Year>
    <b:URL>https://bura.brunel.ac.uk/bitstream/2438/18594/1/FullText.pdf.</b:URL>
    <b:LCID>en-AU</b:LCID>
    <b:RefOrder>40</b:RefOrder>
  </b:Source>
  <b:Source>
    <b:Tag>CDA19</b:Tag>
    <b:SourceType>ConferenceProceedings</b:SourceType>
    <b:Guid>{A9969161-3082-4431-8405-5012319319F2}</b:Guid>
    <b:Author>
      <b:Author>
        <b:NameList>
          <b:Person>
            <b:Last>D'Adamo</b:Last>
            <b:First>C.</b:First>
          </b:Person>
          <b:Person>
            <b:Last>Cazzato</b:Last>
            <b:First>F.</b:First>
          </b:Person>
          <b:Person>
            <b:Last>Di Clerico</b:Last>
            <b:First>M.</b:First>
          </b:Person>
          <b:Person>
            <b:Last>Ferrero</b:Last>
            <b:First>S.</b:First>
          </b:Person>
        </b:NameList>
      </b:Author>
    </b:Author>
    <b:Title>Coordination and Data Exchange Between DSO and TSO as Key Factors for Optmizing DER Management in the Future Energy System</b:Title>
    <b:Year>2019</b:Year>
    <b:ConferenceName>CIRED 2019</b:ConferenceName>
    <b:City>Madrid, Spain</b:City>
    <b:RefOrder>41</b:RefOrder>
  </b:Source>
  <b:Source>
    <b:Tag>AGo20</b:Tag>
    <b:SourceType>JournalArticle</b:SourceType>
    <b:Guid>{68A6EE48-A6A1-449F-8D1A-675CCF4DD898}</b:Guid>
    <b:Title>A Review on TSO-DSO Coordination Models and Solution Techniques</b:Title>
    <b:Year>2020</b:Year>
    <b:Author>
      <b:Author>
        <b:NameList>
          <b:Person>
            <b:Last>Givisiez</b:Last>
            <b:Middle>G.</b:Middle>
            <b:First>A.</b:First>
          </b:Person>
          <b:Person>
            <b:Last>Petrou</b:Last>
            <b:First>K.</b:First>
          </b:Person>
          <b:Person>
            <b:Last>Ochoa</b:Last>
            <b:Middle>F.</b:Middle>
            <b:First>L.</b:First>
          </b:Person>
        </b:NameList>
      </b:Author>
    </b:Author>
    <b:JournalName>Electric Power System Research</b:JournalName>
    <b:Volume>189</b:Volume>
    <b:RefOrder>42</b:RefOrder>
  </b:Source>
  <b:Source>
    <b:Tag>sCh22</b:Tag>
    <b:SourceType>DocumentFromInternetSite</b:SourceType>
    <b:Guid>{F06A8973-AB10-407D-9829-D3016C34D942}</b:Guid>
    <b:Author>
      <b:Author>
        <b:NameList>
          <b:Person>
            <b:Last>Chen</b:Last>
            <b:First>S.</b:First>
          </b:Person>
          <b:Person>
            <b:Last>Ebe</b:Last>
            <b:First>F.</b:First>
          </b:Person>
          <b:Person>
            <b:Last>Morris</b:Last>
            <b:First>J.</b:First>
          </b:Person>
          <b:Person>
            <b:Last>Lorenz</b:Last>
            <b:First>H.</b:First>
          </b:Person>
          <b:Person>
            <b:Last>Kondzialka</b:Last>
            <b:First>C.</b:First>
          </b:Person>
          <b:Person>
            <b:Last>Heilscher</b:Last>
            <b:First>G.</b:First>
          </b:Person>
        </b:NameList>
      </b:Author>
    </b:Author>
    <b:Title>Implementation and Test of an IEC 61850-Based Automation Framework for the Automated Data Model Integration of DES (ADMID) into DSO SCADA</b:Title>
    <b:Year>2022</b:Year>
    <b:Month>February</b:Month>
    <b:Day>19</b:Day>
    <b:URL>https://doi.org/10.3390/en15041552</b:URL>
    <b:RefOrder>43</b:RefOrder>
  </b:Source>
  <b:Source>
    <b:Tag>alA22</b:Tag>
    <b:SourceType>JournalArticle</b:SourceType>
    <b:Guid>{C00FABE3-3239-4245-AABF-77DDB003F686}</b:Guid>
    <b:Author>
      <b:Author>
        <b:NameList>
          <b:Person>
            <b:Last>Bytyqi</b:Last>
            <b:First>A.</b:First>
          </b:Person>
          <b:Person>
            <b:Last>Gandhi</b:Last>
            <b:First>S.</b:First>
          </b:Person>
          <b:Person>
            <b:Last>Lambert</b:Last>
            <b:First>E.</b:First>
          </b:Person>
          <b:Person>
            <b:Last>Petrovi</b:Last>
            <b:First>N.</b:First>
          </b:Person>
        </b:NameList>
      </b:Author>
    </b:Author>
    <b:Title>A Review on TSO-DSO Data Exchange, CIM Extensions and Interoperability Aspects</b:Title>
    <b:Year>2022</b:Year>
    <b:URL>https://epjournal.csee.org.cn/mpce/cn/article/id/f62034d8-6931-4e7b-a421-413cf9a7f576#:~:text=TSO,common%20grid%20model%20exchange%20standard%EF%BC%88CGMES%EF%BC%89</b:URL>
    <b:ProductionCompany>J. Modern Power Systems &amp; Clean Energy</b:ProductionCompany>
    <b:JournalName>Journal of Modern Power Systems and Clean Energy</b:JournalName>
    <b:Pages>309-315</b:Pages>
    <b:Volume>10</b:Volume>
    <b:Issue>March 2022</b:Issue>
    <b:RefOrder>44</b:RefOrder>
  </b:Source>
  <b:Source>
    <b:Tag>alM21</b:Tag>
    <b:SourceType>JournalArticle</b:SourceType>
    <b:Guid>{93B5801B-7EC7-4DB0-9974-32BEEB3E609E}</b:Guid>
    <b:Author>
      <b:Author>
        <b:NameList>
          <b:Person>
            <b:Last>Suljanovic</b:Last>
            <b:First>N.</b:First>
          </b:Person>
          <b:Person>
            <b:Last>Radi</b:Last>
            <b:First>M.</b:First>
          </b:Person>
          <b:Person>
            <b:Last>Taylor</b:Last>
            <b:First>G.</b:First>
          </b:Person>
          <b:Person>
            <b:Last>Cantenot</b:Last>
            <b:First>J.</b:First>
          </b:Person>
          <b:Person>
            <b:Last>Lambert</b:Last>
            <b:First>E.</b:First>
          </b:Person>
        </b:NameList>
      </b:Author>
    </b:Author>
    <b:Title>Developing Enhanced TSO-DSO Information and Data Exchange Based on a Novel Use Case Methodology</b:Title>
    <b:Year>2021</b:Year>
    <b:Publisher>Frontiers in Energy Research,</b:Publisher>
    <b:URL>https://www.frontiersin.org/journals/energy-research/articles/10.3389/fenrg.2021.670573/full</b:URL>
    <b:JournalName>Frontiers in Energy Research</b:JournalName>
    <b:Volume>9</b:Volume>
    <b:RefOrder>45</b:RefOrder>
  </b:Source>
  <b:Source>
    <b:Tag>Kuk23</b:Tag>
    <b:SourceType>DocumentFromInternetSite</b:SourceType>
    <b:Guid>{54DA8B1B-6EC7-4F63-8E19-C47170E501FF}</b:Guid>
    <b:Title>Cross Stakeholder Data Governance for Energy Data Exchange D6.2</b:Title>
    <b:Year>2023</b:Year>
    <b:Month>03</b:Month>
    <b:Day>31</b:Day>
    <b:URL>https://www.onenet-project.eu/wp-content/uploads/2023/04/D6.2-OneNet-v1.0.pdf</b:URL>
    <b:Author>
      <b:Author>
        <b:NameList>
          <b:Person>
            <b:Last>Kukk</b:Last>
            <b:First>K.</b:First>
          </b:Person>
          <b:Person>
            <b:Last>Bosco</b:Last>
            <b:First>F.</b:First>
          </b:Person>
          <b:Person>
            <b:Last>Lacerda</b:Last>
            <b:First>M.</b:First>
          </b:Person>
          <b:Person>
            <b:Last>Sakas</b:Last>
            <b:First>V.</b:First>
          </b:Person>
          <b:Person>
            <b:Last>Kapetanios</b:Last>
            <b:First>A.</b:First>
          </b:Person>
          <b:Person>
            <b:Last>Kotsalos</b:Last>
            <b:First>K.</b:First>
          </b:Person>
        </b:NameList>
      </b:Author>
    </b:Author>
    <b:RefOrder>46</b:RefOrder>
  </b:Source>
  <b:Source>
    <b:Tag>Ele19</b:Tag>
    <b:SourceType>Book</b:SourceType>
    <b:Guid>{CA36EA58-317D-4A44-B291-EA2BA55D6FFC}</b:Guid>
    <b:Author>
      <b:Author>
        <b:Corporate>Electric Power Research Institute</b:Corporate>
      </b:Author>
    </b:Author>
    <b:Title>Technical Update Report: Distribution System Operator Interactions with Transmission System Operator</b:Title>
    <b:Year>2019</b:Year>
    <b:Publisher>EPRI</b:Publisher>
    <b:RefOrder>47</b:RefOrder>
  </b:Source>
  <b:Source>
    <b:Tag>Uni24</b:Tag>
    <b:SourceType>Book</b:SourceType>
    <b:Guid>{2A325100-CBCD-4410-A849-D8973375CCA4}</b:Guid>
    <b:Author>
      <b:Author>
        <b:Corporate>United States, Department of Energy - Grid Modernization Initiative</b:Corporate>
      </b:Author>
    </b:Author>
    <b:Title>Grid Modernization Strategy 2024</b:Title>
    <b:Year>2024</b:Year>
    <b:Publisher>US DOE</b:Publisher>
    <b:RefOrder>48</b:RefOrder>
  </b:Source>
  <b:Source>
    <b:Tag>Ont23</b:Tag>
    <b:SourceType>Report</b:SourceType>
    <b:Guid>{06B69AD2-33F7-4191-9AD4-BB3D1A953C6D}</b:Guid>
    <b:Author>
      <b:Author>
        <b:Corporate>Ontario Energy Association</b:Corporate>
      </b:Author>
    </b:Author>
    <b:Title>Distribution System Operator (DSO) Study</b:Title>
    <b:Year>2023</b:Year>
    <b:Publisher>Ontario Energy Association</b:Publisher>
    <b:URL>https://energyontario.ca/Files/OEA_DSO_Study_Dec_13_2023_FINAL.pdf</b:URL>
    <b:RefOrder>49</b:RefOrder>
  </b:Source>
  <b:Source>
    <b:Tag>Elp23</b:Tag>
    <b:SourceType>Report</b:SourceType>
    <b:Guid>{0480EB33-06C3-4302-A605-8300C39064A3}</b:Guid>
    <b:Author>
      <b:Author>
        <b:Corporate>Electric Power Research Institute</b:Corporate>
      </b:Author>
    </b:Author>
    <b:Title>Technical Brief: Procuring Services from Distribute Energy Resources</b:Title>
    <b:Year>2023</b:Year>
    <b:Publisher>EPRI</b:Publisher>
    <b:URL>DERs https://www.ieso.ca/-/media/Files/IESO/Document-Library/engage/yrnwa/yrnwa-20240611-2-Coordination-Between-ISO-DSO-DER-3002028580.pdf</b:URL>
    <b:RefOrder>50</b:RefOrder>
  </b:Source>
  <b:Source>
    <b:Tag>CED19</b:Tag>
    <b:SourceType>Book</b:SourceType>
    <b:Guid>{B66E9788-40A5-4187-946D-304BFC086C4B}</b:Guid>
    <b:Author>
      <b:Author>
        <b:Corporate>CEDEC, E.DSO, ENTSOE, Euelectric, GRODE</b:Corporate>
      </b:Author>
    </b:Author>
    <b:Title>TSO – DSO REPORT – AN INTEGRATED APPROACH TO ACTIVE SYSTEM MANAGEMENT</b:Title>
    <b:Year>2019</b:Year>
    <b:Publisher>ENTSO-E</b:Publisher>
    <b:URL>https://eepublicdownloads.entsoe.eu/clean-documents/Publications/Position%20papers%20and%20reports/TSO-DSO_ASM_2019_190416.pdf</b:URL>
    <b:RefOrder>51</b:RefOrder>
  </b:Source>
  <b:Source>
    <b:Tag>USD24</b:Tag>
    <b:SourceType>DocumentFromInternetSite</b:SourceType>
    <b:Guid>{D312937D-09EB-4FB3-88EF-4159A839E0D3}</b:Guid>
    <b:Author>
      <b:Author>
        <b:Corporate>U.S. Department of Energy, Office of Electricity</b:Corporate>
      </b:Author>
    </b:Author>
    <b:Title>Latency Implications for Grid Communications, SPaRC Series White Paper</b:Title>
    <b:Year>2024</b:Year>
    <b:Month>January</b:Month>
    <b:Day>31</b:Day>
    <b:URL>https://www.energy.gov/sites/default/files/2024-02/SPARC%20Series%20-%20Latency%20Whitepaper_01312024_optimized.pdf#:~:text=diverse%20renewable%20energy%20assets%20becomes,resilient%20and%20reliable%20energy%20infrastructure</b:URL>
    <b:RefOrder>52</b:RefOrder>
  </b:Source>
  <b:Source>
    <b:Tag>USD</b:Tag>
    <b:SourceType>InternetSite</b:SourceType>
    <b:Guid>{1B4EF51C-FF96-4969-B365-53B428A82E8D}</b:Guid>
    <b:Author>
      <b:Author>
        <b:Corporate>US Department of Energy</b:Corporate>
      </b:Author>
    </b:Author>
    <b:Title>Cyber-Informed Engineering</b:Title>
    <b:URL>https://www.energy.gov/ceser/cyber-informed-engineering</b:URL>
    <b:RefOrder>3</b:RefOrder>
  </b:Source>
  <b:Source>
    <b:Tag>BRI19</b:Tag>
    <b:SourceType>Book</b:SourceType>
    <b:Guid>{DA99BE56-F313-488A-81F5-2818F2AE5525}</b:Guid>
    <b:Author>
      <b:Author>
        <b:Corporate>BRIDGE Regulation and Data Management WG</b:Corporate>
      </b:Author>
    </b:Author>
    <b:Title>BRIDGE TSO-DSO Coordination Report</b:Title>
    <b:Year>2019</b:Year>
    <b:URL>https://h2020-bridge.eu/wp-content/uploads/2020/01/D3.12.f_BRIDGE-TSO-DSO-Coordination-report.pdf</b:URL>
    <b:RefOrder>53</b:RefOrder>
  </b:Source>
  <b:Source>
    <b:Tag>Ele22</b:Tag>
    <b:SourceType>Report</b:SourceType>
    <b:Guid>{7BA850E2-5F9C-4DE7-909E-E5A8FC4718DA}</b:Guid>
    <b:Author>
      <b:Author>
        <b:Corporate>Electric Power Research Institute</b:Corporate>
      </b:Author>
    </b:Author>
    <b:Title>Technical Update: TSO-DSO Coordination Functions for DER</b:Title>
    <b:Year>2022</b:Year>
    <b:Publisher>EPRI</b:Publisher>
    <b:RefOrder>5</b:RefOrder>
  </b:Source>
  <b:Source>
    <b:Tag>EUS18</b:Tag>
    <b:SourceType>Report</b:SourceType>
    <b:Guid>{129F895D-B888-471A-A5AE-697B24831D9E}</b:Guid>
    <b:Author>
      <b:Author>
        <b:Corporate>EU-SysFlex</b:Corporate>
      </b:Author>
    </b:Author>
    <b:Title>Conceptual market organisations for the provision of innovative system services: role models,associated market designs and regulatory frameworks</b:Title>
    <b:Year>2020</b:Year>
    <b:Publisher>Horizon 2020</b:Publisher>
    <b:RefOrder>54</b:RefOrder>
  </b:Source>
  <b:Source>
    <b:Tag>USD19</b:Tag>
    <b:SourceType>DocumentFromInternetSite</b:SourceType>
    <b:Guid>{870D2F9D-FACF-4689-95C7-2B18E1D182B0}</b:Guid>
    <b:Title>Operational Coordination across Bulk Power, Distribution and Customr System</b:Title>
    <b:Year>2019</b:Year>
    <b:Author>
      <b:Author>
        <b:Corporate>U.S. Department of Energy</b:Corporate>
      </b:Author>
    </b:Author>
    <b:Month>February</b:Month>
    <b:URL>https://www.pnnl.gov/sites/default/files/media/file/Operational-Coordination-Across-Bulk-Power-Distribution-Customer-Systems-Feb2019.pdf</b:URL>
    <b:RefOrder>55</b:RefOrder>
  </b:Source>
  <b:Source>
    <b:Tag>ENA24</b:Tag>
    <b:SourceType>Report</b:SourceType>
    <b:Guid>{C7F562A4-0AAA-40F6-8B10-CD2EDE894AAB}</b:Guid>
    <b:Title>Primacy Rules, Rules for ESO/DNO Coordination. Increment 2. V.1.0</b:Title>
    <b:Year>2024</b:Year>
    <b:Author>
      <b:Author>
        <b:Corporate>ENA</b:Corporate>
      </b:Author>
    </b:Author>
    <b:RefOrder>56</b:RefOrder>
  </b:Source>
  <b:Source>
    <b:Tag>IRE201</b:Tag>
    <b:SourceType>DocumentFromInternetSite</b:SourceType>
    <b:Guid>{C6E9B95B-F005-4FFE-BD2A-97FBB6F47ED8}</b:Guid>
    <b:Title>Innovation Landscape Brief: Co-operation Between Transmission and Distribution System Operators</b:Title>
    <b:Year>2020</b:Year>
    <b:Author>
      <b:Author>
        <b:Corporate>IRENA</b:Corporate>
      </b:Author>
    </b:Author>
    <b:URL>https://www.irena.org/-/media/Files/IRENA/Agency/Publication/2020/Jul/IRENA_TSO-DSO_co-operation_2020.pdf?la=en&amp;hash=5D78444F4339DC130204A0F9A99A30753368AABC</b:URL>
    <b:RefOrder>1</b:RefOrder>
  </b:Source>
  <b:Source>
    <b:Tag>TKr21</b:Tag>
    <b:SourceType>DocumentFromInternetSite</b:SourceType>
    <b:Guid>{FFE9318B-EE95-401E-B0D9-94D0B6AAABA6}</b:Guid>
    <b:Author>
      <b:Author>
        <b:NameList>
          <b:Person>
            <b:Last>Krause</b:Last>
            <b:First>T.</b:First>
          </b:Person>
          <b:Person>
            <b:Last>Ernst</b:Last>
            <b:First>R.</b:First>
          </b:Person>
          <b:Person>
            <b:Last>Klaer</b:Last>
            <b:First>B.</b:First>
          </b:Person>
          <b:Person>
            <b:Last>Hacker</b:Last>
            <b:First>I.</b:First>
          </b:Person>
          <b:Person>
            <b:Last>Henze</b:Last>
            <b:First>M.</b:First>
          </b:Person>
        </b:NameList>
      </b:Author>
    </b:Author>
    <b:Title>Cybersecurity in Power Grids: Challenges and Opportunities</b:Title>
    <b:Year>2021</b:Year>
    <b:Month>September</b:Month>
    <b:Day>16</b:Day>
    <b:URL>https://doi.org/10.3390/s21186225</b:URL>
    <b:RefOrder>2</b:RefOrder>
  </b:Source>
  <b:Source>
    <b:Tag>CIG21</b:Tag>
    <b:SourceType>JournalArticle</b:SourceType>
    <b:Guid>{7E697639-DFE5-4701-8D5F-B70AD6B708F0}</b:Guid>
    <b:Author>
      <b:Author>
        <b:Corporate>CIGRE Working Group C2.40</b:Corporate>
      </b:Author>
    </b:Author>
    <b:Title>TSO-DSO Co-Operation Control Centre Tools Requirements</b:Title>
    <b:Year>2021</b:Year>
    <b:JournalName>CIGRE Technical Brochure</b:JournalName>
    <b:Volume>Technical Brochure</b:Volume>
    <b:Issue>845</b:Issue>
    <b:RefOrder>4</b:RefOrder>
  </b:Source>
  <b:Source>
    <b:Tag>Ele221</b:Tag>
    <b:SourceType>JournalArticle</b:SourceType>
    <b:Guid>{8F9DF537-BC7B-47F6-B605-2857C9C283D0}</b:Guid>
    <b:Author>
      <b:Author>
        <b:Corporate>Electric Power Research Institute (EPRI)</b:Corporate>
      </b:Author>
    </b:Author>
    <b:Title>TSO-DSO Coordination Functions for DER</b:Title>
    <b:JournalName>Technical Update Report</b:JournalName>
    <b:Year>2022</b:Year>
    <b:Issue>3002021985</b:Issue>
    <b:RefOrder>57</b:RefOrder>
  </b:Source>
  <b:Source>
    <b:Tag>Taf25</b:Tag>
    <b:SourceType>InternetSite</b:SourceType>
    <b:Guid>{4E286DA4-05D8-4B8C-860C-E7E64AF1A5B6}</b:Guid>
    <b:Title>Assigning Roles and Responsibilities Rigorously</b:Title>
    <b:Year>2025</b:Year>
    <b:Author>
      <b:Author>
        <b:NameList>
          <b:Person>
            <b:Last>Taft</b:Last>
            <b:Middle>Jeffrey</b:Middle>
          </b:Person>
        </b:NameList>
      </b:Author>
    </b:Author>
    <b:ProductionCompany>Substack</b:ProductionCompany>
    <b:Month>January</b:Month>
    <b:Day>24</b:Day>
    <b:YearAccessed>2025</b:YearAccessed>
    <b:MonthAccessed>June</b:MonthAccessed>
    <b:URL>https://jeffreytaft.substack.com/p/assigning-roles-and-responsibilities</b:URL>
    <b:RefOrder>58</b:RefOrder>
  </b:Source>
  <b:Source>
    <b:Tag>USD241</b:Tag>
    <b:SourceType>DocumentFromInternetSite</b:SourceType>
    <b:Guid>{C75CFEF9-7207-4367-A1CE-A79B0E631E77}</b:Guid>
    <b:Title>Latency Implications for Grid Communications</b:Title>
    <b:Year>2024</b:Year>
    <b:Author>
      <b:Author>
        <b:Corporate>U.S. Department of Energy, Office of Electricity</b:Corporate>
      </b:Author>
    </b:Author>
    <b:Month>January</b:Month>
    <b:Day>31</b:Day>
    <b:URL>https://www.energy.gov/sites/default/files/2024-02/SPARC%20Series%20-%20Latency%20Whitepaper_01312024_optimized.pdf</b:URL>
    <b:RefOrder>59</b:RefOrder>
  </b:Source>
  <b:Source>
    <b:Tag>Bri24</b:Tag>
    <b:SourceType>DocumentFromInternetSite</b:SourceType>
    <b:Guid>{F6A34A42-7AE9-4135-995D-310090507F05}</b:Guid>
    <b:Author>
      <b:Author>
        <b:Corporate>Camus Energy,</b:Corporate>
        <b:NameList>
          <b:Person>
            <b:Last>Brisley</b:Last>
            <b:First>Steven</b:First>
          </b:Person>
          <b:Person>
            <b:Last>Camus Energy</b:Last>
          </b:Person>
        </b:NameList>
      </b:Author>
    </b:Author>
    <b:Title>Distribution System Operators (DSOs) &amp; MISO Market Interactions - Presented at the MISO Distributed Energy Resources Task Force (DERTF)</b:Title>
    <b:Year>2024</b:Year>
    <b:Month>November</b:Month>
    <b:Day>18</b:Day>
    <b:URL>https://cdn.misoenergy.org/20241118%20DERTF%20Item%2004%20Distribution%20System%20Operators_Camus661034.pdf</b:URL>
    <b:RefOrder>60</b:RefOrder>
  </b:Source>
  <b:Source>
    <b:Tag>Mil11</b:Tag>
    <b:SourceType>DocumentFromInternetSite</b:SourceType>
    <b:Guid>{EA7A403D-1A4D-4663-8CB9-9C6CF7662534}</b:Guid>
    <b:Title>Implications of geographic diversity for short-term variability and predictability of solar</b:Title>
    <b:Year>2011</b:Year>
    <b:Month>July</b:Month>
    <b:Day>24</b:Day>
    <b:URL>https://scispace.com/pdf/implications-of-geographic-diversity-for-short-term-412td9fb01.pdf</b:URL>
    <b:Author>
      <b:Author>
        <b:NameList>
          <b:Person>
            <b:Last>Mills</b:Last>
            <b:First>Andrew</b:First>
          </b:Person>
          <b:Person>
            <b:Last>Wiser</b:Last>
            <b:First>Ryan</b:First>
          </b:Person>
        </b:NameList>
      </b:Author>
    </b:Author>
    <b:RefOrder>61</b:RefOrder>
  </b:Source>
  <b:Source>
    <b:Tag>Taf15</b:Tag>
    <b:SourceType>Report</b:SourceType>
    <b:Guid>{B036C72D-6A71-49B6-A666-4108FF8EA340}</b:Guid>
    <b:Author>
      <b:Author>
        <b:Corporate>Taft, Jeff</b:Corporate>
      </b:Author>
    </b:Author>
    <b:Title>Grid Architecture</b:Title>
    <b:Year>2015</b:Year>
    <b:Publisher>Pacific Northwest National Labs</b:Publisher>
    <b:City>Oak Ridge</b:City>
    <b:RefOrder>62</b:RefOrder>
  </b:Source>
  <b:Source>
    <b:Tag>Ins21</b:Tag>
    <b:SourceType>Report</b:SourceType>
    <b:Guid>{F2701D3C-60F2-47C4-A056-7C5F13179CFB}</b:Guid>
    <b:Author>
      <b:Author>
        <b:Corporate>Institute of Electrical and Electronics Engineers</b:Corporate>
      </b:Author>
    </b:Author>
    <b:Title>Guide for Distributed Energy Resources Management Systems (DERMS) Functional Specification</b:Title>
    <b:Year>2021</b:Year>
    <b:City>New York</b:City>
    <b:ShortTitle>IEEE Std 2030.11™-2021</b:ShortTitle>
    <b:RefOrder>63</b:RefOrder>
  </b:Source>
  <b:Source>
    <b:Tag>Int20</b:Tag>
    <b:SourceType>Report</b:SourceType>
    <b:Guid>{6B1BC948-76F0-4D66-B5F6-8C59B37D5B23}</b:Guid>
    <b:Author>
      <b:Author>
        <b:Corporate>International Electrotechnical Commission</b:Corporate>
      </b:Author>
    </b:Author>
    <b:Title>Application Integration at Electric Utilities – System Interfaces for Distribution Management – Part 5: Distributed Energy Optimization</b:Title>
    <b:Year>2020</b:Year>
    <b:City>Geneva, Switzerland</b:City>
    <b:ShortTitle>IEC 61968‑5:2020</b:ShortTitle>
    <b:RefOrder>64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8BAC9EC549B984F8E2AA5A6E13A8D38" ma:contentTypeVersion="16" ma:contentTypeDescription="Create a new document." ma:contentTypeScope="" ma:versionID="b9d851f7663977b0db1ddcc7e8c11ea0">
  <xsd:schema xmlns:xsd="http://www.w3.org/2001/XMLSchema" xmlns:xs="http://www.w3.org/2001/XMLSchema" xmlns:p="http://schemas.microsoft.com/office/2006/metadata/properties" xmlns:ns2="5e2f252f-8900-4f4b-82b1-fdec8db92741" xmlns:ns3="12e25d29-f4a8-4908-9d00-0fd219b6dff9" targetNamespace="http://schemas.microsoft.com/office/2006/metadata/properties" ma:root="true" ma:fieldsID="0d8f24391d016f733c361aeff3659ec1" ns2:_="" ns3:_="">
    <xsd:import namespace="5e2f252f-8900-4f4b-82b1-fdec8db92741"/>
    <xsd:import namespace="12e25d29-f4a8-4908-9d00-0fd219b6d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f252f-8900-4f4b-82b1-fdec8db92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47e0d4-9aef-413a-af31-adf2477f37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25d29-f4a8-4908-9d00-0fd219b6df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ee86f34-f257-4106-a22c-996a8c663c00}" ma:internalName="TaxCatchAll" ma:showField="CatchAllData" ma:web="12e25d29-f4a8-4908-9d00-0fd219b6d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83D36-6168-4362-BAE1-8FE4F979625D}">
  <ds:schemaRefs>
    <ds:schemaRef ds:uri="http://schemas.microsoft.com/office/2006/metadata/properties"/>
    <ds:schemaRef ds:uri="http://schemas.microsoft.com/office/infopath/2007/PartnerControls"/>
    <ds:schemaRef ds:uri="12e25d29-f4a8-4908-9d00-0fd219b6dff9"/>
    <ds:schemaRef ds:uri="5e2f252f-8900-4f4b-82b1-fdec8db92741"/>
  </ds:schemaRefs>
</ds:datastoreItem>
</file>

<file path=customXml/itemProps2.xml><?xml version="1.0" encoding="utf-8"?>
<ds:datastoreItem xmlns:ds="http://schemas.openxmlformats.org/officeDocument/2006/customXml" ds:itemID="{6FD3A6E2-B816-4475-B9A7-18D68DDE3768}">
  <ds:schemaRefs>
    <ds:schemaRef ds:uri="http://schemas.openxmlformats.org/officeDocument/2006/bibliography"/>
  </ds:schemaRefs>
</ds:datastoreItem>
</file>

<file path=customXml/itemProps3.xml><?xml version="1.0" encoding="utf-8"?>
<ds:datastoreItem xmlns:ds="http://schemas.openxmlformats.org/officeDocument/2006/customXml" ds:itemID="{13E26428-F818-4F61-A21C-BAFD4A0C3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f252f-8900-4f4b-82b1-fdec8db92741"/>
    <ds:schemaRef ds:uri="12e25d29-f4a8-4908-9d00-0fd219b6d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E94C5-D0EF-424E-9B2A-54A4C7B28226}">
  <ds:schemaRefs>
    <ds:schemaRef ds:uri="http://schemas.microsoft.com/sharepoint/v3/contenttype/forms"/>
  </ds:schemaRefs>
</ds:datastoreItem>
</file>

<file path=docMetadata/LabelInfo.xml><?xml version="1.0" encoding="utf-8"?>
<clbl:labelList xmlns:clbl="http://schemas.microsoft.com/office/2020/mipLabelMetadata">
  <clbl:label id="{c1941c47-a837-430d-8559-fd118a72769e}" enabled="1" method="Standard" siteId="{320c999e-3876-4ad0-b401-d241068e9e60}" contentBits="0" removed="0"/>
</clbl:labelList>
</file>

<file path=docProps/app.xml><?xml version="1.0" encoding="utf-8"?>
<Properties xmlns="http://schemas.openxmlformats.org/officeDocument/2006/extended-properties" xmlns:vt="http://schemas.openxmlformats.org/officeDocument/2006/docPropsVTypes">
  <Template>Normal</Template>
  <TotalTime>128</TotalTime>
  <Pages>156</Pages>
  <Words>45458</Words>
  <Characters>259111</Characters>
  <Application>Microsoft Office Word</Application>
  <DocSecurity>0</DocSecurity>
  <Lines>2159</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303962</CharactersWithSpaces>
  <SharedDoc>false</SharedDoc>
  <HLinks>
    <vt:vector size="1050" baseType="variant">
      <vt:variant>
        <vt:i4>655365</vt:i4>
      </vt:variant>
      <vt:variant>
        <vt:i4>1017</vt:i4>
      </vt:variant>
      <vt:variant>
        <vt:i4>0</vt:i4>
      </vt:variant>
      <vt:variant>
        <vt:i4>5</vt:i4>
      </vt:variant>
      <vt:variant>
        <vt:lpwstr>https://futuregridaccelerator.com/glossary/emergence/</vt:lpwstr>
      </vt:variant>
      <vt:variant>
        <vt:lpwstr/>
      </vt:variant>
      <vt:variant>
        <vt:i4>2556022</vt:i4>
      </vt:variant>
      <vt:variant>
        <vt:i4>1014</vt:i4>
      </vt:variant>
      <vt:variant>
        <vt:i4>0</vt:i4>
      </vt:variant>
      <vt:variant>
        <vt:i4>5</vt:i4>
      </vt:variant>
      <vt:variant>
        <vt:lpwstr>https://futuregridaccelerator.com/glossary/complexity/</vt:lpwstr>
      </vt:variant>
      <vt:variant>
        <vt:lpwstr/>
      </vt:variant>
      <vt:variant>
        <vt:i4>65614</vt:i4>
      </vt:variant>
      <vt:variant>
        <vt:i4>1011</vt:i4>
      </vt:variant>
      <vt:variant>
        <vt:i4>0</vt:i4>
      </vt:variant>
      <vt:variant>
        <vt:i4>5</vt:i4>
      </vt:variant>
      <vt:variant>
        <vt:lpwstr>https://futuregridaccelerator.com/glossary/system-2/</vt:lpwstr>
      </vt:variant>
      <vt:variant>
        <vt:lpwstr/>
      </vt:variant>
      <vt:variant>
        <vt:i4>1310747</vt:i4>
      </vt:variant>
      <vt:variant>
        <vt:i4>1008</vt:i4>
      </vt:variant>
      <vt:variant>
        <vt:i4>0</vt:i4>
      </vt:variant>
      <vt:variant>
        <vt:i4>5</vt:i4>
      </vt:variant>
      <vt:variant>
        <vt:lpwstr>https://futuregridaccelerator.com/glossary/structure/</vt:lpwstr>
      </vt:variant>
      <vt:variant>
        <vt:lpwstr/>
      </vt:variant>
      <vt:variant>
        <vt:i4>65614</vt:i4>
      </vt:variant>
      <vt:variant>
        <vt:i4>1005</vt:i4>
      </vt:variant>
      <vt:variant>
        <vt:i4>0</vt:i4>
      </vt:variant>
      <vt:variant>
        <vt:i4>5</vt:i4>
      </vt:variant>
      <vt:variant>
        <vt:lpwstr>https://futuregridaccelerator.com/glossary/system-2/</vt:lpwstr>
      </vt:variant>
      <vt:variant>
        <vt:lpwstr/>
      </vt:variant>
      <vt:variant>
        <vt:i4>2949174</vt:i4>
      </vt:variant>
      <vt:variant>
        <vt:i4>1002</vt:i4>
      </vt:variant>
      <vt:variant>
        <vt:i4>0</vt:i4>
      </vt:variant>
      <vt:variant>
        <vt:i4>5</vt:i4>
      </vt:variant>
      <vt:variant>
        <vt:lpwstr>https://futuregridaccelerator.com/glossary/interruptible-load/</vt:lpwstr>
      </vt:variant>
      <vt:variant>
        <vt:lpwstr/>
      </vt:variant>
      <vt:variant>
        <vt:i4>6160398</vt:i4>
      </vt:variant>
      <vt:variant>
        <vt:i4>999</vt:i4>
      </vt:variant>
      <vt:variant>
        <vt:i4>0</vt:i4>
      </vt:variant>
      <vt:variant>
        <vt:i4>5</vt:i4>
      </vt:variant>
      <vt:variant>
        <vt:lpwstr>https://futuregridaccelerator.com/glossary/controllable-load/</vt:lpwstr>
      </vt:variant>
      <vt:variant>
        <vt:lpwstr/>
      </vt:variant>
      <vt:variant>
        <vt:i4>4587543</vt:i4>
      </vt:variant>
      <vt:variant>
        <vt:i4>996</vt:i4>
      </vt:variant>
      <vt:variant>
        <vt:i4>0</vt:i4>
      </vt:variant>
      <vt:variant>
        <vt:i4>5</vt:i4>
      </vt:variant>
      <vt:variant>
        <vt:lpwstr>https://futuregridaccelerator.com/glossary/load-shifting/</vt:lpwstr>
      </vt:variant>
      <vt:variant>
        <vt:lpwstr/>
      </vt:variant>
      <vt:variant>
        <vt:i4>3276897</vt:i4>
      </vt:variant>
      <vt:variant>
        <vt:i4>993</vt:i4>
      </vt:variant>
      <vt:variant>
        <vt:i4>0</vt:i4>
      </vt:variant>
      <vt:variant>
        <vt:i4>5</vt:i4>
      </vt:variant>
      <vt:variant>
        <vt:lpwstr>https://futuregridaccelerator.com/glossary/demand-response/</vt:lpwstr>
      </vt:variant>
      <vt:variant>
        <vt:lpwstr/>
      </vt:variant>
      <vt:variant>
        <vt:i4>5767195</vt:i4>
      </vt:variant>
      <vt:variant>
        <vt:i4>990</vt:i4>
      </vt:variant>
      <vt:variant>
        <vt:i4>0</vt:i4>
      </vt:variant>
      <vt:variant>
        <vt:i4>5</vt:i4>
      </vt:variant>
      <vt:variant>
        <vt:lpwstr>https://futuregridaccelerator.com/glossary/demand-management/</vt:lpwstr>
      </vt:variant>
      <vt:variant>
        <vt:lpwstr/>
      </vt:variant>
      <vt:variant>
        <vt:i4>3604604</vt:i4>
      </vt:variant>
      <vt:variant>
        <vt:i4>987</vt:i4>
      </vt:variant>
      <vt:variant>
        <vt:i4>0</vt:i4>
      </vt:variant>
      <vt:variant>
        <vt:i4>5</vt:i4>
      </vt:variant>
      <vt:variant>
        <vt:lpwstr>https://futuregridaccelerator.com/glossary/substation/</vt:lpwstr>
      </vt:variant>
      <vt:variant>
        <vt:lpwstr/>
      </vt:variant>
      <vt:variant>
        <vt:i4>3080303</vt:i4>
      </vt:variant>
      <vt:variant>
        <vt:i4>984</vt:i4>
      </vt:variant>
      <vt:variant>
        <vt:i4>0</vt:i4>
      </vt:variant>
      <vt:variant>
        <vt:i4>5</vt:i4>
      </vt:variant>
      <vt:variant>
        <vt:lpwstr>https://futuregridaccelerator.com/glossary/feeder/</vt:lpwstr>
      </vt:variant>
      <vt:variant>
        <vt:lpwstr/>
      </vt:variant>
      <vt:variant>
        <vt:i4>3014780</vt:i4>
      </vt:variant>
      <vt:variant>
        <vt:i4>981</vt:i4>
      </vt:variant>
      <vt:variant>
        <vt:i4>0</vt:i4>
      </vt:variant>
      <vt:variant>
        <vt:i4>5</vt:i4>
      </vt:variant>
      <vt:variant>
        <vt:lpwstr>https://futuregridaccelerator.com/glossary/demand/</vt:lpwstr>
      </vt:variant>
      <vt:variant>
        <vt:lpwstr/>
      </vt:variant>
      <vt:variant>
        <vt:i4>5505115</vt:i4>
      </vt:variant>
      <vt:variant>
        <vt:i4>978</vt:i4>
      </vt:variant>
      <vt:variant>
        <vt:i4>0</vt:i4>
      </vt:variant>
      <vt:variant>
        <vt:i4>5</vt:i4>
      </vt:variant>
      <vt:variant>
        <vt:lpwstr>https://futuregridaccelerator.com/glossary/operational-coordination/</vt:lpwstr>
      </vt:variant>
      <vt:variant>
        <vt:lpwstr/>
      </vt:variant>
      <vt:variant>
        <vt:i4>983042</vt:i4>
      </vt:variant>
      <vt:variant>
        <vt:i4>975</vt:i4>
      </vt:variant>
      <vt:variant>
        <vt:i4>0</vt:i4>
      </vt:variant>
      <vt:variant>
        <vt:i4>5</vt:i4>
      </vt:variant>
      <vt:variant>
        <vt:lpwstr>https://futuregridaccelerator.com/glossary/customers/</vt:lpwstr>
      </vt:variant>
      <vt:variant>
        <vt:lpwstr/>
      </vt:variant>
      <vt:variant>
        <vt:i4>1507335</vt:i4>
      </vt:variant>
      <vt:variant>
        <vt:i4>972</vt:i4>
      </vt:variant>
      <vt:variant>
        <vt:i4>0</vt:i4>
      </vt:variant>
      <vt:variant>
        <vt:i4>5</vt:i4>
      </vt:variant>
      <vt:variant>
        <vt:lpwstr>https://futuregridaccelerator.com/glossary/transmission-network/</vt:lpwstr>
      </vt:variant>
      <vt:variant>
        <vt:lpwstr/>
      </vt:variant>
      <vt:variant>
        <vt:i4>131090</vt:i4>
      </vt:variant>
      <vt:variant>
        <vt:i4>969</vt:i4>
      </vt:variant>
      <vt:variant>
        <vt:i4>0</vt:i4>
      </vt:variant>
      <vt:variant>
        <vt:i4>5</vt:i4>
      </vt:variant>
      <vt:variant>
        <vt:lpwstr>https://futuregridaccelerator.com/glossary/bulk-power-system/</vt:lpwstr>
      </vt:variant>
      <vt:variant>
        <vt:lpwstr/>
      </vt:variant>
      <vt:variant>
        <vt:i4>6225945</vt:i4>
      </vt:variant>
      <vt:variant>
        <vt:i4>966</vt:i4>
      </vt:variant>
      <vt:variant>
        <vt:i4>0</vt:i4>
      </vt:variant>
      <vt:variant>
        <vt:i4>5</vt:i4>
      </vt:variant>
      <vt:variant>
        <vt:lpwstr>https://futuregridaccelerator.com/glossary/reserves/</vt:lpwstr>
      </vt:variant>
      <vt:variant>
        <vt:lpwstr/>
      </vt:variant>
      <vt:variant>
        <vt:i4>8323171</vt:i4>
      </vt:variant>
      <vt:variant>
        <vt:i4>963</vt:i4>
      </vt:variant>
      <vt:variant>
        <vt:i4>0</vt:i4>
      </vt:variant>
      <vt:variant>
        <vt:i4>5</vt:i4>
      </vt:variant>
      <vt:variant>
        <vt:lpwstr>https://futuregridaccelerator.com/glossary/reactive-power/</vt:lpwstr>
      </vt:variant>
      <vt:variant>
        <vt:lpwstr/>
      </vt:variant>
      <vt:variant>
        <vt:i4>3014777</vt:i4>
      </vt:variant>
      <vt:variant>
        <vt:i4>960</vt:i4>
      </vt:variant>
      <vt:variant>
        <vt:i4>0</vt:i4>
      </vt:variant>
      <vt:variant>
        <vt:i4>5</vt:i4>
      </vt:variant>
      <vt:variant>
        <vt:lpwstr>https://futuregridaccelerator.com/glossary/energy/</vt:lpwstr>
      </vt:variant>
      <vt:variant>
        <vt:lpwstr/>
      </vt:variant>
      <vt:variant>
        <vt:i4>6619172</vt:i4>
      </vt:variant>
      <vt:variant>
        <vt:i4>957</vt:i4>
      </vt:variant>
      <vt:variant>
        <vt:i4>0</vt:i4>
      </vt:variant>
      <vt:variant>
        <vt:i4>5</vt:i4>
      </vt:variant>
      <vt:variant>
        <vt:lpwstr>https://futuregridaccelerator.com/glossary/real-power-active-power/</vt:lpwstr>
      </vt:variant>
      <vt:variant>
        <vt:lpwstr/>
      </vt:variant>
      <vt:variant>
        <vt:i4>1114125</vt:i4>
      </vt:variant>
      <vt:variant>
        <vt:i4>954</vt:i4>
      </vt:variant>
      <vt:variant>
        <vt:i4>0</vt:i4>
      </vt:variant>
      <vt:variant>
        <vt:i4>5</vt:i4>
      </vt:variant>
      <vt:variant>
        <vt:lpwstr>https://gridarchitecture.pnnl.gov/media/advanced/Comparative Architecture Analysis-Final.pdf</vt:lpwstr>
      </vt:variant>
      <vt:variant>
        <vt:lpwstr/>
      </vt:variant>
      <vt:variant>
        <vt:i4>655365</vt:i4>
      </vt:variant>
      <vt:variant>
        <vt:i4>951</vt:i4>
      </vt:variant>
      <vt:variant>
        <vt:i4>0</vt:i4>
      </vt:variant>
      <vt:variant>
        <vt:i4>5</vt:i4>
      </vt:variant>
      <vt:variant>
        <vt:lpwstr>https://futuregridaccelerator.com/glossary/emergence/</vt:lpwstr>
      </vt:variant>
      <vt:variant>
        <vt:lpwstr/>
      </vt:variant>
      <vt:variant>
        <vt:i4>2556022</vt:i4>
      </vt:variant>
      <vt:variant>
        <vt:i4>948</vt:i4>
      </vt:variant>
      <vt:variant>
        <vt:i4>0</vt:i4>
      </vt:variant>
      <vt:variant>
        <vt:i4>5</vt:i4>
      </vt:variant>
      <vt:variant>
        <vt:lpwstr>https://futuregridaccelerator.com/glossary/complexity/</vt:lpwstr>
      </vt:variant>
      <vt:variant>
        <vt:lpwstr/>
      </vt:variant>
      <vt:variant>
        <vt:i4>65614</vt:i4>
      </vt:variant>
      <vt:variant>
        <vt:i4>945</vt:i4>
      </vt:variant>
      <vt:variant>
        <vt:i4>0</vt:i4>
      </vt:variant>
      <vt:variant>
        <vt:i4>5</vt:i4>
      </vt:variant>
      <vt:variant>
        <vt:lpwstr>https://futuregridaccelerator.com/glossary/system-2/</vt:lpwstr>
      </vt:variant>
      <vt:variant>
        <vt:lpwstr/>
      </vt:variant>
      <vt:variant>
        <vt:i4>4849708</vt:i4>
      </vt:variant>
      <vt:variant>
        <vt:i4>936</vt:i4>
      </vt:variant>
      <vt:variant>
        <vt:i4>0</vt:i4>
      </vt:variant>
      <vt:variant>
        <vt:i4>5</vt:i4>
      </vt:variant>
      <vt:variant>
        <vt:lpwstr/>
      </vt:variant>
      <vt:variant>
        <vt:lpwstr>Figure_31</vt:lpwstr>
      </vt:variant>
      <vt:variant>
        <vt:i4>3801108</vt:i4>
      </vt:variant>
      <vt:variant>
        <vt:i4>933</vt:i4>
      </vt:variant>
      <vt:variant>
        <vt:i4>0</vt:i4>
      </vt:variant>
      <vt:variant>
        <vt:i4>5</vt:i4>
      </vt:variant>
      <vt:variant>
        <vt:lpwstr/>
      </vt:variant>
      <vt:variant>
        <vt:lpwstr>Ref_9</vt:lpwstr>
      </vt:variant>
      <vt:variant>
        <vt:i4>3801108</vt:i4>
      </vt:variant>
      <vt:variant>
        <vt:i4>930</vt:i4>
      </vt:variant>
      <vt:variant>
        <vt:i4>0</vt:i4>
      </vt:variant>
      <vt:variant>
        <vt:i4>5</vt:i4>
      </vt:variant>
      <vt:variant>
        <vt:lpwstr/>
      </vt:variant>
      <vt:variant>
        <vt:lpwstr>Ref_9</vt:lpwstr>
      </vt:variant>
      <vt:variant>
        <vt:i4>4849708</vt:i4>
      </vt:variant>
      <vt:variant>
        <vt:i4>924</vt:i4>
      </vt:variant>
      <vt:variant>
        <vt:i4>0</vt:i4>
      </vt:variant>
      <vt:variant>
        <vt:i4>5</vt:i4>
      </vt:variant>
      <vt:variant>
        <vt:lpwstr/>
      </vt:variant>
      <vt:variant>
        <vt:lpwstr>Figure_30</vt:lpwstr>
      </vt:variant>
      <vt:variant>
        <vt:i4>4915244</vt:i4>
      </vt:variant>
      <vt:variant>
        <vt:i4>915</vt:i4>
      </vt:variant>
      <vt:variant>
        <vt:i4>0</vt:i4>
      </vt:variant>
      <vt:variant>
        <vt:i4>5</vt:i4>
      </vt:variant>
      <vt:variant>
        <vt:lpwstr/>
      </vt:variant>
      <vt:variant>
        <vt:lpwstr>Figure_29</vt:lpwstr>
      </vt:variant>
      <vt:variant>
        <vt:i4>4915244</vt:i4>
      </vt:variant>
      <vt:variant>
        <vt:i4>912</vt:i4>
      </vt:variant>
      <vt:variant>
        <vt:i4>0</vt:i4>
      </vt:variant>
      <vt:variant>
        <vt:i4>5</vt:i4>
      </vt:variant>
      <vt:variant>
        <vt:lpwstr/>
      </vt:variant>
      <vt:variant>
        <vt:lpwstr>Figure_28</vt:lpwstr>
      </vt:variant>
      <vt:variant>
        <vt:i4>196647</vt:i4>
      </vt:variant>
      <vt:variant>
        <vt:i4>900</vt:i4>
      </vt:variant>
      <vt:variant>
        <vt:i4>0</vt:i4>
      </vt:variant>
      <vt:variant>
        <vt:i4>5</vt:i4>
      </vt:variant>
      <vt:variant>
        <vt:lpwstr/>
      </vt:variant>
      <vt:variant>
        <vt:lpwstr>Ref_39</vt:lpwstr>
      </vt:variant>
      <vt:variant>
        <vt:i4>4915244</vt:i4>
      </vt:variant>
      <vt:variant>
        <vt:i4>894</vt:i4>
      </vt:variant>
      <vt:variant>
        <vt:i4>0</vt:i4>
      </vt:variant>
      <vt:variant>
        <vt:i4>5</vt:i4>
      </vt:variant>
      <vt:variant>
        <vt:lpwstr/>
      </vt:variant>
      <vt:variant>
        <vt:lpwstr>Figure_27</vt:lpwstr>
      </vt:variant>
      <vt:variant>
        <vt:i4>983079</vt:i4>
      </vt:variant>
      <vt:variant>
        <vt:i4>864</vt:i4>
      </vt:variant>
      <vt:variant>
        <vt:i4>0</vt:i4>
      </vt:variant>
      <vt:variant>
        <vt:i4>5</vt:i4>
      </vt:variant>
      <vt:variant>
        <vt:lpwstr/>
      </vt:variant>
      <vt:variant>
        <vt:lpwstr>Ref_35</vt:lpwstr>
      </vt:variant>
      <vt:variant>
        <vt:i4>4915244</vt:i4>
      </vt:variant>
      <vt:variant>
        <vt:i4>858</vt:i4>
      </vt:variant>
      <vt:variant>
        <vt:i4>0</vt:i4>
      </vt:variant>
      <vt:variant>
        <vt:i4>5</vt:i4>
      </vt:variant>
      <vt:variant>
        <vt:lpwstr/>
      </vt:variant>
      <vt:variant>
        <vt:lpwstr>Figure_26</vt:lpwstr>
      </vt:variant>
      <vt:variant>
        <vt:i4>4915244</vt:i4>
      </vt:variant>
      <vt:variant>
        <vt:i4>849</vt:i4>
      </vt:variant>
      <vt:variant>
        <vt:i4>0</vt:i4>
      </vt:variant>
      <vt:variant>
        <vt:i4>5</vt:i4>
      </vt:variant>
      <vt:variant>
        <vt:lpwstr/>
      </vt:variant>
      <vt:variant>
        <vt:lpwstr>Figure_22</vt:lpwstr>
      </vt:variant>
      <vt:variant>
        <vt:i4>852006</vt:i4>
      </vt:variant>
      <vt:variant>
        <vt:i4>843</vt:i4>
      </vt:variant>
      <vt:variant>
        <vt:i4>0</vt:i4>
      </vt:variant>
      <vt:variant>
        <vt:i4>5</vt:i4>
      </vt:variant>
      <vt:variant>
        <vt:lpwstr/>
      </vt:variant>
      <vt:variant>
        <vt:lpwstr>Ref_27</vt:lpwstr>
      </vt:variant>
      <vt:variant>
        <vt:i4>5374067</vt:i4>
      </vt:variant>
      <vt:variant>
        <vt:i4>837</vt:i4>
      </vt:variant>
      <vt:variant>
        <vt:i4>0</vt:i4>
      </vt:variant>
      <vt:variant>
        <vt:i4>5</vt:i4>
      </vt:variant>
      <vt:variant>
        <vt:lpwstr/>
      </vt:variant>
      <vt:variant>
        <vt:lpwstr>Table_6</vt:lpwstr>
      </vt:variant>
      <vt:variant>
        <vt:i4>6226035</vt:i4>
      </vt:variant>
      <vt:variant>
        <vt:i4>828</vt:i4>
      </vt:variant>
      <vt:variant>
        <vt:i4>0</vt:i4>
      </vt:variant>
      <vt:variant>
        <vt:i4>5</vt:i4>
      </vt:variant>
      <vt:variant>
        <vt:lpwstr/>
      </vt:variant>
      <vt:variant>
        <vt:lpwstr>S_7</vt:lpwstr>
      </vt:variant>
      <vt:variant>
        <vt:i4>5374067</vt:i4>
      </vt:variant>
      <vt:variant>
        <vt:i4>825</vt:i4>
      </vt:variant>
      <vt:variant>
        <vt:i4>0</vt:i4>
      </vt:variant>
      <vt:variant>
        <vt:i4>5</vt:i4>
      </vt:variant>
      <vt:variant>
        <vt:lpwstr/>
      </vt:variant>
      <vt:variant>
        <vt:lpwstr>Table_5</vt:lpwstr>
      </vt:variant>
      <vt:variant>
        <vt:i4>70</vt:i4>
      </vt:variant>
      <vt:variant>
        <vt:i4>822</vt:i4>
      </vt:variant>
      <vt:variant>
        <vt:i4>0</vt:i4>
      </vt:variant>
      <vt:variant>
        <vt:i4>5</vt:i4>
      </vt:variant>
      <vt:variant>
        <vt:lpwstr/>
      </vt:variant>
      <vt:variant>
        <vt:lpwstr>S_5_2</vt:lpwstr>
      </vt:variant>
      <vt:variant>
        <vt:i4>4915244</vt:i4>
      </vt:variant>
      <vt:variant>
        <vt:i4>816</vt:i4>
      </vt:variant>
      <vt:variant>
        <vt:i4>0</vt:i4>
      </vt:variant>
      <vt:variant>
        <vt:i4>5</vt:i4>
      </vt:variant>
      <vt:variant>
        <vt:lpwstr/>
      </vt:variant>
      <vt:variant>
        <vt:lpwstr>Figure_20</vt:lpwstr>
      </vt:variant>
      <vt:variant>
        <vt:i4>131109</vt:i4>
      </vt:variant>
      <vt:variant>
        <vt:i4>810</vt:i4>
      </vt:variant>
      <vt:variant>
        <vt:i4>0</vt:i4>
      </vt:variant>
      <vt:variant>
        <vt:i4>5</vt:i4>
      </vt:variant>
      <vt:variant>
        <vt:lpwstr/>
      </vt:variant>
      <vt:variant>
        <vt:lpwstr>Ref_18</vt:lpwstr>
      </vt:variant>
      <vt:variant>
        <vt:i4>4718636</vt:i4>
      </vt:variant>
      <vt:variant>
        <vt:i4>777</vt:i4>
      </vt:variant>
      <vt:variant>
        <vt:i4>0</vt:i4>
      </vt:variant>
      <vt:variant>
        <vt:i4>5</vt:i4>
      </vt:variant>
      <vt:variant>
        <vt:lpwstr/>
      </vt:variant>
      <vt:variant>
        <vt:lpwstr>Figure_13</vt:lpwstr>
      </vt:variant>
      <vt:variant>
        <vt:i4>4194348</vt:i4>
      </vt:variant>
      <vt:variant>
        <vt:i4>759</vt:i4>
      </vt:variant>
      <vt:variant>
        <vt:i4>0</vt:i4>
      </vt:variant>
      <vt:variant>
        <vt:i4>5</vt:i4>
      </vt:variant>
      <vt:variant>
        <vt:lpwstr/>
      </vt:variant>
      <vt:variant>
        <vt:lpwstr>Figure_9</vt:lpwstr>
      </vt:variant>
      <vt:variant>
        <vt:i4>4259884</vt:i4>
      </vt:variant>
      <vt:variant>
        <vt:i4>756</vt:i4>
      </vt:variant>
      <vt:variant>
        <vt:i4>0</vt:i4>
      </vt:variant>
      <vt:variant>
        <vt:i4>5</vt:i4>
      </vt:variant>
      <vt:variant>
        <vt:lpwstr/>
      </vt:variant>
      <vt:variant>
        <vt:lpwstr>Figure_8</vt:lpwstr>
      </vt:variant>
      <vt:variant>
        <vt:i4>5111852</vt:i4>
      </vt:variant>
      <vt:variant>
        <vt:i4>753</vt:i4>
      </vt:variant>
      <vt:variant>
        <vt:i4>0</vt:i4>
      </vt:variant>
      <vt:variant>
        <vt:i4>5</vt:i4>
      </vt:variant>
      <vt:variant>
        <vt:lpwstr/>
      </vt:variant>
      <vt:variant>
        <vt:lpwstr>Figure_7</vt:lpwstr>
      </vt:variant>
      <vt:variant>
        <vt:i4>4718636</vt:i4>
      </vt:variant>
      <vt:variant>
        <vt:i4>744</vt:i4>
      </vt:variant>
      <vt:variant>
        <vt:i4>0</vt:i4>
      </vt:variant>
      <vt:variant>
        <vt:i4>5</vt:i4>
      </vt:variant>
      <vt:variant>
        <vt:lpwstr/>
      </vt:variant>
      <vt:variant>
        <vt:lpwstr>Figure_12</vt:lpwstr>
      </vt:variant>
      <vt:variant>
        <vt:i4>4718636</vt:i4>
      </vt:variant>
      <vt:variant>
        <vt:i4>741</vt:i4>
      </vt:variant>
      <vt:variant>
        <vt:i4>0</vt:i4>
      </vt:variant>
      <vt:variant>
        <vt:i4>5</vt:i4>
      </vt:variant>
      <vt:variant>
        <vt:lpwstr/>
      </vt:variant>
      <vt:variant>
        <vt:lpwstr>Figure_11</vt:lpwstr>
      </vt:variant>
      <vt:variant>
        <vt:i4>4718636</vt:i4>
      </vt:variant>
      <vt:variant>
        <vt:i4>738</vt:i4>
      </vt:variant>
      <vt:variant>
        <vt:i4>0</vt:i4>
      </vt:variant>
      <vt:variant>
        <vt:i4>5</vt:i4>
      </vt:variant>
      <vt:variant>
        <vt:lpwstr/>
      </vt:variant>
      <vt:variant>
        <vt:lpwstr>Figure_10</vt:lpwstr>
      </vt:variant>
      <vt:variant>
        <vt:i4>4194348</vt:i4>
      </vt:variant>
      <vt:variant>
        <vt:i4>735</vt:i4>
      </vt:variant>
      <vt:variant>
        <vt:i4>0</vt:i4>
      </vt:variant>
      <vt:variant>
        <vt:i4>5</vt:i4>
      </vt:variant>
      <vt:variant>
        <vt:lpwstr/>
      </vt:variant>
      <vt:variant>
        <vt:lpwstr>Figure_9</vt:lpwstr>
      </vt:variant>
      <vt:variant>
        <vt:i4>4259884</vt:i4>
      </vt:variant>
      <vt:variant>
        <vt:i4>732</vt:i4>
      </vt:variant>
      <vt:variant>
        <vt:i4>0</vt:i4>
      </vt:variant>
      <vt:variant>
        <vt:i4>5</vt:i4>
      </vt:variant>
      <vt:variant>
        <vt:lpwstr/>
      </vt:variant>
      <vt:variant>
        <vt:lpwstr>Figure_8</vt:lpwstr>
      </vt:variant>
      <vt:variant>
        <vt:i4>5177388</vt:i4>
      </vt:variant>
      <vt:variant>
        <vt:i4>729</vt:i4>
      </vt:variant>
      <vt:variant>
        <vt:i4>0</vt:i4>
      </vt:variant>
      <vt:variant>
        <vt:i4>5</vt:i4>
      </vt:variant>
      <vt:variant>
        <vt:lpwstr/>
      </vt:variant>
      <vt:variant>
        <vt:lpwstr>Figure_6</vt:lpwstr>
      </vt:variant>
      <vt:variant>
        <vt:i4>4980780</vt:i4>
      </vt:variant>
      <vt:variant>
        <vt:i4>726</vt:i4>
      </vt:variant>
      <vt:variant>
        <vt:i4>0</vt:i4>
      </vt:variant>
      <vt:variant>
        <vt:i4>5</vt:i4>
      </vt:variant>
      <vt:variant>
        <vt:lpwstr/>
      </vt:variant>
      <vt:variant>
        <vt:lpwstr>Figure_5</vt:lpwstr>
      </vt:variant>
      <vt:variant>
        <vt:i4>917541</vt:i4>
      </vt:variant>
      <vt:variant>
        <vt:i4>723</vt:i4>
      </vt:variant>
      <vt:variant>
        <vt:i4>0</vt:i4>
      </vt:variant>
      <vt:variant>
        <vt:i4>5</vt:i4>
      </vt:variant>
      <vt:variant>
        <vt:lpwstr/>
      </vt:variant>
      <vt:variant>
        <vt:lpwstr>Ref_14</vt:lpwstr>
      </vt:variant>
      <vt:variant>
        <vt:i4>6946887</vt:i4>
      </vt:variant>
      <vt:variant>
        <vt:i4>717</vt:i4>
      </vt:variant>
      <vt:variant>
        <vt:i4>0</vt:i4>
      </vt:variant>
      <vt:variant>
        <vt:i4>5</vt:i4>
      </vt:variant>
      <vt:variant>
        <vt:lpwstr/>
      </vt:variant>
      <vt:variant>
        <vt:lpwstr>R_55</vt:lpwstr>
      </vt:variant>
      <vt:variant>
        <vt:i4>5374067</vt:i4>
      </vt:variant>
      <vt:variant>
        <vt:i4>708</vt:i4>
      </vt:variant>
      <vt:variant>
        <vt:i4>0</vt:i4>
      </vt:variant>
      <vt:variant>
        <vt:i4>5</vt:i4>
      </vt:variant>
      <vt:variant>
        <vt:lpwstr/>
      </vt:variant>
      <vt:variant>
        <vt:lpwstr>Table_4</vt:lpwstr>
      </vt:variant>
      <vt:variant>
        <vt:i4>4849708</vt:i4>
      </vt:variant>
      <vt:variant>
        <vt:i4>699</vt:i4>
      </vt:variant>
      <vt:variant>
        <vt:i4>0</vt:i4>
      </vt:variant>
      <vt:variant>
        <vt:i4>5</vt:i4>
      </vt:variant>
      <vt:variant>
        <vt:lpwstr/>
      </vt:variant>
      <vt:variant>
        <vt:lpwstr>Figure_3</vt:lpwstr>
      </vt:variant>
      <vt:variant>
        <vt:i4>5374067</vt:i4>
      </vt:variant>
      <vt:variant>
        <vt:i4>693</vt:i4>
      </vt:variant>
      <vt:variant>
        <vt:i4>0</vt:i4>
      </vt:variant>
      <vt:variant>
        <vt:i4>5</vt:i4>
      </vt:variant>
      <vt:variant>
        <vt:lpwstr/>
      </vt:variant>
      <vt:variant>
        <vt:lpwstr>Table_3</vt:lpwstr>
      </vt:variant>
      <vt:variant>
        <vt:i4>3801108</vt:i4>
      </vt:variant>
      <vt:variant>
        <vt:i4>684</vt:i4>
      </vt:variant>
      <vt:variant>
        <vt:i4>0</vt:i4>
      </vt:variant>
      <vt:variant>
        <vt:i4>5</vt:i4>
      </vt:variant>
      <vt:variant>
        <vt:lpwstr/>
      </vt:variant>
      <vt:variant>
        <vt:lpwstr>Ref_2</vt:lpwstr>
      </vt:variant>
      <vt:variant>
        <vt:i4>7405665</vt:i4>
      </vt:variant>
      <vt:variant>
        <vt:i4>681</vt:i4>
      </vt:variant>
      <vt:variant>
        <vt:i4>0</vt:i4>
      </vt:variant>
      <vt:variant>
        <vt:i4>5</vt:i4>
      </vt:variant>
      <vt:variant>
        <vt:lpwstr>http://www.energycatalyst.au/futuregrid</vt:lpwstr>
      </vt:variant>
      <vt:variant>
        <vt:lpwstr/>
      </vt:variant>
      <vt:variant>
        <vt:i4>7012425</vt:i4>
      </vt:variant>
      <vt:variant>
        <vt:i4>678</vt:i4>
      </vt:variant>
      <vt:variant>
        <vt:i4>0</vt:i4>
      </vt:variant>
      <vt:variant>
        <vt:i4>5</vt:i4>
      </vt:variant>
      <vt:variant>
        <vt:lpwstr/>
      </vt:variant>
      <vt:variant>
        <vt:lpwstr>Appendix_B</vt:lpwstr>
      </vt:variant>
      <vt:variant>
        <vt:i4>6815817</vt:i4>
      </vt:variant>
      <vt:variant>
        <vt:i4>675</vt:i4>
      </vt:variant>
      <vt:variant>
        <vt:i4>0</vt:i4>
      </vt:variant>
      <vt:variant>
        <vt:i4>5</vt:i4>
      </vt:variant>
      <vt:variant>
        <vt:lpwstr/>
      </vt:variant>
      <vt:variant>
        <vt:lpwstr>Appendix_A</vt:lpwstr>
      </vt:variant>
      <vt:variant>
        <vt:i4>6226022</vt:i4>
      </vt:variant>
      <vt:variant>
        <vt:i4>672</vt:i4>
      </vt:variant>
      <vt:variant>
        <vt:i4>0</vt:i4>
      </vt:variant>
      <vt:variant>
        <vt:i4>5</vt:i4>
      </vt:variant>
      <vt:variant>
        <vt:lpwstr/>
      </vt:variant>
      <vt:variant>
        <vt:lpwstr>F_2</vt:lpwstr>
      </vt:variant>
      <vt:variant>
        <vt:i4>6226022</vt:i4>
      </vt:variant>
      <vt:variant>
        <vt:i4>663</vt:i4>
      </vt:variant>
      <vt:variant>
        <vt:i4>0</vt:i4>
      </vt:variant>
      <vt:variant>
        <vt:i4>5</vt:i4>
      </vt:variant>
      <vt:variant>
        <vt:lpwstr/>
      </vt:variant>
      <vt:variant>
        <vt:lpwstr>F_1</vt:lpwstr>
      </vt:variant>
      <vt:variant>
        <vt:i4>6226035</vt:i4>
      </vt:variant>
      <vt:variant>
        <vt:i4>654</vt:i4>
      </vt:variant>
      <vt:variant>
        <vt:i4>0</vt:i4>
      </vt:variant>
      <vt:variant>
        <vt:i4>5</vt:i4>
      </vt:variant>
      <vt:variant>
        <vt:lpwstr/>
      </vt:variant>
      <vt:variant>
        <vt:lpwstr>S_2</vt:lpwstr>
      </vt:variant>
      <vt:variant>
        <vt:i4>1376308</vt:i4>
      </vt:variant>
      <vt:variant>
        <vt:i4>647</vt:i4>
      </vt:variant>
      <vt:variant>
        <vt:i4>0</vt:i4>
      </vt:variant>
      <vt:variant>
        <vt:i4>5</vt:i4>
      </vt:variant>
      <vt:variant>
        <vt:lpwstr/>
      </vt:variant>
      <vt:variant>
        <vt:lpwstr>_Toc205377467</vt:lpwstr>
      </vt:variant>
      <vt:variant>
        <vt:i4>1376308</vt:i4>
      </vt:variant>
      <vt:variant>
        <vt:i4>641</vt:i4>
      </vt:variant>
      <vt:variant>
        <vt:i4>0</vt:i4>
      </vt:variant>
      <vt:variant>
        <vt:i4>5</vt:i4>
      </vt:variant>
      <vt:variant>
        <vt:lpwstr/>
      </vt:variant>
      <vt:variant>
        <vt:lpwstr>_Toc205377466</vt:lpwstr>
      </vt:variant>
      <vt:variant>
        <vt:i4>1376308</vt:i4>
      </vt:variant>
      <vt:variant>
        <vt:i4>635</vt:i4>
      </vt:variant>
      <vt:variant>
        <vt:i4>0</vt:i4>
      </vt:variant>
      <vt:variant>
        <vt:i4>5</vt:i4>
      </vt:variant>
      <vt:variant>
        <vt:lpwstr/>
      </vt:variant>
      <vt:variant>
        <vt:lpwstr>_Toc205377465</vt:lpwstr>
      </vt:variant>
      <vt:variant>
        <vt:i4>1376308</vt:i4>
      </vt:variant>
      <vt:variant>
        <vt:i4>629</vt:i4>
      </vt:variant>
      <vt:variant>
        <vt:i4>0</vt:i4>
      </vt:variant>
      <vt:variant>
        <vt:i4>5</vt:i4>
      </vt:variant>
      <vt:variant>
        <vt:lpwstr/>
      </vt:variant>
      <vt:variant>
        <vt:lpwstr>_Toc205377464</vt:lpwstr>
      </vt:variant>
      <vt:variant>
        <vt:i4>1376308</vt:i4>
      </vt:variant>
      <vt:variant>
        <vt:i4>623</vt:i4>
      </vt:variant>
      <vt:variant>
        <vt:i4>0</vt:i4>
      </vt:variant>
      <vt:variant>
        <vt:i4>5</vt:i4>
      </vt:variant>
      <vt:variant>
        <vt:lpwstr/>
      </vt:variant>
      <vt:variant>
        <vt:lpwstr>_Toc205377463</vt:lpwstr>
      </vt:variant>
      <vt:variant>
        <vt:i4>1376308</vt:i4>
      </vt:variant>
      <vt:variant>
        <vt:i4>617</vt:i4>
      </vt:variant>
      <vt:variant>
        <vt:i4>0</vt:i4>
      </vt:variant>
      <vt:variant>
        <vt:i4>5</vt:i4>
      </vt:variant>
      <vt:variant>
        <vt:lpwstr/>
      </vt:variant>
      <vt:variant>
        <vt:lpwstr>_Toc205377462</vt:lpwstr>
      </vt:variant>
      <vt:variant>
        <vt:i4>1376308</vt:i4>
      </vt:variant>
      <vt:variant>
        <vt:i4>611</vt:i4>
      </vt:variant>
      <vt:variant>
        <vt:i4>0</vt:i4>
      </vt:variant>
      <vt:variant>
        <vt:i4>5</vt:i4>
      </vt:variant>
      <vt:variant>
        <vt:lpwstr/>
      </vt:variant>
      <vt:variant>
        <vt:lpwstr>_Toc205377461</vt:lpwstr>
      </vt:variant>
      <vt:variant>
        <vt:i4>1376308</vt:i4>
      </vt:variant>
      <vt:variant>
        <vt:i4>605</vt:i4>
      </vt:variant>
      <vt:variant>
        <vt:i4>0</vt:i4>
      </vt:variant>
      <vt:variant>
        <vt:i4>5</vt:i4>
      </vt:variant>
      <vt:variant>
        <vt:lpwstr/>
      </vt:variant>
      <vt:variant>
        <vt:lpwstr>_Toc205377460</vt:lpwstr>
      </vt:variant>
      <vt:variant>
        <vt:i4>1441844</vt:i4>
      </vt:variant>
      <vt:variant>
        <vt:i4>599</vt:i4>
      </vt:variant>
      <vt:variant>
        <vt:i4>0</vt:i4>
      </vt:variant>
      <vt:variant>
        <vt:i4>5</vt:i4>
      </vt:variant>
      <vt:variant>
        <vt:lpwstr/>
      </vt:variant>
      <vt:variant>
        <vt:lpwstr>_Toc205377459</vt:lpwstr>
      </vt:variant>
      <vt:variant>
        <vt:i4>1441844</vt:i4>
      </vt:variant>
      <vt:variant>
        <vt:i4>593</vt:i4>
      </vt:variant>
      <vt:variant>
        <vt:i4>0</vt:i4>
      </vt:variant>
      <vt:variant>
        <vt:i4>5</vt:i4>
      </vt:variant>
      <vt:variant>
        <vt:lpwstr/>
      </vt:variant>
      <vt:variant>
        <vt:lpwstr>_Toc205377458</vt:lpwstr>
      </vt:variant>
      <vt:variant>
        <vt:i4>1441844</vt:i4>
      </vt:variant>
      <vt:variant>
        <vt:i4>587</vt:i4>
      </vt:variant>
      <vt:variant>
        <vt:i4>0</vt:i4>
      </vt:variant>
      <vt:variant>
        <vt:i4>5</vt:i4>
      </vt:variant>
      <vt:variant>
        <vt:lpwstr/>
      </vt:variant>
      <vt:variant>
        <vt:lpwstr>_Toc205377457</vt:lpwstr>
      </vt:variant>
      <vt:variant>
        <vt:i4>1441844</vt:i4>
      </vt:variant>
      <vt:variant>
        <vt:i4>581</vt:i4>
      </vt:variant>
      <vt:variant>
        <vt:i4>0</vt:i4>
      </vt:variant>
      <vt:variant>
        <vt:i4>5</vt:i4>
      </vt:variant>
      <vt:variant>
        <vt:lpwstr/>
      </vt:variant>
      <vt:variant>
        <vt:lpwstr>_Toc205377456</vt:lpwstr>
      </vt:variant>
      <vt:variant>
        <vt:i4>1441844</vt:i4>
      </vt:variant>
      <vt:variant>
        <vt:i4>575</vt:i4>
      </vt:variant>
      <vt:variant>
        <vt:i4>0</vt:i4>
      </vt:variant>
      <vt:variant>
        <vt:i4>5</vt:i4>
      </vt:variant>
      <vt:variant>
        <vt:lpwstr/>
      </vt:variant>
      <vt:variant>
        <vt:lpwstr>_Toc205377455</vt:lpwstr>
      </vt:variant>
      <vt:variant>
        <vt:i4>1441844</vt:i4>
      </vt:variant>
      <vt:variant>
        <vt:i4>569</vt:i4>
      </vt:variant>
      <vt:variant>
        <vt:i4>0</vt:i4>
      </vt:variant>
      <vt:variant>
        <vt:i4>5</vt:i4>
      </vt:variant>
      <vt:variant>
        <vt:lpwstr/>
      </vt:variant>
      <vt:variant>
        <vt:lpwstr>_Toc205377454</vt:lpwstr>
      </vt:variant>
      <vt:variant>
        <vt:i4>1441844</vt:i4>
      </vt:variant>
      <vt:variant>
        <vt:i4>563</vt:i4>
      </vt:variant>
      <vt:variant>
        <vt:i4>0</vt:i4>
      </vt:variant>
      <vt:variant>
        <vt:i4>5</vt:i4>
      </vt:variant>
      <vt:variant>
        <vt:lpwstr/>
      </vt:variant>
      <vt:variant>
        <vt:lpwstr>_Toc205377453</vt:lpwstr>
      </vt:variant>
      <vt:variant>
        <vt:i4>1441844</vt:i4>
      </vt:variant>
      <vt:variant>
        <vt:i4>557</vt:i4>
      </vt:variant>
      <vt:variant>
        <vt:i4>0</vt:i4>
      </vt:variant>
      <vt:variant>
        <vt:i4>5</vt:i4>
      </vt:variant>
      <vt:variant>
        <vt:lpwstr/>
      </vt:variant>
      <vt:variant>
        <vt:lpwstr>_Toc205377452</vt:lpwstr>
      </vt:variant>
      <vt:variant>
        <vt:i4>1441844</vt:i4>
      </vt:variant>
      <vt:variant>
        <vt:i4>551</vt:i4>
      </vt:variant>
      <vt:variant>
        <vt:i4>0</vt:i4>
      </vt:variant>
      <vt:variant>
        <vt:i4>5</vt:i4>
      </vt:variant>
      <vt:variant>
        <vt:lpwstr/>
      </vt:variant>
      <vt:variant>
        <vt:lpwstr>_Toc205377451</vt:lpwstr>
      </vt:variant>
      <vt:variant>
        <vt:i4>1441844</vt:i4>
      </vt:variant>
      <vt:variant>
        <vt:i4>545</vt:i4>
      </vt:variant>
      <vt:variant>
        <vt:i4>0</vt:i4>
      </vt:variant>
      <vt:variant>
        <vt:i4>5</vt:i4>
      </vt:variant>
      <vt:variant>
        <vt:lpwstr/>
      </vt:variant>
      <vt:variant>
        <vt:lpwstr>_Toc205377450</vt:lpwstr>
      </vt:variant>
      <vt:variant>
        <vt:i4>1507380</vt:i4>
      </vt:variant>
      <vt:variant>
        <vt:i4>539</vt:i4>
      </vt:variant>
      <vt:variant>
        <vt:i4>0</vt:i4>
      </vt:variant>
      <vt:variant>
        <vt:i4>5</vt:i4>
      </vt:variant>
      <vt:variant>
        <vt:lpwstr/>
      </vt:variant>
      <vt:variant>
        <vt:lpwstr>_Toc205377449</vt:lpwstr>
      </vt:variant>
      <vt:variant>
        <vt:i4>1507380</vt:i4>
      </vt:variant>
      <vt:variant>
        <vt:i4>533</vt:i4>
      </vt:variant>
      <vt:variant>
        <vt:i4>0</vt:i4>
      </vt:variant>
      <vt:variant>
        <vt:i4>5</vt:i4>
      </vt:variant>
      <vt:variant>
        <vt:lpwstr/>
      </vt:variant>
      <vt:variant>
        <vt:lpwstr>_Toc205377448</vt:lpwstr>
      </vt:variant>
      <vt:variant>
        <vt:i4>1507380</vt:i4>
      </vt:variant>
      <vt:variant>
        <vt:i4>527</vt:i4>
      </vt:variant>
      <vt:variant>
        <vt:i4>0</vt:i4>
      </vt:variant>
      <vt:variant>
        <vt:i4>5</vt:i4>
      </vt:variant>
      <vt:variant>
        <vt:lpwstr/>
      </vt:variant>
      <vt:variant>
        <vt:lpwstr>_Toc205377447</vt:lpwstr>
      </vt:variant>
      <vt:variant>
        <vt:i4>1507380</vt:i4>
      </vt:variant>
      <vt:variant>
        <vt:i4>521</vt:i4>
      </vt:variant>
      <vt:variant>
        <vt:i4>0</vt:i4>
      </vt:variant>
      <vt:variant>
        <vt:i4>5</vt:i4>
      </vt:variant>
      <vt:variant>
        <vt:lpwstr/>
      </vt:variant>
      <vt:variant>
        <vt:lpwstr>_Toc205377446</vt:lpwstr>
      </vt:variant>
      <vt:variant>
        <vt:i4>1507380</vt:i4>
      </vt:variant>
      <vt:variant>
        <vt:i4>515</vt:i4>
      </vt:variant>
      <vt:variant>
        <vt:i4>0</vt:i4>
      </vt:variant>
      <vt:variant>
        <vt:i4>5</vt:i4>
      </vt:variant>
      <vt:variant>
        <vt:lpwstr/>
      </vt:variant>
      <vt:variant>
        <vt:lpwstr>_Toc205377445</vt:lpwstr>
      </vt:variant>
      <vt:variant>
        <vt:i4>1507380</vt:i4>
      </vt:variant>
      <vt:variant>
        <vt:i4>509</vt:i4>
      </vt:variant>
      <vt:variant>
        <vt:i4>0</vt:i4>
      </vt:variant>
      <vt:variant>
        <vt:i4>5</vt:i4>
      </vt:variant>
      <vt:variant>
        <vt:lpwstr/>
      </vt:variant>
      <vt:variant>
        <vt:lpwstr>_Toc205377444</vt:lpwstr>
      </vt:variant>
      <vt:variant>
        <vt:i4>1507380</vt:i4>
      </vt:variant>
      <vt:variant>
        <vt:i4>503</vt:i4>
      </vt:variant>
      <vt:variant>
        <vt:i4>0</vt:i4>
      </vt:variant>
      <vt:variant>
        <vt:i4>5</vt:i4>
      </vt:variant>
      <vt:variant>
        <vt:lpwstr/>
      </vt:variant>
      <vt:variant>
        <vt:lpwstr>_Toc205377443</vt:lpwstr>
      </vt:variant>
      <vt:variant>
        <vt:i4>1507380</vt:i4>
      </vt:variant>
      <vt:variant>
        <vt:i4>497</vt:i4>
      </vt:variant>
      <vt:variant>
        <vt:i4>0</vt:i4>
      </vt:variant>
      <vt:variant>
        <vt:i4>5</vt:i4>
      </vt:variant>
      <vt:variant>
        <vt:lpwstr/>
      </vt:variant>
      <vt:variant>
        <vt:lpwstr>_Toc205377442</vt:lpwstr>
      </vt:variant>
      <vt:variant>
        <vt:i4>1507380</vt:i4>
      </vt:variant>
      <vt:variant>
        <vt:i4>491</vt:i4>
      </vt:variant>
      <vt:variant>
        <vt:i4>0</vt:i4>
      </vt:variant>
      <vt:variant>
        <vt:i4>5</vt:i4>
      </vt:variant>
      <vt:variant>
        <vt:lpwstr/>
      </vt:variant>
      <vt:variant>
        <vt:lpwstr>_Toc205377441</vt:lpwstr>
      </vt:variant>
      <vt:variant>
        <vt:i4>1507380</vt:i4>
      </vt:variant>
      <vt:variant>
        <vt:i4>485</vt:i4>
      </vt:variant>
      <vt:variant>
        <vt:i4>0</vt:i4>
      </vt:variant>
      <vt:variant>
        <vt:i4>5</vt:i4>
      </vt:variant>
      <vt:variant>
        <vt:lpwstr/>
      </vt:variant>
      <vt:variant>
        <vt:lpwstr>_Toc205377440</vt:lpwstr>
      </vt:variant>
      <vt:variant>
        <vt:i4>1048628</vt:i4>
      </vt:variant>
      <vt:variant>
        <vt:i4>479</vt:i4>
      </vt:variant>
      <vt:variant>
        <vt:i4>0</vt:i4>
      </vt:variant>
      <vt:variant>
        <vt:i4>5</vt:i4>
      </vt:variant>
      <vt:variant>
        <vt:lpwstr/>
      </vt:variant>
      <vt:variant>
        <vt:lpwstr>_Toc205377439</vt:lpwstr>
      </vt:variant>
      <vt:variant>
        <vt:i4>1048628</vt:i4>
      </vt:variant>
      <vt:variant>
        <vt:i4>473</vt:i4>
      </vt:variant>
      <vt:variant>
        <vt:i4>0</vt:i4>
      </vt:variant>
      <vt:variant>
        <vt:i4>5</vt:i4>
      </vt:variant>
      <vt:variant>
        <vt:lpwstr/>
      </vt:variant>
      <vt:variant>
        <vt:lpwstr>_Toc205377438</vt:lpwstr>
      </vt:variant>
      <vt:variant>
        <vt:i4>1048628</vt:i4>
      </vt:variant>
      <vt:variant>
        <vt:i4>467</vt:i4>
      </vt:variant>
      <vt:variant>
        <vt:i4>0</vt:i4>
      </vt:variant>
      <vt:variant>
        <vt:i4>5</vt:i4>
      </vt:variant>
      <vt:variant>
        <vt:lpwstr/>
      </vt:variant>
      <vt:variant>
        <vt:lpwstr>_Toc205377437</vt:lpwstr>
      </vt:variant>
      <vt:variant>
        <vt:i4>1376313</vt:i4>
      </vt:variant>
      <vt:variant>
        <vt:i4>458</vt:i4>
      </vt:variant>
      <vt:variant>
        <vt:i4>0</vt:i4>
      </vt:variant>
      <vt:variant>
        <vt:i4>5</vt:i4>
      </vt:variant>
      <vt:variant>
        <vt:lpwstr/>
      </vt:variant>
      <vt:variant>
        <vt:lpwstr>_Toc205369882</vt:lpwstr>
      </vt:variant>
      <vt:variant>
        <vt:i4>1376313</vt:i4>
      </vt:variant>
      <vt:variant>
        <vt:i4>452</vt:i4>
      </vt:variant>
      <vt:variant>
        <vt:i4>0</vt:i4>
      </vt:variant>
      <vt:variant>
        <vt:i4>5</vt:i4>
      </vt:variant>
      <vt:variant>
        <vt:lpwstr/>
      </vt:variant>
      <vt:variant>
        <vt:lpwstr>_Toc205369881</vt:lpwstr>
      </vt:variant>
      <vt:variant>
        <vt:i4>1376313</vt:i4>
      </vt:variant>
      <vt:variant>
        <vt:i4>446</vt:i4>
      </vt:variant>
      <vt:variant>
        <vt:i4>0</vt:i4>
      </vt:variant>
      <vt:variant>
        <vt:i4>5</vt:i4>
      </vt:variant>
      <vt:variant>
        <vt:lpwstr/>
      </vt:variant>
      <vt:variant>
        <vt:lpwstr>_Toc205369880</vt:lpwstr>
      </vt:variant>
      <vt:variant>
        <vt:i4>1703993</vt:i4>
      </vt:variant>
      <vt:variant>
        <vt:i4>440</vt:i4>
      </vt:variant>
      <vt:variant>
        <vt:i4>0</vt:i4>
      </vt:variant>
      <vt:variant>
        <vt:i4>5</vt:i4>
      </vt:variant>
      <vt:variant>
        <vt:lpwstr/>
      </vt:variant>
      <vt:variant>
        <vt:lpwstr>_Toc205369879</vt:lpwstr>
      </vt:variant>
      <vt:variant>
        <vt:i4>1703993</vt:i4>
      </vt:variant>
      <vt:variant>
        <vt:i4>434</vt:i4>
      </vt:variant>
      <vt:variant>
        <vt:i4>0</vt:i4>
      </vt:variant>
      <vt:variant>
        <vt:i4>5</vt:i4>
      </vt:variant>
      <vt:variant>
        <vt:lpwstr/>
      </vt:variant>
      <vt:variant>
        <vt:lpwstr>_Toc205369878</vt:lpwstr>
      </vt:variant>
      <vt:variant>
        <vt:i4>1703993</vt:i4>
      </vt:variant>
      <vt:variant>
        <vt:i4>428</vt:i4>
      </vt:variant>
      <vt:variant>
        <vt:i4>0</vt:i4>
      </vt:variant>
      <vt:variant>
        <vt:i4>5</vt:i4>
      </vt:variant>
      <vt:variant>
        <vt:lpwstr/>
      </vt:variant>
      <vt:variant>
        <vt:lpwstr>_Toc205369877</vt:lpwstr>
      </vt:variant>
      <vt:variant>
        <vt:i4>1703993</vt:i4>
      </vt:variant>
      <vt:variant>
        <vt:i4>422</vt:i4>
      </vt:variant>
      <vt:variant>
        <vt:i4>0</vt:i4>
      </vt:variant>
      <vt:variant>
        <vt:i4>5</vt:i4>
      </vt:variant>
      <vt:variant>
        <vt:lpwstr/>
      </vt:variant>
      <vt:variant>
        <vt:lpwstr>_Toc205369876</vt:lpwstr>
      </vt:variant>
      <vt:variant>
        <vt:i4>1703993</vt:i4>
      </vt:variant>
      <vt:variant>
        <vt:i4>416</vt:i4>
      </vt:variant>
      <vt:variant>
        <vt:i4>0</vt:i4>
      </vt:variant>
      <vt:variant>
        <vt:i4>5</vt:i4>
      </vt:variant>
      <vt:variant>
        <vt:lpwstr/>
      </vt:variant>
      <vt:variant>
        <vt:lpwstr>_Toc205369875</vt:lpwstr>
      </vt:variant>
      <vt:variant>
        <vt:i4>1703993</vt:i4>
      </vt:variant>
      <vt:variant>
        <vt:i4>410</vt:i4>
      </vt:variant>
      <vt:variant>
        <vt:i4>0</vt:i4>
      </vt:variant>
      <vt:variant>
        <vt:i4>5</vt:i4>
      </vt:variant>
      <vt:variant>
        <vt:lpwstr/>
      </vt:variant>
      <vt:variant>
        <vt:lpwstr>_Toc205369874</vt:lpwstr>
      </vt:variant>
      <vt:variant>
        <vt:i4>1703993</vt:i4>
      </vt:variant>
      <vt:variant>
        <vt:i4>404</vt:i4>
      </vt:variant>
      <vt:variant>
        <vt:i4>0</vt:i4>
      </vt:variant>
      <vt:variant>
        <vt:i4>5</vt:i4>
      </vt:variant>
      <vt:variant>
        <vt:lpwstr/>
      </vt:variant>
      <vt:variant>
        <vt:lpwstr>_Toc205369873</vt:lpwstr>
      </vt:variant>
      <vt:variant>
        <vt:i4>1703993</vt:i4>
      </vt:variant>
      <vt:variant>
        <vt:i4>398</vt:i4>
      </vt:variant>
      <vt:variant>
        <vt:i4>0</vt:i4>
      </vt:variant>
      <vt:variant>
        <vt:i4>5</vt:i4>
      </vt:variant>
      <vt:variant>
        <vt:lpwstr/>
      </vt:variant>
      <vt:variant>
        <vt:lpwstr>_Toc205369872</vt:lpwstr>
      </vt:variant>
      <vt:variant>
        <vt:i4>1703993</vt:i4>
      </vt:variant>
      <vt:variant>
        <vt:i4>392</vt:i4>
      </vt:variant>
      <vt:variant>
        <vt:i4>0</vt:i4>
      </vt:variant>
      <vt:variant>
        <vt:i4>5</vt:i4>
      </vt:variant>
      <vt:variant>
        <vt:lpwstr/>
      </vt:variant>
      <vt:variant>
        <vt:lpwstr>_Toc205369871</vt:lpwstr>
      </vt:variant>
      <vt:variant>
        <vt:i4>1703993</vt:i4>
      </vt:variant>
      <vt:variant>
        <vt:i4>386</vt:i4>
      </vt:variant>
      <vt:variant>
        <vt:i4>0</vt:i4>
      </vt:variant>
      <vt:variant>
        <vt:i4>5</vt:i4>
      </vt:variant>
      <vt:variant>
        <vt:lpwstr/>
      </vt:variant>
      <vt:variant>
        <vt:lpwstr>_Toc205369870</vt:lpwstr>
      </vt:variant>
      <vt:variant>
        <vt:i4>1769529</vt:i4>
      </vt:variant>
      <vt:variant>
        <vt:i4>380</vt:i4>
      </vt:variant>
      <vt:variant>
        <vt:i4>0</vt:i4>
      </vt:variant>
      <vt:variant>
        <vt:i4>5</vt:i4>
      </vt:variant>
      <vt:variant>
        <vt:lpwstr/>
      </vt:variant>
      <vt:variant>
        <vt:lpwstr>_Toc205369869</vt:lpwstr>
      </vt:variant>
      <vt:variant>
        <vt:i4>1769529</vt:i4>
      </vt:variant>
      <vt:variant>
        <vt:i4>374</vt:i4>
      </vt:variant>
      <vt:variant>
        <vt:i4>0</vt:i4>
      </vt:variant>
      <vt:variant>
        <vt:i4>5</vt:i4>
      </vt:variant>
      <vt:variant>
        <vt:lpwstr/>
      </vt:variant>
      <vt:variant>
        <vt:lpwstr>_Toc205369868</vt:lpwstr>
      </vt:variant>
      <vt:variant>
        <vt:i4>1769529</vt:i4>
      </vt:variant>
      <vt:variant>
        <vt:i4>368</vt:i4>
      </vt:variant>
      <vt:variant>
        <vt:i4>0</vt:i4>
      </vt:variant>
      <vt:variant>
        <vt:i4>5</vt:i4>
      </vt:variant>
      <vt:variant>
        <vt:lpwstr/>
      </vt:variant>
      <vt:variant>
        <vt:lpwstr>_Toc205369867</vt:lpwstr>
      </vt:variant>
      <vt:variant>
        <vt:i4>1769529</vt:i4>
      </vt:variant>
      <vt:variant>
        <vt:i4>362</vt:i4>
      </vt:variant>
      <vt:variant>
        <vt:i4>0</vt:i4>
      </vt:variant>
      <vt:variant>
        <vt:i4>5</vt:i4>
      </vt:variant>
      <vt:variant>
        <vt:lpwstr/>
      </vt:variant>
      <vt:variant>
        <vt:lpwstr>_Toc205369866</vt:lpwstr>
      </vt:variant>
      <vt:variant>
        <vt:i4>1769529</vt:i4>
      </vt:variant>
      <vt:variant>
        <vt:i4>356</vt:i4>
      </vt:variant>
      <vt:variant>
        <vt:i4>0</vt:i4>
      </vt:variant>
      <vt:variant>
        <vt:i4>5</vt:i4>
      </vt:variant>
      <vt:variant>
        <vt:lpwstr/>
      </vt:variant>
      <vt:variant>
        <vt:lpwstr>_Toc205369865</vt:lpwstr>
      </vt:variant>
      <vt:variant>
        <vt:i4>1769529</vt:i4>
      </vt:variant>
      <vt:variant>
        <vt:i4>350</vt:i4>
      </vt:variant>
      <vt:variant>
        <vt:i4>0</vt:i4>
      </vt:variant>
      <vt:variant>
        <vt:i4>5</vt:i4>
      </vt:variant>
      <vt:variant>
        <vt:lpwstr/>
      </vt:variant>
      <vt:variant>
        <vt:lpwstr>_Toc205369864</vt:lpwstr>
      </vt:variant>
      <vt:variant>
        <vt:i4>1769529</vt:i4>
      </vt:variant>
      <vt:variant>
        <vt:i4>344</vt:i4>
      </vt:variant>
      <vt:variant>
        <vt:i4>0</vt:i4>
      </vt:variant>
      <vt:variant>
        <vt:i4>5</vt:i4>
      </vt:variant>
      <vt:variant>
        <vt:lpwstr/>
      </vt:variant>
      <vt:variant>
        <vt:lpwstr>_Toc205369863</vt:lpwstr>
      </vt:variant>
      <vt:variant>
        <vt:i4>1769529</vt:i4>
      </vt:variant>
      <vt:variant>
        <vt:i4>338</vt:i4>
      </vt:variant>
      <vt:variant>
        <vt:i4>0</vt:i4>
      </vt:variant>
      <vt:variant>
        <vt:i4>5</vt:i4>
      </vt:variant>
      <vt:variant>
        <vt:lpwstr/>
      </vt:variant>
      <vt:variant>
        <vt:lpwstr>_Toc205369862</vt:lpwstr>
      </vt:variant>
      <vt:variant>
        <vt:i4>1769529</vt:i4>
      </vt:variant>
      <vt:variant>
        <vt:i4>332</vt:i4>
      </vt:variant>
      <vt:variant>
        <vt:i4>0</vt:i4>
      </vt:variant>
      <vt:variant>
        <vt:i4>5</vt:i4>
      </vt:variant>
      <vt:variant>
        <vt:lpwstr/>
      </vt:variant>
      <vt:variant>
        <vt:lpwstr>_Toc205369861</vt:lpwstr>
      </vt:variant>
      <vt:variant>
        <vt:i4>1769529</vt:i4>
      </vt:variant>
      <vt:variant>
        <vt:i4>326</vt:i4>
      </vt:variant>
      <vt:variant>
        <vt:i4>0</vt:i4>
      </vt:variant>
      <vt:variant>
        <vt:i4>5</vt:i4>
      </vt:variant>
      <vt:variant>
        <vt:lpwstr/>
      </vt:variant>
      <vt:variant>
        <vt:lpwstr>_Toc205369860</vt:lpwstr>
      </vt:variant>
      <vt:variant>
        <vt:i4>1572921</vt:i4>
      </vt:variant>
      <vt:variant>
        <vt:i4>320</vt:i4>
      </vt:variant>
      <vt:variant>
        <vt:i4>0</vt:i4>
      </vt:variant>
      <vt:variant>
        <vt:i4>5</vt:i4>
      </vt:variant>
      <vt:variant>
        <vt:lpwstr/>
      </vt:variant>
      <vt:variant>
        <vt:lpwstr>_Toc205369859</vt:lpwstr>
      </vt:variant>
      <vt:variant>
        <vt:i4>1572921</vt:i4>
      </vt:variant>
      <vt:variant>
        <vt:i4>314</vt:i4>
      </vt:variant>
      <vt:variant>
        <vt:i4>0</vt:i4>
      </vt:variant>
      <vt:variant>
        <vt:i4>5</vt:i4>
      </vt:variant>
      <vt:variant>
        <vt:lpwstr/>
      </vt:variant>
      <vt:variant>
        <vt:lpwstr>_Toc205369858</vt:lpwstr>
      </vt:variant>
      <vt:variant>
        <vt:i4>1572921</vt:i4>
      </vt:variant>
      <vt:variant>
        <vt:i4>308</vt:i4>
      </vt:variant>
      <vt:variant>
        <vt:i4>0</vt:i4>
      </vt:variant>
      <vt:variant>
        <vt:i4>5</vt:i4>
      </vt:variant>
      <vt:variant>
        <vt:lpwstr/>
      </vt:variant>
      <vt:variant>
        <vt:lpwstr>_Toc205369857</vt:lpwstr>
      </vt:variant>
      <vt:variant>
        <vt:i4>1572921</vt:i4>
      </vt:variant>
      <vt:variant>
        <vt:i4>302</vt:i4>
      </vt:variant>
      <vt:variant>
        <vt:i4>0</vt:i4>
      </vt:variant>
      <vt:variant>
        <vt:i4>5</vt:i4>
      </vt:variant>
      <vt:variant>
        <vt:lpwstr/>
      </vt:variant>
      <vt:variant>
        <vt:lpwstr>_Toc205369856</vt:lpwstr>
      </vt:variant>
      <vt:variant>
        <vt:i4>1572921</vt:i4>
      </vt:variant>
      <vt:variant>
        <vt:i4>296</vt:i4>
      </vt:variant>
      <vt:variant>
        <vt:i4>0</vt:i4>
      </vt:variant>
      <vt:variant>
        <vt:i4>5</vt:i4>
      </vt:variant>
      <vt:variant>
        <vt:lpwstr/>
      </vt:variant>
      <vt:variant>
        <vt:lpwstr>_Toc205369855</vt:lpwstr>
      </vt:variant>
      <vt:variant>
        <vt:i4>1572921</vt:i4>
      </vt:variant>
      <vt:variant>
        <vt:i4>290</vt:i4>
      </vt:variant>
      <vt:variant>
        <vt:i4>0</vt:i4>
      </vt:variant>
      <vt:variant>
        <vt:i4>5</vt:i4>
      </vt:variant>
      <vt:variant>
        <vt:lpwstr/>
      </vt:variant>
      <vt:variant>
        <vt:lpwstr>_Toc205369854</vt:lpwstr>
      </vt:variant>
      <vt:variant>
        <vt:i4>1572921</vt:i4>
      </vt:variant>
      <vt:variant>
        <vt:i4>284</vt:i4>
      </vt:variant>
      <vt:variant>
        <vt:i4>0</vt:i4>
      </vt:variant>
      <vt:variant>
        <vt:i4>5</vt:i4>
      </vt:variant>
      <vt:variant>
        <vt:lpwstr/>
      </vt:variant>
      <vt:variant>
        <vt:lpwstr>_Toc205369853</vt:lpwstr>
      </vt:variant>
      <vt:variant>
        <vt:i4>1572921</vt:i4>
      </vt:variant>
      <vt:variant>
        <vt:i4>278</vt:i4>
      </vt:variant>
      <vt:variant>
        <vt:i4>0</vt:i4>
      </vt:variant>
      <vt:variant>
        <vt:i4>5</vt:i4>
      </vt:variant>
      <vt:variant>
        <vt:lpwstr/>
      </vt:variant>
      <vt:variant>
        <vt:lpwstr>_Toc205369852</vt:lpwstr>
      </vt:variant>
      <vt:variant>
        <vt:i4>1572921</vt:i4>
      </vt:variant>
      <vt:variant>
        <vt:i4>272</vt:i4>
      </vt:variant>
      <vt:variant>
        <vt:i4>0</vt:i4>
      </vt:variant>
      <vt:variant>
        <vt:i4>5</vt:i4>
      </vt:variant>
      <vt:variant>
        <vt:lpwstr/>
      </vt:variant>
      <vt:variant>
        <vt:lpwstr>_Toc205369851</vt:lpwstr>
      </vt:variant>
      <vt:variant>
        <vt:i4>1572921</vt:i4>
      </vt:variant>
      <vt:variant>
        <vt:i4>266</vt:i4>
      </vt:variant>
      <vt:variant>
        <vt:i4>0</vt:i4>
      </vt:variant>
      <vt:variant>
        <vt:i4>5</vt:i4>
      </vt:variant>
      <vt:variant>
        <vt:lpwstr/>
      </vt:variant>
      <vt:variant>
        <vt:lpwstr>_Toc205369850</vt:lpwstr>
      </vt:variant>
      <vt:variant>
        <vt:i4>1638457</vt:i4>
      </vt:variant>
      <vt:variant>
        <vt:i4>260</vt:i4>
      </vt:variant>
      <vt:variant>
        <vt:i4>0</vt:i4>
      </vt:variant>
      <vt:variant>
        <vt:i4>5</vt:i4>
      </vt:variant>
      <vt:variant>
        <vt:lpwstr/>
      </vt:variant>
      <vt:variant>
        <vt:lpwstr>_Toc205369849</vt:lpwstr>
      </vt:variant>
      <vt:variant>
        <vt:i4>1638457</vt:i4>
      </vt:variant>
      <vt:variant>
        <vt:i4>254</vt:i4>
      </vt:variant>
      <vt:variant>
        <vt:i4>0</vt:i4>
      </vt:variant>
      <vt:variant>
        <vt:i4>5</vt:i4>
      </vt:variant>
      <vt:variant>
        <vt:lpwstr/>
      </vt:variant>
      <vt:variant>
        <vt:lpwstr>_Toc205369848</vt:lpwstr>
      </vt:variant>
      <vt:variant>
        <vt:i4>1638457</vt:i4>
      </vt:variant>
      <vt:variant>
        <vt:i4>248</vt:i4>
      </vt:variant>
      <vt:variant>
        <vt:i4>0</vt:i4>
      </vt:variant>
      <vt:variant>
        <vt:i4>5</vt:i4>
      </vt:variant>
      <vt:variant>
        <vt:lpwstr/>
      </vt:variant>
      <vt:variant>
        <vt:lpwstr>_Toc205369847</vt:lpwstr>
      </vt:variant>
      <vt:variant>
        <vt:i4>1638457</vt:i4>
      </vt:variant>
      <vt:variant>
        <vt:i4>242</vt:i4>
      </vt:variant>
      <vt:variant>
        <vt:i4>0</vt:i4>
      </vt:variant>
      <vt:variant>
        <vt:i4>5</vt:i4>
      </vt:variant>
      <vt:variant>
        <vt:lpwstr/>
      </vt:variant>
      <vt:variant>
        <vt:lpwstr>_Toc205369844</vt:lpwstr>
      </vt:variant>
      <vt:variant>
        <vt:i4>1638457</vt:i4>
      </vt:variant>
      <vt:variant>
        <vt:i4>236</vt:i4>
      </vt:variant>
      <vt:variant>
        <vt:i4>0</vt:i4>
      </vt:variant>
      <vt:variant>
        <vt:i4>5</vt:i4>
      </vt:variant>
      <vt:variant>
        <vt:lpwstr/>
      </vt:variant>
      <vt:variant>
        <vt:lpwstr>_Toc205369843</vt:lpwstr>
      </vt:variant>
      <vt:variant>
        <vt:i4>1638457</vt:i4>
      </vt:variant>
      <vt:variant>
        <vt:i4>230</vt:i4>
      </vt:variant>
      <vt:variant>
        <vt:i4>0</vt:i4>
      </vt:variant>
      <vt:variant>
        <vt:i4>5</vt:i4>
      </vt:variant>
      <vt:variant>
        <vt:lpwstr/>
      </vt:variant>
      <vt:variant>
        <vt:lpwstr>_Toc205369841</vt:lpwstr>
      </vt:variant>
      <vt:variant>
        <vt:i4>1638457</vt:i4>
      </vt:variant>
      <vt:variant>
        <vt:i4>224</vt:i4>
      </vt:variant>
      <vt:variant>
        <vt:i4>0</vt:i4>
      </vt:variant>
      <vt:variant>
        <vt:i4>5</vt:i4>
      </vt:variant>
      <vt:variant>
        <vt:lpwstr/>
      </vt:variant>
      <vt:variant>
        <vt:lpwstr>_Toc205369840</vt:lpwstr>
      </vt:variant>
      <vt:variant>
        <vt:i4>1966137</vt:i4>
      </vt:variant>
      <vt:variant>
        <vt:i4>218</vt:i4>
      </vt:variant>
      <vt:variant>
        <vt:i4>0</vt:i4>
      </vt:variant>
      <vt:variant>
        <vt:i4>5</vt:i4>
      </vt:variant>
      <vt:variant>
        <vt:lpwstr/>
      </vt:variant>
      <vt:variant>
        <vt:lpwstr>_Toc205369839</vt:lpwstr>
      </vt:variant>
      <vt:variant>
        <vt:i4>1966137</vt:i4>
      </vt:variant>
      <vt:variant>
        <vt:i4>212</vt:i4>
      </vt:variant>
      <vt:variant>
        <vt:i4>0</vt:i4>
      </vt:variant>
      <vt:variant>
        <vt:i4>5</vt:i4>
      </vt:variant>
      <vt:variant>
        <vt:lpwstr/>
      </vt:variant>
      <vt:variant>
        <vt:lpwstr>_Toc205369838</vt:lpwstr>
      </vt:variant>
      <vt:variant>
        <vt:i4>1966137</vt:i4>
      </vt:variant>
      <vt:variant>
        <vt:i4>206</vt:i4>
      </vt:variant>
      <vt:variant>
        <vt:i4>0</vt:i4>
      </vt:variant>
      <vt:variant>
        <vt:i4>5</vt:i4>
      </vt:variant>
      <vt:variant>
        <vt:lpwstr/>
      </vt:variant>
      <vt:variant>
        <vt:lpwstr>_Toc205369837</vt:lpwstr>
      </vt:variant>
      <vt:variant>
        <vt:i4>1966137</vt:i4>
      </vt:variant>
      <vt:variant>
        <vt:i4>200</vt:i4>
      </vt:variant>
      <vt:variant>
        <vt:i4>0</vt:i4>
      </vt:variant>
      <vt:variant>
        <vt:i4>5</vt:i4>
      </vt:variant>
      <vt:variant>
        <vt:lpwstr/>
      </vt:variant>
      <vt:variant>
        <vt:lpwstr>_Toc205369836</vt:lpwstr>
      </vt:variant>
      <vt:variant>
        <vt:i4>1966137</vt:i4>
      </vt:variant>
      <vt:variant>
        <vt:i4>194</vt:i4>
      </vt:variant>
      <vt:variant>
        <vt:i4>0</vt:i4>
      </vt:variant>
      <vt:variant>
        <vt:i4>5</vt:i4>
      </vt:variant>
      <vt:variant>
        <vt:lpwstr/>
      </vt:variant>
      <vt:variant>
        <vt:lpwstr>_Toc205369835</vt:lpwstr>
      </vt:variant>
      <vt:variant>
        <vt:i4>1966137</vt:i4>
      </vt:variant>
      <vt:variant>
        <vt:i4>188</vt:i4>
      </vt:variant>
      <vt:variant>
        <vt:i4>0</vt:i4>
      </vt:variant>
      <vt:variant>
        <vt:i4>5</vt:i4>
      </vt:variant>
      <vt:variant>
        <vt:lpwstr/>
      </vt:variant>
      <vt:variant>
        <vt:lpwstr>_Toc205369834</vt:lpwstr>
      </vt:variant>
      <vt:variant>
        <vt:i4>1966137</vt:i4>
      </vt:variant>
      <vt:variant>
        <vt:i4>182</vt:i4>
      </vt:variant>
      <vt:variant>
        <vt:i4>0</vt:i4>
      </vt:variant>
      <vt:variant>
        <vt:i4>5</vt:i4>
      </vt:variant>
      <vt:variant>
        <vt:lpwstr/>
      </vt:variant>
      <vt:variant>
        <vt:lpwstr>_Toc205369833</vt:lpwstr>
      </vt:variant>
      <vt:variant>
        <vt:i4>1966137</vt:i4>
      </vt:variant>
      <vt:variant>
        <vt:i4>176</vt:i4>
      </vt:variant>
      <vt:variant>
        <vt:i4>0</vt:i4>
      </vt:variant>
      <vt:variant>
        <vt:i4>5</vt:i4>
      </vt:variant>
      <vt:variant>
        <vt:lpwstr/>
      </vt:variant>
      <vt:variant>
        <vt:lpwstr>_Toc205369832</vt:lpwstr>
      </vt:variant>
      <vt:variant>
        <vt:i4>1966137</vt:i4>
      </vt:variant>
      <vt:variant>
        <vt:i4>170</vt:i4>
      </vt:variant>
      <vt:variant>
        <vt:i4>0</vt:i4>
      </vt:variant>
      <vt:variant>
        <vt:i4>5</vt:i4>
      </vt:variant>
      <vt:variant>
        <vt:lpwstr/>
      </vt:variant>
      <vt:variant>
        <vt:lpwstr>_Toc205369831</vt:lpwstr>
      </vt:variant>
      <vt:variant>
        <vt:i4>1966137</vt:i4>
      </vt:variant>
      <vt:variant>
        <vt:i4>164</vt:i4>
      </vt:variant>
      <vt:variant>
        <vt:i4>0</vt:i4>
      </vt:variant>
      <vt:variant>
        <vt:i4>5</vt:i4>
      </vt:variant>
      <vt:variant>
        <vt:lpwstr/>
      </vt:variant>
      <vt:variant>
        <vt:lpwstr>_Toc205369830</vt:lpwstr>
      </vt:variant>
      <vt:variant>
        <vt:i4>2031673</vt:i4>
      </vt:variant>
      <vt:variant>
        <vt:i4>158</vt:i4>
      </vt:variant>
      <vt:variant>
        <vt:i4>0</vt:i4>
      </vt:variant>
      <vt:variant>
        <vt:i4>5</vt:i4>
      </vt:variant>
      <vt:variant>
        <vt:lpwstr/>
      </vt:variant>
      <vt:variant>
        <vt:lpwstr>_Toc205369829</vt:lpwstr>
      </vt:variant>
      <vt:variant>
        <vt:i4>2031673</vt:i4>
      </vt:variant>
      <vt:variant>
        <vt:i4>152</vt:i4>
      </vt:variant>
      <vt:variant>
        <vt:i4>0</vt:i4>
      </vt:variant>
      <vt:variant>
        <vt:i4>5</vt:i4>
      </vt:variant>
      <vt:variant>
        <vt:lpwstr/>
      </vt:variant>
      <vt:variant>
        <vt:lpwstr>_Toc205369828</vt:lpwstr>
      </vt:variant>
      <vt:variant>
        <vt:i4>2031673</vt:i4>
      </vt:variant>
      <vt:variant>
        <vt:i4>146</vt:i4>
      </vt:variant>
      <vt:variant>
        <vt:i4>0</vt:i4>
      </vt:variant>
      <vt:variant>
        <vt:i4>5</vt:i4>
      </vt:variant>
      <vt:variant>
        <vt:lpwstr/>
      </vt:variant>
      <vt:variant>
        <vt:lpwstr>_Toc205369827</vt:lpwstr>
      </vt:variant>
      <vt:variant>
        <vt:i4>2031673</vt:i4>
      </vt:variant>
      <vt:variant>
        <vt:i4>140</vt:i4>
      </vt:variant>
      <vt:variant>
        <vt:i4>0</vt:i4>
      </vt:variant>
      <vt:variant>
        <vt:i4>5</vt:i4>
      </vt:variant>
      <vt:variant>
        <vt:lpwstr/>
      </vt:variant>
      <vt:variant>
        <vt:lpwstr>_Toc205369826</vt:lpwstr>
      </vt:variant>
      <vt:variant>
        <vt:i4>2031673</vt:i4>
      </vt:variant>
      <vt:variant>
        <vt:i4>134</vt:i4>
      </vt:variant>
      <vt:variant>
        <vt:i4>0</vt:i4>
      </vt:variant>
      <vt:variant>
        <vt:i4>5</vt:i4>
      </vt:variant>
      <vt:variant>
        <vt:lpwstr/>
      </vt:variant>
      <vt:variant>
        <vt:lpwstr>_Toc205369825</vt:lpwstr>
      </vt:variant>
      <vt:variant>
        <vt:i4>2031673</vt:i4>
      </vt:variant>
      <vt:variant>
        <vt:i4>128</vt:i4>
      </vt:variant>
      <vt:variant>
        <vt:i4>0</vt:i4>
      </vt:variant>
      <vt:variant>
        <vt:i4>5</vt:i4>
      </vt:variant>
      <vt:variant>
        <vt:lpwstr/>
      </vt:variant>
      <vt:variant>
        <vt:lpwstr>_Toc205369824</vt:lpwstr>
      </vt:variant>
      <vt:variant>
        <vt:i4>2031673</vt:i4>
      </vt:variant>
      <vt:variant>
        <vt:i4>122</vt:i4>
      </vt:variant>
      <vt:variant>
        <vt:i4>0</vt:i4>
      </vt:variant>
      <vt:variant>
        <vt:i4>5</vt:i4>
      </vt:variant>
      <vt:variant>
        <vt:lpwstr/>
      </vt:variant>
      <vt:variant>
        <vt:lpwstr>_Toc205369823</vt:lpwstr>
      </vt:variant>
      <vt:variant>
        <vt:i4>2031673</vt:i4>
      </vt:variant>
      <vt:variant>
        <vt:i4>116</vt:i4>
      </vt:variant>
      <vt:variant>
        <vt:i4>0</vt:i4>
      </vt:variant>
      <vt:variant>
        <vt:i4>5</vt:i4>
      </vt:variant>
      <vt:variant>
        <vt:lpwstr/>
      </vt:variant>
      <vt:variant>
        <vt:lpwstr>_Toc205369822</vt:lpwstr>
      </vt:variant>
      <vt:variant>
        <vt:i4>2031673</vt:i4>
      </vt:variant>
      <vt:variant>
        <vt:i4>110</vt:i4>
      </vt:variant>
      <vt:variant>
        <vt:i4>0</vt:i4>
      </vt:variant>
      <vt:variant>
        <vt:i4>5</vt:i4>
      </vt:variant>
      <vt:variant>
        <vt:lpwstr/>
      </vt:variant>
      <vt:variant>
        <vt:lpwstr>_Toc205369821</vt:lpwstr>
      </vt:variant>
      <vt:variant>
        <vt:i4>2031673</vt:i4>
      </vt:variant>
      <vt:variant>
        <vt:i4>104</vt:i4>
      </vt:variant>
      <vt:variant>
        <vt:i4>0</vt:i4>
      </vt:variant>
      <vt:variant>
        <vt:i4>5</vt:i4>
      </vt:variant>
      <vt:variant>
        <vt:lpwstr/>
      </vt:variant>
      <vt:variant>
        <vt:lpwstr>_Toc205369820</vt:lpwstr>
      </vt:variant>
      <vt:variant>
        <vt:i4>1835065</vt:i4>
      </vt:variant>
      <vt:variant>
        <vt:i4>98</vt:i4>
      </vt:variant>
      <vt:variant>
        <vt:i4>0</vt:i4>
      </vt:variant>
      <vt:variant>
        <vt:i4>5</vt:i4>
      </vt:variant>
      <vt:variant>
        <vt:lpwstr/>
      </vt:variant>
      <vt:variant>
        <vt:lpwstr>_Toc205369819</vt:lpwstr>
      </vt:variant>
      <vt:variant>
        <vt:i4>1835065</vt:i4>
      </vt:variant>
      <vt:variant>
        <vt:i4>92</vt:i4>
      </vt:variant>
      <vt:variant>
        <vt:i4>0</vt:i4>
      </vt:variant>
      <vt:variant>
        <vt:i4>5</vt:i4>
      </vt:variant>
      <vt:variant>
        <vt:lpwstr/>
      </vt:variant>
      <vt:variant>
        <vt:lpwstr>_Toc205369818</vt:lpwstr>
      </vt:variant>
      <vt:variant>
        <vt:i4>1835065</vt:i4>
      </vt:variant>
      <vt:variant>
        <vt:i4>86</vt:i4>
      </vt:variant>
      <vt:variant>
        <vt:i4>0</vt:i4>
      </vt:variant>
      <vt:variant>
        <vt:i4>5</vt:i4>
      </vt:variant>
      <vt:variant>
        <vt:lpwstr/>
      </vt:variant>
      <vt:variant>
        <vt:lpwstr>_Toc205369817</vt:lpwstr>
      </vt:variant>
      <vt:variant>
        <vt:i4>1835065</vt:i4>
      </vt:variant>
      <vt:variant>
        <vt:i4>80</vt:i4>
      </vt:variant>
      <vt:variant>
        <vt:i4>0</vt:i4>
      </vt:variant>
      <vt:variant>
        <vt:i4>5</vt:i4>
      </vt:variant>
      <vt:variant>
        <vt:lpwstr/>
      </vt:variant>
      <vt:variant>
        <vt:lpwstr>_Toc205369816</vt:lpwstr>
      </vt:variant>
      <vt:variant>
        <vt:i4>1835065</vt:i4>
      </vt:variant>
      <vt:variant>
        <vt:i4>74</vt:i4>
      </vt:variant>
      <vt:variant>
        <vt:i4>0</vt:i4>
      </vt:variant>
      <vt:variant>
        <vt:i4>5</vt:i4>
      </vt:variant>
      <vt:variant>
        <vt:lpwstr/>
      </vt:variant>
      <vt:variant>
        <vt:lpwstr>_Toc205369815</vt:lpwstr>
      </vt:variant>
      <vt:variant>
        <vt:i4>1835065</vt:i4>
      </vt:variant>
      <vt:variant>
        <vt:i4>68</vt:i4>
      </vt:variant>
      <vt:variant>
        <vt:i4>0</vt:i4>
      </vt:variant>
      <vt:variant>
        <vt:i4>5</vt:i4>
      </vt:variant>
      <vt:variant>
        <vt:lpwstr/>
      </vt:variant>
      <vt:variant>
        <vt:lpwstr>_Toc205369814</vt:lpwstr>
      </vt:variant>
      <vt:variant>
        <vt:i4>1835065</vt:i4>
      </vt:variant>
      <vt:variant>
        <vt:i4>62</vt:i4>
      </vt:variant>
      <vt:variant>
        <vt:i4>0</vt:i4>
      </vt:variant>
      <vt:variant>
        <vt:i4>5</vt:i4>
      </vt:variant>
      <vt:variant>
        <vt:lpwstr/>
      </vt:variant>
      <vt:variant>
        <vt:lpwstr>_Toc205369813</vt:lpwstr>
      </vt:variant>
      <vt:variant>
        <vt:i4>1835065</vt:i4>
      </vt:variant>
      <vt:variant>
        <vt:i4>56</vt:i4>
      </vt:variant>
      <vt:variant>
        <vt:i4>0</vt:i4>
      </vt:variant>
      <vt:variant>
        <vt:i4>5</vt:i4>
      </vt:variant>
      <vt:variant>
        <vt:lpwstr/>
      </vt:variant>
      <vt:variant>
        <vt:lpwstr>_Toc205369812</vt:lpwstr>
      </vt:variant>
      <vt:variant>
        <vt:i4>1835065</vt:i4>
      </vt:variant>
      <vt:variant>
        <vt:i4>50</vt:i4>
      </vt:variant>
      <vt:variant>
        <vt:i4>0</vt:i4>
      </vt:variant>
      <vt:variant>
        <vt:i4>5</vt:i4>
      </vt:variant>
      <vt:variant>
        <vt:lpwstr/>
      </vt:variant>
      <vt:variant>
        <vt:lpwstr>_Toc205369811</vt:lpwstr>
      </vt:variant>
      <vt:variant>
        <vt:i4>1835065</vt:i4>
      </vt:variant>
      <vt:variant>
        <vt:i4>44</vt:i4>
      </vt:variant>
      <vt:variant>
        <vt:i4>0</vt:i4>
      </vt:variant>
      <vt:variant>
        <vt:i4>5</vt:i4>
      </vt:variant>
      <vt:variant>
        <vt:lpwstr/>
      </vt:variant>
      <vt:variant>
        <vt:lpwstr>_Toc205369810</vt:lpwstr>
      </vt:variant>
      <vt:variant>
        <vt:i4>1900601</vt:i4>
      </vt:variant>
      <vt:variant>
        <vt:i4>38</vt:i4>
      </vt:variant>
      <vt:variant>
        <vt:i4>0</vt:i4>
      </vt:variant>
      <vt:variant>
        <vt:i4>5</vt:i4>
      </vt:variant>
      <vt:variant>
        <vt:lpwstr/>
      </vt:variant>
      <vt:variant>
        <vt:lpwstr>_Toc205369809</vt:lpwstr>
      </vt:variant>
      <vt:variant>
        <vt:i4>1900601</vt:i4>
      </vt:variant>
      <vt:variant>
        <vt:i4>32</vt:i4>
      </vt:variant>
      <vt:variant>
        <vt:i4>0</vt:i4>
      </vt:variant>
      <vt:variant>
        <vt:i4>5</vt:i4>
      </vt:variant>
      <vt:variant>
        <vt:lpwstr/>
      </vt:variant>
      <vt:variant>
        <vt:lpwstr>_Toc205369808</vt:lpwstr>
      </vt:variant>
      <vt:variant>
        <vt:i4>1900601</vt:i4>
      </vt:variant>
      <vt:variant>
        <vt:i4>26</vt:i4>
      </vt:variant>
      <vt:variant>
        <vt:i4>0</vt:i4>
      </vt:variant>
      <vt:variant>
        <vt:i4>5</vt:i4>
      </vt:variant>
      <vt:variant>
        <vt:lpwstr/>
      </vt:variant>
      <vt:variant>
        <vt:lpwstr>_Toc205369807</vt:lpwstr>
      </vt:variant>
      <vt:variant>
        <vt:i4>1900601</vt:i4>
      </vt:variant>
      <vt:variant>
        <vt:i4>20</vt:i4>
      </vt:variant>
      <vt:variant>
        <vt:i4>0</vt:i4>
      </vt:variant>
      <vt:variant>
        <vt:i4>5</vt:i4>
      </vt:variant>
      <vt:variant>
        <vt:lpwstr/>
      </vt:variant>
      <vt:variant>
        <vt:lpwstr>_Toc205369806</vt:lpwstr>
      </vt:variant>
      <vt:variant>
        <vt:i4>1900601</vt:i4>
      </vt:variant>
      <vt:variant>
        <vt:i4>14</vt:i4>
      </vt:variant>
      <vt:variant>
        <vt:i4>0</vt:i4>
      </vt:variant>
      <vt:variant>
        <vt:i4>5</vt:i4>
      </vt:variant>
      <vt:variant>
        <vt:lpwstr/>
      </vt:variant>
      <vt:variant>
        <vt:lpwstr>_Toc205369805</vt:lpwstr>
      </vt:variant>
      <vt:variant>
        <vt:i4>1900601</vt:i4>
      </vt:variant>
      <vt:variant>
        <vt:i4>8</vt:i4>
      </vt:variant>
      <vt:variant>
        <vt:i4>0</vt:i4>
      </vt:variant>
      <vt:variant>
        <vt:i4>5</vt:i4>
      </vt:variant>
      <vt:variant>
        <vt:lpwstr/>
      </vt:variant>
      <vt:variant>
        <vt:lpwstr>_Toc205369804</vt:lpwstr>
      </vt:variant>
      <vt:variant>
        <vt:i4>1900601</vt:i4>
      </vt:variant>
      <vt:variant>
        <vt:i4>2</vt:i4>
      </vt:variant>
      <vt:variant>
        <vt:i4>0</vt:i4>
      </vt:variant>
      <vt:variant>
        <vt:i4>5</vt:i4>
      </vt:variant>
      <vt:variant>
        <vt:lpwstr/>
      </vt:variant>
      <vt:variant>
        <vt:lpwstr>_Toc205369803</vt:lpwstr>
      </vt:variant>
      <vt:variant>
        <vt:i4>786469</vt:i4>
      </vt:variant>
      <vt:variant>
        <vt:i4>3</vt:i4>
      </vt:variant>
      <vt:variant>
        <vt:i4>0</vt:i4>
      </vt:variant>
      <vt:variant>
        <vt:i4>5</vt:i4>
      </vt:variant>
      <vt:variant>
        <vt:lpwstr/>
      </vt:variant>
      <vt:variant>
        <vt:lpwstr>Ref_16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Bird</dc:creator>
  <cp:keywords/>
  <dc:description/>
  <cp:lastModifiedBy>Thomas Prisk</cp:lastModifiedBy>
  <cp:revision>76</cp:revision>
  <cp:lastPrinted>2025-08-27T05:08:00Z</cp:lastPrinted>
  <dcterms:created xsi:type="dcterms:W3CDTF">2025-08-27T02:01:00Z</dcterms:created>
  <dcterms:modified xsi:type="dcterms:W3CDTF">2025-08-27T05:08:00Z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0x01010008BAC9EC549B984F8E2AA5A6E13A8D38</vt:lpwstr>
  </property>
  <property fmtid="{D5CDD505-2E9C-101B-9397-08002B2CF9AE}" pid="3" name="MediaServiceImageTags">
    <vt:lpwstr/>
  </property>
  <property fmtid="{D5CDD505-2E9C-101B-9397-08002B2CF9AE}" pid="4" name="GrammarlyDocumentId">
    <vt:lpwstr>c6fe798e-1383-43c3-9f3e-c9e0201f52b1</vt:lpwstr>
  </property>
  <property fmtid="{D5CDD505-2E9C-101B-9397-08002B2CF9AE}" pid="5" name="ZOTERO_PREF_1">
    <vt:lpwstr>&lt;data data-version="3" zotero-version="7.0.15"&gt;&lt;session id="7YilLH2T"/&gt;&lt;style id="http://www.zotero.org/styles/ieee" locale="en-GB" hasBibliography="1" bibliographyStyleHasBeenSet="0"/&gt;&lt;prefs&gt;&lt;pref name="fieldType" value="Field"/&gt;&lt;pref name="automaticJour</vt:lpwstr>
  </property>
  <property fmtid="{D5CDD505-2E9C-101B-9397-08002B2CF9AE}" pid="6" name="ZOTERO_PREF_2">
    <vt:lpwstr>nalAbbreviations" value="true"/&gt;&lt;/prefs&gt;&lt;/data&gt;</vt:lpwstr>
  </property>
  <property fmtid="{D5CDD505-2E9C-101B-9397-08002B2CF9AE}" pid="8" name="docLang">
    <vt:lpwstr>en</vt:lpwstr>
  </property>
</Properties>
</file>