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2848F" w14:textId="77777777" w:rsidR="0021366F" w:rsidRPr="009D600F" w:rsidRDefault="0021366F" w:rsidP="009D600F">
      <w:pPr>
        <w:pStyle w:val="Title"/>
      </w:pPr>
    </w:p>
    <w:p w14:paraId="04C56CAD" w14:textId="5A7715D0" w:rsidR="0021366F" w:rsidRPr="00F22C29" w:rsidRDefault="00A43F36" w:rsidP="00F22C29">
      <w:pPr>
        <w:pStyle w:val="Title"/>
      </w:pPr>
      <w:r w:rsidRPr="00050A5B">
        <w:t>Future Customer &amp; Societal Objectives</w:t>
      </w:r>
      <w:r w:rsidR="00726789" w:rsidRPr="00050A5B">
        <w:t xml:space="preserve"> </w:t>
      </w:r>
    </w:p>
    <w:p w14:paraId="24E6E218" w14:textId="4761499E" w:rsidR="0021366F" w:rsidRPr="00050A5B" w:rsidRDefault="0021366F" w:rsidP="0021366F">
      <w:pPr>
        <w:spacing w:before="1920" w:after="0" w:line="288" w:lineRule="auto"/>
        <w:contextualSpacing/>
        <w:rPr>
          <w:rFonts w:ascii="PP Mori SemiBold" w:eastAsiaTheme="majorEastAsia" w:hAnsi="PP Mori SemiBold" w:cstheme="majorBidi"/>
          <w:spacing w:val="-10"/>
          <w:kern w:val="28"/>
          <w:sz w:val="40"/>
          <w:szCs w:val="44"/>
        </w:rPr>
      </w:pPr>
      <w:r w:rsidRPr="00050A5B">
        <w:rPr>
          <w:rFonts w:ascii="PP Mori SemiBold" w:eastAsiaTheme="majorEastAsia" w:hAnsi="PP Mori SemiBold" w:cstheme="majorBidi"/>
          <w:spacing w:val="-10"/>
          <w:kern w:val="28"/>
          <w:sz w:val="40"/>
          <w:szCs w:val="44"/>
        </w:rPr>
        <w:t xml:space="preserve">Report </w:t>
      </w:r>
      <w:r w:rsidR="00A43F36" w:rsidRPr="00050A5B">
        <w:rPr>
          <w:rFonts w:ascii="PP Mori SemiBold" w:eastAsiaTheme="majorEastAsia" w:hAnsi="PP Mori SemiBold" w:cstheme="majorBidi"/>
          <w:spacing w:val="-10"/>
          <w:kern w:val="28"/>
          <w:sz w:val="40"/>
          <w:szCs w:val="44"/>
        </w:rPr>
        <w:t>1</w:t>
      </w:r>
      <w:r w:rsidR="00DD2258">
        <w:rPr>
          <w:rFonts w:ascii="PP Mori SemiBold" w:eastAsiaTheme="majorEastAsia" w:hAnsi="PP Mori SemiBold" w:cstheme="majorBidi"/>
          <w:spacing w:val="-10"/>
          <w:kern w:val="28"/>
          <w:sz w:val="40"/>
          <w:szCs w:val="44"/>
        </w:rPr>
        <w:t xml:space="preserve"> of 5</w:t>
      </w:r>
      <w:r w:rsidRPr="00050A5B">
        <w:rPr>
          <w:rFonts w:ascii="PP Mori SemiBold" w:eastAsiaTheme="majorEastAsia" w:hAnsi="PP Mori SemiBold" w:cstheme="majorBidi"/>
          <w:spacing w:val="-10"/>
          <w:kern w:val="28"/>
          <w:sz w:val="40"/>
          <w:szCs w:val="44"/>
        </w:rPr>
        <w:t xml:space="preserve">: Power Systems Architecture </w:t>
      </w:r>
    </w:p>
    <w:p w14:paraId="487C83DE" w14:textId="22D9F0E5" w:rsidR="00D22333" w:rsidRPr="00050A5B" w:rsidRDefault="00363AE3" w:rsidP="0021366F">
      <w:pPr>
        <w:spacing w:before="1920" w:after="0" w:line="288" w:lineRule="auto"/>
        <w:contextualSpacing/>
        <w:rPr>
          <w:rFonts w:eastAsiaTheme="majorEastAsia" w:cstheme="majorBidi"/>
          <w:spacing w:val="-10"/>
          <w:kern w:val="28"/>
          <w:sz w:val="40"/>
          <w:szCs w:val="44"/>
        </w:rPr>
      </w:pPr>
      <w:r>
        <w:rPr>
          <w:rFonts w:eastAsiaTheme="majorEastAsia" w:cstheme="majorBidi"/>
          <w:spacing w:val="-10"/>
          <w:kern w:val="28"/>
          <w:sz w:val="40"/>
          <w:szCs w:val="44"/>
        </w:rPr>
        <w:t>AR</w:t>
      </w:r>
      <w:r w:rsidR="0021366F" w:rsidRPr="00050A5B">
        <w:rPr>
          <w:rFonts w:eastAsiaTheme="majorEastAsia" w:cstheme="majorBidi"/>
          <w:spacing w:val="-10"/>
          <w:kern w:val="28"/>
          <w:sz w:val="40"/>
          <w:szCs w:val="44"/>
        </w:rPr>
        <w:t>-PST Stage 4, Topic 7</w:t>
      </w:r>
    </w:p>
    <w:p w14:paraId="6418CB38" w14:textId="77777777" w:rsidR="00BC70EF" w:rsidRPr="00050A5B" w:rsidRDefault="00BC70EF" w:rsidP="0021366F">
      <w:pPr>
        <w:spacing w:before="1920" w:after="0" w:line="288" w:lineRule="auto"/>
        <w:contextualSpacing/>
        <w:rPr>
          <w:rFonts w:eastAsiaTheme="majorEastAsia" w:cstheme="majorBidi"/>
          <w:spacing w:val="-10"/>
          <w:kern w:val="28"/>
          <w:sz w:val="40"/>
          <w:szCs w:val="44"/>
        </w:rPr>
      </w:pPr>
    </w:p>
    <w:p w14:paraId="3FE71EA0" w14:textId="77777777" w:rsidR="00967DE6" w:rsidRPr="00967DE6" w:rsidRDefault="00967DE6" w:rsidP="00967DE6">
      <w:pPr>
        <w:spacing w:before="0" w:after="160" w:line="259" w:lineRule="auto"/>
        <w:rPr>
          <w:rFonts w:eastAsiaTheme="majorEastAsia" w:cstheme="majorBidi"/>
          <w:b/>
          <w:bCs/>
          <w:color w:val="C00000"/>
          <w:spacing w:val="-10"/>
          <w:kern w:val="28"/>
          <w:sz w:val="40"/>
          <w:szCs w:val="44"/>
        </w:rPr>
      </w:pPr>
      <w:r w:rsidRPr="00967DE6">
        <w:rPr>
          <w:rFonts w:eastAsiaTheme="majorEastAsia" w:cstheme="majorBidi"/>
          <w:b/>
          <w:bCs/>
          <w:color w:val="C00000"/>
          <w:spacing w:val="-10"/>
          <w:kern w:val="28"/>
          <w:sz w:val="40"/>
          <w:szCs w:val="44"/>
        </w:rPr>
        <w:t>AUGUST 2025</w:t>
      </w:r>
    </w:p>
    <w:p w14:paraId="7407FDBA" w14:textId="77777777" w:rsidR="00BC70EF" w:rsidRPr="00050A5B" w:rsidRDefault="00BC70EF" w:rsidP="0021366F">
      <w:pPr>
        <w:spacing w:before="1920" w:after="0" w:line="288" w:lineRule="auto"/>
        <w:contextualSpacing/>
        <w:rPr>
          <w:rFonts w:eastAsiaTheme="majorEastAsia" w:cstheme="majorBidi"/>
          <w:spacing w:val="-10"/>
          <w:kern w:val="28"/>
          <w:sz w:val="40"/>
          <w:szCs w:val="44"/>
        </w:rPr>
      </w:pPr>
    </w:p>
    <w:p w14:paraId="611D6636" w14:textId="77777777" w:rsidR="00967DE6" w:rsidRDefault="00967DE6">
      <w:pPr>
        <w:spacing w:before="0" w:after="160" w:line="259" w:lineRule="auto"/>
        <w:rPr>
          <w:szCs w:val="18"/>
        </w:rPr>
      </w:pPr>
      <w:r>
        <w:rPr>
          <w:szCs w:val="18"/>
        </w:rPr>
        <w:br w:type="page"/>
      </w:r>
    </w:p>
    <w:p w14:paraId="1E4EAE74" w14:textId="20867403" w:rsidR="00FE2A8A" w:rsidRPr="00FE2A8A" w:rsidRDefault="00FE2A8A" w:rsidP="00FE2A8A">
      <w:pPr>
        <w:rPr>
          <w:szCs w:val="18"/>
        </w:rPr>
      </w:pPr>
      <w:r w:rsidRPr="00FE2A8A">
        <w:rPr>
          <w:szCs w:val="18"/>
        </w:rPr>
        <w:lastRenderedPageBreak/>
        <w:t>© Commonwealth Scientific and Industrial Research Organisation 2025. To the extent permitted by law, all rights are reserved and no part of this publication covered by copyright may be reproduced or copied in any form or by any means except with the written permission of CSIRO.</w:t>
      </w:r>
    </w:p>
    <w:p w14:paraId="4B874F36" w14:textId="77777777" w:rsidR="00FE2A8A" w:rsidRPr="00FE2A8A" w:rsidRDefault="00FE2A8A" w:rsidP="00FE2A8A">
      <w:pPr>
        <w:rPr>
          <w:i/>
          <w:iCs/>
          <w:color w:val="013C4C" w:themeColor="accent1"/>
          <w:sz w:val="20"/>
          <w:szCs w:val="18"/>
        </w:rPr>
      </w:pPr>
      <w:r w:rsidRPr="00FE2A8A">
        <w:rPr>
          <w:i/>
          <w:iCs/>
          <w:color w:val="013C4C" w:themeColor="accent1"/>
          <w:sz w:val="20"/>
          <w:szCs w:val="18"/>
        </w:rPr>
        <w:t>Important disclaimer</w:t>
      </w:r>
    </w:p>
    <w:p w14:paraId="20F6B7DD" w14:textId="77777777" w:rsidR="00FE2A8A" w:rsidRPr="00FE2A8A" w:rsidRDefault="00FE2A8A" w:rsidP="00FE2A8A">
      <w:pPr>
        <w:rPr>
          <w:szCs w:val="18"/>
        </w:rPr>
      </w:pPr>
      <w:r w:rsidRPr="00FE2A8A">
        <w:rPr>
          <w:szCs w:val="18"/>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33F86CAE" w14:textId="4A0D9C9E" w:rsidR="00FE2A8A" w:rsidRPr="00FE2A8A" w:rsidRDefault="00FE2A8A" w:rsidP="00FE2A8A">
      <w:pPr>
        <w:rPr>
          <w:szCs w:val="18"/>
        </w:rPr>
      </w:pPr>
      <w:r w:rsidRPr="00FE2A8A">
        <w:rPr>
          <w:szCs w:val="18"/>
        </w:rPr>
        <w:t>CSIRO is committed to providing web accessible content wherever possible. If you are having difficulties with accessing this document, please contact csiro.au/contact.</w:t>
      </w:r>
    </w:p>
    <w:p w14:paraId="5C6E2F6B" w14:textId="77777777" w:rsidR="00FE2A8A" w:rsidRPr="00FE2A8A" w:rsidRDefault="00FE2A8A" w:rsidP="00FE2A8A">
      <w:pPr>
        <w:spacing w:before="0" w:after="160" w:line="259" w:lineRule="auto"/>
        <w:rPr>
          <w:b/>
          <w:bCs/>
          <w:szCs w:val="18"/>
        </w:rPr>
      </w:pPr>
      <w:r w:rsidRPr="00FE2A8A">
        <w:rPr>
          <w:b/>
          <w:bCs/>
          <w:szCs w:val="18"/>
        </w:rPr>
        <w:t>Prepared for:</w:t>
      </w:r>
    </w:p>
    <w:p w14:paraId="0A1DFE68" w14:textId="073E4633" w:rsidR="00FE2A8A" w:rsidRPr="00FE2A8A" w:rsidRDefault="00FE2A8A" w:rsidP="00FE2A8A">
      <w:pPr>
        <w:spacing w:before="0" w:after="0" w:line="259" w:lineRule="auto"/>
        <w:rPr>
          <w:i/>
          <w:iCs/>
          <w:color w:val="0290B7" w:themeColor="text1" w:themeTint="BF"/>
          <w:szCs w:val="18"/>
        </w:rPr>
      </w:pPr>
      <w:r w:rsidRPr="00FE2A8A">
        <w:rPr>
          <w:noProof/>
          <w:szCs w:val="18"/>
        </w:rPr>
        <w:drawing>
          <wp:inline distT="0" distB="0" distL="0" distR="0" wp14:anchorId="77727A8D" wp14:editId="7DD47884">
            <wp:extent cx="838200" cy="838200"/>
            <wp:effectExtent l="0" t="0" r="0" b="0"/>
            <wp:docPr id="1130745649" name="Picture 15"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5649" name="Picture 15" descr="A blue circle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4161" cy="844161"/>
                    </a:xfrm>
                    <a:prstGeom prst="rect">
                      <a:avLst/>
                    </a:prstGeom>
                    <a:noFill/>
                    <a:ln>
                      <a:noFill/>
                    </a:ln>
                  </pic:spPr>
                </pic:pic>
              </a:graphicData>
            </a:graphic>
          </wp:inline>
        </w:drawing>
      </w:r>
      <w:r w:rsidRPr="00FE2A8A">
        <w:rPr>
          <w:i/>
          <w:iCs/>
          <w:color w:val="0290B7" w:themeColor="text1" w:themeTint="BF"/>
          <w:szCs w:val="18"/>
        </w:rPr>
        <w:br/>
      </w:r>
    </w:p>
    <w:p w14:paraId="3BB589CA" w14:textId="77777777" w:rsidR="00FE2A8A" w:rsidRPr="00FE2A8A" w:rsidRDefault="00FE2A8A" w:rsidP="00FE2A8A">
      <w:pPr>
        <w:spacing w:before="0" w:after="60" w:line="259" w:lineRule="auto"/>
        <w:rPr>
          <w:rFonts w:ascii="PP Mori SemiBold" w:hAnsi="PP Mori SemiBold"/>
          <w:szCs w:val="18"/>
        </w:rPr>
      </w:pPr>
      <w:r w:rsidRPr="00FE2A8A">
        <w:rPr>
          <w:rFonts w:ascii="PP Mori SemiBold" w:hAnsi="PP Mori SemiBold"/>
          <w:szCs w:val="18"/>
        </w:rPr>
        <w:t>What is CSIRO?</w:t>
      </w:r>
    </w:p>
    <w:p w14:paraId="3E73D217" w14:textId="77777777" w:rsidR="00FE2A8A" w:rsidRPr="00FE2A8A" w:rsidRDefault="00FE2A8A" w:rsidP="00FE2A8A">
      <w:pPr>
        <w:spacing w:before="0" w:after="160" w:line="259" w:lineRule="auto"/>
        <w:rPr>
          <w:szCs w:val="18"/>
        </w:rPr>
      </w:pPr>
      <w:r w:rsidRPr="00FE2A8A">
        <w:rPr>
          <w:szCs w:val="18"/>
        </w:rPr>
        <w:t>The Commonwealth Scientific and Industrial Research Organisation is Australia's national science agency, conducting applied research across key sectors to drive national impact.</w:t>
      </w:r>
    </w:p>
    <w:p w14:paraId="7C4F8FAC" w14:textId="77777777" w:rsidR="00FE2A8A" w:rsidRPr="00FE2A8A" w:rsidRDefault="00FE2A8A" w:rsidP="00FE2A8A">
      <w:pPr>
        <w:spacing w:before="0" w:after="60" w:line="259" w:lineRule="auto"/>
        <w:rPr>
          <w:rFonts w:ascii="PP Mori SemiBold" w:hAnsi="PP Mori SemiBold"/>
          <w:szCs w:val="18"/>
        </w:rPr>
      </w:pPr>
      <w:r w:rsidRPr="00FE2A8A">
        <w:rPr>
          <w:rFonts w:ascii="PP Mori SemiBold" w:hAnsi="PP Mori SemiBold"/>
          <w:szCs w:val="18"/>
        </w:rPr>
        <w:t xml:space="preserve">Citation: </w:t>
      </w:r>
    </w:p>
    <w:p w14:paraId="23EAB858" w14:textId="11A15BA7" w:rsidR="00404685" w:rsidRDefault="00BB7184" w:rsidP="00404685">
      <w:pPr>
        <w:spacing w:before="0" w:after="0" w:line="259" w:lineRule="auto"/>
        <w:rPr>
          <w:rStyle w:val="SubtleEmphasis"/>
          <w:i w:val="0"/>
          <w:iCs w:val="0"/>
          <w:color w:val="auto"/>
          <w:szCs w:val="18"/>
        </w:rPr>
      </w:pPr>
      <w:r w:rsidRPr="00BB7184">
        <w:rPr>
          <w:rStyle w:val="SubtleEmphasis"/>
          <w:i w:val="0"/>
          <w:iCs w:val="0"/>
          <w:color w:val="auto"/>
          <w:szCs w:val="18"/>
        </w:rPr>
        <w:t>Energy Catalyst, Report 1</w:t>
      </w:r>
      <w:r w:rsidR="00392BC6">
        <w:rPr>
          <w:rStyle w:val="SubtleEmphasis"/>
          <w:i w:val="0"/>
          <w:iCs w:val="0"/>
          <w:color w:val="auto"/>
          <w:szCs w:val="18"/>
        </w:rPr>
        <w:t xml:space="preserve"> </w:t>
      </w:r>
      <w:r w:rsidRPr="00BB7184">
        <w:rPr>
          <w:rStyle w:val="SubtleEmphasis"/>
          <w:i w:val="0"/>
          <w:iCs w:val="0"/>
          <w:color w:val="auto"/>
          <w:szCs w:val="18"/>
        </w:rPr>
        <w:t>of 5: Future Customer &amp; Societal Objectives</w:t>
      </w:r>
      <w:r w:rsidR="00967DE6">
        <w:rPr>
          <w:rStyle w:val="SubtleEmphasis"/>
          <w:i w:val="0"/>
          <w:iCs w:val="0"/>
          <w:color w:val="auto"/>
          <w:szCs w:val="18"/>
        </w:rPr>
        <w:t xml:space="preserve"> v1.</w:t>
      </w:r>
      <w:r w:rsidR="0061258F">
        <w:rPr>
          <w:rStyle w:val="SubtleEmphasis"/>
          <w:i w:val="0"/>
          <w:iCs w:val="0"/>
          <w:color w:val="auto"/>
          <w:szCs w:val="18"/>
        </w:rPr>
        <w:t>2</w:t>
      </w:r>
      <w:r w:rsidRPr="00BB7184">
        <w:rPr>
          <w:rStyle w:val="SubtleEmphasis"/>
          <w:i w:val="0"/>
          <w:iCs w:val="0"/>
          <w:color w:val="auto"/>
          <w:szCs w:val="18"/>
        </w:rPr>
        <w:t xml:space="preserve">, AR-PST (Australian Research in Power Systems Transition) Stage 4 Topic 7, prepared for CSIRO, </w:t>
      </w:r>
      <w:r w:rsidR="00967DE6">
        <w:rPr>
          <w:rStyle w:val="SubtleEmphasis"/>
          <w:i w:val="0"/>
          <w:iCs w:val="0"/>
          <w:color w:val="auto"/>
          <w:szCs w:val="18"/>
        </w:rPr>
        <w:t>August</w:t>
      </w:r>
      <w:r w:rsidRPr="00BB7184">
        <w:rPr>
          <w:rStyle w:val="SubtleEmphasis"/>
          <w:i w:val="0"/>
          <w:iCs w:val="0"/>
          <w:color w:val="auto"/>
          <w:szCs w:val="18"/>
        </w:rPr>
        <w:t xml:space="preserve"> 2025.</w:t>
      </w:r>
    </w:p>
    <w:p w14:paraId="7E633EDA" w14:textId="1989A721" w:rsidR="00404685" w:rsidRPr="00404685" w:rsidRDefault="00404685" w:rsidP="00B224CE">
      <w:pPr>
        <w:spacing w:before="0" w:after="160" w:line="259" w:lineRule="auto"/>
        <w:rPr>
          <w:rStyle w:val="SubtleEmphasis"/>
          <w:i w:val="0"/>
          <w:iCs w:val="0"/>
          <w:color w:val="auto"/>
          <w:szCs w:val="18"/>
        </w:rPr>
      </w:pPr>
      <w:r w:rsidRPr="00404685">
        <w:rPr>
          <w:rStyle w:val="SubtleEmphasis"/>
          <w:i w:val="0"/>
          <w:iCs w:val="0"/>
          <w:color w:val="auto"/>
          <w:sz w:val="12"/>
          <w:szCs w:val="12"/>
        </w:rPr>
        <w:br/>
      </w:r>
      <w:r w:rsidRPr="003A20C3">
        <w:rPr>
          <w:rFonts w:ascii="PP Mori SemiBold" w:hAnsi="PP Mori SemiBold"/>
          <w:noProof/>
          <w:color w:val="013C4C" w:themeColor="text1"/>
          <w:szCs w:val="18"/>
        </w:rPr>
        <w:drawing>
          <wp:inline distT="0" distB="0" distL="0" distR="0" wp14:anchorId="05B85CF1" wp14:editId="0CD242A6">
            <wp:extent cx="3246850" cy="603250"/>
            <wp:effectExtent l="0" t="0" r="0" b="6350"/>
            <wp:docPr id="122456977" name="Picture 1" descr="A blue and black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977" name="Picture 1" descr="A blue and black tex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3699" cy="613812"/>
                    </a:xfrm>
                    <a:prstGeom prst="rect">
                      <a:avLst/>
                    </a:prstGeom>
                  </pic:spPr>
                </pic:pic>
              </a:graphicData>
            </a:graphic>
          </wp:inline>
        </w:drawing>
      </w:r>
    </w:p>
    <w:p w14:paraId="406F37B1" w14:textId="77777777" w:rsidR="00404685" w:rsidRPr="00527C82" w:rsidRDefault="00404685" w:rsidP="00404685">
      <w:pPr>
        <w:rPr>
          <w:szCs w:val="18"/>
        </w:rPr>
      </w:pPr>
      <w:r w:rsidRPr="00527C82">
        <w:rPr>
          <w:szCs w:val="18"/>
        </w:rPr>
        <w:t>Energy Catalyst Disclaimer: The information contained in this publication comprises general statements</w:t>
      </w:r>
      <w:r>
        <w:rPr>
          <w:szCs w:val="18"/>
        </w:rPr>
        <w:t>.  No claim to represent the official policy of CSIRO, AEMO or any other third party is made</w:t>
      </w:r>
      <w:r w:rsidRPr="00527C82">
        <w:rPr>
          <w:szCs w:val="18"/>
        </w:rPr>
        <w:t xml:space="preserve">. The reader is advised and </w:t>
      </w:r>
      <w:r>
        <w:rPr>
          <w:szCs w:val="18"/>
        </w:rPr>
        <w:t xml:space="preserve">acknowledges that the </w:t>
      </w:r>
      <w:r w:rsidRPr="00527C82">
        <w:rPr>
          <w:szCs w:val="18"/>
        </w:rPr>
        <w:t xml:space="preserve">information </w:t>
      </w:r>
      <w:r>
        <w:rPr>
          <w:szCs w:val="18"/>
        </w:rPr>
        <w:t xml:space="preserve">contained </w:t>
      </w:r>
      <w:r w:rsidRPr="00527C82">
        <w:rPr>
          <w:szCs w:val="18"/>
        </w:rPr>
        <w:t xml:space="preserve">may be incomplete and/or unsuitable for use in specific situations. Therefore, no reliance or actions must be made on the information contained without seeking independent expert professional, scientific and technical advice. To the extent permitted by law, CSIRO and Energy Catalyst (including their employees and consultants) exclude all liability to any person or entity for any consequences, including but not limited to all losses, damages, costs, expenses and any other compensation, arising directly or indirectly from using this publication (in part or in whole) and any information, material, errors and/or omissions contained </w:t>
      </w:r>
      <w:r>
        <w:rPr>
          <w:szCs w:val="18"/>
        </w:rPr>
        <w:t xml:space="preserve">therein. </w:t>
      </w:r>
    </w:p>
    <w:p w14:paraId="7AE3A859" w14:textId="77777777" w:rsidR="004D4646" w:rsidRPr="004D4646" w:rsidRDefault="004D4646" w:rsidP="004D4646">
      <w:pPr>
        <w:spacing w:before="0" w:after="160" w:line="259" w:lineRule="auto"/>
        <w:rPr>
          <w:i/>
          <w:iCs/>
          <w:color w:val="013C4C" w:themeColor="accent1"/>
          <w:sz w:val="20"/>
          <w:szCs w:val="18"/>
        </w:rPr>
      </w:pPr>
    </w:p>
    <w:p w14:paraId="0ABE45BD" w14:textId="77777777" w:rsidR="004D4646" w:rsidRPr="004D4646" w:rsidRDefault="004D4646" w:rsidP="004D4646">
      <w:pPr>
        <w:spacing w:before="0" w:after="160" w:line="259" w:lineRule="auto"/>
        <w:rPr>
          <w:i/>
          <w:iCs/>
          <w:color w:val="013C4C" w:themeColor="accent1"/>
          <w:sz w:val="20"/>
          <w:szCs w:val="18"/>
        </w:rPr>
      </w:pPr>
    </w:p>
    <w:p w14:paraId="714401A1" w14:textId="77777777" w:rsidR="004D4646" w:rsidRPr="004D4646" w:rsidRDefault="004D4646" w:rsidP="004D4646">
      <w:pPr>
        <w:spacing w:before="0" w:after="160" w:line="259" w:lineRule="auto"/>
        <w:rPr>
          <w:i/>
          <w:iCs/>
          <w:color w:val="013C4C" w:themeColor="accent1"/>
          <w:sz w:val="20"/>
          <w:szCs w:val="18"/>
        </w:rPr>
      </w:pPr>
    </w:p>
    <w:p w14:paraId="58FF6929" w14:textId="77777777" w:rsidR="004D4646" w:rsidRPr="004D4646" w:rsidRDefault="004D4646" w:rsidP="004D4646">
      <w:pPr>
        <w:spacing w:before="0" w:after="160" w:line="259" w:lineRule="auto"/>
        <w:rPr>
          <w:i/>
          <w:iCs/>
          <w:color w:val="013C4C" w:themeColor="accent1"/>
          <w:sz w:val="20"/>
          <w:szCs w:val="18"/>
        </w:rPr>
      </w:pPr>
    </w:p>
    <w:p w14:paraId="0AEE73AE" w14:textId="77777777" w:rsidR="004D4646" w:rsidRPr="004D4646" w:rsidRDefault="004D4646" w:rsidP="004D4646">
      <w:pPr>
        <w:spacing w:before="0" w:after="160" w:line="259" w:lineRule="auto"/>
        <w:ind w:left="-567"/>
        <w:jc w:val="center"/>
        <w:rPr>
          <w:i/>
          <w:iCs/>
          <w:color w:val="013C4C" w:themeColor="text1"/>
          <w:sz w:val="36"/>
          <w:szCs w:val="32"/>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4D4646" w:rsidRPr="004D4646" w14:paraId="2641F04D" w14:textId="77777777" w:rsidTr="00CF5698">
        <w:tc>
          <w:tcPr>
            <w:tcW w:w="7087" w:type="dxa"/>
            <w:shd w:val="clear" w:color="auto" w:fill="013C4C" w:themeFill="text1"/>
          </w:tcPr>
          <w:p w14:paraId="78D88A63" w14:textId="77777777" w:rsidR="004D4646" w:rsidRPr="004D4646" w:rsidRDefault="004D4646" w:rsidP="004D4646">
            <w:pPr>
              <w:spacing w:before="60" w:after="60" w:line="259" w:lineRule="auto"/>
              <w:jc w:val="center"/>
              <w:rPr>
                <w:rFonts w:ascii="PP Mori SemiBold" w:hAnsi="PP Mori SemiBold"/>
                <w:i/>
                <w:iCs/>
                <w:color w:val="FAFAFA" w:themeColor="background1"/>
                <w:sz w:val="36"/>
                <w:szCs w:val="32"/>
              </w:rPr>
            </w:pPr>
            <w:r w:rsidRPr="004D4646">
              <w:rPr>
                <w:rFonts w:ascii="PP Mori SemiBold" w:hAnsi="PP Mori SemiBold"/>
                <w:i/>
                <w:iCs/>
                <w:color w:val="FAFAFA" w:themeColor="background1"/>
                <w:sz w:val="36"/>
                <w:szCs w:val="32"/>
              </w:rPr>
              <w:t xml:space="preserve">Navigating to 2035 </w:t>
            </w:r>
            <w:proofErr w:type="spellStart"/>
            <w:r w:rsidRPr="004D4646">
              <w:rPr>
                <w:rFonts w:ascii="PP Mori SemiBold" w:hAnsi="PP Mori SemiBold"/>
                <w:i/>
                <w:iCs/>
                <w:color w:val="FAFAFA" w:themeColor="background1"/>
                <w:sz w:val="36"/>
                <w:szCs w:val="32"/>
              </w:rPr>
              <w:t>en</w:t>
            </w:r>
            <w:proofErr w:type="spellEnd"/>
            <w:r w:rsidRPr="004D4646">
              <w:rPr>
                <w:rFonts w:ascii="PP Mori SemiBold" w:hAnsi="PP Mori SemiBold"/>
                <w:i/>
                <w:iCs/>
                <w:color w:val="FAFAFA" w:themeColor="background1"/>
                <w:sz w:val="36"/>
                <w:szCs w:val="32"/>
              </w:rPr>
              <w:t xml:space="preserve"> route to 2050</w:t>
            </w:r>
          </w:p>
        </w:tc>
      </w:tr>
      <w:tr w:rsidR="004D4646" w:rsidRPr="004D4646" w14:paraId="581176DB" w14:textId="77777777" w:rsidTr="00B224CE">
        <w:tc>
          <w:tcPr>
            <w:tcW w:w="7087" w:type="dxa"/>
          </w:tcPr>
          <w:p w14:paraId="4AAC8906" w14:textId="77777777" w:rsidR="004D4646" w:rsidRPr="004D4646" w:rsidRDefault="004D4646" w:rsidP="004D4646">
            <w:pPr>
              <w:spacing w:before="0" w:after="0" w:line="259" w:lineRule="auto"/>
              <w:jc w:val="center"/>
              <w:rPr>
                <w:rFonts w:ascii="PP Mori SemiBold" w:hAnsi="PP Mori SemiBold"/>
                <w:i/>
                <w:iCs/>
                <w:color w:val="FAFAFA" w:themeColor="background1"/>
                <w:sz w:val="6"/>
                <w:szCs w:val="6"/>
              </w:rPr>
            </w:pPr>
          </w:p>
        </w:tc>
      </w:tr>
      <w:tr w:rsidR="004D4646" w:rsidRPr="004D4646" w14:paraId="58898177" w14:textId="77777777" w:rsidTr="00CF5698">
        <w:tc>
          <w:tcPr>
            <w:tcW w:w="7087" w:type="dxa"/>
            <w:shd w:val="clear" w:color="auto" w:fill="067296" w:themeFill="text2"/>
          </w:tcPr>
          <w:p w14:paraId="31099AEF" w14:textId="616CB683" w:rsidR="004D4646" w:rsidRPr="004D4646" w:rsidRDefault="00CF5698" w:rsidP="000E3967">
            <w:pPr>
              <w:spacing w:before="180" w:after="180"/>
              <w:ind w:left="176" w:right="312"/>
              <w:jc w:val="both"/>
              <w:rPr>
                <w:color w:val="FAFAFA" w:themeColor="background1"/>
                <w:szCs w:val="24"/>
              </w:rPr>
            </w:pPr>
            <w:r>
              <w:rPr>
                <w:color w:val="FAFAFA" w:themeColor="background1"/>
                <w:szCs w:val="24"/>
              </w:rPr>
              <w:t>Electricity s</w:t>
            </w:r>
            <w:r w:rsidR="00777D41">
              <w:rPr>
                <w:color w:val="FAFAFA" w:themeColor="background1"/>
                <w:szCs w:val="24"/>
              </w:rPr>
              <w:t xml:space="preserve">ystems </w:t>
            </w:r>
            <w:r>
              <w:rPr>
                <w:color w:val="FAFAFA" w:themeColor="background1"/>
                <w:szCs w:val="24"/>
              </w:rPr>
              <w:t>exist to serve humanity.</w:t>
            </w:r>
            <w:r w:rsidR="00244DB3">
              <w:rPr>
                <w:color w:val="FAFAFA" w:themeColor="background1"/>
                <w:szCs w:val="24"/>
              </w:rPr>
              <w:t xml:space="preserve">  </w:t>
            </w:r>
            <w:r w:rsidR="00C81C8E">
              <w:rPr>
                <w:color w:val="FAFAFA" w:themeColor="background1"/>
                <w:szCs w:val="24"/>
              </w:rPr>
              <w:t>And as</w:t>
            </w:r>
            <w:r w:rsidR="00244DB3">
              <w:rPr>
                <w:color w:val="FAFAFA" w:themeColor="background1"/>
                <w:szCs w:val="24"/>
              </w:rPr>
              <w:t xml:space="preserve"> these critical systems </w:t>
            </w:r>
            <w:r w:rsidR="00441DBA">
              <w:rPr>
                <w:color w:val="FAFAFA" w:themeColor="background1"/>
                <w:szCs w:val="24"/>
              </w:rPr>
              <w:t xml:space="preserve">move into their second </w:t>
            </w:r>
            <w:proofErr w:type="gramStart"/>
            <w:r w:rsidR="00441DBA">
              <w:rPr>
                <w:color w:val="FAFAFA" w:themeColor="background1"/>
                <w:szCs w:val="24"/>
              </w:rPr>
              <w:t>century</w:t>
            </w:r>
            <w:proofErr w:type="gramEnd"/>
            <w:r w:rsidR="00441DBA">
              <w:rPr>
                <w:color w:val="FAFAFA" w:themeColor="background1"/>
                <w:szCs w:val="24"/>
              </w:rPr>
              <w:t xml:space="preserve"> they are </w:t>
            </w:r>
            <w:r w:rsidR="001122A7">
              <w:rPr>
                <w:color w:val="FAFAFA" w:themeColor="background1"/>
                <w:szCs w:val="24"/>
              </w:rPr>
              <w:t>facing profound change</w:t>
            </w:r>
            <w:r w:rsidR="00FE79E6">
              <w:rPr>
                <w:color w:val="FAFAFA" w:themeColor="background1"/>
                <w:szCs w:val="24"/>
              </w:rPr>
              <w:t>.</w:t>
            </w:r>
            <w:r w:rsidR="001F145E">
              <w:rPr>
                <w:color w:val="FAFAFA" w:themeColor="background1"/>
                <w:szCs w:val="24"/>
              </w:rPr>
              <w:t xml:space="preserve"> </w:t>
            </w:r>
            <w:r w:rsidR="00D043AF">
              <w:rPr>
                <w:color w:val="FAFAFA" w:themeColor="background1"/>
                <w:szCs w:val="24"/>
              </w:rPr>
              <w:t>At the same time, c</w:t>
            </w:r>
            <w:r w:rsidR="00FE79E6">
              <w:rPr>
                <w:color w:val="FAFAFA" w:themeColor="background1"/>
                <w:szCs w:val="24"/>
              </w:rPr>
              <w:t xml:space="preserve">ustomer and </w:t>
            </w:r>
            <w:r w:rsidR="00777D41">
              <w:rPr>
                <w:color w:val="FAFAFA" w:themeColor="background1"/>
                <w:szCs w:val="24"/>
              </w:rPr>
              <w:t>societal expect</w:t>
            </w:r>
            <w:r w:rsidR="008C22B8">
              <w:rPr>
                <w:color w:val="FAFAFA" w:themeColor="background1"/>
                <w:szCs w:val="24"/>
              </w:rPr>
              <w:t>ations</w:t>
            </w:r>
            <w:r w:rsidR="00FE79E6">
              <w:rPr>
                <w:color w:val="FAFAFA" w:themeColor="background1"/>
                <w:szCs w:val="24"/>
              </w:rPr>
              <w:t xml:space="preserve"> are also</w:t>
            </w:r>
            <w:r w:rsidR="00D43499">
              <w:rPr>
                <w:color w:val="FAFAFA" w:themeColor="background1"/>
                <w:szCs w:val="24"/>
              </w:rPr>
              <w:t xml:space="preserve"> evolving, in some cases dramatically. </w:t>
            </w:r>
            <w:r w:rsidR="008C22B8">
              <w:rPr>
                <w:color w:val="FAFAFA" w:themeColor="background1"/>
                <w:szCs w:val="24"/>
              </w:rPr>
              <w:t xml:space="preserve">As Australia considers the </w:t>
            </w:r>
            <w:r w:rsidR="005800B8">
              <w:rPr>
                <w:color w:val="FAFAFA" w:themeColor="background1"/>
                <w:szCs w:val="24"/>
              </w:rPr>
              <w:t xml:space="preserve">type of power systems it will need for the rest of </w:t>
            </w:r>
            <w:r w:rsidR="00D43499">
              <w:rPr>
                <w:color w:val="FAFAFA" w:themeColor="background1"/>
                <w:szCs w:val="24"/>
              </w:rPr>
              <w:t>21</w:t>
            </w:r>
            <w:r w:rsidR="00D43499" w:rsidRPr="00D43499">
              <w:rPr>
                <w:color w:val="FAFAFA" w:themeColor="background1"/>
                <w:szCs w:val="24"/>
                <w:vertAlign w:val="superscript"/>
              </w:rPr>
              <w:t>st</w:t>
            </w:r>
            <w:r w:rsidR="00D43499">
              <w:rPr>
                <w:color w:val="FAFAFA" w:themeColor="background1"/>
                <w:szCs w:val="24"/>
              </w:rPr>
              <w:t xml:space="preserve"> </w:t>
            </w:r>
            <w:r w:rsidR="005800B8">
              <w:rPr>
                <w:color w:val="FAFAFA" w:themeColor="background1"/>
                <w:szCs w:val="24"/>
              </w:rPr>
              <w:t xml:space="preserve">century, this </w:t>
            </w:r>
            <w:r w:rsidR="00191816">
              <w:rPr>
                <w:color w:val="FAFAFA" w:themeColor="background1"/>
                <w:szCs w:val="24"/>
              </w:rPr>
              <w:t xml:space="preserve">global meta-analysis of </w:t>
            </w:r>
            <w:r w:rsidR="00191816" w:rsidRPr="00DA4711">
              <w:rPr>
                <w:color w:val="FAFAFA" w:themeColor="background1"/>
                <w:szCs w:val="24"/>
              </w:rPr>
              <w:t>diverse customer and policymaker perspectives</w:t>
            </w:r>
            <w:r w:rsidR="00191816">
              <w:rPr>
                <w:color w:val="FAFAFA" w:themeColor="background1"/>
                <w:szCs w:val="24"/>
              </w:rPr>
              <w:t xml:space="preserve"> </w:t>
            </w:r>
            <w:r w:rsidR="00AE5272">
              <w:rPr>
                <w:color w:val="FAFAFA" w:themeColor="background1"/>
                <w:szCs w:val="24"/>
              </w:rPr>
              <w:t>identified</w:t>
            </w:r>
            <w:r w:rsidR="005800B8">
              <w:rPr>
                <w:color w:val="FAFAFA" w:themeColor="background1"/>
                <w:szCs w:val="24"/>
              </w:rPr>
              <w:t xml:space="preserve"> </w:t>
            </w:r>
            <w:r w:rsidR="002C75BC" w:rsidRPr="00DA4711">
              <w:rPr>
                <w:color w:val="FAFAFA" w:themeColor="background1"/>
                <w:szCs w:val="24"/>
              </w:rPr>
              <w:t xml:space="preserve">eight </w:t>
            </w:r>
            <w:r w:rsidR="00453ABD">
              <w:rPr>
                <w:color w:val="FAFAFA" w:themeColor="background1"/>
                <w:szCs w:val="24"/>
              </w:rPr>
              <w:t xml:space="preserve">future </w:t>
            </w:r>
            <w:r w:rsidR="002C75BC" w:rsidRPr="00DA4711">
              <w:rPr>
                <w:color w:val="FAFAFA" w:themeColor="background1"/>
                <w:szCs w:val="24"/>
              </w:rPr>
              <w:t>objectives</w:t>
            </w:r>
            <w:r w:rsidR="00552C1B">
              <w:rPr>
                <w:color w:val="FAFAFA" w:themeColor="background1"/>
                <w:szCs w:val="24"/>
              </w:rPr>
              <w:t xml:space="preserve">. </w:t>
            </w:r>
            <w:r w:rsidR="00552C1B" w:rsidRPr="00DA4711">
              <w:rPr>
                <w:color w:val="FAFAFA" w:themeColor="background1"/>
                <w:szCs w:val="24"/>
              </w:rPr>
              <w:t>While each jurisdictio</w:t>
            </w:r>
            <w:r w:rsidR="00552C1B">
              <w:rPr>
                <w:color w:val="FAFAFA" w:themeColor="background1"/>
                <w:szCs w:val="24"/>
              </w:rPr>
              <w:t>n</w:t>
            </w:r>
            <w:r w:rsidR="001E6C02">
              <w:rPr>
                <w:color w:val="FAFAFA" w:themeColor="background1"/>
                <w:szCs w:val="24"/>
              </w:rPr>
              <w:t xml:space="preserve"> – and each customer </w:t>
            </w:r>
            <w:r w:rsidR="00191816">
              <w:rPr>
                <w:color w:val="FAFAFA" w:themeColor="background1"/>
                <w:szCs w:val="24"/>
              </w:rPr>
              <w:t>–</w:t>
            </w:r>
            <w:r w:rsidR="001E6C02">
              <w:rPr>
                <w:color w:val="FAFAFA" w:themeColor="background1"/>
                <w:szCs w:val="24"/>
              </w:rPr>
              <w:t xml:space="preserve"> </w:t>
            </w:r>
            <w:r w:rsidR="00453ABD">
              <w:rPr>
                <w:color w:val="FAFAFA" w:themeColor="background1"/>
                <w:szCs w:val="24"/>
              </w:rPr>
              <w:t>will</w:t>
            </w:r>
            <w:r w:rsidR="00191816">
              <w:rPr>
                <w:color w:val="FAFAFA" w:themeColor="background1"/>
                <w:szCs w:val="24"/>
              </w:rPr>
              <w:t xml:space="preserve"> weight these differently</w:t>
            </w:r>
            <w:r w:rsidR="00552C1B">
              <w:rPr>
                <w:color w:val="FAFAFA" w:themeColor="background1"/>
                <w:szCs w:val="24"/>
              </w:rPr>
              <w:t xml:space="preserve">, </w:t>
            </w:r>
            <w:r w:rsidR="00191816">
              <w:rPr>
                <w:color w:val="FAFAFA" w:themeColor="background1"/>
                <w:szCs w:val="24"/>
              </w:rPr>
              <w:t xml:space="preserve">they </w:t>
            </w:r>
            <w:r w:rsidR="00724155">
              <w:rPr>
                <w:color w:val="FAFAFA" w:themeColor="background1"/>
                <w:szCs w:val="24"/>
              </w:rPr>
              <w:t xml:space="preserve">provide </w:t>
            </w:r>
            <w:r w:rsidR="001E6C02">
              <w:rPr>
                <w:color w:val="FAFAFA" w:themeColor="background1"/>
                <w:szCs w:val="24"/>
              </w:rPr>
              <w:t xml:space="preserve">valuable perspective on the </w:t>
            </w:r>
            <w:r w:rsidR="00FA120A">
              <w:rPr>
                <w:color w:val="FAFAFA" w:themeColor="background1"/>
                <w:szCs w:val="24"/>
              </w:rPr>
              <w:t>trade-off</w:t>
            </w:r>
            <w:r w:rsidR="00E0535A">
              <w:rPr>
                <w:color w:val="FAFAFA" w:themeColor="background1"/>
                <w:szCs w:val="24"/>
              </w:rPr>
              <w:t xml:space="preserve"> c</w:t>
            </w:r>
            <w:r w:rsidR="00FA120A">
              <w:rPr>
                <w:color w:val="FAFAFA" w:themeColor="background1"/>
                <w:szCs w:val="24"/>
              </w:rPr>
              <w:t xml:space="preserve">hoices </w:t>
            </w:r>
            <w:r w:rsidR="00E0535A">
              <w:rPr>
                <w:color w:val="FAFAFA" w:themeColor="background1"/>
                <w:szCs w:val="24"/>
              </w:rPr>
              <w:t xml:space="preserve">that </w:t>
            </w:r>
            <w:r w:rsidR="00E85041">
              <w:rPr>
                <w:color w:val="FAFAFA" w:themeColor="background1"/>
                <w:szCs w:val="24"/>
              </w:rPr>
              <w:t>will need to be c</w:t>
            </w:r>
            <w:r w:rsidR="00E0535A">
              <w:rPr>
                <w:color w:val="FAFAFA" w:themeColor="background1"/>
                <w:szCs w:val="24"/>
              </w:rPr>
              <w:t>ollectively weighed</w:t>
            </w:r>
            <w:r w:rsidR="000E3967">
              <w:rPr>
                <w:color w:val="FAFAFA" w:themeColor="background1"/>
                <w:szCs w:val="24"/>
              </w:rPr>
              <w:t xml:space="preserve"> </w:t>
            </w:r>
            <w:r w:rsidR="00C625A0">
              <w:rPr>
                <w:color w:val="FAFAFA" w:themeColor="background1"/>
                <w:szCs w:val="24"/>
              </w:rPr>
              <w:t>to achieve a</w:t>
            </w:r>
            <w:r w:rsidR="001B1D76">
              <w:rPr>
                <w:color w:val="FAFAFA" w:themeColor="background1"/>
                <w:szCs w:val="24"/>
              </w:rPr>
              <w:t xml:space="preserve"> ‘balanced scorecard’ of outcomes </w:t>
            </w:r>
            <w:r w:rsidR="00C625A0">
              <w:rPr>
                <w:color w:val="FAFAFA" w:themeColor="background1"/>
                <w:szCs w:val="24"/>
              </w:rPr>
              <w:t>for society</w:t>
            </w:r>
            <w:r w:rsidR="001B1D76">
              <w:rPr>
                <w:color w:val="FAFAFA" w:themeColor="background1"/>
                <w:szCs w:val="24"/>
              </w:rPr>
              <w:t xml:space="preserve">. </w:t>
            </w:r>
            <w:r w:rsidR="000E3967">
              <w:rPr>
                <w:color w:val="FAFAFA" w:themeColor="background1"/>
                <w:szCs w:val="24"/>
              </w:rPr>
              <w:t xml:space="preserve"> </w:t>
            </w:r>
          </w:p>
        </w:tc>
      </w:tr>
    </w:tbl>
    <w:p w14:paraId="4987EA0A" w14:textId="42327359" w:rsidR="004D4646" w:rsidRPr="001B1D76" w:rsidRDefault="004D4646" w:rsidP="001B1D76">
      <w:pPr>
        <w:spacing w:before="60" w:after="60" w:line="259" w:lineRule="auto"/>
        <w:rPr>
          <w:color w:val="013C4C" w:themeColor="text1"/>
          <w:sz w:val="56"/>
          <w:szCs w:val="160"/>
        </w:rPr>
      </w:pPr>
      <w:r w:rsidRPr="001B1D76">
        <w:rPr>
          <w:color w:val="013C4C" w:themeColor="text1"/>
          <w:sz w:val="56"/>
          <w:szCs w:val="160"/>
        </w:rPr>
        <w:tab/>
      </w:r>
      <w:r w:rsidRPr="001B1D76">
        <w:rPr>
          <w:color w:val="013C4C" w:themeColor="text1"/>
          <w:sz w:val="56"/>
          <w:szCs w:val="160"/>
        </w:rPr>
        <w:tab/>
        <w:t xml:space="preserve"> </w:t>
      </w:r>
    </w:p>
    <w:p w14:paraId="7E2A6150" w14:textId="77777777" w:rsidR="004D4646" w:rsidRPr="004D4646" w:rsidRDefault="004D4646" w:rsidP="004D4646">
      <w:pPr>
        <w:spacing w:before="60" w:after="60" w:line="259" w:lineRule="auto"/>
        <w:ind w:left="851" w:firstLine="590"/>
        <w:rPr>
          <w:color w:val="013C4C" w:themeColor="text1"/>
          <w:sz w:val="22"/>
          <w:szCs w:val="36"/>
        </w:rPr>
      </w:pPr>
    </w:p>
    <w:p w14:paraId="6059F759" w14:textId="77777777" w:rsidR="004D4646" w:rsidRDefault="004D4646" w:rsidP="004D4646">
      <w:pPr>
        <w:spacing w:before="0" w:after="0" w:line="259" w:lineRule="auto"/>
        <w:ind w:left="851" w:firstLine="590"/>
        <w:rPr>
          <w:i/>
          <w:iCs/>
          <w:color w:val="013C4C" w:themeColor="text1"/>
          <w:sz w:val="44"/>
          <w:szCs w:val="40"/>
        </w:rPr>
      </w:pPr>
    </w:p>
    <w:p w14:paraId="38DAE1AF" w14:textId="77777777" w:rsidR="00B224CE" w:rsidRPr="004D4646" w:rsidRDefault="00B224CE" w:rsidP="004D4646">
      <w:pPr>
        <w:spacing w:before="0" w:after="0" w:line="259" w:lineRule="auto"/>
        <w:ind w:left="851" w:firstLine="590"/>
        <w:rPr>
          <w:i/>
          <w:iCs/>
          <w:color w:val="013C4C" w:themeColor="text1"/>
          <w:sz w:val="44"/>
          <w:szCs w:val="40"/>
        </w:rPr>
      </w:pPr>
    </w:p>
    <w:p w14:paraId="7672FCC7" w14:textId="77777777" w:rsidR="004D4646" w:rsidRPr="004D4646" w:rsidRDefault="004D4646" w:rsidP="004D4646">
      <w:pPr>
        <w:spacing w:before="0" w:after="0" w:line="259" w:lineRule="auto"/>
        <w:ind w:left="851" w:firstLine="590"/>
        <w:rPr>
          <w:color w:val="013C4C" w:themeColor="text1"/>
          <w:sz w:val="22"/>
          <w:szCs w:val="36"/>
        </w:rPr>
      </w:pPr>
      <w:r w:rsidRPr="004D4646">
        <w:rPr>
          <w:color w:val="013C4C" w:themeColor="text1"/>
          <w:sz w:val="22"/>
          <w:szCs w:val="36"/>
        </w:rPr>
        <w:tab/>
      </w:r>
      <w:r w:rsidRPr="004D4646">
        <w:rPr>
          <w:color w:val="013C4C" w:themeColor="text1"/>
          <w:sz w:val="22"/>
          <w:szCs w:val="36"/>
        </w:rPr>
        <w:tab/>
        <w:t xml:space="preserve"> </w:t>
      </w:r>
      <w:r w:rsidRPr="004D4646">
        <w:rPr>
          <w:color w:val="013C4C" w:themeColor="text1"/>
          <w:sz w:val="22"/>
          <w:szCs w:val="36"/>
        </w:rPr>
        <w:tab/>
      </w:r>
      <w:r w:rsidRPr="004D4646">
        <w:rPr>
          <w:color w:val="013C4C" w:themeColor="text1"/>
          <w:sz w:val="22"/>
          <w:szCs w:val="36"/>
        </w:rPr>
        <w:tab/>
        <w:t xml:space="preserve"> </w:t>
      </w:r>
    </w:p>
    <w:p w14:paraId="34584A44" w14:textId="77777777" w:rsidR="004D4646" w:rsidRPr="004D4646" w:rsidRDefault="004D4646" w:rsidP="004D4646">
      <w:pPr>
        <w:spacing w:before="0" w:after="160" w:line="259" w:lineRule="auto"/>
        <w:ind w:left="-567"/>
        <w:jc w:val="center"/>
      </w:pPr>
    </w:p>
    <w:tbl>
      <w:tblPr>
        <w:tblStyle w:val="TableGrid"/>
        <w:tblW w:w="0" w:type="auto"/>
        <w:tblInd w:w="284" w:type="dxa"/>
        <w:tblBorders>
          <w:top w:val="none" w:sz="0" w:space="0" w:color="auto"/>
          <w:left w:val="none" w:sz="0" w:space="0" w:color="auto"/>
          <w:bottom w:val="none" w:sz="0" w:space="0" w:color="auto"/>
          <w:right w:val="none" w:sz="0" w:space="0" w:color="auto"/>
          <w:insideH w:val="single" w:sz="4" w:space="0" w:color="E7E6E6" w:themeColor="background2"/>
          <w:insideV w:val="single" w:sz="4" w:space="0" w:color="E7E6E6" w:themeColor="background2"/>
        </w:tblBorders>
        <w:shd w:val="clear" w:color="auto" w:fill="013C4C" w:themeFill="text1"/>
        <w:tblLook w:val="04A0" w:firstRow="1" w:lastRow="0" w:firstColumn="1" w:lastColumn="0" w:noHBand="0" w:noVBand="1"/>
      </w:tblPr>
      <w:tblGrid>
        <w:gridCol w:w="3543"/>
        <w:gridCol w:w="3544"/>
      </w:tblGrid>
      <w:tr w:rsidR="004D4646" w:rsidRPr="004D4646" w14:paraId="5A7AB2FB" w14:textId="77777777" w:rsidTr="006C17B6">
        <w:tc>
          <w:tcPr>
            <w:tcW w:w="7087" w:type="dxa"/>
            <w:gridSpan w:val="2"/>
            <w:shd w:val="clear" w:color="auto" w:fill="013C4C" w:themeFill="text1"/>
            <w:vAlign w:val="center"/>
          </w:tcPr>
          <w:p w14:paraId="3A25E2CD" w14:textId="77777777" w:rsidR="004D4646" w:rsidRPr="004D4646" w:rsidRDefault="004D4646" w:rsidP="004D4646">
            <w:pPr>
              <w:spacing w:before="120" w:after="120" w:line="259" w:lineRule="auto"/>
              <w:jc w:val="center"/>
              <w:rPr>
                <w:rFonts w:ascii="PP Mori SemiBold" w:hAnsi="PP Mori SemiBold"/>
                <w:color w:val="FAFAFA" w:themeColor="background1"/>
                <w:sz w:val="22"/>
                <w:szCs w:val="36"/>
              </w:rPr>
            </w:pPr>
            <w:r w:rsidRPr="004D4646">
              <w:rPr>
                <w:rFonts w:ascii="PP Mori SemiBold" w:hAnsi="PP Mori SemiBold"/>
                <w:color w:val="FAFAFA" w:themeColor="background1"/>
                <w:sz w:val="24"/>
                <w:szCs w:val="40"/>
              </w:rPr>
              <w:t>Report Development Team</w:t>
            </w:r>
          </w:p>
        </w:tc>
      </w:tr>
      <w:tr w:rsidR="004D4646" w:rsidRPr="004D4646" w14:paraId="5CA8FB35" w14:textId="77777777" w:rsidTr="00967DE6">
        <w:tc>
          <w:tcPr>
            <w:tcW w:w="3543" w:type="dxa"/>
            <w:shd w:val="clear" w:color="auto" w:fill="067296" w:themeFill="text2"/>
            <w:vAlign w:val="center"/>
          </w:tcPr>
          <w:p w14:paraId="30311F3A"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Lead Author</w:t>
            </w:r>
          </w:p>
        </w:tc>
        <w:tc>
          <w:tcPr>
            <w:tcW w:w="3544" w:type="dxa"/>
            <w:shd w:val="clear" w:color="auto" w:fill="067296" w:themeFill="text2"/>
            <w:vAlign w:val="center"/>
          </w:tcPr>
          <w:p w14:paraId="6787B7F4" w14:textId="00564643"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Matthew Bird</w:t>
            </w:r>
          </w:p>
        </w:tc>
      </w:tr>
      <w:tr w:rsidR="004D4646" w:rsidRPr="004D4646" w14:paraId="3D95A9CE" w14:textId="77777777" w:rsidTr="00967DE6">
        <w:tc>
          <w:tcPr>
            <w:tcW w:w="3543" w:type="dxa"/>
            <w:shd w:val="clear" w:color="auto" w:fill="067296" w:themeFill="text2"/>
            <w:vAlign w:val="center"/>
          </w:tcPr>
          <w:p w14:paraId="59BA0BDA"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Key Technical Advisor</w:t>
            </w:r>
          </w:p>
        </w:tc>
        <w:tc>
          <w:tcPr>
            <w:tcW w:w="3544" w:type="dxa"/>
            <w:shd w:val="clear" w:color="auto" w:fill="067296" w:themeFill="text2"/>
            <w:vAlign w:val="center"/>
          </w:tcPr>
          <w:p w14:paraId="51657DBD"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Dr Jeffrey Taft</w:t>
            </w:r>
          </w:p>
        </w:tc>
      </w:tr>
      <w:tr w:rsidR="004D4646" w:rsidRPr="004D4646" w14:paraId="1D2E0E0D" w14:textId="77777777" w:rsidTr="00967DE6">
        <w:tc>
          <w:tcPr>
            <w:tcW w:w="3543" w:type="dxa"/>
            <w:vMerge w:val="restart"/>
            <w:shd w:val="clear" w:color="auto" w:fill="067296" w:themeFill="text2"/>
            <w:vAlign w:val="center"/>
          </w:tcPr>
          <w:p w14:paraId="31A01E20"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Contributing Authors</w:t>
            </w:r>
          </w:p>
        </w:tc>
        <w:tc>
          <w:tcPr>
            <w:tcW w:w="3544" w:type="dxa"/>
            <w:shd w:val="clear" w:color="auto" w:fill="067296" w:themeFill="text2"/>
            <w:vAlign w:val="center"/>
          </w:tcPr>
          <w:p w14:paraId="66B086BE" w14:textId="0959BA85" w:rsidR="004D4646" w:rsidRPr="004D4646" w:rsidRDefault="00ED0C3D" w:rsidP="004D4646">
            <w:pPr>
              <w:spacing w:before="60" w:after="60" w:line="259" w:lineRule="auto"/>
              <w:jc w:val="center"/>
              <w:rPr>
                <w:color w:val="FAFAFA" w:themeColor="background1"/>
                <w:sz w:val="20"/>
                <w:szCs w:val="32"/>
              </w:rPr>
            </w:pPr>
            <w:r>
              <w:rPr>
                <w:color w:val="FAFAFA" w:themeColor="background1"/>
                <w:sz w:val="20"/>
                <w:szCs w:val="32"/>
              </w:rPr>
              <w:t>Mark Paterson</w:t>
            </w:r>
          </w:p>
        </w:tc>
      </w:tr>
      <w:tr w:rsidR="004D4646" w:rsidRPr="004D4646" w14:paraId="2F5E0B9B" w14:textId="77777777" w:rsidTr="00967DE6">
        <w:tc>
          <w:tcPr>
            <w:tcW w:w="3543" w:type="dxa"/>
            <w:vMerge/>
            <w:shd w:val="clear" w:color="auto" w:fill="067296" w:themeFill="text2"/>
            <w:vAlign w:val="center"/>
          </w:tcPr>
          <w:p w14:paraId="0ADDD933" w14:textId="77777777" w:rsidR="004D4646" w:rsidRPr="004D4646" w:rsidRDefault="004D4646" w:rsidP="004D4646">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7BE23026"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Thomas Prisk</w:t>
            </w:r>
          </w:p>
        </w:tc>
      </w:tr>
      <w:tr w:rsidR="004D4646" w:rsidRPr="004D4646" w14:paraId="1319C904" w14:textId="77777777" w:rsidTr="00967DE6">
        <w:tc>
          <w:tcPr>
            <w:tcW w:w="3543" w:type="dxa"/>
            <w:vMerge w:val="restart"/>
            <w:shd w:val="clear" w:color="auto" w:fill="067296" w:themeFill="text2"/>
            <w:vAlign w:val="center"/>
          </w:tcPr>
          <w:p w14:paraId="45EFFF11"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Support Staff</w:t>
            </w:r>
          </w:p>
        </w:tc>
        <w:tc>
          <w:tcPr>
            <w:tcW w:w="3544" w:type="dxa"/>
            <w:shd w:val="clear" w:color="auto" w:fill="067296" w:themeFill="text2"/>
            <w:vAlign w:val="center"/>
          </w:tcPr>
          <w:p w14:paraId="23190D23"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Eduardo Ariztia</w:t>
            </w:r>
          </w:p>
        </w:tc>
      </w:tr>
      <w:tr w:rsidR="004D4646" w:rsidRPr="004D4646" w14:paraId="49738C42" w14:textId="77777777" w:rsidTr="00967DE6">
        <w:tc>
          <w:tcPr>
            <w:tcW w:w="3543" w:type="dxa"/>
            <w:vMerge/>
            <w:shd w:val="clear" w:color="auto" w:fill="067296" w:themeFill="text2"/>
            <w:vAlign w:val="center"/>
          </w:tcPr>
          <w:p w14:paraId="5F415500" w14:textId="77777777" w:rsidR="004D4646" w:rsidRPr="004D4646" w:rsidRDefault="004D4646" w:rsidP="004D4646">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6866C3D4"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Jenny Mistry</w:t>
            </w:r>
          </w:p>
        </w:tc>
      </w:tr>
    </w:tbl>
    <w:p w14:paraId="208A8ECF" w14:textId="05E49B6E" w:rsidR="00BD3330" w:rsidRPr="00050A5B" w:rsidRDefault="00BD3330" w:rsidP="00BD3330">
      <w:pPr>
        <w:pStyle w:val="Heading1"/>
        <w:numPr>
          <w:ilvl w:val="0"/>
          <w:numId w:val="0"/>
        </w:numPr>
        <w:ind w:left="432" w:hanging="432"/>
        <w:rPr>
          <w:lang w:eastAsia="en-US" w:bidi="ar-SA"/>
        </w:rPr>
      </w:pPr>
      <w:bookmarkStart w:id="0" w:name="_Toc205536741"/>
      <w:r w:rsidRPr="00050A5B">
        <w:rPr>
          <w:lang w:eastAsia="en-US" w:bidi="ar-SA"/>
        </w:rPr>
        <w:lastRenderedPageBreak/>
        <w:t>Executive Summary</w:t>
      </w:r>
      <w:bookmarkEnd w:id="0"/>
    </w:p>
    <w:p w14:paraId="206A3167" w14:textId="577885DB" w:rsidR="005D79B9" w:rsidRPr="00166317" w:rsidRDefault="00BD3330" w:rsidP="00BD3330">
      <w:pPr>
        <w:rPr>
          <w:lang w:eastAsia="en-US" w:bidi="ar-SA"/>
        </w:rPr>
      </w:pPr>
      <w:r w:rsidRPr="00166317">
        <w:rPr>
          <w:lang w:eastAsia="en-US" w:bidi="ar-SA"/>
        </w:rPr>
        <w:t xml:space="preserve">This report identifies eight Future Customer and Societal Objectives </w:t>
      </w:r>
      <w:r w:rsidR="00C926DC" w:rsidRPr="00166317">
        <w:rPr>
          <w:lang w:eastAsia="en-US" w:bidi="ar-SA"/>
        </w:rPr>
        <w:t>derived from a metanalysis of</w:t>
      </w:r>
      <w:r w:rsidR="00500BD5" w:rsidRPr="00166317">
        <w:rPr>
          <w:lang w:eastAsia="en-US" w:bidi="ar-SA"/>
        </w:rPr>
        <w:t xml:space="preserve"> </w:t>
      </w:r>
      <w:r w:rsidR="000C7009" w:rsidRPr="00166317">
        <w:rPr>
          <w:lang w:eastAsia="en-US" w:bidi="ar-SA"/>
        </w:rPr>
        <w:t>diverse Australian and global sources.</w:t>
      </w:r>
      <w:r w:rsidR="00700CAA" w:rsidRPr="00166317">
        <w:rPr>
          <w:lang w:eastAsia="en-US" w:bidi="ar-SA"/>
        </w:rPr>
        <w:t xml:space="preserve">  While cu</w:t>
      </w:r>
      <w:r w:rsidR="00AC7A5E" w:rsidRPr="00166317">
        <w:rPr>
          <w:lang w:eastAsia="en-US" w:bidi="ar-SA"/>
        </w:rPr>
        <w:t>stomers and policy makers</w:t>
      </w:r>
      <w:r w:rsidR="00CF48F4" w:rsidRPr="00166317">
        <w:rPr>
          <w:lang w:eastAsia="en-US" w:bidi="ar-SA"/>
        </w:rPr>
        <w:t xml:space="preserve"> </w:t>
      </w:r>
      <w:r w:rsidR="00700CAA" w:rsidRPr="00166317">
        <w:rPr>
          <w:lang w:eastAsia="en-US" w:bidi="ar-SA"/>
        </w:rPr>
        <w:t xml:space="preserve">articulate a </w:t>
      </w:r>
      <w:r w:rsidR="00500BD5" w:rsidRPr="00166317">
        <w:rPr>
          <w:lang w:eastAsia="en-US" w:bidi="ar-SA"/>
        </w:rPr>
        <w:t xml:space="preserve">wide range of </w:t>
      </w:r>
      <w:r w:rsidR="00700CAA" w:rsidRPr="00166317">
        <w:rPr>
          <w:lang w:eastAsia="en-US" w:bidi="ar-SA"/>
        </w:rPr>
        <w:t>perspectives</w:t>
      </w:r>
      <w:r w:rsidR="00BF7EB7" w:rsidRPr="00166317">
        <w:rPr>
          <w:lang w:eastAsia="en-US" w:bidi="ar-SA"/>
        </w:rPr>
        <w:t xml:space="preserve">, </w:t>
      </w:r>
      <w:r w:rsidR="006157E5">
        <w:rPr>
          <w:lang w:eastAsia="en-US" w:bidi="ar-SA"/>
        </w:rPr>
        <w:t xml:space="preserve">often </w:t>
      </w:r>
      <w:r w:rsidR="00730373">
        <w:rPr>
          <w:lang w:eastAsia="en-US" w:bidi="ar-SA"/>
        </w:rPr>
        <w:t>using different language and points of emphasis,</w:t>
      </w:r>
      <w:r w:rsidR="00BF7EB7" w:rsidRPr="00166317">
        <w:rPr>
          <w:lang w:eastAsia="en-US" w:bidi="ar-SA"/>
        </w:rPr>
        <w:t xml:space="preserve"> the research </w:t>
      </w:r>
      <w:r w:rsidR="00F4000B">
        <w:rPr>
          <w:lang w:eastAsia="en-US" w:bidi="ar-SA"/>
        </w:rPr>
        <w:t>also</w:t>
      </w:r>
      <w:r w:rsidR="00BF7EB7" w:rsidRPr="00166317">
        <w:rPr>
          <w:lang w:eastAsia="en-US" w:bidi="ar-SA"/>
        </w:rPr>
        <w:t xml:space="preserve"> found a level of convergence on </w:t>
      </w:r>
      <w:r w:rsidR="005C2105" w:rsidRPr="00166317">
        <w:rPr>
          <w:lang w:eastAsia="en-US" w:bidi="ar-SA"/>
        </w:rPr>
        <w:t xml:space="preserve">the following </w:t>
      </w:r>
      <w:r w:rsidR="00553BB5" w:rsidRPr="00166317">
        <w:rPr>
          <w:lang w:eastAsia="en-US" w:bidi="ar-SA"/>
        </w:rPr>
        <w:t>desirable attributes: D</w:t>
      </w:r>
      <w:r w:rsidRPr="00166317">
        <w:rPr>
          <w:lang w:eastAsia="en-US" w:bidi="ar-SA"/>
        </w:rPr>
        <w:t xml:space="preserve">ependable, Affordable, Sustainable, Equitable, Empowering, Expandable, Adaptable, and Beneficial. </w:t>
      </w:r>
    </w:p>
    <w:p w14:paraId="7E954D8C" w14:textId="31BF2F40" w:rsidR="00BD3330" w:rsidRPr="00166317" w:rsidRDefault="005D79B9" w:rsidP="003F71F4">
      <w:pPr>
        <w:spacing w:after="360"/>
        <w:rPr>
          <w:lang w:eastAsia="en-US" w:bidi="ar-SA"/>
        </w:rPr>
      </w:pPr>
      <w:r w:rsidRPr="00166317">
        <w:rPr>
          <w:lang w:eastAsia="en-US" w:bidi="ar-SA"/>
        </w:rPr>
        <w:t xml:space="preserve">While there are commonalities with </w:t>
      </w:r>
      <w:r w:rsidR="003F71F4">
        <w:rPr>
          <w:lang w:eastAsia="en-US" w:bidi="ar-SA"/>
        </w:rPr>
        <w:t xml:space="preserve">some </w:t>
      </w:r>
      <w:r w:rsidR="009B5E8D" w:rsidRPr="00166317">
        <w:rPr>
          <w:lang w:eastAsia="en-US" w:bidi="ar-SA"/>
        </w:rPr>
        <w:t xml:space="preserve">more </w:t>
      </w:r>
      <w:r w:rsidRPr="00166317">
        <w:rPr>
          <w:lang w:eastAsia="en-US" w:bidi="ar-SA"/>
        </w:rPr>
        <w:t>traditional</w:t>
      </w:r>
      <w:r w:rsidR="009B5E8D" w:rsidRPr="00166317">
        <w:rPr>
          <w:lang w:eastAsia="en-US" w:bidi="ar-SA"/>
        </w:rPr>
        <w:t xml:space="preserve"> power system objectives of the last century, for example as expressed in Australia’s National Electricity Objective (NEO), the </w:t>
      </w:r>
      <w:r w:rsidR="00AB13EC" w:rsidRPr="00166317">
        <w:rPr>
          <w:lang w:eastAsia="en-US" w:bidi="ar-SA"/>
        </w:rPr>
        <w:t xml:space="preserve">expanded set of </w:t>
      </w:r>
      <w:r w:rsidR="0054441B" w:rsidRPr="00166317">
        <w:rPr>
          <w:lang w:eastAsia="en-US" w:bidi="ar-SA"/>
        </w:rPr>
        <w:t xml:space="preserve">eight </w:t>
      </w:r>
      <w:r w:rsidR="00BD3330" w:rsidRPr="00166317">
        <w:rPr>
          <w:lang w:eastAsia="en-US" w:bidi="ar-SA"/>
        </w:rPr>
        <w:t xml:space="preserve">objectives reflect a clear shift </w:t>
      </w:r>
      <w:r w:rsidR="0054441B" w:rsidRPr="00166317">
        <w:rPr>
          <w:lang w:eastAsia="en-US" w:bidi="ar-SA"/>
        </w:rPr>
        <w:t xml:space="preserve">away from </w:t>
      </w:r>
      <w:r w:rsidR="00BD3330" w:rsidRPr="00166317">
        <w:rPr>
          <w:lang w:eastAsia="en-US" w:bidi="ar-SA"/>
        </w:rPr>
        <w:t xml:space="preserve">assumptions of passive energy consumption toward a more </w:t>
      </w:r>
      <w:r w:rsidR="0054441B" w:rsidRPr="00166317">
        <w:rPr>
          <w:lang w:eastAsia="en-US" w:bidi="ar-SA"/>
        </w:rPr>
        <w:t xml:space="preserve">engaged and </w:t>
      </w:r>
      <w:r w:rsidR="00BD3330" w:rsidRPr="00166317">
        <w:rPr>
          <w:lang w:eastAsia="en-US" w:bidi="ar-SA"/>
        </w:rPr>
        <w:t xml:space="preserve">participatory energy future. </w:t>
      </w:r>
    </w:p>
    <w:p w14:paraId="2AFDA736" w14:textId="77777777" w:rsidR="00A81469" w:rsidRDefault="00A81469" w:rsidP="00A81469">
      <w:pPr>
        <w:spacing w:after="0" w:line="264" w:lineRule="auto"/>
        <w:jc w:val="center"/>
        <w:rPr>
          <w:lang w:eastAsia="en-US" w:bidi="ar-SA"/>
        </w:rPr>
      </w:pPr>
      <w:r>
        <w:rPr>
          <w:noProof/>
          <w:lang w:eastAsia="en-US" w:bidi="ar-SA"/>
        </w:rPr>
        <w:drawing>
          <wp:inline distT="0" distB="0" distL="0" distR="0" wp14:anchorId="2A3E19D6" wp14:editId="1B922FDC">
            <wp:extent cx="5012366" cy="3162300"/>
            <wp:effectExtent l="0" t="0" r="0" b="0"/>
            <wp:docPr id="118262822" name="Picture 1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2822" name="Picture 19" descr="A diagram of a diagram&#10;&#10;AI-generated content may be incorrect."/>
                    <pic:cNvPicPr/>
                  </pic:nvPicPr>
                  <pic:blipFill rotWithShape="1">
                    <a:blip r:embed="rId14" cstate="print">
                      <a:extLst>
                        <a:ext uri="{28A0092B-C50C-407E-A947-70E740481C1C}">
                          <a14:useLocalDpi xmlns:a14="http://schemas.microsoft.com/office/drawing/2010/main" val="0"/>
                        </a:ext>
                      </a:extLst>
                    </a:blip>
                    <a:srcRect l="3318" r="2428"/>
                    <a:stretch/>
                  </pic:blipFill>
                  <pic:spPr bwMode="auto">
                    <a:xfrm>
                      <a:off x="0" y="0"/>
                      <a:ext cx="5081773" cy="3206089"/>
                    </a:xfrm>
                    <a:prstGeom prst="rect">
                      <a:avLst/>
                    </a:prstGeom>
                    <a:ln>
                      <a:noFill/>
                    </a:ln>
                    <a:extLst>
                      <a:ext uri="{53640926-AAD7-44D8-BBD7-CCE9431645EC}">
                        <a14:shadowObscured xmlns:a14="http://schemas.microsoft.com/office/drawing/2010/main"/>
                      </a:ext>
                    </a:extLst>
                  </pic:spPr>
                </pic:pic>
              </a:graphicData>
            </a:graphic>
          </wp:inline>
        </w:drawing>
      </w:r>
    </w:p>
    <w:p w14:paraId="60049111" w14:textId="50634FC4" w:rsidR="00A81469" w:rsidRPr="000F259C" w:rsidRDefault="00A81469" w:rsidP="00A81469">
      <w:pPr>
        <w:snapToGrid w:val="0"/>
        <w:spacing w:before="120" w:line="264" w:lineRule="auto"/>
        <w:ind w:left="284" w:right="567"/>
        <w:jc w:val="center"/>
        <w:rPr>
          <w:i/>
          <w:iCs/>
          <w:color w:val="013C4C" w:themeColor="text1"/>
        </w:rPr>
      </w:pPr>
      <w:r>
        <w:rPr>
          <w:i/>
          <w:iCs/>
          <w:color w:val="013C4C" w:themeColor="text1"/>
        </w:rPr>
        <w:t xml:space="preserve">A proactive, human-centred approach to </w:t>
      </w:r>
      <w:r w:rsidR="005A141F">
        <w:rPr>
          <w:i/>
          <w:iCs/>
          <w:color w:val="013C4C" w:themeColor="text1"/>
        </w:rPr>
        <w:t xml:space="preserve">transition design for Australia’s grids has the potential to deliver a more balanced scorecard of outcomes for all customers. </w:t>
      </w:r>
    </w:p>
    <w:p w14:paraId="3D160B91" w14:textId="77777777" w:rsidR="0088278A" w:rsidRPr="00166317" w:rsidRDefault="00BD3330" w:rsidP="00BD3330">
      <w:pPr>
        <w:rPr>
          <w:lang w:eastAsia="en-US" w:bidi="ar-SA"/>
        </w:rPr>
      </w:pPr>
      <w:r w:rsidRPr="00166317">
        <w:rPr>
          <w:lang w:eastAsia="en-US" w:bidi="ar-SA"/>
        </w:rPr>
        <w:t>The eight objectives were derived from a synthesis of over 50 sources across academia, industry and customer advocates</w:t>
      </w:r>
      <w:r w:rsidR="00270AD2" w:rsidRPr="00166317">
        <w:rPr>
          <w:lang w:eastAsia="en-US" w:bidi="ar-SA"/>
        </w:rPr>
        <w:t xml:space="preserve"> to </w:t>
      </w:r>
      <w:r w:rsidR="007B0254" w:rsidRPr="00166317">
        <w:rPr>
          <w:lang w:eastAsia="en-US" w:bidi="ar-SA"/>
        </w:rPr>
        <w:t xml:space="preserve">ensure the </w:t>
      </w:r>
      <w:r w:rsidR="00BC35A9" w:rsidRPr="00166317">
        <w:rPr>
          <w:lang w:eastAsia="en-US" w:bidi="ar-SA"/>
        </w:rPr>
        <w:t xml:space="preserve">consideration of </w:t>
      </w:r>
      <w:r w:rsidR="00395EA2" w:rsidRPr="00166317">
        <w:rPr>
          <w:lang w:eastAsia="en-US" w:bidi="ar-SA"/>
        </w:rPr>
        <w:t xml:space="preserve">Australia grid transformation pathways was grounded </w:t>
      </w:r>
      <w:r w:rsidR="00D73FDD" w:rsidRPr="00166317">
        <w:rPr>
          <w:lang w:eastAsia="en-US" w:bidi="ar-SA"/>
        </w:rPr>
        <w:t xml:space="preserve">in a strong focus </w:t>
      </w:r>
      <w:r w:rsidR="001E0B7E" w:rsidRPr="00166317">
        <w:rPr>
          <w:lang w:eastAsia="en-US" w:bidi="ar-SA"/>
        </w:rPr>
        <w:t xml:space="preserve">on </w:t>
      </w:r>
      <w:r w:rsidR="003C5118" w:rsidRPr="00166317">
        <w:rPr>
          <w:lang w:eastAsia="en-US" w:bidi="ar-SA"/>
        </w:rPr>
        <w:t xml:space="preserve">the </w:t>
      </w:r>
      <w:r w:rsidR="007E36AA" w:rsidRPr="00166317">
        <w:rPr>
          <w:lang w:eastAsia="en-US" w:bidi="ar-SA"/>
        </w:rPr>
        <w:t xml:space="preserve">people that the system exists to serve. </w:t>
      </w:r>
      <w:r w:rsidR="00AE1FC5" w:rsidRPr="00166317">
        <w:rPr>
          <w:lang w:eastAsia="en-US" w:bidi="ar-SA"/>
        </w:rPr>
        <w:t>And increasingly</w:t>
      </w:r>
      <w:r w:rsidR="004D4D03" w:rsidRPr="00166317">
        <w:rPr>
          <w:lang w:eastAsia="en-US" w:bidi="ar-SA"/>
        </w:rPr>
        <w:t xml:space="preserve">, as </w:t>
      </w:r>
      <w:r w:rsidR="00761539" w:rsidRPr="00166317">
        <w:rPr>
          <w:lang w:eastAsia="en-US" w:bidi="ar-SA"/>
        </w:rPr>
        <w:t xml:space="preserve">many </w:t>
      </w:r>
      <w:r w:rsidR="004D4D03" w:rsidRPr="00166317">
        <w:rPr>
          <w:lang w:eastAsia="en-US" w:bidi="ar-SA"/>
        </w:rPr>
        <w:t>custo</w:t>
      </w:r>
      <w:r w:rsidR="00761539" w:rsidRPr="00166317">
        <w:rPr>
          <w:lang w:eastAsia="en-US" w:bidi="ar-SA"/>
        </w:rPr>
        <w:t>mers enjoy greater optional</w:t>
      </w:r>
      <w:r w:rsidR="00BC2A7F" w:rsidRPr="00166317">
        <w:rPr>
          <w:lang w:eastAsia="en-US" w:bidi="ar-SA"/>
        </w:rPr>
        <w:t xml:space="preserve">ity </w:t>
      </w:r>
      <w:r w:rsidR="0088278A" w:rsidRPr="00166317">
        <w:rPr>
          <w:lang w:eastAsia="en-US" w:bidi="ar-SA"/>
        </w:rPr>
        <w:t xml:space="preserve">– </w:t>
      </w:r>
      <w:r w:rsidR="00761539" w:rsidRPr="00166317">
        <w:rPr>
          <w:lang w:eastAsia="en-US" w:bidi="ar-SA"/>
        </w:rPr>
        <w:t xml:space="preserve">and even the </w:t>
      </w:r>
      <w:r w:rsidR="00E20DF6" w:rsidRPr="00166317">
        <w:rPr>
          <w:lang w:eastAsia="en-US" w:bidi="ar-SA"/>
        </w:rPr>
        <w:t xml:space="preserve">prospect, no matter how remote, </w:t>
      </w:r>
      <w:r w:rsidR="00761539" w:rsidRPr="00166317">
        <w:rPr>
          <w:lang w:eastAsia="en-US" w:bidi="ar-SA"/>
        </w:rPr>
        <w:t>of ‘leaving the grid’</w:t>
      </w:r>
      <w:r w:rsidR="0088278A" w:rsidRPr="00166317">
        <w:rPr>
          <w:lang w:eastAsia="en-US" w:bidi="ar-SA"/>
        </w:rPr>
        <w:t xml:space="preserve"> – </w:t>
      </w:r>
      <w:r w:rsidR="00CA449F" w:rsidRPr="00166317">
        <w:rPr>
          <w:lang w:eastAsia="en-US" w:bidi="ar-SA"/>
        </w:rPr>
        <w:t xml:space="preserve">there is a sense that </w:t>
      </w:r>
      <w:r w:rsidR="006E1171" w:rsidRPr="00166317">
        <w:rPr>
          <w:lang w:eastAsia="en-US" w:bidi="ar-SA"/>
        </w:rPr>
        <w:t xml:space="preserve">after 100-years of </w:t>
      </w:r>
      <w:r w:rsidR="00AA5A51" w:rsidRPr="00166317">
        <w:rPr>
          <w:lang w:eastAsia="en-US" w:bidi="ar-SA"/>
        </w:rPr>
        <w:t>unchallenged dominance</w:t>
      </w:r>
      <w:r w:rsidR="006F2A6E" w:rsidRPr="00166317">
        <w:rPr>
          <w:lang w:eastAsia="en-US" w:bidi="ar-SA"/>
        </w:rPr>
        <w:t xml:space="preserve"> that t</w:t>
      </w:r>
      <w:r w:rsidR="00A80E5C" w:rsidRPr="00166317">
        <w:rPr>
          <w:lang w:eastAsia="en-US" w:bidi="ar-SA"/>
        </w:rPr>
        <w:t xml:space="preserve">he sector </w:t>
      </w:r>
      <w:r w:rsidR="006F2A6E" w:rsidRPr="00166317">
        <w:rPr>
          <w:lang w:eastAsia="en-US" w:bidi="ar-SA"/>
        </w:rPr>
        <w:t>may</w:t>
      </w:r>
      <w:r w:rsidR="00A80E5C" w:rsidRPr="00166317">
        <w:rPr>
          <w:lang w:eastAsia="en-US" w:bidi="ar-SA"/>
        </w:rPr>
        <w:t xml:space="preserve"> </w:t>
      </w:r>
      <w:r w:rsidR="006F2A6E" w:rsidRPr="00166317">
        <w:rPr>
          <w:lang w:eastAsia="en-US" w:bidi="ar-SA"/>
        </w:rPr>
        <w:t xml:space="preserve">now </w:t>
      </w:r>
      <w:r w:rsidR="00CE1CF3" w:rsidRPr="00166317">
        <w:rPr>
          <w:lang w:eastAsia="en-US" w:bidi="ar-SA"/>
        </w:rPr>
        <w:t xml:space="preserve">be witnessing the </w:t>
      </w:r>
      <w:r w:rsidR="007C07AC" w:rsidRPr="00166317">
        <w:rPr>
          <w:lang w:eastAsia="en-US" w:bidi="ar-SA"/>
        </w:rPr>
        <w:t xml:space="preserve">gradual maturing </w:t>
      </w:r>
      <w:r w:rsidR="006F2A6E" w:rsidRPr="00166317">
        <w:rPr>
          <w:lang w:eastAsia="en-US" w:bidi="ar-SA"/>
        </w:rPr>
        <w:t xml:space="preserve">of </w:t>
      </w:r>
      <w:r w:rsidR="00823641" w:rsidRPr="00166317">
        <w:rPr>
          <w:lang w:eastAsia="en-US" w:bidi="ar-SA"/>
        </w:rPr>
        <w:t xml:space="preserve">‘product substitution’ risk. </w:t>
      </w:r>
    </w:p>
    <w:p w14:paraId="40CCF676" w14:textId="5306937E" w:rsidR="00BD3330" w:rsidRPr="00166317" w:rsidRDefault="00BD3330" w:rsidP="00BD3330">
      <w:pPr>
        <w:rPr>
          <w:lang w:eastAsia="en-US" w:bidi="ar-SA"/>
        </w:rPr>
      </w:pPr>
      <w:r w:rsidRPr="00166317">
        <w:rPr>
          <w:lang w:eastAsia="en-US" w:bidi="ar-SA"/>
        </w:rPr>
        <w:t>T</w:t>
      </w:r>
      <w:r w:rsidR="00BA4F45" w:rsidRPr="00166317">
        <w:rPr>
          <w:lang w:eastAsia="en-US" w:bidi="ar-SA"/>
        </w:rPr>
        <w:t xml:space="preserve">hese </w:t>
      </w:r>
      <w:r w:rsidRPr="00166317">
        <w:rPr>
          <w:lang w:eastAsia="en-US" w:bidi="ar-SA"/>
        </w:rPr>
        <w:t>shift</w:t>
      </w:r>
      <w:r w:rsidR="00BA4F45" w:rsidRPr="00166317">
        <w:rPr>
          <w:lang w:eastAsia="en-US" w:bidi="ar-SA"/>
        </w:rPr>
        <w:t>s</w:t>
      </w:r>
      <w:r w:rsidRPr="00166317">
        <w:rPr>
          <w:lang w:eastAsia="en-US" w:bidi="ar-SA"/>
        </w:rPr>
        <w:t xml:space="preserve"> demand</w:t>
      </w:r>
      <w:r w:rsidR="00B91A3A" w:rsidRPr="00166317">
        <w:rPr>
          <w:lang w:eastAsia="en-US" w:bidi="ar-SA"/>
        </w:rPr>
        <w:t xml:space="preserve"> foresight </w:t>
      </w:r>
      <w:r w:rsidR="00AD6978" w:rsidRPr="00166317">
        <w:rPr>
          <w:lang w:eastAsia="en-US" w:bidi="ar-SA"/>
        </w:rPr>
        <w:t xml:space="preserve">and realism </w:t>
      </w:r>
      <w:r w:rsidR="00EF50D2" w:rsidRPr="00166317">
        <w:rPr>
          <w:lang w:eastAsia="en-US" w:bidi="ar-SA"/>
        </w:rPr>
        <w:t xml:space="preserve">about the type of power system Australia needs </w:t>
      </w:r>
      <w:r w:rsidR="004C725B" w:rsidRPr="00166317">
        <w:rPr>
          <w:lang w:eastAsia="en-US" w:bidi="ar-SA"/>
        </w:rPr>
        <w:t xml:space="preserve">to develop over the next </w:t>
      </w:r>
      <w:r w:rsidR="00FC0FE3" w:rsidRPr="00166317">
        <w:rPr>
          <w:lang w:eastAsia="en-US" w:bidi="ar-SA"/>
        </w:rPr>
        <w:t>decade</w:t>
      </w:r>
      <w:r w:rsidR="004E0F41" w:rsidRPr="00166317">
        <w:rPr>
          <w:lang w:eastAsia="en-US" w:bidi="ar-SA"/>
        </w:rPr>
        <w:t xml:space="preserve">, namely one that </w:t>
      </w:r>
      <w:r w:rsidRPr="00166317">
        <w:rPr>
          <w:lang w:eastAsia="en-US" w:bidi="ar-SA"/>
        </w:rPr>
        <w:t xml:space="preserve">embraces flexibility, </w:t>
      </w:r>
      <w:proofErr w:type="gramStart"/>
      <w:r w:rsidR="005108D2" w:rsidRPr="00166317">
        <w:rPr>
          <w:lang w:eastAsia="en-US" w:bidi="ar-SA"/>
        </w:rPr>
        <w:t>mutually-beneficial</w:t>
      </w:r>
      <w:proofErr w:type="gramEnd"/>
      <w:r w:rsidR="005108D2" w:rsidRPr="00166317">
        <w:rPr>
          <w:lang w:eastAsia="en-US" w:bidi="ar-SA"/>
        </w:rPr>
        <w:t xml:space="preserve"> participation and </w:t>
      </w:r>
      <w:r w:rsidRPr="00166317">
        <w:rPr>
          <w:lang w:eastAsia="en-US" w:bidi="ar-SA"/>
        </w:rPr>
        <w:t xml:space="preserve">more inclusive governance. While the report does not prescribe specific reforms, </w:t>
      </w:r>
      <w:r w:rsidR="00971931" w:rsidRPr="00166317">
        <w:rPr>
          <w:lang w:eastAsia="en-US" w:bidi="ar-SA"/>
        </w:rPr>
        <w:t xml:space="preserve">it does </w:t>
      </w:r>
      <w:r w:rsidRPr="00166317">
        <w:rPr>
          <w:lang w:eastAsia="en-US" w:bidi="ar-SA"/>
        </w:rPr>
        <w:t>provide a practical framework to guide system actors in navigating competing priorities, stakeholder expectations, and emerging customer and societal risks.</w:t>
      </w:r>
    </w:p>
    <w:p w14:paraId="1217D76D" w14:textId="138579E9" w:rsidR="00BD3330" w:rsidRPr="00EC3706" w:rsidRDefault="00BD3330" w:rsidP="00BD3330">
      <w:pPr>
        <w:rPr>
          <w:lang w:eastAsia="en-US" w:bidi="ar-SA"/>
        </w:rPr>
      </w:pPr>
      <w:r w:rsidRPr="00EC3706">
        <w:rPr>
          <w:lang w:eastAsia="en-US" w:bidi="ar-SA"/>
        </w:rPr>
        <w:t xml:space="preserve">The report is structured to build a logical and contextual foundation before presenting its core findings. </w:t>
      </w:r>
      <w:hyperlink w:anchor="Ch_1" w:history="1">
        <w:r w:rsidR="00166317" w:rsidRPr="00EC3706">
          <w:rPr>
            <w:rStyle w:val="Hyperlink"/>
            <w:lang w:eastAsia="en-US" w:bidi="ar-SA"/>
          </w:rPr>
          <w:t xml:space="preserve">Chapter </w:t>
        </w:r>
        <w:r w:rsidRPr="00EC3706">
          <w:rPr>
            <w:rStyle w:val="Hyperlink"/>
            <w:lang w:eastAsia="en-US" w:bidi="ar-SA"/>
          </w:rPr>
          <w:t>1</w:t>
        </w:r>
      </w:hyperlink>
      <w:r w:rsidRPr="00EC3706">
        <w:rPr>
          <w:lang w:eastAsia="en-US" w:bidi="ar-SA"/>
        </w:rPr>
        <w:t xml:space="preserve"> sets out the purpose, context, and rationale, explaining that power systems must increasingly reflect evolving societal values and customer needs. </w:t>
      </w:r>
      <w:hyperlink w:anchor="S_2_RepDevelopAppLimit" w:history="1">
        <w:r w:rsidR="00166317" w:rsidRPr="00EC3706">
          <w:rPr>
            <w:rStyle w:val="Hyperlink"/>
            <w:lang w:eastAsia="en-US" w:bidi="ar-SA"/>
          </w:rPr>
          <w:t>Chapter</w:t>
        </w:r>
        <w:r w:rsidRPr="00EC3706">
          <w:rPr>
            <w:rStyle w:val="Hyperlink"/>
            <w:lang w:eastAsia="en-US" w:bidi="ar-SA"/>
          </w:rPr>
          <w:t xml:space="preserve"> 2</w:t>
        </w:r>
      </w:hyperlink>
      <w:r w:rsidRPr="00EC3706">
        <w:rPr>
          <w:lang w:eastAsia="en-US" w:bidi="ar-SA"/>
        </w:rPr>
        <w:t xml:space="preserve"> describes the report’s </w:t>
      </w:r>
      <w:r w:rsidRPr="00EC3706">
        <w:t>development approach and wide-ranging literature review</w:t>
      </w:r>
      <w:r w:rsidRPr="00EC3706">
        <w:rPr>
          <w:lang w:eastAsia="en-US" w:bidi="ar-SA"/>
        </w:rPr>
        <w:t>,</w:t>
      </w:r>
      <w:r w:rsidRPr="00EC3706">
        <w:t xml:space="preserve"> and </w:t>
      </w:r>
      <w:hyperlink w:anchor="Ch_3" w:history="1">
        <w:r w:rsidR="00166317" w:rsidRPr="00EC3706">
          <w:rPr>
            <w:rStyle w:val="Hyperlink"/>
            <w:lang w:eastAsia="en-US" w:bidi="ar-SA"/>
          </w:rPr>
          <w:t>Chapter</w:t>
        </w:r>
        <w:r w:rsidRPr="00EC3706">
          <w:rPr>
            <w:rStyle w:val="Hyperlink"/>
            <w:lang w:eastAsia="en-US" w:bidi="ar-SA"/>
          </w:rPr>
          <w:t xml:space="preserve"> 3</w:t>
        </w:r>
      </w:hyperlink>
      <w:r w:rsidRPr="00EC3706">
        <w:rPr>
          <w:lang w:eastAsia="en-US" w:bidi="ar-SA"/>
        </w:rPr>
        <w:t xml:space="preserve"> </w:t>
      </w:r>
      <w:r w:rsidRPr="00EC3706">
        <w:t xml:space="preserve">the </w:t>
      </w:r>
      <w:r w:rsidRPr="00EC3706">
        <w:rPr>
          <w:lang w:eastAsia="en-US" w:bidi="ar-SA"/>
        </w:rPr>
        <w:t xml:space="preserve">introduces the eight Future Customer and Societal Objectives, each framed as essential design considerations. </w:t>
      </w:r>
      <w:hyperlink w:anchor="Ch_4" w:history="1">
        <w:r w:rsidR="00166317" w:rsidRPr="00EC3706">
          <w:rPr>
            <w:rStyle w:val="Hyperlink"/>
            <w:lang w:eastAsia="en-US" w:bidi="ar-SA"/>
          </w:rPr>
          <w:t>Chapter</w:t>
        </w:r>
        <w:r w:rsidRPr="00EC3706">
          <w:rPr>
            <w:rStyle w:val="Hyperlink"/>
            <w:lang w:eastAsia="en-US" w:bidi="ar-SA"/>
          </w:rPr>
          <w:t xml:space="preserve"> 4</w:t>
        </w:r>
      </w:hyperlink>
      <w:r w:rsidRPr="00EC3706">
        <w:rPr>
          <w:lang w:eastAsia="en-US" w:bidi="ar-SA"/>
        </w:rPr>
        <w:t xml:space="preserve"> explores how trust and social licence intersect with these objectives, positioning them as preconditions for participation and </w:t>
      </w:r>
      <w:r w:rsidRPr="00EC3706">
        <w:t xml:space="preserve">power system </w:t>
      </w:r>
      <w:r w:rsidRPr="00EC3706">
        <w:rPr>
          <w:lang w:eastAsia="en-US" w:bidi="ar-SA"/>
        </w:rPr>
        <w:t xml:space="preserve">legitimacy. Finally, </w:t>
      </w:r>
      <w:hyperlink w:anchor="Ch_5" w:history="1">
        <w:r w:rsidR="00166317" w:rsidRPr="00EC3706">
          <w:rPr>
            <w:rStyle w:val="Hyperlink"/>
            <w:lang w:eastAsia="en-US" w:bidi="ar-SA"/>
          </w:rPr>
          <w:t>Chapter</w:t>
        </w:r>
        <w:r w:rsidRPr="00EC3706">
          <w:rPr>
            <w:rStyle w:val="Hyperlink"/>
            <w:lang w:eastAsia="en-US" w:bidi="ar-SA"/>
          </w:rPr>
          <w:t xml:space="preserve"> 5</w:t>
        </w:r>
      </w:hyperlink>
      <w:r w:rsidRPr="00EC3706">
        <w:rPr>
          <w:lang w:eastAsia="en-US" w:bidi="ar-SA"/>
        </w:rPr>
        <w:t xml:space="preserve"> discusses the role of system design in managing trade-offs between competing objectives, emphasising the need for </w:t>
      </w:r>
      <w:r w:rsidR="000C17C6" w:rsidRPr="00EC3706">
        <w:rPr>
          <w:lang w:eastAsia="en-US" w:bidi="ar-SA"/>
        </w:rPr>
        <w:t>strategic</w:t>
      </w:r>
      <w:r w:rsidRPr="00EC3706">
        <w:rPr>
          <w:lang w:eastAsia="en-US" w:bidi="ar-SA"/>
        </w:rPr>
        <w:t xml:space="preserve"> foresight</w:t>
      </w:r>
      <w:r w:rsidR="00B96C3D" w:rsidRPr="00EC3706">
        <w:rPr>
          <w:lang w:eastAsia="en-US" w:bidi="ar-SA"/>
        </w:rPr>
        <w:t xml:space="preserve"> and a genuinely human-centred orientation. </w:t>
      </w:r>
      <w:r w:rsidRPr="00EC3706">
        <w:rPr>
          <w:lang w:eastAsia="en-US" w:bidi="ar-SA"/>
        </w:rPr>
        <w:t xml:space="preserve"> </w:t>
      </w:r>
    </w:p>
    <w:p w14:paraId="3629906A" w14:textId="3CC8D7E2" w:rsidR="00BD3330" w:rsidRDefault="00B96C3D" w:rsidP="00813218">
      <w:pPr>
        <w:rPr>
          <w:rStyle w:val="IntenseEmphasis"/>
          <w:szCs w:val="18"/>
        </w:rPr>
      </w:pPr>
      <w:r w:rsidRPr="00EC3706">
        <w:rPr>
          <w:lang w:eastAsia="en-US" w:bidi="ar-SA"/>
        </w:rPr>
        <w:t>In summary, the eight</w:t>
      </w:r>
      <w:r w:rsidR="00BD3330" w:rsidRPr="00EC3706">
        <w:rPr>
          <w:lang w:eastAsia="en-US" w:bidi="ar-SA"/>
        </w:rPr>
        <w:t xml:space="preserve"> objectives offer a ‘first principles’ lens through which future trade-offs and investments </w:t>
      </w:r>
      <w:r w:rsidR="006941C5" w:rsidRPr="00EC3706">
        <w:rPr>
          <w:lang w:eastAsia="en-US" w:bidi="ar-SA"/>
        </w:rPr>
        <w:t>may</w:t>
      </w:r>
      <w:r w:rsidR="00BD3330" w:rsidRPr="00EC3706">
        <w:rPr>
          <w:lang w:eastAsia="en-US" w:bidi="ar-SA"/>
        </w:rPr>
        <w:t xml:space="preserve"> be evaluated. They represent both an opportunity and a responsibility: to ensure that the energy transition remains grounded in the lived experience of consumers and aligned with broader societal values.</w:t>
      </w:r>
      <w:r w:rsidR="00BD3330">
        <w:rPr>
          <w:lang w:eastAsia="en-US" w:bidi="ar-SA"/>
        </w:rPr>
        <w:t xml:space="preserve"> </w:t>
      </w:r>
    </w:p>
    <w:p w14:paraId="6545B8F1" w14:textId="77777777" w:rsidR="00BD3330" w:rsidRDefault="00BD3330" w:rsidP="00813218">
      <w:pPr>
        <w:rPr>
          <w:rStyle w:val="IntenseEmphasis"/>
          <w:szCs w:val="18"/>
        </w:rPr>
      </w:pPr>
    </w:p>
    <w:p w14:paraId="09666FFD" w14:textId="77777777" w:rsidR="00BD3330" w:rsidRDefault="00BD3330" w:rsidP="00813218">
      <w:pPr>
        <w:rPr>
          <w:rStyle w:val="IntenseEmphasis"/>
          <w:szCs w:val="18"/>
        </w:rPr>
      </w:pPr>
    </w:p>
    <w:p w14:paraId="53C22567" w14:textId="77777777" w:rsidR="00BD3330" w:rsidRDefault="00BD3330" w:rsidP="00813218">
      <w:pPr>
        <w:rPr>
          <w:rStyle w:val="IntenseEmphasis"/>
          <w:szCs w:val="18"/>
        </w:rPr>
      </w:pPr>
    </w:p>
    <w:p w14:paraId="5A0A721F" w14:textId="37687D23" w:rsidR="00BD3330" w:rsidRDefault="005A141F">
      <w:pPr>
        <w:spacing w:before="0" w:after="160" w:line="259" w:lineRule="auto"/>
        <w:rPr>
          <w:rStyle w:val="IntenseEmphasis"/>
          <w:szCs w:val="18"/>
        </w:rPr>
      </w:pPr>
      <w:r>
        <w:rPr>
          <w:rStyle w:val="IntenseEmphasis"/>
          <w:szCs w:val="18"/>
        </w:rPr>
        <w:br w:type="page"/>
      </w:r>
    </w:p>
    <w:sdt>
      <w:sdtPr>
        <w:rPr>
          <w:rFonts w:ascii="PP Mori" w:eastAsiaTheme="minorEastAsia" w:hAnsi="PP Mori" w:cstheme="minorBidi"/>
          <w:i/>
          <w:iCs/>
          <w:color w:val="auto"/>
          <w:kern w:val="2"/>
          <w:sz w:val="18"/>
          <w:szCs w:val="18"/>
          <w:lang w:val="en-AU" w:eastAsia="zh-CN" w:bidi="th-TH"/>
          <w14:ligatures w14:val="standardContextual"/>
        </w:rPr>
        <w:id w:val="268513894"/>
        <w:docPartObj>
          <w:docPartGallery w:val="Table of Contents"/>
          <w:docPartUnique/>
        </w:docPartObj>
      </w:sdtPr>
      <w:sdtEndPr>
        <w:rPr>
          <w:b/>
        </w:rPr>
      </w:sdtEndPr>
      <w:sdtContent>
        <w:p w14:paraId="188C5D93" w14:textId="26AE4E5A" w:rsidR="00D8123B" w:rsidRPr="00050A5B" w:rsidRDefault="00D8123B">
          <w:pPr>
            <w:pStyle w:val="TOCHeading"/>
            <w:rPr>
              <w:lang w:val="en-AU"/>
            </w:rPr>
          </w:pPr>
          <w:r w:rsidRPr="00050A5B">
            <w:rPr>
              <w:lang w:val="en-AU"/>
            </w:rPr>
            <w:t>Table of Contents</w:t>
          </w:r>
        </w:p>
        <w:p w14:paraId="380374D9" w14:textId="5ED4BC8D" w:rsidR="00117224" w:rsidRDefault="00D8123B">
          <w:pPr>
            <w:pStyle w:val="TOC1"/>
            <w:rPr>
              <w:rFonts w:asciiTheme="minorHAnsi" w:hAnsiTheme="minorHAnsi"/>
              <w:noProof/>
              <w:szCs w:val="30"/>
            </w:rPr>
          </w:pPr>
          <w:r w:rsidRPr="00050A5B">
            <w:fldChar w:fldCharType="begin"/>
          </w:r>
          <w:r w:rsidRPr="00050A5B">
            <w:instrText xml:space="preserve"> TOC \o "1-3" \h \z \u </w:instrText>
          </w:r>
          <w:r w:rsidRPr="00050A5B">
            <w:fldChar w:fldCharType="separate"/>
          </w:r>
          <w:hyperlink w:anchor="_Toc205536741" w:history="1">
            <w:r w:rsidR="00117224" w:rsidRPr="00D935DC">
              <w:rPr>
                <w:rStyle w:val="Hyperlink"/>
                <w:noProof/>
                <w:lang w:eastAsia="en-US" w:bidi="ar-SA"/>
              </w:rPr>
              <w:t>Executive Summary</w:t>
            </w:r>
            <w:r w:rsidR="00117224">
              <w:rPr>
                <w:noProof/>
                <w:webHidden/>
              </w:rPr>
              <w:tab/>
            </w:r>
            <w:r w:rsidR="00117224">
              <w:rPr>
                <w:noProof/>
                <w:webHidden/>
              </w:rPr>
              <w:fldChar w:fldCharType="begin"/>
            </w:r>
            <w:r w:rsidR="00117224">
              <w:rPr>
                <w:noProof/>
                <w:webHidden/>
              </w:rPr>
              <w:instrText xml:space="preserve"> PAGEREF _Toc205536741 \h </w:instrText>
            </w:r>
            <w:r w:rsidR="00117224">
              <w:rPr>
                <w:noProof/>
                <w:webHidden/>
              </w:rPr>
            </w:r>
            <w:r w:rsidR="00117224">
              <w:rPr>
                <w:noProof/>
                <w:webHidden/>
              </w:rPr>
              <w:fldChar w:fldCharType="separate"/>
            </w:r>
            <w:r w:rsidR="00B170DF">
              <w:rPr>
                <w:noProof/>
                <w:webHidden/>
              </w:rPr>
              <w:t>4</w:t>
            </w:r>
            <w:r w:rsidR="00117224">
              <w:rPr>
                <w:noProof/>
                <w:webHidden/>
              </w:rPr>
              <w:fldChar w:fldCharType="end"/>
            </w:r>
          </w:hyperlink>
        </w:p>
        <w:p w14:paraId="77A68C2F" w14:textId="67311A58" w:rsidR="00117224" w:rsidRDefault="00117224">
          <w:pPr>
            <w:pStyle w:val="TOC1"/>
            <w:rPr>
              <w:rFonts w:asciiTheme="minorHAnsi" w:hAnsiTheme="minorHAnsi"/>
              <w:noProof/>
              <w:szCs w:val="30"/>
            </w:rPr>
          </w:pPr>
          <w:hyperlink w:anchor="_Toc205536742" w:history="1">
            <w:r w:rsidRPr="00D935DC">
              <w:rPr>
                <w:rStyle w:val="Hyperlink"/>
                <w:noProof/>
                <w:lang w:eastAsia="en-US" w:bidi="ar-SA"/>
              </w:rPr>
              <w:t>Table of Figures</w:t>
            </w:r>
            <w:r>
              <w:rPr>
                <w:noProof/>
                <w:webHidden/>
              </w:rPr>
              <w:tab/>
            </w:r>
            <w:r>
              <w:rPr>
                <w:noProof/>
                <w:webHidden/>
              </w:rPr>
              <w:fldChar w:fldCharType="begin"/>
            </w:r>
            <w:r>
              <w:rPr>
                <w:noProof/>
                <w:webHidden/>
              </w:rPr>
              <w:instrText xml:space="preserve"> PAGEREF _Toc205536742 \h </w:instrText>
            </w:r>
            <w:r>
              <w:rPr>
                <w:noProof/>
                <w:webHidden/>
              </w:rPr>
            </w:r>
            <w:r>
              <w:rPr>
                <w:noProof/>
                <w:webHidden/>
              </w:rPr>
              <w:fldChar w:fldCharType="separate"/>
            </w:r>
            <w:r w:rsidR="00B170DF">
              <w:rPr>
                <w:noProof/>
                <w:webHidden/>
              </w:rPr>
              <w:t>8</w:t>
            </w:r>
            <w:r>
              <w:rPr>
                <w:noProof/>
                <w:webHidden/>
              </w:rPr>
              <w:fldChar w:fldCharType="end"/>
            </w:r>
          </w:hyperlink>
        </w:p>
        <w:p w14:paraId="4B5CE1BB" w14:textId="7ECD2DD0" w:rsidR="00117224" w:rsidRDefault="00117224">
          <w:pPr>
            <w:pStyle w:val="TOC1"/>
            <w:rPr>
              <w:rFonts w:asciiTheme="minorHAnsi" w:hAnsiTheme="minorHAnsi"/>
              <w:noProof/>
              <w:szCs w:val="30"/>
            </w:rPr>
          </w:pPr>
          <w:hyperlink w:anchor="_Toc205536743" w:history="1">
            <w:r w:rsidRPr="00D935DC">
              <w:rPr>
                <w:rStyle w:val="Hyperlink"/>
                <w:noProof/>
                <w:lang w:eastAsia="en-US" w:bidi="ar-SA"/>
              </w:rPr>
              <w:t>List of Acronyms</w:t>
            </w:r>
            <w:r>
              <w:rPr>
                <w:noProof/>
                <w:webHidden/>
              </w:rPr>
              <w:tab/>
            </w:r>
            <w:r>
              <w:rPr>
                <w:noProof/>
                <w:webHidden/>
              </w:rPr>
              <w:fldChar w:fldCharType="begin"/>
            </w:r>
            <w:r>
              <w:rPr>
                <w:noProof/>
                <w:webHidden/>
              </w:rPr>
              <w:instrText xml:space="preserve"> PAGEREF _Toc205536743 \h </w:instrText>
            </w:r>
            <w:r>
              <w:rPr>
                <w:noProof/>
                <w:webHidden/>
              </w:rPr>
            </w:r>
            <w:r>
              <w:rPr>
                <w:noProof/>
                <w:webHidden/>
              </w:rPr>
              <w:fldChar w:fldCharType="separate"/>
            </w:r>
            <w:r w:rsidR="00B170DF">
              <w:rPr>
                <w:noProof/>
                <w:webHidden/>
              </w:rPr>
              <w:t>9</w:t>
            </w:r>
            <w:r>
              <w:rPr>
                <w:noProof/>
                <w:webHidden/>
              </w:rPr>
              <w:fldChar w:fldCharType="end"/>
            </w:r>
          </w:hyperlink>
        </w:p>
        <w:p w14:paraId="454CAA1C" w14:textId="24F4A46F" w:rsidR="00117224" w:rsidRDefault="00117224">
          <w:pPr>
            <w:pStyle w:val="TOC1"/>
            <w:rPr>
              <w:rFonts w:asciiTheme="minorHAnsi" w:hAnsiTheme="minorHAnsi"/>
              <w:noProof/>
              <w:szCs w:val="30"/>
            </w:rPr>
          </w:pPr>
          <w:hyperlink w:anchor="_Toc205536744" w:history="1">
            <w:r w:rsidRPr="00D935DC">
              <w:rPr>
                <w:rStyle w:val="Hyperlink"/>
                <w:noProof/>
                <w:lang w:eastAsia="en-US" w:bidi="ar-SA"/>
              </w:rPr>
              <w:t>1</w:t>
            </w:r>
            <w:r>
              <w:rPr>
                <w:rFonts w:asciiTheme="minorHAnsi" w:hAnsiTheme="minorHAnsi"/>
                <w:noProof/>
                <w:szCs w:val="30"/>
              </w:rPr>
              <w:tab/>
            </w:r>
            <w:r w:rsidRPr="00D935DC">
              <w:rPr>
                <w:rStyle w:val="Hyperlink"/>
                <w:noProof/>
                <w:lang w:eastAsia="en-US" w:bidi="ar-SA"/>
              </w:rPr>
              <w:t>Report Purpose, Context &amp; Rationale</w:t>
            </w:r>
            <w:r>
              <w:rPr>
                <w:noProof/>
                <w:webHidden/>
              </w:rPr>
              <w:tab/>
            </w:r>
            <w:r>
              <w:rPr>
                <w:noProof/>
                <w:webHidden/>
              </w:rPr>
              <w:fldChar w:fldCharType="begin"/>
            </w:r>
            <w:r>
              <w:rPr>
                <w:noProof/>
                <w:webHidden/>
              </w:rPr>
              <w:instrText xml:space="preserve"> PAGEREF _Toc205536744 \h </w:instrText>
            </w:r>
            <w:r>
              <w:rPr>
                <w:noProof/>
                <w:webHidden/>
              </w:rPr>
            </w:r>
            <w:r>
              <w:rPr>
                <w:noProof/>
                <w:webHidden/>
              </w:rPr>
              <w:fldChar w:fldCharType="separate"/>
            </w:r>
            <w:r w:rsidR="00B170DF">
              <w:rPr>
                <w:noProof/>
                <w:webHidden/>
              </w:rPr>
              <w:t>10</w:t>
            </w:r>
            <w:r>
              <w:rPr>
                <w:noProof/>
                <w:webHidden/>
              </w:rPr>
              <w:fldChar w:fldCharType="end"/>
            </w:r>
          </w:hyperlink>
        </w:p>
        <w:p w14:paraId="2926D295" w14:textId="50DB9E21" w:rsidR="00117224" w:rsidRDefault="00117224" w:rsidP="007A4755">
          <w:pPr>
            <w:pStyle w:val="TOC2"/>
            <w:spacing w:before="180"/>
            <w:rPr>
              <w:rFonts w:asciiTheme="minorHAnsi" w:hAnsiTheme="minorHAnsi"/>
              <w:noProof/>
              <w:sz w:val="24"/>
              <w:szCs w:val="30"/>
            </w:rPr>
          </w:pPr>
          <w:hyperlink w:anchor="_Toc205536745" w:history="1">
            <w:r w:rsidRPr="00D935DC">
              <w:rPr>
                <w:rStyle w:val="Hyperlink"/>
                <w:noProof/>
                <w:lang w:eastAsia="en-US" w:bidi="ar-SA"/>
              </w:rPr>
              <w:t>1.1</w:t>
            </w:r>
            <w:r>
              <w:rPr>
                <w:rFonts w:asciiTheme="minorHAnsi" w:hAnsiTheme="minorHAnsi"/>
                <w:noProof/>
                <w:sz w:val="24"/>
                <w:szCs w:val="30"/>
              </w:rPr>
              <w:tab/>
            </w:r>
            <w:r w:rsidRPr="00D935DC">
              <w:rPr>
                <w:rStyle w:val="Hyperlink"/>
                <w:noProof/>
                <w:lang w:eastAsia="en-US" w:bidi="ar-SA"/>
              </w:rPr>
              <w:t>Purpose</w:t>
            </w:r>
            <w:r>
              <w:rPr>
                <w:noProof/>
                <w:webHidden/>
              </w:rPr>
              <w:tab/>
            </w:r>
            <w:r>
              <w:rPr>
                <w:noProof/>
                <w:webHidden/>
              </w:rPr>
              <w:fldChar w:fldCharType="begin"/>
            </w:r>
            <w:r>
              <w:rPr>
                <w:noProof/>
                <w:webHidden/>
              </w:rPr>
              <w:instrText xml:space="preserve"> PAGEREF _Toc205536745 \h </w:instrText>
            </w:r>
            <w:r>
              <w:rPr>
                <w:noProof/>
                <w:webHidden/>
              </w:rPr>
            </w:r>
            <w:r>
              <w:rPr>
                <w:noProof/>
                <w:webHidden/>
              </w:rPr>
              <w:fldChar w:fldCharType="separate"/>
            </w:r>
            <w:r w:rsidR="00B170DF">
              <w:rPr>
                <w:noProof/>
                <w:webHidden/>
              </w:rPr>
              <w:t>10</w:t>
            </w:r>
            <w:r>
              <w:rPr>
                <w:noProof/>
                <w:webHidden/>
              </w:rPr>
              <w:fldChar w:fldCharType="end"/>
            </w:r>
          </w:hyperlink>
        </w:p>
        <w:p w14:paraId="516972DF" w14:textId="186FB175" w:rsidR="00117224" w:rsidRDefault="00117224" w:rsidP="007A4755">
          <w:pPr>
            <w:pStyle w:val="TOC2"/>
            <w:spacing w:before="180"/>
            <w:rPr>
              <w:rFonts w:asciiTheme="minorHAnsi" w:hAnsiTheme="minorHAnsi"/>
              <w:noProof/>
              <w:sz w:val="24"/>
              <w:szCs w:val="30"/>
            </w:rPr>
          </w:pPr>
          <w:hyperlink w:anchor="_Toc205536746" w:history="1">
            <w:r w:rsidRPr="00D935DC">
              <w:rPr>
                <w:rStyle w:val="Hyperlink"/>
                <w:noProof/>
                <w:lang w:eastAsia="en-US" w:bidi="ar-SA"/>
              </w:rPr>
              <w:t>1.2</w:t>
            </w:r>
            <w:r>
              <w:rPr>
                <w:rFonts w:asciiTheme="minorHAnsi" w:hAnsiTheme="minorHAnsi"/>
                <w:noProof/>
                <w:sz w:val="24"/>
                <w:szCs w:val="30"/>
              </w:rPr>
              <w:tab/>
            </w:r>
            <w:r w:rsidRPr="00D935DC">
              <w:rPr>
                <w:rStyle w:val="Hyperlink"/>
                <w:noProof/>
                <w:lang w:eastAsia="en-US" w:bidi="ar-SA"/>
              </w:rPr>
              <w:t>National Context</w:t>
            </w:r>
            <w:r>
              <w:rPr>
                <w:noProof/>
                <w:webHidden/>
              </w:rPr>
              <w:tab/>
            </w:r>
            <w:r>
              <w:rPr>
                <w:noProof/>
                <w:webHidden/>
              </w:rPr>
              <w:fldChar w:fldCharType="begin"/>
            </w:r>
            <w:r>
              <w:rPr>
                <w:noProof/>
                <w:webHidden/>
              </w:rPr>
              <w:instrText xml:space="preserve"> PAGEREF _Toc205536746 \h </w:instrText>
            </w:r>
            <w:r>
              <w:rPr>
                <w:noProof/>
                <w:webHidden/>
              </w:rPr>
            </w:r>
            <w:r>
              <w:rPr>
                <w:noProof/>
                <w:webHidden/>
              </w:rPr>
              <w:fldChar w:fldCharType="separate"/>
            </w:r>
            <w:r w:rsidR="00B170DF">
              <w:rPr>
                <w:noProof/>
                <w:webHidden/>
              </w:rPr>
              <w:t>10</w:t>
            </w:r>
            <w:r>
              <w:rPr>
                <w:noProof/>
                <w:webHidden/>
              </w:rPr>
              <w:fldChar w:fldCharType="end"/>
            </w:r>
          </w:hyperlink>
        </w:p>
        <w:p w14:paraId="5568BF8F" w14:textId="25660155" w:rsidR="00117224" w:rsidRDefault="00117224" w:rsidP="007A4755">
          <w:pPr>
            <w:pStyle w:val="TOC2"/>
            <w:spacing w:before="180"/>
            <w:rPr>
              <w:rFonts w:asciiTheme="minorHAnsi" w:hAnsiTheme="minorHAnsi"/>
              <w:noProof/>
              <w:sz w:val="24"/>
              <w:szCs w:val="30"/>
            </w:rPr>
          </w:pPr>
          <w:hyperlink w:anchor="_Toc205536747" w:history="1">
            <w:r w:rsidRPr="00D935DC">
              <w:rPr>
                <w:rStyle w:val="Hyperlink"/>
                <w:noProof/>
                <w:lang w:eastAsia="en-US" w:bidi="ar-SA"/>
              </w:rPr>
              <w:t>1.3</w:t>
            </w:r>
            <w:r>
              <w:rPr>
                <w:rFonts w:asciiTheme="minorHAnsi" w:hAnsiTheme="minorHAnsi"/>
                <w:noProof/>
                <w:sz w:val="24"/>
                <w:szCs w:val="30"/>
              </w:rPr>
              <w:tab/>
            </w:r>
            <w:r w:rsidRPr="00D935DC">
              <w:rPr>
                <w:rStyle w:val="Hyperlink"/>
                <w:noProof/>
                <w:lang w:eastAsia="en-US" w:bidi="ar-SA"/>
              </w:rPr>
              <w:t>Practical Rationale</w:t>
            </w:r>
            <w:r>
              <w:rPr>
                <w:noProof/>
                <w:webHidden/>
              </w:rPr>
              <w:tab/>
            </w:r>
            <w:r>
              <w:rPr>
                <w:noProof/>
                <w:webHidden/>
              </w:rPr>
              <w:fldChar w:fldCharType="begin"/>
            </w:r>
            <w:r>
              <w:rPr>
                <w:noProof/>
                <w:webHidden/>
              </w:rPr>
              <w:instrText xml:space="preserve"> PAGEREF _Toc205536747 \h </w:instrText>
            </w:r>
            <w:r>
              <w:rPr>
                <w:noProof/>
                <w:webHidden/>
              </w:rPr>
            </w:r>
            <w:r>
              <w:rPr>
                <w:noProof/>
                <w:webHidden/>
              </w:rPr>
              <w:fldChar w:fldCharType="separate"/>
            </w:r>
            <w:r w:rsidR="00B170DF">
              <w:rPr>
                <w:noProof/>
                <w:webHidden/>
              </w:rPr>
              <w:t>11</w:t>
            </w:r>
            <w:r>
              <w:rPr>
                <w:noProof/>
                <w:webHidden/>
              </w:rPr>
              <w:fldChar w:fldCharType="end"/>
            </w:r>
          </w:hyperlink>
        </w:p>
        <w:p w14:paraId="2E89B607" w14:textId="28C2A015" w:rsidR="00117224" w:rsidRDefault="00117224">
          <w:pPr>
            <w:pStyle w:val="TOC1"/>
            <w:rPr>
              <w:rFonts w:asciiTheme="minorHAnsi" w:hAnsiTheme="minorHAnsi"/>
              <w:noProof/>
              <w:szCs w:val="30"/>
            </w:rPr>
          </w:pPr>
          <w:hyperlink w:anchor="_Toc205536748" w:history="1">
            <w:r w:rsidRPr="00D935DC">
              <w:rPr>
                <w:rStyle w:val="Hyperlink"/>
                <w:noProof/>
              </w:rPr>
              <w:t>2</w:t>
            </w:r>
            <w:r>
              <w:rPr>
                <w:rFonts w:asciiTheme="minorHAnsi" w:hAnsiTheme="minorHAnsi"/>
                <w:noProof/>
                <w:szCs w:val="30"/>
              </w:rPr>
              <w:tab/>
            </w:r>
            <w:r w:rsidRPr="00D935DC">
              <w:rPr>
                <w:rStyle w:val="Hyperlink"/>
                <w:noProof/>
              </w:rPr>
              <w:t>Report Development Approach &amp; Limitations</w:t>
            </w:r>
            <w:r>
              <w:rPr>
                <w:noProof/>
                <w:webHidden/>
              </w:rPr>
              <w:tab/>
            </w:r>
            <w:r>
              <w:rPr>
                <w:noProof/>
                <w:webHidden/>
              </w:rPr>
              <w:fldChar w:fldCharType="begin"/>
            </w:r>
            <w:r>
              <w:rPr>
                <w:noProof/>
                <w:webHidden/>
              </w:rPr>
              <w:instrText xml:space="preserve"> PAGEREF _Toc205536748 \h </w:instrText>
            </w:r>
            <w:r>
              <w:rPr>
                <w:noProof/>
                <w:webHidden/>
              </w:rPr>
            </w:r>
            <w:r>
              <w:rPr>
                <w:noProof/>
                <w:webHidden/>
              </w:rPr>
              <w:fldChar w:fldCharType="separate"/>
            </w:r>
            <w:r w:rsidR="00B170DF">
              <w:rPr>
                <w:noProof/>
                <w:webHidden/>
              </w:rPr>
              <w:t>14</w:t>
            </w:r>
            <w:r>
              <w:rPr>
                <w:noProof/>
                <w:webHidden/>
              </w:rPr>
              <w:fldChar w:fldCharType="end"/>
            </w:r>
          </w:hyperlink>
        </w:p>
        <w:p w14:paraId="741905A7" w14:textId="5B5CEDF4" w:rsidR="00117224" w:rsidRPr="007A4755" w:rsidRDefault="00117224" w:rsidP="007A4755">
          <w:pPr>
            <w:pStyle w:val="TOC2"/>
            <w:spacing w:before="180"/>
            <w:rPr>
              <w:rStyle w:val="Hyperlink"/>
              <w:noProof/>
              <w:lang w:eastAsia="en-US" w:bidi="ar-SA"/>
            </w:rPr>
          </w:pPr>
          <w:hyperlink w:anchor="_Toc205536749" w:history="1">
            <w:r w:rsidRPr="007A4755">
              <w:rPr>
                <w:rStyle w:val="Hyperlink"/>
                <w:noProof/>
                <w:lang w:eastAsia="en-US" w:bidi="ar-SA"/>
              </w:rPr>
              <w:t>2.1</w:t>
            </w:r>
            <w:r w:rsidRPr="007A4755">
              <w:rPr>
                <w:rStyle w:val="Hyperlink"/>
                <w:noProof/>
                <w:lang w:eastAsia="en-US" w:bidi="ar-SA"/>
              </w:rPr>
              <w:tab/>
              <w:t>Philosophy</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_Toc205536749 \h </w:instrText>
            </w:r>
            <w:r w:rsidRPr="007A4755">
              <w:rPr>
                <w:rStyle w:val="Hyperlink"/>
                <w:noProof/>
                <w:webHidden/>
                <w:lang w:eastAsia="en-US" w:bidi="ar-SA"/>
              </w:rPr>
            </w:r>
            <w:r w:rsidRPr="007A4755">
              <w:rPr>
                <w:rStyle w:val="Hyperlink"/>
                <w:noProof/>
                <w:webHidden/>
                <w:lang w:eastAsia="en-US" w:bidi="ar-SA"/>
              </w:rPr>
              <w:fldChar w:fldCharType="separate"/>
            </w:r>
            <w:r w:rsidR="00B170DF">
              <w:rPr>
                <w:rStyle w:val="Hyperlink"/>
                <w:noProof/>
                <w:webHidden/>
                <w:lang w:eastAsia="en-US" w:bidi="ar-SA"/>
              </w:rPr>
              <w:t>14</w:t>
            </w:r>
            <w:r w:rsidRPr="007A4755">
              <w:rPr>
                <w:rStyle w:val="Hyperlink"/>
                <w:noProof/>
                <w:webHidden/>
                <w:lang w:eastAsia="en-US" w:bidi="ar-SA"/>
              </w:rPr>
              <w:fldChar w:fldCharType="end"/>
            </w:r>
          </w:hyperlink>
        </w:p>
        <w:p w14:paraId="7EFAD312" w14:textId="7D0E2839" w:rsidR="00117224" w:rsidRPr="007A4755" w:rsidRDefault="00117224" w:rsidP="007A4755">
          <w:pPr>
            <w:pStyle w:val="TOC2"/>
            <w:spacing w:before="180"/>
            <w:rPr>
              <w:rStyle w:val="Hyperlink"/>
              <w:noProof/>
              <w:lang w:eastAsia="en-US" w:bidi="ar-SA"/>
            </w:rPr>
          </w:pPr>
          <w:hyperlink w:anchor="_Toc205536750" w:history="1">
            <w:r w:rsidRPr="007A4755">
              <w:rPr>
                <w:rStyle w:val="Hyperlink"/>
                <w:noProof/>
                <w:lang w:eastAsia="en-US" w:bidi="ar-SA"/>
              </w:rPr>
              <w:t>2.2</w:t>
            </w:r>
            <w:r w:rsidRPr="007A4755">
              <w:rPr>
                <w:rStyle w:val="Hyperlink"/>
                <w:noProof/>
                <w:lang w:eastAsia="en-US" w:bidi="ar-SA"/>
              </w:rPr>
              <w:tab/>
              <w:t>Development Methodology</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_Toc205536750 \h </w:instrText>
            </w:r>
            <w:r w:rsidRPr="007A4755">
              <w:rPr>
                <w:rStyle w:val="Hyperlink"/>
                <w:noProof/>
                <w:webHidden/>
                <w:lang w:eastAsia="en-US" w:bidi="ar-SA"/>
              </w:rPr>
            </w:r>
            <w:r w:rsidRPr="007A4755">
              <w:rPr>
                <w:rStyle w:val="Hyperlink"/>
                <w:noProof/>
                <w:webHidden/>
                <w:lang w:eastAsia="en-US" w:bidi="ar-SA"/>
              </w:rPr>
              <w:fldChar w:fldCharType="separate"/>
            </w:r>
            <w:r w:rsidR="00B170DF">
              <w:rPr>
                <w:rStyle w:val="Hyperlink"/>
                <w:noProof/>
                <w:webHidden/>
                <w:lang w:eastAsia="en-US" w:bidi="ar-SA"/>
              </w:rPr>
              <w:t>15</w:t>
            </w:r>
            <w:r w:rsidRPr="007A4755">
              <w:rPr>
                <w:rStyle w:val="Hyperlink"/>
                <w:noProof/>
                <w:webHidden/>
                <w:lang w:eastAsia="en-US" w:bidi="ar-SA"/>
              </w:rPr>
              <w:fldChar w:fldCharType="end"/>
            </w:r>
          </w:hyperlink>
        </w:p>
        <w:p w14:paraId="77806008" w14:textId="1CCE8CE1" w:rsidR="00117224" w:rsidRPr="007A4755" w:rsidRDefault="00117224" w:rsidP="007A4755">
          <w:pPr>
            <w:pStyle w:val="TOC2"/>
            <w:spacing w:before="180"/>
            <w:rPr>
              <w:rStyle w:val="Hyperlink"/>
              <w:noProof/>
              <w:lang w:eastAsia="en-US" w:bidi="ar-SA"/>
            </w:rPr>
          </w:pPr>
          <w:hyperlink w:anchor="_Toc205536751" w:history="1">
            <w:r w:rsidRPr="007A4755">
              <w:rPr>
                <w:rStyle w:val="Hyperlink"/>
                <w:noProof/>
                <w:lang w:eastAsia="en-US" w:bidi="ar-SA"/>
              </w:rPr>
              <w:t>2.3</w:t>
            </w:r>
            <w:r w:rsidRPr="007A4755">
              <w:rPr>
                <w:rStyle w:val="Hyperlink"/>
                <w:noProof/>
                <w:lang w:eastAsia="en-US" w:bidi="ar-SA"/>
              </w:rPr>
              <w:tab/>
              <w:t>Inherent Limitations &amp; Constraints</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_Toc205536751 \h </w:instrText>
            </w:r>
            <w:r w:rsidRPr="007A4755">
              <w:rPr>
                <w:rStyle w:val="Hyperlink"/>
                <w:noProof/>
                <w:webHidden/>
                <w:lang w:eastAsia="en-US" w:bidi="ar-SA"/>
              </w:rPr>
            </w:r>
            <w:r w:rsidRPr="007A4755">
              <w:rPr>
                <w:rStyle w:val="Hyperlink"/>
                <w:noProof/>
                <w:webHidden/>
                <w:lang w:eastAsia="en-US" w:bidi="ar-SA"/>
              </w:rPr>
              <w:fldChar w:fldCharType="separate"/>
            </w:r>
            <w:r w:rsidR="00B170DF">
              <w:rPr>
                <w:rStyle w:val="Hyperlink"/>
                <w:noProof/>
                <w:webHidden/>
                <w:lang w:eastAsia="en-US" w:bidi="ar-SA"/>
              </w:rPr>
              <w:t>16</w:t>
            </w:r>
            <w:r w:rsidRPr="007A4755">
              <w:rPr>
                <w:rStyle w:val="Hyperlink"/>
                <w:noProof/>
                <w:webHidden/>
                <w:lang w:eastAsia="en-US" w:bidi="ar-SA"/>
              </w:rPr>
              <w:fldChar w:fldCharType="end"/>
            </w:r>
          </w:hyperlink>
        </w:p>
        <w:p w14:paraId="12F114E9" w14:textId="6FD469B5" w:rsidR="00117224" w:rsidRPr="007A4755" w:rsidRDefault="00117224" w:rsidP="007A4755">
          <w:pPr>
            <w:pStyle w:val="TOC2"/>
            <w:spacing w:before="180"/>
            <w:rPr>
              <w:rStyle w:val="Hyperlink"/>
              <w:noProof/>
              <w:lang w:eastAsia="en-US" w:bidi="ar-SA"/>
            </w:rPr>
          </w:pPr>
          <w:hyperlink w:anchor="_Toc205536752" w:history="1">
            <w:r w:rsidRPr="007A4755">
              <w:rPr>
                <w:rStyle w:val="Hyperlink"/>
                <w:noProof/>
                <w:lang w:eastAsia="en-US" w:bidi="ar-SA"/>
              </w:rPr>
              <w:t>2.4</w:t>
            </w:r>
            <w:r w:rsidRPr="007A4755">
              <w:rPr>
                <w:rStyle w:val="Hyperlink"/>
                <w:noProof/>
                <w:lang w:eastAsia="en-US" w:bidi="ar-SA"/>
              </w:rPr>
              <w:tab/>
              <w:t>Accessing the Reference Set &amp; Providing Feedback</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_Toc205536752 \h </w:instrText>
            </w:r>
            <w:r w:rsidRPr="007A4755">
              <w:rPr>
                <w:rStyle w:val="Hyperlink"/>
                <w:noProof/>
                <w:webHidden/>
                <w:lang w:eastAsia="en-US" w:bidi="ar-SA"/>
              </w:rPr>
            </w:r>
            <w:r w:rsidRPr="007A4755">
              <w:rPr>
                <w:rStyle w:val="Hyperlink"/>
                <w:noProof/>
                <w:webHidden/>
                <w:lang w:eastAsia="en-US" w:bidi="ar-SA"/>
              </w:rPr>
              <w:fldChar w:fldCharType="separate"/>
            </w:r>
            <w:r w:rsidR="00B170DF">
              <w:rPr>
                <w:rStyle w:val="Hyperlink"/>
                <w:noProof/>
                <w:webHidden/>
                <w:lang w:eastAsia="en-US" w:bidi="ar-SA"/>
              </w:rPr>
              <w:t>17</w:t>
            </w:r>
            <w:r w:rsidRPr="007A4755">
              <w:rPr>
                <w:rStyle w:val="Hyperlink"/>
                <w:noProof/>
                <w:webHidden/>
                <w:lang w:eastAsia="en-US" w:bidi="ar-SA"/>
              </w:rPr>
              <w:fldChar w:fldCharType="end"/>
            </w:r>
          </w:hyperlink>
        </w:p>
        <w:p w14:paraId="45BBE7D1" w14:textId="632EA23C" w:rsidR="00117224" w:rsidRDefault="00117224">
          <w:pPr>
            <w:pStyle w:val="TOC1"/>
            <w:rPr>
              <w:rFonts w:asciiTheme="minorHAnsi" w:hAnsiTheme="minorHAnsi"/>
              <w:noProof/>
              <w:szCs w:val="30"/>
            </w:rPr>
          </w:pPr>
          <w:hyperlink w:anchor="_Toc205536753" w:history="1">
            <w:r w:rsidRPr="00D935DC">
              <w:rPr>
                <w:rStyle w:val="Hyperlink"/>
                <w:noProof/>
                <w:lang w:eastAsia="en-US" w:bidi="ar-SA"/>
              </w:rPr>
              <w:t>3</w:t>
            </w:r>
            <w:r>
              <w:rPr>
                <w:rFonts w:asciiTheme="minorHAnsi" w:hAnsiTheme="minorHAnsi"/>
                <w:noProof/>
                <w:szCs w:val="30"/>
              </w:rPr>
              <w:tab/>
            </w:r>
            <w:r w:rsidRPr="00D935DC">
              <w:rPr>
                <w:rStyle w:val="Hyperlink"/>
                <w:noProof/>
                <w:lang w:eastAsia="en-US" w:bidi="ar-SA"/>
              </w:rPr>
              <w:t>Future Customer &amp; Societal Objectives</w:t>
            </w:r>
            <w:r>
              <w:rPr>
                <w:noProof/>
                <w:webHidden/>
              </w:rPr>
              <w:tab/>
            </w:r>
            <w:r>
              <w:rPr>
                <w:noProof/>
                <w:webHidden/>
              </w:rPr>
              <w:fldChar w:fldCharType="begin"/>
            </w:r>
            <w:r>
              <w:rPr>
                <w:noProof/>
                <w:webHidden/>
              </w:rPr>
              <w:instrText xml:space="preserve"> PAGEREF _Toc205536753 \h </w:instrText>
            </w:r>
            <w:r>
              <w:rPr>
                <w:noProof/>
                <w:webHidden/>
              </w:rPr>
            </w:r>
            <w:r>
              <w:rPr>
                <w:noProof/>
                <w:webHidden/>
              </w:rPr>
              <w:fldChar w:fldCharType="separate"/>
            </w:r>
            <w:r w:rsidR="00B170DF">
              <w:rPr>
                <w:noProof/>
                <w:webHidden/>
              </w:rPr>
              <w:t>19</w:t>
            </w:r>
            <w:r>
              <w:rPr>
                <w:noProof/>
                <w:webHidden/>
              </w:rPr>
              <w:fldChar w:fldCharType="end"/>
            </w:r>
          </w:hyperlink>
        </w:p>
        <w:p w14:paraId="54B9071B" w14:textId="5EB383AA" w:rsidR="00117224" w:rsidRDefault="00117224" w:rsidP="007A4755">
          <w:pPr>
            <w:pStyle w:val="TOC2"/>
            <w:spacing w:before="180"/>
            <w:ind w:left="1134" w:hanging="567"/>
            <w:rPr>
              <w:rFonts w:asciiTheme="minorHAnsi" w:hAnsiTheme="minorHAnsi"/>
              <w:noProof/>
              <w:sz w:val="24"/>
              <w:szCs w:val="30"/>
            </w:rPr>
          </w:pPr>
          <w:hyperlink w:anchor="_Toc205536754" w:history="1">
            <w:r w:rsidRPr="00D935DC">
              <w:rPr>
                <w:rStyle w:val="Hyperlink"/>
                <w:noProof/>
                <w:lang w:eastAsia="en-US" w:bidi="ar-SA"/>
              </w:rPr>
              <w:t>3.1</w:t>
            </w:r>
            <w:r>
              <w:rPr>
                <w:rFonts w:asciiTheme="minorHAnsi" w:hAnsiTheme="minorHAnsi"/>
                <w:noProof/>
                <w:sz w:val="24"/>
                <w:szCs w:val="30"/>
              </w:rPr>
              <w:tab/>
            </w:r>
            <w:r w:rsidRPr="00D935DC">
              <w:rPr>
                <w:rStyle w:val="Hyperlink"/>
                <w:caps/>
                <w:noProof/>
                <w:lang w:eastAsia="en-US" w:bidi="ar-SA"/>
              </w:rPr>
              <w:t>Dependable</w:t>
            </w:r>
            <w:r w:rsidRPr="00D935DC">
              <w:rPr>
                <w:rStyle w:val="Hyperlink"/>
                <w:noProof/>
                <w:lang w:eastAsia="en-US" w:bidi="ar-SA"/>
              </w:rPr>
              <w:t>: Safe, secure, adequate, reliable and resilient</w:t>
            </w:r>
            <w:r>
              <w:rPr>
                <w:noProof/>
                <w:webHidden/>
              </w:rPr>
              <w:tab/>
            </w:r>
            <w:r>
              <w:rPr>
                <w:noProof/>
                <w:webHidden/>
              </w:rPr>
              <w:fldChar w:fldCharType="begin"/>
            </w:r>
            <w:r>
              <w:rPr>
                <w:noProof/>
                <w:webHidden/>
              </w:rPr>
              <w:instrText xml:space="preserve"> PAGEREF _Toc205536754 \h </w:instrText>
            </w:r>
            <w:r>
              <w:rPr>
                <w:noProof/>
                <w:webHidden/>
              </w:rPr>
            </w:r>
            <w:r>
              <w:rPr>
                <w:noProof/>
                <w:webHidden/>
              </w:rPr>
              <w:fldChar w:fldCharType="separate"/>
            </w:r>
            <w:r w:rsidR="00B170DF">
              <w:rPr>
                <w:noProof/>
                <w:webHidden/>
              </w:rPr>
              <w:t>20</w:t>
            </w:r>
            <w:r>
              <w:rPr>
                <w:noProof/>
                <w:webHidden/>
              </w:rPr>
              <w:fldChar w:fldCharType="end"/>
            </w:r>
          </w:hyperlink>
        </w:p>
        <w:p w14:paraId="595269E7" w14:textId="4B607AD8" w:rsidR="00117224" w:rsidRDefault="00117224" w:rsidP="007A4755">
          <w:pPr>
            <w:pStyle w:val="TOC2"/>
            <w:spacing w:before="180"/>
            <w:ind w:left="1134" w:hanging="567"/>
            <w:rPr>
              <w:rFonts w:asciiTheme="minorHAnsi" w:hAnsiTheme="minorHAnsi"/>
              <w:noProof/>
              <w:sz w:val="24"/>
              <w:szCs w:val="30"/>
            </w:rPr>
          </w:pPr>
          <w:hyperlink w:anchor="_Toc205536755" w:history="1">
            <w:r w:rsidRPr="00D935DC">
              <w:rPr>
                <w:rStyle w:val="Hyperlink"/>
                <w:noProof/>
                <w:lang w:eastAsia="en-US" w:bidi="ar-SA"/>
              </w:rPr>
              <w:t>3.2</w:t>
            </w:r>
            <w:r>
              <w:rPr>
                <w:rFonts w:asciiTheme="minorHAnsi" w:hAnsiTheme="minorHAnsi"/>
                <w:noProof/>
                <w:sz w:val="24"/>
                <w:szCs w:val="30"/>
              </w:rPr>
              <w:tab/>
            </w:r>
            <w:r w:rsidRPr="00D935DC">
              <w:rPr>
                <w:rStyle w:val="Hyperlink"/>
                <w:caps/>
                <w:noProof/>
                <w:lang w:eastAsia="en-US" w:bidi="ar-SA"/>
              </w:rPr>
              <w:t>Affordable</w:t>
            </w:r>
            <w:r w:rsidRPr="00D935DC">
              <w:rPr>
                <w:rStyle w:val="Hyperlink"/>
                <w:noProof/>
                <w:lang w:eastAsia="en-US" w:bidi="ar-SA"/>
              </w:rPr>
              <w:t>: Efficient and cost-effective</w:t>
            </w:r>
            <w:r>
              <w:rPr>
                <w:noProof/>
                <w:webHidden/>
              </w:rPr>
              <w:tab/>
            </w:r>
            <w:r>
              <w:rPr>
                <w:noProof/>
                <w:webHidden/>
              </w:rPr>
              <w:fldChar w:fldCharType="begin"/>
            </w:r>
            <w:r>
              <w:rPr>
                <w:noProof/>
                <w:webHidden/>
              </w:rPr>
              <w:instrText xml:space="preserve"> PAGEREF _Toc205536755 \h </w:instrText>
            </w:r>
            <w:r>
              <w:rPr>
                <w:noProof/>
                <w:webHidden/>
              </w:rPr>
            </w:r>
            <w:r>
              <w:rPr>
                <w:noProof/>
                <w:webHidden/>
              </w:rPr>
              <w:fldChar w:fldCharType="separate"/>
            </w:r>
            <w:r w:rsidR="00B170DF">
              <w:rPr>
                <w:noProof/>
                <w:webHidden/>
              </w:rPr>
              <w:t>21</w:t>
            </w:r>
            <w:r>
              <w:rPr>
                <w:noProof/>
                <w:webHidden/>
              </w:rPr>
              <w:fldChar w:fldCharType="end"/>
            </w:r>
          </w:hyperlink>
        </w:p>
        <w:p w14:paraId="49B5AD9E" w14:textId="202364D0" w:rsidR="00117224" w:rsidRDefault="00117224" w:rsidP="007A4755">
          <w:pPr>
            <w:pStyle w:val="TOC2"/>
            <w:spacing w:before="180"/>
            <w:ind w:left="1134" w:hanging="567"/>
            <w:rPr>
              <w:rFonts w:asciiTheme="minorHAnsi" w:hAnsiTheme="minorHAnsi"/>
              <w:noProof/>
              <w:sz w:val="24"/>
              <w:szCs w:val="30"/>
            </w:rPr>
          </w:pPr>
          <w:hyperlink w:anchor="_Toc205536756" w:history="1">
            <w:r w:rsidRPr="00D935DC">
              <w:rPr>
                <w:rStyle w:val="Hyperlink"/>
                <w:noProof/>
                <w:lang w:eastAsia="en-US" w:bidi="ar-SA"/>
              </w:rPr>
              <w:t>3.3</w:t>
            </w:r>
            <w:r>
              <w:rPr>
                <w:rFonts w:asciiTheme="minorHAnsi" w:hAnsiTheme="minorHAnsi"/>
                <w:noProof/>
                <w:sz w:val="24"/>
                <w:szCs w:val="30"/>
              </w:rPr>
              <w:tab/>
            </w:r>
            <w:r w:rsidRPr="00D935DC">
              <w:rPr>
                <w:rStyle w:val="Hyperlink"/>
                <w:caps/>
                <w:noProof/>
                <w:lang w:eastAsia="en-US" w:bidi="ar-SA"/>
              </w:rPr>
              <w:t>Sustainable</w:t>
            </w:r>
            <w:r w:rsidRPr="00D935DC">
              <w:rPr>
                <w:rStyle w:val="Hyperlink"/>
                <w:noProof/>
                <w:lang w:eastAsia="en-US" w:bidi="ar-SA"/>
              </w:rPr>
              <w:t>: Enables 2030 and 2050 Decarbonisation Goals</w:t>
            </w:r>
            <w:r>
              <w:rPr>
                <w:noProof/>
                <w:webHidden/>
              </w:rPr>
              <w:tab/>
            </w:r>
            <w:r>
              <w:rPr>
                <w:noProof/>
                <w:webHidden/>
              </w:rPr>
              <w:fldChar w:fldCharType="begin"/>
            </w:r>
            <w:r>
              <w:rPr>
                <w:noProof/>
                <w:webHidden/>
              </w:rPr>
              <w:instrText xml:space="preserve"> PAGEREF _Toc205536756 \h </w:instrText>
            </w:r>
            <w:r>
              <w:rPr>
                <w:noProof/>
                <w:webHidden/>
              </w:rPr>
            </w:r>
            <w:r>
              <w:rPr>
                <w:noProof/>
                <w:webHidden/>
              </w:rPr>
              <w:fldChar w:fldCharType="separate"/>
            </w:r>
            <w:r w:rsidR="00B170DF">
              <w:rPr>
                <w:noProof/>
                <w:webHidden/>
              </w:rPr>
              <w:t>23</w:t>
            </w:r>
            <w:r>
              <w:rPr>
                <w:noProof/>
                <w:webHidden/>
              </w:rPr>
              <w:fldChar w:fldCharType="end"/>
            </w:r>
          </w:hyperlink>
        </w:p>
        <w:p w14:paraId="59D2530D" w14:textId="77D51FDC" w:rsidR="00117224" w:rsidRDefault="00117224" w:rsidP="007A4755">
          <w:pPr>
            <w:pStyle w:val="TOC2"/>
            <w:spacing w:before="180"/>
            <w:ind w:left="1134" w:hanging="567"/>
            <w:rPr>
              <w:rFonts w:asciiTheme="minorHAnsi" w:hAnsiTheme="minorHAnsi"/>
              <w:noProof/>
              <w:sz w:val="24"/>
              <w:szCs w:val="30"/>
            </w:rPr>
          </w:pPr>
          <w:hyperlink w:anchor="_Toc205536757" w:history="1">
            <w:r w:rsidRPr="00D935DC">
              <w:rPr>
                <w:rStyle w:val="Hyperlink"/>
                <w:noProof/>
                <w:lang w:eastAsia="en-US" w:bidi="ar-SA"/>
              </w:rPr>
              <w:t>3.4</w:t>
            </w:r>
            <w:r>
              <w:rPr>
                <w:rFonts w:asciiTheme="minorHAnsi" w:hAnsiTheme="minorHAnsi"/>
                <w:noProof/>
                <w:sz w:val="24"/>
                <w:szCs w:val="30"/>
              </w:rPr>
              <w:tab/>
            </w:r>
            <w:r w:rsidRPr="00D935DC">
              <w:rPr>
                <w:rStyle w:val="Hyperlink"/>
                <w:caps/>
                <w:noProof/>
                <w:lang w:eastAsia="en-US" w:bidi="ar-SA"/>
              </w:rPr>
              <w:t>Equitable</w:t>
            </w:r>
            <w:r w:rsidRPr="00D935DC">
              <w:rPr>
                <w:rStyle w:val="Hyperlink"/>
                <w:noProof/>
                <w:lang w:eastAsia="en-US" w:bidi="ar-SA"/>
              </w:rPr>
              <w:t>: Broad accessibility of benefits and the fair sharing of costs</w:t>
            </w:r>
            <w:r>
              <w:rPr>
                <w:noProof/>
                <w:webHidden/>
              </w:rPr>
              <w:tab/>
            </w:r>
            <w:r>
              <w:rPr>
                <w:noProof/>
                <w:webHidden/>
              </w:rPr>
              <w:fldChar w:fldCharType="begin"/>
            </w:r>
            <w:r>
              <w:rPr>
                <w:noProof/>
                <w:webHidden/>
              </w:rPr>
              <w:instrText xml:space="preserve"> PAGEREF _Toc205536757 \h </w:instrText>
            </w:r>
            <w:r>
              <w:rPr>
                <w:noProof/>
                <w:webHidden/>
              </w:rPr>
            </w:r>
            <w:r>
              <w:rPr>
                <w:noProof/>
                <w:webHidden/>
              </w:rPr>
              <w:fldChar w:fldCharType="separate"/>
            </w:r>
            <w:r w:rsidR="00B170DF">
              <w:rPr>
                <w:noProof/>
                <w:webHidden/>
              </w:rPr>
              <w:t>24</w:t>
            </w:r>
            <w:r>
              <w:rPr>
                <w:noProof/>
                <w:webHidden/>
              </w:rPr>
              <w:fldChar w:fldCharType="end"/>
            </w:r>
          </w:hyperlink>
        </w:p>
        <w:p w14:paraId="74C8EC97" w14:textId="5AFE4144" w:rsidR="00117224" w:rsidRDefault="00117224" w:rsidP="007A4755">
          <w:pPr>
            <w:pStyle w:val="TOC2"/>
            <w:spacing w:before="180"/>
            <w:ind w:left="1134" w:hanging="567"/>
            <w:rPr>
              <w:rFonts w:asciiTheme="minorHAnsi" w:hAnsiTheme="minorHAnsi"/>
              <w:noProof/>
              <w:sz w:val="24"/>
              <w:szCs w:val="30"/>
            </w:rPr>
          </w:pPr>
          <w:hyperlink w:anchor="_Toc205536758" w:history="1">
            <w:r w:rsidRPr="00D935DC">
              <w:rPr>
                <w:rStyle w:val="Hyperlink"/>
                <w:noProof/>
                <w:lang w:eastAsia="en-US" w:bidi="ar-SA"/>
              </w:rPr>
              <w:t>3.5</w:t>
            </w:r>
            <w:r>
              <w:rPr>
                <w:rFonts w:asciiTheme="minorHAnsi" w:hAnsiTheme="minorHAnsi"/>
                <w:noProof/>
                <w:sz w:val="24"/>
                <w:szCs w:val="30"/>
              </w:rPr>
              <w:tab/>
            </w:r>
            <w:r w:rsidRPr="00D935DC">
              <w:rPr>
                <w:rStyle w:val="Hyperlink"/>
                <w:caps/>
                <w:noProof/>
                <w:lang w:eastAsia="en-US" w:bidi="ar-SA"/>
              </w:rPr>
              <w:t>Empowering</w:t>
            </w:r>
            <w:r w:rsidRPr="00D935DC">
              <w:rPr>
                <w:rStyle w:val="Hyperlink"/>
                <w:noProof/>
                <w:lang w:eastAsia="en-US" w:bidi="ar-SA"/>
              </w:rPr>
              <w:t>: Advances customer and community agency, optionality, and customisation</w:t>
            </w:r>
            <w:r>
              <w:rPr>
                <w:noProof/>
                <w:webHidden/>
              </w:rPr>
              <w:tab/>
            </w:r>
            <w:r>
              <w:rPr>
                <w:noProof/>
                <w:webHidden/>
              </w:rPr>
              <w:fldChar w:fldCharType="begin"/>
            </w:r>
            <w:r>
              <w:rPr>
                <w:noProof/>
                <w:webHidden/>
              </w:rPr>
              <w:instrText xml:space="preserve"> PAGEREF _Toc205536758 \h </w:instrText>
            </w:r>
            <w:r>
              <w:rPr>
                <w:noProof/>
                <w:webHidden/>
              </w:rPr>
            </w:r>
            <w:r>
              <w:rPr>
                <w:noProof/>
                <w:webHidden/>
              </w:rPr>
              <w:fldChar w:fldCharType="separate"/>
            </w:r>
            <w:r w:rsidR="00B170DF">
              <w:rPr>
                <w:noProof/>
                <w:webHidden/>
              </w:rPr>
              <w:t>25</w:t>
            </w:r>
            <w:r>
              <w:rPr>
                <w:noProof/>
                <w:webHidden/>
              </w:rPr>
              <w:fldChar w:fldCharType="end"/>
            </w:r>
          </w:hyperlink>
        </w:p>
        <w:p w14:paraId="5B295903" w14:textId="0851C65D" w:rsidR="00117224" w:rsidRDefault="00117224" w:rsidP="007A4755">
          <w:pPr>
            <w:pStyle w:val="TOC2"/>
            <w:spacing w:before="180"/>
            <w:ind w:left="1134" w:hanging="567"/>
            <w:rPr>
              <w:rFonts w:asciiTheme="minorHAnsi" w:hAnsiTheme="minorHAnsi"/>
              <w:noProof/>
              <w:sz w:val="24"/>
              <w:szCs w:val="30"/>
            </w:rPr>
          </w:pPr>
          <w:hyperlink w:anchor="_Toc205536759" w:history="1">
            <w:r w:rsidRPr="00D935DC">
              <w:rPr>
                <w:rStyle w:val="Hyperlink"/>
                <w:noProof/>
                <w:lang w:eastAsia="en-US" w:bidi="ar-SA"/>
              </w:rPr>
              <w:t>3.6</w:t>
            </w:r>
            <w:r>
              <w:rPr>
                <w:rFonts w:asciiTheme="minorHAnsi" w:hAnsiTheme="minorHAnsi"/>
                <w:noProof/>
                <w:sz w:val="24"/>
                <w:szCs w:val="30"/>
              </w:rPr>
              <w:tab/>
            </w:r>
            <w:r w:rsidRPr="00D935DC">
              <w:rPr>
                <w:rStyle w:val="Hyperlink"/>
                <w:caps/>
                <w:noProof/>
                <w:lang w:eastAsia="en-US" w:bidi="ar-SA"/>
              </w:rPr>
              <w:t>Expandable</w:t>
            </w:r>
            <w:r w:rsidRPr="00D935DC">
              <w:rPr>
                <w:rStyle w:val="Hyperlink"/>
                <w:noProof/>
                <w:lang w:eastAsia="en-US" w:bidi="ar-SA"/>
              </w:rPr>
              <w:t>: Enables electrification of transport, building services and industrial processes</w:t>
            </w:r>
            <w:r>
              <w:rPr>
                <w:noProof/>
                <w:webHidden/>
              </w:rPr>
              <w:tab/>
            </w:r>
            <w:r>
              <w:rPr>
                <w:noProof/>
                <w:webHidden/>
              </w:rPr>
              <w:fldChar w:fldCharType="begin"/>
            </w:r>
            <w:r>
              <w:rPr>
                <w:noProof/>
                <w:webHidden/>
              </w:rPr>
              <w:instrText xml:space="preserve"> PAGEREF _Toc205536759 \h </w:instrText>
            </w:r>
            <w:r>
              <w:rPr>
                <w:noProof/>
                <w:webHidden/>
              </w:rPr>
            </w:r>
            <w:r>
              <w:rPr>
                <w:noProof/>
                <w:webHidden/>
              </w:rPr>
              <w:fldChar w:fldCharType="separate"/>
            </w:r>
            <w:r w:rsidR="00B170DF">
              <w:rPr>
                <w:noProof/>
                <w:webHidden/>
              </w:rPr>
              <w:t>26</w:t>
            </w:r>
            <w:r>
              <w:rPr>
                <w:noProof/>
                <w:webHidden/>
              </w:rPr>
              <w:fldChar w:fldCharType="end"/>
            </w:r>
          </w:hyperlink>
        </w:p>
        <w:p w14:paraId="5C48A12E" w14:textId="0BD3CC6F" w:rsidR="00117224" w:rsidRDefault="00117224" w:rsidP="007A4755">
          <w:pPr>
            <w:pStyle w:val="TOC2"/>
            <w:spacing w:before="180"/>
            <w:ind w:left="1134" w:hanging="567"/>
            <w:rPr>
              <w:rFonts w:asciiTheme="minorHAnsi" w:hAnsiTheme="minorHAnsi"/>
              <w:noProof/>
              <w:sz w:val="24"/>
              <w:szCs w:val="30"/>
            </w:rPr>
          </w:pPr>
          <w:hyperlink w:anchor="_Toc205536760" w:history="1">
            <w:r w:rsidRPr="00D935DC">
              <w:rPr>
                <w:rStyle w:val="Hyperlink"/>
                <w:noProof/>
                <w:lang w:eastAsia="en-US" w:bidi="ar-SA"/>
              </w:rPr>
              <w:t>3.7</w:t>
            </w:r>
            <w:r>
              <w:rPr>
                <w:rFonts w:asciiTheme="minorHAnsi" w:hAnsiTheme="minorHAnsi"/>
                <w:noProof/>
                <w:sz w:val="24"/>
                <w:szCs w:val="30"/>
              </w:rPr>
              <w:tab/>
            </w:r>
            <w:r w:rsidRPr="00D935DC">
              <w:rPr>
                <w:rStyle w:val="Hyperlink"/>
                <w:caps/>
                <w:noProof/>
                <w:lang w:eastAsia="en-US" w:bidi="ar-SA"/>
              </w:rPr>
              <w:t>Adaptable</w:t>
            </w:r>
            <w:r w:rsidRPr="00D935DC">
              <w:rPr>
                <w:rStyle w:val="Hyperlink"/>
                <w:noProof/>
                <w:lang w:eastAsia="en-US" w:bidi="ar-SA"/>
              </w:rPr>
              <w:t>: Flexible and adaptive to change, including technological, regulatory and business model innovation</w:t>
            </w:r>
            <w:r>
              <w:rPr>
                <w:noProof/>
                <w:webHidden/>
              </w:rPr>
              <w:tab/>
            </w:r>
            <w:r>
              <w:rPr>
                <w:noProof/>
                <w:webHidden/>
              </w:rPr>
              <w:fldChar w:fldCharType="begin"/>
            </w:r>
            <w:r>
              <w:rPr>
                <w:noProof/>
                <w:webHidden/>
              </w:rPr>
              <w:instrText xml:space="preserve"> PAGEREF _Toc205536760 \h </w:instrText>
            </w:r>
            <w:r>
              <w:rPr>
                <w:noProof/>
                <w:webHidden/>
              </w:rPr>
            </w:r>
            <w:r>
              <w:rPr>
                <w:noProof/>
                <w:webHidden/>
              </w:rPr>
              <w:fldChar w:fldCharType="separate"/>
            </w:r>
            <w:r w:rsidR="00B170DF">
              <w:rPr>
                <w:noProof/>
                <w:webHidden/>
              </w:rPr>
              <w:t>28</w:t>
            </w:r>
            <w:r>
              <w:rPr>
                <w:noProof/>
                <w:webHidden/>
              </w:rPr>
              <w:fldChar w:fldCharType="end"/>
            </w:r>
          </w:hyperlink>
        </w:p>
        <w:p w14:paraId="695C3A6D" w14:textId="2BC5A6B9" w:rsidR="00117224" w:rsidRPr="007A4755" w:rsidRDefault="00117224" w:rsidP="007A4755">
          <w:pPr>
            <w:pStyle w:val="TOC2"/>
            <w:spacing w:before="180"/>
            <w:ind w:left="1134" w:hanging="567"/>
            <w:rPr>
              <w:rStyle w:val="Hyperlink"/>
              <w:noProof/>
              <w:lang w:eastAsia="en-US" w:bidi="ar-SA"/>
            </w:rPr>
          </w:pPr>
          <w:hyperlink w:anchor="_Toc205536761" w:history="1">
            <w:r w:rsidRPr="00D935DC">
              <w:rPr>
                <w:rStyle w:val="Hyperlink"/>
                <w:noProof/>
                <w:lang w:eastAsia="en-US" w:bidi="ar-SA"/>
              </w:rPr>
              <w:t>3.8</w:t>
            </w:r>
            <w:r w:rsidRPr="007A4755">
              <w:rPr>
                <w:rStyle w:val="Hyperlink"/>
                <w:noProof/>
                <w:lang w:eastAsia="en-US" w:bidi="ar-SA"/>
              </w:rPr>
              <w:tab/>
              <w:t>Beneficial</w:t>
            </w:r>
            <w:r w:rsidRPr="00D935DC">
              <w:rPr>
                <w:rStyle w:val="Hyperlink"/>
                <w:noProof/>
                <w:lang w:eastAsia="en-US" w:bidi="ar-SA"/>
              </w:rPr>
              <w:t>: Socially trusted, public good/benefits, commercially investable and financeable.</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_Toc205536761 \h </w:instrText>
            </w:r>
            <w:r w:rsidRPr="007A4755">
              <w:rPr>
                <w:rStyle w:val="Hyperlink"/>
                <w:noProof/>
                <w:webHidden/>
                <w:lang w:eastAsia="en-US" w:bidi="ar-SA"/>
              </w:rPr>
            </w:r>
            <w:r w:rsidRPr="007A4755">
              <w:rPr>
                <w:rStyle w:val="Hyperlink"/>
                <w:noProof/>
                <w:webHidden/>
                <w:lang w:eastAsia="en-US" w:bidi="ar-SA"/>
              </w:rPr>
              <w:fldChar w:fldCharType="separate"/>
            </w:r>
            <w:r w:rsidR="00B170DF">
              <w:rPr>
                <w:rStyle w:val="Hyperlink"/>
                <w:noProof/>
                <w:webHidden/>
                <w:lang w:eastAsia="en-US" w:bidi="ar-SA"/>
              </w:rPr>
              <w:t>29</w:t>
            </w:r>
            <w:r w:rsidRPr="007A4755">
              <w:rPr>
                <w:rStyle w:val="Hyperlink"/>
                <w:noProof/>
                <w:webHidden/>
                <w:lang w:eastAsia="en-US" w:bidi="ar-SA"/>
              </w:rPr>
              <w:fldChar w:fldCharType="end"/>
            </w:r>
          </w:hyperlink>
        </w:p>
        <w:p w14:paraId="123A43D6" w14:textId="1E98665C" w:rsidR="00117224" w:rsidRDefault="00117224">
          <w:pPr>
            <w:pStyle w:val="TOC1"/>
            <w:rPr>
              <w:rFonts w:asciiTheme="minorHAnsi" w:hAnsiTheme="minorHAnsi"/>
              <w:noProof/>
              <w:szCs w:val="30"/>
            </w:rPr>
          </w:pPr>
          <w:hyperlink w:anchor="_Toc205536762" w:history="1">
            <w:r w:rsidRPr="00D935DC">
              <w:rPr>
                <w:rStyle w:val="Hyperlink"/>
                <w:noProof/>
                <w:lang w:eastAsia="en-US" w:bidi="ar-SA"/>
              </w:rPr>
              <w:t>4</w:t>
            </w:r>
            <w:r>
              <w:rPr>
                <w:rFonts w:asciiTheme="minorHAnsi" w:hAnsiTheme="minorHAnsi"/>
                <w:noProof/>
                <w:szCs w:val="30"/>
              </w:rPr>
              <w:tab/>
            </w:r>
            <w:r w:rsidRPr="00D935DC">
              <w:rPr>
                <w:rStyle w:val="Hyperlink"/>
                <w:noProof/>
                <w:lang w:eastAsia="en-US" w:bidi="ar-SA"/>
              </w:rPr>
              <w:t>Trust &amp; Social Licence: The relationship with the eight objectives</w:t>
            </w:r>
            <w:r>
              <w:rPr>
                <w:noProof/>
                <w:webHidden/>
              </w:rPr>
              <w:tab/>
            </w:r>
            <w:r>
              <w:rPr>
                <w:noProof/>
                <w:webHidden/>
              </w:rPr>
              <w:fldChar w:fldCharType="begin"/>
            </w:r>
            <w:r>
              <w:rPr>
                <w:noProof/>
                <w:webHidden/>
              </w:rPr>
              <w:instrText xml:space="preserve"> PAGEREF _Toc205536762 \h </w:instrText>
            </w:r>
            <w:r>
              <w:rPr>
                <w:noProof/>
                <w:webHidden/>
              </w:rPr>
            </w:r>
            <w:r>
              <w:rPr>
                <w:noProof/>
                <w:webHidden/>
              </w:rPr>
              <w:fldChar w:fldCharType="separate"/>
            </w:r>
            <w:r w:rsidR="00B170DF">
              <w:rPr>
                <w:noProof/>
                <w:webHidden/>
              </w:rPr>
              <w:t>30</w:t>
            </w:r>
            <w:r>
              <w:rPr>
                <w:noProof/>
                <w:webHidden/>
              </w:rPr>
              <w:fldChar w:fldCharType="end"/>
            </w:r>
          </w:hyperlink>
        </w:p>
        <w:p w14:paraId="60493338" w14:textId="05070CE9" w:rsidR="00117224" w:rsidRDefault="00117224">
          <w:pPr>
            <w:pStyle w:val="TOC1"/>
            <w:rPr>
              <w:rFonts w:asciiTheme="minorHAnsi" w:hAnsiTheme="minorHAnsi"/>
              <w:noProof/>
              <w:szCs w:val="30"/>
            </w:rPr>
          </w:pPr>
          <w:hyperlink w:anchor="_Toc205536763" w:history="1">
            <w:r w:rsidRPr="00D935DC">
              <w:rPr>
                <w:rStyle w:val="Hyperlink"/>
                <w:noProof/>
                <w:lang w:eastAsia="en-US" w:bidi="ar-SA"/>
              </w:rPr>
              <w:t>5</w:t>
            </w:r>
            <w:r>
              <w:rPr>
                <w:rFonts w:asciiTheme="minorHAnsi" w:hAnsiTheme="minorHAnsi"/>
                <w:noProof/>
                <w:szCs w:val="30"/>
              </w:rPr>
              <w:tab/>
            </w:r>
            <w:r w:rsidRPr="00D935DC">
              <w:rPr>
                <w:rStyle w:val="Hyperlink"/>
                <w:noProof/>
                <w:lang w:eastAsia="en-US" w:bidi="ar-SA"/>
              </w:rPr>
              <w:t>Future System Design: Informing better trade-off choices</w:t>
            </w:r>
            <w:r>
              <w:rPr>
                <w:noProof/>
                <w:webHidden/>
              </w:rPr>
              <w:tab/>
            </w:r>
            <w:r>
              <w:rPr>
                <w:noProof/>
                <w:webHidden/>
              </w:rPr>
              <w:fldChar w:fldCharType="begin"/>
            </w:r>
            <w:r>
              <w:rPr>
                <w:noProof/>
                <w:webHidden/>
              </w:rPr>
              <w:instrText xml:space="preserve"> PAGEREF _Toc205536763 \h </w:instrText>
            </w:r>
            <w:r>
              <w:rPr>
                <w:noProof/>
                <w:webHidden/>
              </w:rPr>
            </w:r>
            <w:r>
              <w:rPr>
                <w:noProof/>
                <w:webHidden/>
              </w:rPr>
              <w:fldChar w:fldCharType="separate"/>
            </w:r>
            <w:r w:rsidR="00B170DF">
              <w:rPr>
                <w:noProof/>
                <w:webHidden/>
              </w:rPr>
              <w:t>31</w:t>
            </w:r>
            <w:r>
              <w:rPr>
                <w:noProof/>
                <w:webHidden/>
              </w:rPr>
              <w:fldChar w:fldCharType="end"/>
            </w:r>
          </w:hyperlink>
        </w:p>
        <w:p w14:paraId="733EDA4F" w14:textId="296C8F75" w:rsidR="00117224" w:rsidRDefault="00117224">
          <w:pPr>
            <w:pStyle w:val="TOC1"/>
            <w:rPr>
              <w:rFonts w:asciiTheme="minorHAnsi" w:hAnsiTheme="minorHAnsi"/>
              <w:noProof/>
              <w:szCs w:val="30"/>
            </w:rPr>
          </w:pPr>
          <w:hyperlink w:anchor="_Toc205536764" w:history="1">
            <w:r w:rsidRPr="00D935DC">
              <w:rPr>
                <w:rStyle w:val="Hyperlink"/>
                <w:noProof/>
                <w:lang w:eastAsia="en-US" w:bidi="ar-SA"/>
              </w:rPr>
              <w:t>6</w:t>
            </w:r>
            <w:r>
              <w:rPr>
                <w:rFonts w:asciiTheme="minorHAnsi" w:hAnsiTheme="minorHAnsi"/>
                <w:noProof/>
                <w:szCs w:val="30"/>
              </w:rPr>
              <w:tab/>
            </w:r>
            <w:r w:rsidRPr="00D935DC">
              <w:rPr>
                <w:rStyle w:val="Hyperlink"/>
                <w:noProof/>
                <w:lang w:eastAsia="en-US" w:bidi="ar-SA"/>
              </w:rPr>
              <w:t>Conclusion</w:t>
            </w:r>
            <w:r>
              <w:rPr>
                <w:noProof/>
                <w:webHidden/>
              </w:rPr>
              <w:tab/>
            </w:r>
            <w:r>
              <w:rPr>
                <w:noProof/>
                <w:webHidden/>
              </w:rPr>
              <w:fldChar w:fldCharType="begin"/>
            </w:r>
            <w:r>
              <w:rPr>
                <w:noProof/>
                <w:webHidden/>
              </w:rPr>
              <w:instrText xml:space="preserve"> PAGEREF _Toc205536764 \h </w:instrText>
            </w:r>
            <w:r>
              <w:rPr>
                <w:noProof/>
                <w:webHidden/>
              </w:rPr>
            </w:r>
            <w:r>
              <w:rPr>
                <w:noProof/>
                <w:webHidden/>
              </w:rPr>
              <w:fldChar w:fldCharType="separate"/>
            </w:r>
            <w:r w:rsidR="00B170DF">
              <w:rPr>
                <w:noProof/>
                <w:webHidden/>
              </w:rPr>
              <w:t>35</w:t>
            </w:r>
            <w:r>
              <w:rPr>
                <w:noProof/>
                <w:webHidden/>
              </w:rPr>
              <w:fldChar w:fldCharType="end"/>
            </w:r>
          </w:hyperlink>
        </w:p>
        <w:p w14:paraId="5A6C16D3" w14:textId="5381EE05" w:rsidR="00117224" w:rsidRDefault="00117224" w:rsidP="00117224">
          <w:pPr>
            <w:pStyle w:val="TOC1"/>
            <w:rPr>
              <w:rFonts w:asciiTheme="minorHAnsi" w:hAnsiTheme="minorHAnsi"/>
              <w:noProof/>
              <w:szCs w:val="30"/>
            </w:rPr>
          </w:pPr>
          <w:hyperlink w:anchor="_Toc205536765" w:history="1">
            <w:r w:rsidRPr="00D935DC">
              <w:rPr>
                <w:rStyle w:val="Hyperlink"/>
                <w:noProof/>
                <w:lang w:eastAsia="en-US" w:bidi="ar-SA"/>
              </w:rPr>
              <w:t>7</w:t>
            </w:r>
            <w:r>
              <w:rPr>
                <w:rFonts w:asciiTheme="minorHAnsi" w:hAnsiTheme="minorHAnsi"/>
                <w:noProof/>
                <w:szCs w:val="30"/>
              </w:rPr>
              <w:tab/>
            </w:r>
            <w:r w:rsidRPr="00D935DC">
              <w:rPr>
                <w:rStyle w:val="Hyperlink"/>
                <w:noProof/>
                <w:lang w:eastAsia="en-US" w:bidi="ar-SA"/>
              </w:rPr>
              <w:t>References</w:t>
            </w:r>
            <w:r>
              <w:rPr>
                <w:noProof/>
                <w:webHidden/>
              </w:rPr>
              <w:tab/>
            </w:r>
            <w:r>
              <w:rPr>
                <w:noProof/>
                <w:webHidden/>
              </w:rPr>
              <w:fldChar w:fldCharType="begin"/>
            </w:r>
            <w:r>
              <w:rPr>
                <w:noProof/>
                <w:webHidden/>
              </w:rPr>
              <w:instrText xml:space="preserve"> PAGEREF _Toc205536765 \h </w:instrText>
            </w:r>
            <w:r>
              <w:rPr>
                <w:noProof/>
                <w:webHidden/>
              </w:rPr>
            </w:r>
            <w:r>
              <w:rPr>
                <w:noProof/>
                <w:webHidden/>
              </w:rPr>
              <w:fldChar w:fldCharType="separate"/>
            </w:r>
            <w:r w:rsidR="00B170DF">
              <w:rPr>
                <w:noProof/>
                <w:webHidden/>
              </w:rPr>
              <w:t>36</w:t>
            </w:r>
            <w:r>
              <w:rPr>
                <w:noProof/>
                <w:webHidden/>
              </w:rPr>
              <w:fldChar w:fldCharType="end"/>
            </w:r>
          </w:hyperlink>
        </w:p>
        <w:p w14:paraId="7FB493A3" w14:textId="0610147B" w:rsidR="00117224" w:rsidRDefault="00117224">
          <w:pPr>
            <w:pStyle w:val="TOC1"/>
            <w:rPr>
              <w:rFonts w:asciiTheme="minorHAnsi" w:hAnsiTheme="minorHAnsi"/>
              <w:noProof/>
              <w:szCs w:val="30"/>
            </w:rPr>
          </w:pPr>
          <w:hyperlink w:anchor="_Toc205536775" w:history="1">
            <w:r w:rsidRPr="00D935DC">
              <w:rPr>
                <w:rStyle w:val="Hyperlink"/>
                <w:noProof/>
                <w:lang w:eastAsia="en-US" w:bidi="ar-SA"/>
              </w:rPr>
              <w:t>Appendix A: Detailed overview of the source material</w:t>
            </w:r>
            <w:r>
              <w:rPr>
                <w:noProof/>
                <w:webHidden/>
              </w:rPr>
              <w:tab/>
            </w:r>
            <w:r>
              <w:rPr>
                <w:noProof/>
                <w:webHidden/>
              </w:rPr>
              <w:fldChar w:fldCharType="begin"/>
            </w:r>
            <w:r>
              <w:rPr>
                <w:noProof/>
                <w:webHidden/>
              </w:rPr>
              <w:instrText xml:space="preserve"> PAGEREF _Toc205536775 \h </w:instrText>
            </w:r>
            <w:r>
              <w:rPr>
                <w:noProof/>
                <w:webHidden/>
              </w:rPr>
            </w:r>
            <w:r>
              <w:rPr>
                <w:noProof/>
                <w:webHidden/>
              </w:rPr>
              <w:fldChar w:fldCharType="separate"/>
            </w:r>
            <w:r w:rsidR="00B170DF">
              <w:rPr>
                <w:noProof/>
                <w:webHidden/>
              </w:rPr>
              <w:t>50</w:t>
            </w:r>
            <w:r>
              <w:rPr>
                <w:noProof/>
                <w:webHidden/>
              </w:rPr>
              <w:fldChar w:fldCharType="end"/>
            </w:r>
          </w:hyperlink>
        </w:p>
        <w:p w14:paraId="7B8E620E" w14:textId="202897B5" w:rsidR="00117224" w:rsidRDefault="00117224">
          <w:pPr>
            <w:pStyle w:val="TOC1"/>
            <w:rPr>
              <w:rFonts w:asciiTheme="minorHAnsi" w:hAnsiTheme="minorHAnsi"/>
              <w:noProof/>
              <w:szCs w:val="30"/>
            </w:rPr>
          </w:pPr>
          <w:hyperlink w:anchor="_Toc205536784" w:history="1">
            <w:r w:rsidRPr="00D935DC">
              <w:rPr>
                <w:rStyle w:val="Hyperlink"/>
                <w:noProof/>
                <w:lang w:eastAsia="en-US" w:bidi="ar-SA"/>
              </w:rPr>
              <w:t>Appendix B: Principles, Methodologies &amp; Acknowledgements</w:t>
            </w:r>
            <w:r>
              <w:rPr>
                <w:noProof/>
                <w:webHidden/>
              </w:rPr>
              <w:tab/>
            </w:r>
            <w:r>
              <w:rPr>
                <w:noProof/>
                <w:webHidden/>
              </w:rPr>
              <w:fldChar w:fldCharType="begin"/>
            </w:r>
            <w:r>
              <w:rPr>
                <w:noProof/>
                <w:webHidden/>
              </w:rPr>
              <w:instrText xml:space="preserve"> PAGEREF _Toc205536784 \h </w:instrText>
            </w:r>
            <w:r>
              <w:rPr>
                <w:noProof/>
                <w:webHidden/>
              </w:rPr>
            </w:r>
            <w:r>
              <w:rPr>
                <w:noProof/>
                <w:webHidden/>
              </w:rPr>
              <w:fldChar w:fldCharType="separate"/>
            </w:r>
            <w:r w:rsidR="00B170DF">
              <w:rPr>
                <w:noProof/>
                <w:webHidden/>
              </w:rPr>
              <w:t>78</w:t>
            </w:r>
            <w:r>
              <w:rPr>
                <w:noProof/>
                <w:webHidden/>
              </w:rPr>
              <w:fldChar w:fldCharType="end"/>
            </w:r>
          </w:hyperlink>
        </w:p>
        <w:p w14:paraId="2054A3B5" w14:textId="4751E464" w:rsidR="00117224" w:rsidRDefault="00117224">
          <w:pPr>
            <w:pStyle w:val="TOC2"/>
            <w:rPr>
              <w:rFonts w:asciiTheme="minorHAnsi" w:hAnsiTheme="minorHAnsi"/>
              <w:noProof/>
              <w:sz w:val="24"/>
              <w:szCs w:val="30"/>
            </w:rPr>
          </w:pPr>
          <w:hyperlink w:anchor="_Toc205536785" w:history="1">
            <w:r w:rsidRPr="00D935DC">
              <w:rPr>
                <w:rStyle w:val="Hyperlink"/>
                <w:rFonts w:ascii="PP Mori SemiBold" w:eastAsiaTheme="majorEastAsia" w:hAnsi="PP Mori SemiBold" w:cstheme="majorBidi"/>
                <w:noProof/>
                <w:lang w:eastAsia="en-US" w:bidi="ar-SA"/>
              </w:rPr>
              <w:t>B1</w:t>
            </w:r>
            <w:r>
              <w:rPr>
                <w:rFonts w:asciiTheme="minorHAnsi" w:hAnsiTheme="minorHAnsi"/>
                <w:noProof/>
                <w:sz w:val="24"/>
                <w:szCs w:val="30"/>
              </w:rPr>
              <w:tab/>
            </w:r>
            <w:r w:rsidRPr="00D935DC">
              <w:rPr>
                <w:rStyle w:val="Hyperlink"/>
                <w:rFonts w:ascii="PP Mori SemiBold" w:eastAsiaTheme="majorEastAsia" w:hAnsi="PP Mori SemiBold" w:cstheme="majorBidi"/>
                <w:noProof/>
                <w:lang w:eastAsia="en-US" w:bidi="ar-SA"/>
              </w:rPr>
              <w:t>Guiding Principles</w:t>
            </w:r>
            <w:r>
              <w:rPr>
                <w:noProof/>
                <w:webHidden/>
              </w:rPr>
              <w:tab/>
            </w:r>
            <w:r>
              <w:rPr>
                <w:noProof/>
                <w:webHidden/>
              </w:rPr>
              <w:fldChar w:fldCharType="begin"/>
            </w:r>
            <w:r>
              <w:rPr>
                <w:noProof/>
                <w:webHidden/>
              </w:rPr>
              <w:instrText xml:space="preserve"> PAGEREF _Toc205536785 \h </w:instrText>
            </w:r>
            <w:r>
              <w:rPr>
                <w:noProof/>
                <w:webHidden/>
              </w:rPr>
            </w:r>
            <w:r>
              <w:rPr>
                <w:noProof/>
                <w:webHidden/>
              </w:rPr>
              <w:fldChar w:fldCharType="separate"/>
            </w:r>
            <w:r w:rsidR="00B170DF">
              <w:rPr>
                <w:noProof/>
                <w:webHidden/>
              </w:rPr>
              <w:t>78</w:t>
            </w:r>
            <w:r>
              <w:rPr>
                <w:noProof/>
                <w:webHidden/>
              </w:rPr>
              <w:fldChar w:fldCharType="end"/>
            </w:r>
          </w:hyperlink>
        </w:p>
        <w:p w14:paraId="6A190A87" w14:textId="27D5F6CF" w:rsidR="00117224" w:rsidRDefault="00117224">
          <w:pPr>
            <w:pStyle w:val="TOC2"/>
            <w:rPr>
              <w:rFonts w:asciiTheme="minorHAnsi" w:hAnsiTheme="minorHAnsi"/>
              <w:noProof/>
              <w:sz w:val="24"/>
              <w:szCs w:val="30"/>
            </w:rPr>
          </w:pPr>
          <w:hyperlink w:anchor="_Toc205536786" w:history="1">
            <w:r w:rsidRPr="00D935DC">
              <w:rPr>
                <w:rStyle w:val="Hyperlink"/>
                <w:rFonts w:ascii="PP Mori SemiBold" w:eastAsiaTheme="majorEastAsia" w:hAnsi="PP Mori SemiBold" w:cstheme="majorBidi"/>
                <w:noProof/>
                <w:lang w:eastAsia="en-US" w:bidi="ar-SA"/>
              </w:rPr>
              <w:t>B2</w:t>
            </w:r>
            <w:r>
              <w:rPr>
                <w:rFonts w:asciiTheme="minorHAnsi" w:hAnsiTheme="minorHAnsi"/>
                <w:noProof/>
                <w:sz w:val="24"/>
                <w:szCs w:val="30"/>
              </w:rPr>
              <w:tab/>
            </w:r>
            <w:r w:rsidRPr="00D935DC">
              <w:rPr>
                <w:rStyle w:val="Hyperlink"/>
                <w:rFonts w:ascii="PP Mori SemiBold" w:eastAsiaTheme="majorEastAsia" w:hAnsi="PP Mori SemiBold" w:cstheme="majorBidi"/>
                <w:noProof/>
                <w:lang w:eastAsia="en-US" w:bidi="ar-SA"/>
              </w:rPr>
              <w:t>Integrated Disciplines &amp; Tools</w:t>
            </w:r>
            <w:r>
              <w:rPr>
                <w:noProof/>
                <w:webHidden/>
              </w:rPr>
              <w:tab/>
            </w:r>
            <w:r>
              <w:rPr>
                <w:noProof/>
                <w:webHidden/>
              </w:rPr>
              <w:fldChar w:fldCharType="begin"/>
            </w:r>
            <w:r>
              <w:rPr>
                <w:noProof/>
                <w:webHidden/>
              </w:rPr>
              <w:instrText xml:space="preserve"> PAGEREF _Toc205536786 \h </w:instrText>
            </w:r>
            <w:r>
              <w:rPr>
                <w:noProof/>
                <w:webHidden/>
              </w:rPr>
            </w:r>
            <w:r>
              <w:rPr>
                <w:noProof/>
                <w:webHidden/>
              </w:rPr>
              <w:fldChar w:fldCharType="separate"/>
            </w:r>
            <w:r w:rsidR="00B170DF">
              <w:rPr>
                <w:noProof/>
                <w:webHidden/>
              </w:rPr>
              <w:t>79</w:t>
            </w:r>
            <w:r>
              <w:rPr>
                <w:noProof/>
                <w:webHidden/>
              </w:rPr>
              <w:fldChar w:fldCharType="end"/>
            </w:r>
          </w:hyperlink>
        </w:p>
        <w:p w14:paraId="5DB5CA96" w14:textId="44753D26" w:rsidR="00117224" w:rsidRDefault="00117224">
          <w:pPr>
            <w:pStyle w:val="TOC2"/>
            <w:rPr>
              <w:rFonts w:asciiTheme="minorHAnsi" w:hAnsiTheme="minorHAnsi"/>
              <w:noProof/>
              <w:sz w:val="24"/>
              <w:szCs w:val="30"/>
            </w:rPr>
          </w:pPr>
          <w:hyperlink w:anchor="_Toc205536787" w:history="1">
            <w:r w:rsidRPr="00D935DC">
              <w:rPr>
                <w:rStyle w:val="Hyperlink"/>
                <w:rFonts w:ascii="PP Mori SemiBold" w:eastAsiaTheme="majorEastAsia" w:hAnsi="PP Mori SemiBold" w:cstheme="majorBidi"/>
                <w:noProof/>
              </w:rPr>
              <w:t>B3</w:t>
            </w:r>
            <w:r>
              <w:rPr>
                <w:rFonts w:asciiTheme="minorHAnsi" w:hAnsiTheme="minorHAnsi"/>
                <w:noProof/>
                <w:sz w:val="24"/>
                <w:szCs w:val="30"/>
              </w:rPr>
              <w:tab/>
            </w:r>
            <w:r w:rsidRPr="00D935DC">
              <w:rPr>
                <w:rStyle w:val="Hyperlink"/>
                <w:rFonts w:ascii="PP Mori SemiBold" w:eastAsiaTheme="majorEastAsia" w:hAnsi="PP Mori SemiBold" w:cstheme="majorBidi"/>
                <w:noProof/>
              </w:rPr>
              <w:t>Acknowledgements &amp; Foundational Sources</w:t>
            </w:r>
            <w:r>
              <w:rPr>
                <w:noProof/>
                <w:webHidden/>
              </w:rPr>
              <w:tab/>
            </w:r>
            <w:r>
              <w:rPr>
                <w:noProof/>
                <w:webHidden/>
              </w:rPr>
              <w:fldChar w:fldCharType="begin"/>
            </w:r>
            <w:r>
              <w:rPr>
                <w:noProof/>
                <w:webHidden/>
              </w:rPr>
              <w:instrText xml:space="preserve"> PAGEREF _Toc205536787 \h </w:instrText>
            </w:r>
            <w:r>
              <w:rPr>
                <w:noProof/>
                <w:webHidden/>
              </w:rPr>
            </w:r>
            <w:r>
              <w:rPr>
                <w:noProof/>
                <w:webHidden/>
              </w:rPr>
              <w:fldChar w:fldCharType="separate"/>
            </w:r>
            <w:r w:rsidR="00B170DF">
              <w:rPr>
                <w:noProof/>
                <w:webHidden/>
              </w:rPr>
              <w:t>83</w:t>
            </w:r>
            <w:r>
              <w:rPr>
                <w:noProof/>
                <w:webHidden/>
              </w:rPr>
              <w:fldChar w:fldCharType="end"/>
            </w:r>
          </w:hyperlink>
        </w:p>
        <w:p w14:paraId="6189557D" w14:textId="2229CBC3" w:rsidR="00706727" w:rsidRPr="00050A5B" w:rsidRDefault="00D8123B" w:rsidP="0005177D">
          <w:r w:rsidRPr="00050A5B">
            <w:rPr>
              <w:b/>
              <w:bCs/>
              <w:noProof/>
            </w:rPr>
            <w:fldChar w:fldCharType="end"/>
          </w:r>
        </w:p>
      </w:sdtContent>
    </w:sdt>
    <w:p w14:paraId="391888E4" w14:textId="77777777" w:rsidR="00117224" w:rsidRDefault="00117224">
      <w:pPr>
        <w:spacing w:before="0" w:after="160" w:line="259" w:lineRule="auto"/>
        <w:rPr>
          <w:rFonts w:ascii="PP Mori SemiBold" w:eastAsiaTheme="majorEastAsia" w:hAnsi="PP Mori SemiBold" w:cstheme="majorBidi"/>
          <w:color w:val="013C4C" w:themeColor="text1"/>
          <w:sz w:val="32"/>
          <w:szCs w:val="40"/>
          <w:lang w:eastAsia="en-US" w:bidi="ar-SA"/>
        </w:rPr>
      </w:pPr>
      <w:bookmarkStart w:id="1" w:name="_Toc205536742"/>
      <w:r>
        <w:rPr>
          <w:lang w:eastAsia="en-US" w:bidi="ar-SA"/>
        </w:rPr>
        <w:br w:type="page"/>
      </w:r>
    </w:p>
    <w:p w14:paraId="43DD950E" w14:textId="254A93E5" w:rsidR="00DF4DDE" w:rsidRDefault="00DF4DDE" w:rsidP="00DF4DDE">
      <w:pPr>
        <w:pStyle w:val="Heading1"/>
        <w:numPr>
          <w:ilvl w:val="0"/>
          <w:numId w:val="0"/>
        </w:numPr>
        <w:ind w:left="432" w:hanging="432"/>
        <w:rPr>
          <w:lang w:eastAsia="en-US" w:bidi="ar-SA"/>
        </w:rPr>
      </w:pPr>
      <w:r>
        <w:rPr>
          <w:lang w:eastAsia="en-US" w:bidi="ar-SA"/>
        </w:rPr>
        <w:t>Table of Figures</w:t>
      </w:r>
      <w:bookmarkEnd w:id="1"/>
    </w:p>
    <w:p w14:paraId="287D8B1D" w14:textId="0046801B" w:rsidR="002A145E" w:rsidRDefault="00C20035">
      <w:pPr>
        <w:pStyle w:val="TableofFigures"/>
        <w:tabs>
          <w:tab w:val="right" w:leader="dot" w:pos="8210"/>
        </w:tabs>
        <w:rPr>
          <w:rFonts w:asciiTheme="minorHAnsi" w:hAnsiTheme="minorHAnsi"/>
          <w:noProof/>
          <w:sz w:val="24"/>
          <w:szCs w:val="24"/>
          <w:lang w:eastAsia="en-AU" w:bidi="ar-SA"/>
        </w:rPr>
      </w:pPr>
      <w:r>
        <w:rPr>
          <w:lang w:eastAsia="en-US" w:bidi="ar-SA"/>
        </w:rPr>
        <w:fldChar w:fldCharType="begin"/>
      </w:r>
      <w:r>
        <w:rPr>
          <w:lang w:eastAsia="en-US" w:bidi="ar-SA"/>
        </w:rPr>
        <w:instrText xml:space="preserve"> TOC \h \z \c "Figure" </w:instrText>
      </w:r>
      <w:r>
        <w:rPr>
          <w:lang w:eastAsia="en-US" w:bidi="ar-SA"/>
        </w:rPr>
        <w:fldChar w:fldCharType="separate"/>
      </w:r>
      <w:hyperlink w:anchor="_Toc204156264" w:history="1">
        <w:r w:rsidR="002A145E" w:rsidRPr="00D75A81">
          <w:rPr>
            <w:rStyle w:val="Hyperlink"/>
            <w:noProof/>
          </w:rPr>
          <w:t>Figure 1: This report is part of an integrated set of five reports designed to support a systems-based approach to Australia’s grid transformation.</w:t>
        </w:r>
        <w:r w:rsidR="002A145E">
          <w:rPr>
            <w:noProof/>
            <w:webHidden/>
          </w:rPr>
          <w:tab/>
        </w:r>
        <w:r w:rsidR="002A145E">
          <w:rPr>
            <w:noProof/>
            <w:webHidden/>
          </w:rPr>
          <w:fldChar w:fldCharType="begin"/>
        </w:r>
        <w:r w:rsidR="002A145E">
          <w:rPr>
            <w:noProof/>
            <w:webHidden/>
          </w:rPr>
          <w:instrText xml:space="preserve"> PAGEREF _Toc204156264 \h </w:instrText>
        </w:r>
        <w:r w:rsidR="002A145E">
          <w:rPr>
            <w:noProof/>
            <w:webHidden/>
          </w:rPr>
        </w:r>
        <w:r w:rsidR="002A145E">
          <w:rPr>
            <w:noProof/>
            <w:webHidden/>
          </w:rPr>
          <w:fldChar w:fldCharType="separate"/>
        </w:r>
        <w:r w:rsidR="00B170DF">
          <w:rPr>
            <w:noProof/>
            <w:webHidden/>
          </w:rPr>
          <w:t>11</w:t>
        </w:r>
        <w:r w:rsidR="002A145E">
          <w:rPr>
            <w:noProof/>
            <w:webHidden/>
          </w:rPr>
          <w:fldChar w:fldCharType="end"/>
        </w:r>
      </w:hyperlink>
    </w:p>
    <w:p w14:paraId="734EA695" w14:textId="2D7646D2" w:rsidR="002A145E" w:rsidRDefault="002A145E">
      <w:pPr>
        <w:pStyle w:val="TableofFigures"/>
        <w:tabs>
          <w:tab w:val="right" w:leader="dot" w:pos="8210"/>
        </w:tabs>
        <w:rPr>
          <w:rFonts w:asciiTheme="minorHAnsi" w:hAnsiTheme="minorHAnsi"/>
          <w:noProof/>
          <w:sz w:val="24"/>
          <w:szCs w:val="24"/>
          <w:lang w:eastAsia="en-AU" w:bidi="ar-SA"/>
        </w:rPr>
      </w:pPr>
      <w:hyperlink w:anchor="_Toc204156265" w:history="1">
        <w:r w:rsidRPr="00D75A81">
          <w:rPr>
            <w:rStyle w:val="Hyperlink"/>
            <w:noProof/>
          </w:rPr>
          <w:t>Figure 2: The study identified eight customer and societal objectives for future power systems.</w:t>
        </w:r>
        <w:r>
          <w:rPr>
            <w:noProof/>
            <w:webHidden/>
          </w:rPr>
          <w:tab/>
        </w:r>
        <w:r>
          <w:rPr>
            <w:noProof/>
            <w:webHidden/>
          </w:rPr>
          <w:fldChar w:fldCharType="begin"/>
        </w:r>
        <w:r>
          <w:rPr>
            <w:noProof/>
            <w:webHidden/>
          </w:rPr>
          <w:instrText xml:space="preserve"> PAGEREF _Toc204156265 \h </w:instrText>
        </w:r>
        <w:r>
          <w:rPr>
            <w:noProof/>
            <w:webHidden/>
          </w:rPr>
        </w:r>
        <w:r>
          <w:rPr>
            <w:noProof/>
            <w:webHidden/>
          </w:rPr>
          <w:fldChar w:fldCharType="separate"/>
        </w:r>
        <w:r w:rsidR="00B170DF">
          <w:rPr>
            <w:noProof/>
            <w:webHidden/>
          </w:rPr>
          <w:t>16</w:t>
        </w:r>
        <w:r>
          <w:rPr>
            <w:noProof/>
            <w:webHidden/>
          </w:rPr>
          <w:fldChar w:fldCharType="end"/>
        </w:r>
      </w:hyperlink>
    </w:p>
    <w:p w14:paraId="2B59942C" w14:textId="47D1F27A" w:rsidR="002A145E" w:rsidRDefault="002A145E">
      <w:pPr>
        <w:pStyle w:val="TableofFigures"/>
        <w:tabs>
          <w:tab w:val="right" w:leader="dot" w:pos="8210"/>
        </w:tabs>
        <w:rPr>
          <w:rFonts w:asciiTheme="minorHAnsi" w:hAnsiTheme="minorHAnsi"/>
          <w:noProof/>
          <w:sz w:val="24"/>
          <w:szCs w:val="24"/>
          <w:lang w:eastAsia="en-AU" w:bidi="ar-SA"/>
        </w:rPr>
      </w:pPr>
      <w:hyperlink w:anchor="_Toc204156266" w:history="1">
        <w:r w:rsidRPr="00D75A81">
          <w:rPr>
            <w:rStyle w:val="Hyperlink"/>
            <w:noProof/>
          </w:rPr>
          <w:t>Figure 3:</w:t>
        </w:r>
        <w:r w:rsidRPr="00D75A81">
          <w:rPr>
            <w:rStyle w:val="Hyperlink"/>
            <w:rFonts w:cs="Calibri"/>
            <w:noProof/>
          </w:rPr>
          <w:t xml:space="preserve"> Consumer likelihood of identifying as under financial pressure, per income bracket.</w:t>
        </w:r>
        <w:r>
          <w:rPr>
            <w:noProof/>
            <w:webHidden/>
          </w:rPr>
          <w:tab/>
        </w:r>
        <w:r>
          <w:rPr>
            <w:noProof/>
            <w:webHidden/>
          </w:rPr>
          <w:fldChar w:fldCharType="begin"/>
        </w:r>
        <w:r>
          <w:rPr>
            <w:noProof/>
            <w:webHidden/>
          </w:rPr>
          <w:instrText xml:space="preserve"> PAGEREF _Toc204156266 \h </w:instrText>
        </w:r>
        <w:r>
          <w:rPr>
            <w:noProof/>
            <w:webHidden/>
          </w:rPr>
        </w:r>
        <w:r>
          <w:rPr>
            <w:noProof/>
            <w:webHidden/>
          </w:rPr>
          <w:fldChar w:fldCharType="separate"/>
        </w:r>
        <w:r w:rsidR="00B170DF">
          <w:rPr>
            <w:noProof/>
            <w:webHidden/>
          </w:rPr>
          <w:t>21</w:t>
        </w:r>
        <w:r>
          <w:rPr>
            <w:noProof/>
            <w:webHidden/>
          </w:rPr>
          <w:fldChar w:fldCharType="end"/>
        </w:r>
      </w:hyperlink>
    </w:p>
    <w:p w14:paraId="26962125" w14:textId="05375AD9" w:rsidR="002A145E" w:rsidRDefault="002A145E">
      <w:pPr>
        <w:pStyle w:val="TableofFigures"/>
        <w:tabs>
          <w:tab w:val="right" w:leader="dot" w:pos="8210"/>
        </w:tabs>
        <w:rPr>
          <w:rFonts w:asciiTheme="minorHAnsi" w:hAnsiTheme="minorHAnsi"/>
          <w:noProof/>
          <w:sz w:val="24"/>
          <w:szCs w:val="24"/>
          <w:lang w:eastAsia="en-AU" w:bidi="ar-SA"/>
        </w:rPr>
      </w:pPr>
      <w:hyperlink w:anchor="_Toc204156267" w:history="1">
        <w:r w:rsidRPr="00D75A81">
          <w:rPr>
            <w:rStyle w:val="Hyperlink"/>
            <w:rFonts w:cs="Calibri"/>
            <w:noProof/>
          </w:rPr>
          <w:t xml:space="preserve">Figure </w:t>
        </w:r>
        <w:r w:rsidRPr="00D75A81">
          <w:rPr>
            <w:rStyle w:val="Hyperlink"/>
            <w:noProof/>
          </w:rPr>
          <w:t>4:</w:t>
        </w:r>
        <w:r w:rsidRPr="00D75A81">
          <w:rPr>
            <w:rStyle w:val="Hyperlink"/>
            <w:rFonts w:cs="Calibri"/>
            <w:noProof/>
          </w:rPr>
          <w:t xml:space="preserve"> Consumer-perceived value for money across different services.</w:t>
        </w:r>
        <w:r>
          <w:rPr>
            <w:noProof/>
            <w:webHidden/>
          </w:rPr>
          <w:tab/>
        </w:r>
        <w:r>
          <w:rPr>
            <w:noProof/>
            <w:webHidden/>
          </w:rPr>
          <w:fldChar w:fldCharType="begin"/>
        </w:r>
        <w:r>
          <w:rPr>
            <w:noProof/>
            <w:webHidden/>
          </w:rPr>
          <w:instrText xml:space="preserve"> PAGEREF _Toc204156267 \h </w:instrText>
        </w:r>
        <w:r>
          <w:rPr>
            <w:noProof/>
            <w:webHidden/>
          </w:rPr>
        </w:r>
        <w:r>
          <w:rPr>
            <w:noProof/>
            <w:webHidden/>
          </w:rPr>
          <w:fldChar w:fldCharType="separate"/>
        </w:r>
        <w:r w:rsidR="00B170DF">
          <w:rPr>
            <w:noProof/>
            <w:webHidden/>
          </w:rPr>
          <w:t>21</w:t>
        </w:r>
        <w:r>
          <w:rPr>
            <w:noProof/>
            <w:webHidden/>
          </w:rPr>
          <w:fldChar w:fldCharType="end"/>
        </w:r>
      </w:hyperlink>
    </w:p>
    <w:p w14:paraId="68825504" w14:textId="4BF4736C" w:rsidR="002A145E" w:rsidRDefault="002A145E">
      <w:pPr>
        <w:pStyle w:val="TableofFigures"/>
        <w:tabs>
          <w:tab w:val="right" w:leader="dot" w:pos="8210"/>
        </w:tabs>
        <w:rPr>
          <w:rFonts w:asciiTheme="minorHAnsi" w:hAnsiTheme="minorHAnsi"/>
          <w:noProof/>
          <w:sz w:val="24"/>
          <w:szCs w:val="24"/>
          <w:lang w:eastAsia="en-AU" w:bidi="ar-SA"/>
        </w:rPr>
      </w:pPr>
      <w:hyperlink w:anchor="_Toc204156268" w:history="1">
        <w:r w:rsidRPr="00B224CE">
          <w:rPr>
            <w:rStyle w:val="Hyperlink"/>
            <w:noProof/>
          </w:rPr>
          <w:t>Figure 5: Mapping of objectives through the structural and component choices.</w:t>
        </w:r>
        <w:r>
          <w:rPr>
            <w:noProof/>
            <w:webHidden/>
          </w:rPr>
          <w:tab/>
        </w:r>
        <w:r>
          <w:rPr>
            <w:noProof/>
            <w:webHidden/>
          </w:rPr>
          <w:fldChar w:fldCharType="begin"/>
        </w:r>
        <w:r>
          <w:rPr>
            <w:noProof/>
            <w:webHidden/>
          </w:rPr>
          <w:instrText xml:space="preserve"> PAGEREF _Toc204156268 \h </w:instrText>
        </w:r>
        <w:r>
          <w:rPr>
            <w:noProof/>
            <w:webHidden/>
          </w:rPr>
        </w:r>
        <w:r>
          <w:rPr>
            <w:noProof/>
            <w:webHidden/>
          </w:rPr>
          <w:fldChar w:fldCharType="separate"/>
        </w:r>
        <w:r w:rsidR="00B170DF">
          <w:rPr>
            <w:noProof/>
            <w:webHidden/>
          </w:rPr>
          <w:t>31</w:t>
        </w:r>
        <w:r>
          <w:rPr>
            <w:noProof/>
            <w:webHidden/>
          </w:rPr>
          <w:fldChar w:fldCharType="end"/>
        </w:r>
      </w:hyperlink>
    </w:p>
    <w:p w14:paraId="6B046CB7" w14:textId="2FB298F3" w:rsidR="002A145E" w:rsidRDefault="002A145E">
      <w:pPr>
        <w:pStyle w:val="TableofFigures"/>
        <w:tabs>
          <w:tab w:val="right" w:leader="dot" w:pos="8210"/>
        </w:tabs>
        <w:rPr>
          <w:rFonts w:asciiTheme="minorHAnsi" w:hAnsiTheme="minorHAnsi"/>
          <w:noProof/>
          <w:sz w:val="24"/>
          <w:szCs w:val="24"/>
          <w:lang w:eastAsia="en-AU" w:bidi="ar-SA"/>
        </w:rPr>
      </w:pPr>
      <w:hyperlink w:anchor="_Toc204156269" w:history="1">
        <w:r w:rsidRPr="00B224CE">
          <w:rPr>
            <w:rStyle w:val="Hyperlink"/>
            <w:noProof/>
          </w:rPr>
          <w:t>Figure 6 - Tracing System Qualities to Properties to Components</w:t>
        </w:r>
        <w:r>
          <w:rPr>
            <w:noProof/>
            <w:webHidden/>
          </w:rPr>
          <w:tab/>
        </w:r>
        <w:r>
          <w:rPr>
            <w:noProof/>
            <w:webHidden/>
          </w:rPr>
          <w:fldChar w:fldCharType="begin"/>
        </w:r>
        <w:r>
          <w:rPr>
            <w:noProof/>
            <w:webHidden/>
          </w:rPr>
          <w:instrText xml:space="preserve"> PAGEREF _Toc204156269 \h </w:instrText>
        </w:r>
        <w:r>
          <w:rPr>
            <w:noProof/>
            <w:webHidden/>
          </w:rPr>
        </w:r>
        <w:r>
          <w:rPr>
            <w:noProof/>
            <w:webHidden/>
          </w:rPr>
          <w:fldChar w:fldCharType="separate"/>
        </w:r>
        <w:r w:rsidR="00B170DF">
          <w:rPr>
            <w:noProof/>
            <w:webHidden/>
          </w:rPr>
          <w:t>33</w:t>
        </w:r>
        <w:r>
          <w:rPr>
            <w:noProof/>
            <w:webHidden/>
          </w:rPr>
          <w:fldChar w:fldCharType="end"/>
        </w:r>
      </w:hyperlink>
    </w:p>
    <w:p w14:paraId="23CBA8C2" w14:textId="01DC5870" w:rsidR="002A145E" w:rsidRDefault="002A145E">
      <w:pPr>
        <w:pStyle w:val="TableofFigures"/>
        <w:tabs>
          <w:tab w:val="right" w:leader="dot" w:pos="8210"/>
        </w:tabs>
        <w:rPr>
          <w:rFonts w:asciiTheme="minorHAnsi" w:hAnsiTheme="minorHAnsi"/>
          <w:noProof/>
          <w:sz w:val="24"/>
          <w:szCs w:val="24"/>
          <w:lang w:eastAsia="en-AU" w:bidi="ar-SA"/>
        </w:rPr>
      </w:pPr>
      <w:hyperlink w:anchor="_Toc204156270" w:history="1">
        <w:r w:rsidRPr="00D75A81">
          <w:rPr>
            <w:rStyle w:val="Hyperlink"/>
            <w:noProof/>
          </w:rPr>
          <w:t>Figure 7 - Example Mapping of Structural interventions to qualitites and properties</w:t>
        </w:r>
        <w:r>
          <w:rPr>
            <w:noProof/>
            <w:webHidden/>
          </w:rPr>
          <w:tab/>
        </w:r>
        <w:r>
          <w:rPr>
            <w:noProof/>
            <w:webHidden/>
          </w:rPr>
          <w:fldChar w:fldCharType="begin"/>
        </w:r>
        <w:r>
          <w:rPr>
            <w:noProof/>
            <w:webHidden/>
          </w:rPr>
          <w:instrText xml:space="preserve"> PAGEREF _Toc204156270 \h </w:instrText>
        </w:r>
        <w:r>
          <w:rPr>
            <w:noProof/>
            <w:webHidden/>
          </w:rPr>
        </w:r>
        <w:r>
          <w:rPr>
            <w:noProof/>
            <w:webHidden/>
          </w:rPr>
          <w:fldChar w:fldCharType="separate"/>
        </w:r>
        <w:r w:rsidR="00B170DF">
          <w:rPr>
            <w:noProof/>
            <w:webHidden/>
          </w:rPr>
          <w:t>34</w:t>
        </w:r>
        <w:r>
          <w:rPr>
            <w:noProof/>
            <w:webHidden/>
          </w:rPr>
          <w:fldChar w:fldCharType="end"/>
        </w:r>
      </w:hyperlink>
    </w:p>
    <w:p w14:paraId="21F57894" w14:textId="5715F31E" w:rsidR="00424032" w:rsidRDefault="00C20035">
      <w:pPr>
        <w:spacing w:before="0" w:after="160" w:line="259" w:lineRule="auto"/>
        <w:rPr>
          <w:lang w:eastAsia="en-US" w:bidi="ar-SA"/>
        </w:rPr>
      </w:pPr>
      <w:r>
        <w:rPr>
          <w:lang w:eastAsia="en-US" w:bidi="ar-SA"/>
        </w:rPr>
        <w:fldChar w:fldCharType="end"/>
      </w:r>
    </w:p>
    <w:p w14:paraId="4553E76C" w14:textId="77777777" w:rsidR="00DF4DDE" w:rsidRDefault="00DF4DDE">
      <w:pPr>
        <w:spacing w:before="0" w:after="160" w:line="259" w:lineRule="auto"/>
        <w:rPr>
          <w:lang w:eastAsia="en-US" w:bidi="ar-SA"/>
        </w:rPr>
      </w:pPr>
    </w:p>
    <w:p w14:paraId="212B6A6D" w14:textId="77777777" w:rsidR="00DF4DDE" w:rsidRDefault="00DF4DDE">
      <w:pPr>
        <w:spacing w:before="0" w:after="160" w:line="259" w:lineRule="auto"/>
        <w:rPr>
          <w:lang w:eastAsia="en-US" w:bidi="ar-SA"/>
        </w:rPr>
      </w:pPr>
    </w:p>
    <w:p w14:paraId="5C58A67E" w14:textId="77777777" w:rsidR="00117224" w:rsidRDefault="00117224">
      <w:pPr>
        <w:spacing w:before="0" w:after="160" w:line="259" w:lineRule="auto"/>
        <w:rPr>
          <w:rFonts w:ascii="PP Mori SemiBold" w:eastAsiaTheme="majorEastAsia" w:hAnsi="PP Mori SemiBold" w:cstheme="majorBidi"/>
          <w:color w:val="013C4C" w:themeColor="text1"/>
          <w:sz w:val="32"/>
          <w:szCs w:val="40"/>
          <w:lang w:eastAsia="en-US" w:bidi="ar-SA"/>
        </w:rPr>
      </w:pPr>
      <w:bookmarkStart w:id="2" w:name="_Toc205536743"/>
      <w:r>
        <w:rPr>
          <w:lang w:eastAsia="en-US" w:bidi="ar-SA"/>
        </w:rPr>
        <w:br w:type="page"/>
      </w:r>
    </w:p>
    <w:p w14:paraId="75DA3E57" w14:textId="7D485E5A" w:rsidR="00E30C50" w:rsidRDefault="00E30C50" w:rsidP="00117224">
      <w:pPr>
        <w:pStyle w:val="Heading1"/>
        <w:numPr>
          <w:ilvl w:val="0"/>
          <w:numId w:val="0"/>
        </w:numPr>
        <w:spacing w:after="120"/>
        <w:rPr>
          <w:lang w:eastAsia="en-US" w:bidi="ar-SA"/>
        </w:rPr>
      </w:pPr>
      <w:r>
        <w:rPr>
          <w:lang w:eastAsia="en-US" w:bidi="ar-SA"/>
        </w:rPr>
        <w:t>List of Acronyms</w:t>
      </w:r>
      <w:bookmarkEnd w:id="2"/>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379"/>
      </w:tblGrid>
      <w:tr w:rsidR="00075FC4" w14:paraId="3EFAA13B" w14:textId="77777777" w:rsidTr="00075FC4">
        <w:trPr>
          <w:trHeight w:val="340"/>
        </w:trPr>
        <w:tc>
          <w:tcPr>
            <w:tcW w:w="1843" w:type="dxa"/>
          </w:tcPr>
          <w:p w14:paraId="240F0018" w14:textId="153E3F34" w:rsidR="00075FC4" w:rsidRDefault="00075FC4" w:rsidP="007B00B7">
            <w:pPr>
              <w:spacing w:before="0" w:after="0"/>
            </w:pPr>
            <w:r>
              <w:t>AR-PST</w:t>
            </w:r>
          </w:p>
        </w:tc>
        <w:tc>
          <w:tcPr>
            <w:tcW w:w="6379" w:type="dxa"/>
          </w:tcPr>
          <w:p w14:paraId="6E835256" w14:textId="0C71ECD0" w:rsidR="00075FC4" w:rsidRDefault="00075FC4" w:rsidP="007B00B7">
            <w:pPr>
              <w:spacing w:before="0" w:after="0"/>
            </w:pPr>
            <w:r>
              <w:t xml:space="preserve">Australian Research </w:t>
            </w:r>
            <w:r w:rsidR="009507F4">
              <w:t>in Power System Transition</w:t>
            </w:r>
          </w:p>
        </w:tc>
      </w:tr>
      <w:tr w:rsidR="00EA0384" w14:paraId="6CE54A49" w14:textId="77777777" w:rsidTr="00075FC4">
        <w:trPr>
          <w:trHeight w:val="340"/>
        </w:trPr>
        <w:tc>
          <w:tcPr>
            <w:tcW w:w="1843" w:type="dxa"/>
          </w:tcPr>
          <w:p w14:paraId="17123EA7" w14:textId="77777777" w:rsidR="00EA0384" w:rsidRDefault="00EA0384" w:rsidP="007B00B7">
            <w:pPr>
              <w:spacing w:before="0" w:after="0"/>
            </w:pPr>
            <w:bookmarkStart w:id="3" w:name="_Hlk204086718"/>
            <w:r>
              <w:t>ACOSS</w:t>
            </w:r>
          </w:p>
        </w:tc>
        <w:tc>
          <w:tcPr>
            <w:tcW w:w="6379" w:type="dxa"/>
          </w:tcPr>
          <w:p w14:paraId="31FA5D97" w14:textId="77777777" w:rsidR="00EA0384" w:rsidRDefault="00EA0384" w:rsidP="007B00B7">
            <w:pPr>
              <w:spacing w:before="0" w:after="0"/>
            </w:pPr>
            <w:r>
              <w:t>Australian Council of Social Service</w:t>
            </w:r>
          </w:p>
        </w:tc>
      </w:tr>
      <w:tr w:rsidR="00EA0384" w14:paraId="5981EFA9" w14:textId="77777777" w:rsidTr="00075FC4">
        <w:trPr>
          <w:trHeight w:val="340"/>
        </w:trPr>
        <w:tc>
          <w:tcPr>
            <w:tcW w:w="1843" w:type="dxa"/>
          </w:tcPr>
          <w:p w14:paraId="335FC9F5" w14:textId="77777777" w:rsidR="00EA0384" w:rsidRDefault="00EA0384" w:rsidP="007B00B7">
            <w:pPr>
              <w:spacing w:before="0" w:after="0"/>
            </w:pPr>
            <w:r>
              <w:t>AER</w:t>
            </w:r>
          </w:p>
        </w:tc>
        <w:tc>
          <w:tcPr>
            <w:tcW w:w="6379" w:type="dxa"/>
          </w:tcPr>
          <w:p w14:paraId="7CD38428" w14:textId="77777777" w:rsidR="00EA0384" w:rsidRDefault="00EA0384" w:rsidP="007B00B7">
            <w:pPr>
              <w:spacing w:before="0" w:after="0"/>
            </w:pPr>
            <w:r>
              <w:t>Australian Energy Regulator</w:t>
            </w:r>
          </w:p>
        </w:tc>
      </w:tr>
      <w:tr w:rsidR="00EA0384" w14:paraId="51A1D4BD" w14:textId="77777777" w:rsidTr="00075FC4">
        <w:trPr>
          <w:trHeight w:val="340"/>
        </w:trPr>
        <w:tc>
          <w:tcPr>
            <w:tcW w:w="1843" w:type="dxa"/>
          </w:tcPr>
          <w:p w14:paraId="68D40D6B" w14:textId="77777777" w:rsidR="00EA0384" w:rsidRDefault="00EA0384" w:rsidP="007B00B7">
            <w:pPr>
              <w:spacing w:before="0" w:after="0"/>
            </w:pPr>
            <w:r>
              <w:t>CER</w:t>
            </w:r>
          </w:p>
        </w:tc>
        <w:tc>
          <w:tcPr>
            <w:tcW w:w="6379" w:type="dxa"/>
          </w:tcPr>
          <w:p w14:paraId="2A13B8B6" w14:textId="77777777" w:rsidR="00EA0384" w:rsidRDefault="00EA0384" w:rsidP="007B00B7">
            <w:pPr>
              <w:spacing w:before="0" w:after="0"/>
            </w:pPr>
            <w:r>
              <w:t>Consumer Energy Resources</w:t>
            </w:r>
          </w:p>
        </w:tc>
      </w:tr>
      <w:tr w:rsidR="00EA0384" w14:paraId="44E23C16" w14:textId="77777777" w:rsidTr="00075FC4">
        <w:trPr>
          <w:trHeight w:val="340"/>
        </w:trPr>
        <w:tc>
          <w:tcPr>
            <w:tcW w:w="1843" w:type="dxa"/>
          </w:tcPr>
          <w:p w14:paraId="486B4075" w14:textId="77777777" w:rsidR="00EA0384" w:rsidRDefault="00EA0384" w:rsidP="007B00B7">
            <w:pPr>
              <w:spacing w:before="0" w:after="0"/>
            </w:pPr>
            <w:r>
              <w:t>CSIRO</w:t>
            </w:r>
          </w:p>
        </w:tc>
        <w:tc>
          <w:tcPr>
            <w:tcW w:w="6379" w:type="dxa"/>
          </w:tcPr>
          <w:p w14:paraId="5594B4A0" w14:textId="77777777" w:rsidR="00EA0384" w:rsidRDefault="00EA0384" w:rsidP="007B00B7">
            <w:pPr>
              <w:spacing w:before="0" w:after="0"/>
            </w:pPr>
            <w:r>
              <w:t>Commonwealth Scientific and Industrial Research Organisation</w:t>
            </w:r>
          </w:p>
        </w:tc>
      </w:tr>
      <w:tr w:rsidR="00EA0384" w14:paraId="544B8693" w14:textId="77777777" w:rsidTr="00075FC4">
        <w:trPr>
          <w:trHeight w:val="340"/>
        </w:trPr>
        <w:tc>
          <w:tcPr>
            <w:tcW w:w="1843" w:type="dxa"/>
          </w:tcPr>
          <w:p w14:paraId="3627E94A" w14:textId="77777777" w:rsidR="00EA0384" w:rsidRDefault="00EA0384" w:rsidP="007B00B7">
            <w:pPr>
              <w:spacing w:before="0" w:after="0"/>
            </w:pPr>
            <w:r>
              <w:t>DER</w:t>
            </w:r>
          </w:p>
        </w:tc>
        <w:tc>
          <w:tcPr>
            <w:tcW w:w="6379" w:type="dxa"/>
          </w:tcPr>
          <w:p w14:paraId="342D98CC" w14:textId="77777777" w:rsidR="00EA0384" w:rsidRDefault="00EA0384" w:rsidP="007B00B7">
            <w:pPr>
              <w:spacing w:before="0" w:after="0"/>
            </w:pPr>
            <w:r>
              <w:t>Distributed Energy Resources</w:t>
            </w:r>
          </w:p>
        </w:tc>
      </w:tr>
      <w:tr w:rsidR="00C8574C" w14:paraId="28341B89" w14:textId="77777777" w:rsidTr="00075FC4">
        <w:trPr>
          <w:trHeight w:val="340"/>
        </w:trPr>
        <w:tc>
          <w:tcPr>
            <w:tcW w:w="1843" w:type="dxa"/>
          </w:tcPr>
          <w:p w14:paraId="43119A22" w14:textId="62478A5C" w:rsidR="00C8574C" w:rsidRDefault="00C8574C" w:rsidP="007B00B7">
            <w:pPr>
              <w:spacing w:before="0" w:after="0"/>
            </w:pPr>
            <w:r>
              <w:t>DNSP</w:t>
            </w:r>
          </w:p>
        </w:tc>
        <w:tc>
          <w:tcPr>
            <w:tcW w:w="6379" w:type="dxa"/>
          </w:tcPr>
          <w:p w14:paraId="1552E551" w14:textId="6D93CD6D" w:rsidR="00C8574C" w:rsidRDefault="00C8574C" w:rsidP="007B00B7">
            <w:pPr>
              <w:spacing w:before="0" w:after="0"/>
            </w:pPr>
            <w:r>
              <w:t>Distribution Network Service Provider</w:t>
            </w:r>
          </w:p>
        </w:tc>
      </w:tr>
      <w:tr w:rsidR="00EA0384" w14:paraId="0C2B77F1" w14:textId="77777777" w:rsidTr="00075FC4">
        <w:trPr>
          <w:trHeight w:val="340"/>
        </w:trPr>
        <w:tc>
          <w:tcPr>
            <w:tcW w:w="1843" w:type="dxa"/>
          </w:tcPr>
          <w:p w14:paraId="7076A5A4" w14:textId="77777777" w:rsidR="00EA0384" w:rsidRDefault="00EA0384" w:rsidP="007B00B7">
            <w:pPr>
              <w:spacing w:before="0" w:after="0"/>
            </w:pPr>
            <w:r>
              <w:t>DSO</w:t>
            </w:r>
          </w:p>
        </w:tc>
        <w:tc>
          <w:tcPr>
            <w:tcW w:w="6379" w:type="dxa"/>
          </w:tcPr>
          <w:p w14:paraId="12BD8888" w14:textId="77777777" w:rsidR="00EA0384" w:rsidRDefault="00EA0384" w:rsidP="007B00B7">
            <w:pPr>
              <w:spacing w:before="0" w:after="0"/>
            </w:pPr>
            <w:r>
              <w:t>Distribution System Operator</w:t>
            </w:r>
          </w:p>
        </w:tc>
      </w:tr>
      <w:tr w:rsidR="00EA0384" w14:paraId="39308EB5" w14:textId="77777777" w:rsidTr="00075FC4">
        <w:trPr>
          <w:trHeight w:val="340"/>
        </w:trPr>
        <w:tc>
          <w:tcPr>
            <w:tcW w:w="1843" w:type="dxa"/>
          </w:tcPr>
          <w:p w14:paraId="7AA5044E" w14:textId="77777777" w:rsidR="00EA0384" w:rsidRDefault="00EA0384" w:rsidP="007B00B7">
            <w:pPr>
              <w:spacing w:before="0" w:after="0"/>
            </w:pPr>
            <w:r>
              <w:t>EC</w:t>
            </w:r>
          </w:p>
        </w:tc>
        <w:tc>
          <w:tcPr>
            <w:tcW w:w="6379" w:type="dxa"/>
          </w:tcPr>
          <w:p w14:paraId="27A3278A" w14:textId="77777777" w:rsidR="00EA0384" w:rsidRDefault="00EA0384" w:rsidP="007B00B7">
            <w:pPr>
              <w:spacing w:before="0" w:after="0"/>
            </w:pPr>
            <w:r>
              <w:t>Energy Catalyst</w:t>
            </w:r>
          </w:p>
        </w:tc>
      </w:tr>
      <w:tr w:rsidR="00EA0384" w14:paraId="72E6A052" w14:textId="77777777" w:rsidTr="00075FC4">
        <w:trPr>
          <w:trHeight w:val="340"/>
        </w:trPr>
        <w:tc>
          <w:tcPr>
            <w:tcW w:w="1843" w:type="dxa"/>
          </w:tcPr>
          <w:p w14:paraId="16DF8ABA" w14:textId="77777777" w:rsidR="00EA0384" w:rsidRDefault="00EA0384" w:rsidP="007B00B7">
            <w:pPr>
              <w:spacing w:before="0" w:after="0"/>
            </w:pPr>
            <w:r>
              <w:t>ECA</w:t>
            </w:r>
          </w:p>
        </w:tc>
        <w:tc>
          <w:tcPr>
            <w:tcW w:w="6379" w:type="dxa"/>
          </w:tcPr>
          <w:p w14:paraId="18D9B44D" w14:textId="77777777" w:rsidR="00EA0384" w:rsidRDefault="00EA0384" w:rsidP="007B00B7">
            <w:pPr>
              <w:spacing w:before="0" w:after="0"/>
            </w:pPr>
            <w:r>
              <w:t>Energy Consumers Australia</w:t>
            </w:r>
          </w:p>
        </w:tc>
      </w:tr>
      <w:tr w:rsidR="00EA0384" w14:paraId="072367AE" w14:textId="77777777" w:rsidTr="00075FC4">
        <w:trPr>
          <w:trHeight w:val="340"/>
        </w:trPr>
        <w:tc>
          <w:tcPr>
            <w:tcW w:w="1843" w:type="dxa"/>
          </w:tcPr>
          <w:p w14:paraId="14A16C64" w14:textId="77777777" w:rsidR="00EA0384" w:rsidRDefault="00EA0384" w:rsidP="007B00B7">
            <w:pPr>
              <w:spacing w:before="0" w:after="0"/>
            </w:pPr>
            <w:r>
              <w:t>ENA</w:t>
            </w:r>
          </w:p>
        </w:tc>
        <w:tc>
          <w:tcPr>
            <w:tcW w:w="6379" w:type="dxa"/>
          </w:tcPr>
          <w:p w14:paraId="0FC802E3" w14:textId="77777777" w:rsidR="00EA0384" w:rsidRDefault="00EA0384" w:rsidP="007B00B7">
            <w:pPr>
              <w:spacing w:before="0" w:after="0"/>
            </w:pPr>
            <w:r>
              <w:t>Energy Networks Australia</w:t>
            </w:r>
          </w:p>
        </w:tc>
      </w:tr>
      <w:tr w:rsidR="00EA0384" w14:paraId="1CAED188" w14:textId="77777777" w:rsidTr="00075FC4">
        <w:trPr>
          <w:trHeight w:val="340"/>
        </w:trPr>
        <w:tc>
          <w:tcPr>
            <w:tcW w:w="1843" w:type="dxa"/>
          </w:tcPr>
          <w:p w14:paraId="744D2DF0" w14:textId="77777777" w:rsidR="00EA0384" w:rsidRDefault="00EA0384" w:rsidP="007B00B7">
            <w:pPr>
              <w:spacing w:before="0" w:after="0"/>
            </w:pPr>
            <w:r>
              <w:t>ESB</w:t>
            </w:r>
          </w:p>
        </w:tc>
        <w:tc>
          <w:tcPr>
            <w:tcW w:w="6379" w:type="dxa"/>
          </w:tcPr>
          <w:p w14:paraId="4FE84513" w14:textId="77777777" w:rsidR="00EA0384" w:rsidRDefault="00EA0384" w:rsidP="007B00B7">
            <w:pPr>
              <w:spacing w:before="0" w:after="0"/>
            </w:pPr>
            <w:r>
              <w:t>Energy Security Board</w:t>
            </w:r>
          </w:p>
        </w:tc>
      </w:tr>
      <w:tr w:rsidR="00EA0384" w14:paraId="0AF723B3" w14:textId="77777777" w:rsidTr="00075FC4">
        <w:trPr>
          <w:trHeight w:val="340"/>
        </w:trPr>
        <w:tc>
          <w:tcPr>
            <w:tcW w:w="1843" w:type="dxa"/>
          </w:tcPr>
          <w:p w14:paraId="79A909E5" w14:textId="77777777" w:rsidR="00EA0384" w:rsidRDefault="00EA0384" w:rsidP="007B00B7">
            <w:pPr>
              <w:spacing w:before="0" w:after="0"/>
            </w:pPr>
            <w:r>
              <w:t>EV</w:t>
            </w:r>
          </w:p>
        </w:tc>
        <w:tc>
          <w:tcPr>
            <w:tcW w:w="6379" w:type="dxa"/>
          </w:tcPr>
          <w:p w14:paraId="64ED9EEF" w14:textId="77777777" w:rsidR="00EA0384" w:rsidRDefault="00EA0384" w:rsidP="007B00B7">
            <w:pPr>
              <w:spacing w:before="0" w:after="0"/>
            </w:pPr>
            <w:r>
              <w:t>Electric Vehicle</w:t>
            </w:r>
          </w:p>
        </w:tc>
      </w:tr>
      <w:tr w:rsidR="00EA0384" w14:paraId="0BDAF26D" w14:textId="77777777" w:rsidTr="00075FC4">
        <w:trPr>
          <w:trHeight w:val="340"/>
        </w:trPr>
        <w:tc>
          <w:tcPr>
            <w:tcW w:w="1843" w:type="dxa"/>
          </w:tcPr>
          <w:p w14:paraId="46213A95" w14:textId="77777777" w:rsidR="00EA0384" w:rsidRDefault="00EA0384" w:rsidP="007B00B7">
            <w:pPr>
              <w:spacing w:before="0" w:after="0"/>
            </w:pPr>
            <w:r>
              <w:t>FFRC</w:t>
            </w:r>
          </w:p>
        </w:tc>
        <w:tc>
          <w:tcPr>
            <w:tcW w:w="6379" w:type="dxa"/>
          </w:tcPr>
          <w:p w14:paraId="03D13495" w14:textId="77777777" w:rsidR="00EA0384" w:rsidRDefault="00EA0384" w:rsidP="007B00B7">
            <w:pPr>
              <w:spacing w:before="0" w:after="0"/>
            </w:pPr>
            <w:r>
              <w:t>Finland Futures Research Centre</w:t>
            </w:r>
          </w:p>
        </w:tc>
      </w:tr>
      <w:tr w:rsidR="00EA0384" w14:paraId="5F894870" w14:textId="77777777" w:rsidTr="00075FC4">
        <w:trPr>
          <w:trHeight w:val="340"/>
        </w:trPr>
        <w:tc>
          <w:tcPr>
            <w:tcW w:w="1843" w:type="dxa"/>
          </w:tcPr>
          <w:p w14:paraId="06E693D3" w14:textId="77777777" w:rsidR="00EA0384" w:rsidRDefault="00EA0384" w:rsidP="007B00B7">
            <w:pPr>
              <w:spacing w:before="0" w:after="0"/>
            </w:pPr>
            <w:r>
              <w:t>IEA</w:t>
            </w:r>
          </w:p>
        </w:tc>
        <w:tc>
          <w:tcPr>
            <w:tcW w:w="6379" w:type="dxa"/>
          </w:tcPr>
          <w:p w14:paraId="56C1AFFC" w14:textId="77777777" w:rsidR="00EA0384" w:rsidRDefault="00EA0384" w:rsidP="007B00B7">
            <w:pPr>
              <w:spacing w:before="0" w:after="0"/>
            </w:pPr>
            <w:r>
              <w:t>International Energy Agency</w:t>
            </w:r>
          </w:p>
        </w:tc>
      </w:tr>
      <w:tr w:rsidR="00EA0384" w14:paraId="09F216A0" w14:textId="77777777" w:rsidTr="00075FC4">
        <w:trPr>
          <w:trHeight w:val="340"/>
        </w:trPr>
        <w:tc>
          <w:tcPr>
            <w:tcW w:w="1843" w:type="dxa"/>
          </w:tcPr>
          <w:p w14:paraId="30ACCE20" w14:textId="77777777" w:rsidR="00EA0384" w:rsidRDefault="00EA0384" w:rsidP="007B00B7">
            <w:pPr>
              <w:spacing w:before="0" w:after="0"/>
            </w:pPr>
            <w:r>
              <w:t>NEM</w:t>
            </w:r>
          </w:p>
        </w:tc>
        <w:tc>
          <w:tcPr>
            <w:tcW w:w="6379" w:type="dxa"/>
          </w:tcPr>
          <w:p w14:paraId="706C6881" w14:textId="77777777" w:rsidR="00EA0384" w:rsidRDefault="00EA0384" w:rsidP="007B00B7">
            <w:pPr>
              <w:spacing w:before="0" w:after="0"/>
            </w:pPr>
            <w:r>
              <w:t>National Electricity Market</w:t>
            </w:r>
          </w:p>
        </w:tc>
      </w:tr>
      <w:tr w:rsidR="00EA0384" w14:paraId="42438D63" w14:textId="77777777" w:rsidTr="00075FC4">
        <w:trPr>
          <w:trHeight w:val="340"/>
        </w:trPr>
        <w:tc>
          <w:tcPr>
            <w:tcW w:w="1843" w:type="dxa"/>
          </w:tcPr>
          <w:p w14:paraId="275AB20C" w14:textId="77777777" w:rsidR="00EA0384" w:rsidRDefault="00EA0384" w:rsidP="007B00B7">
            <w:pPr>
              <w:spacing w:before="0" w:after="0"/>
            </w:pPr>
            <w:r>
              <w:t>NEO</w:t>
            </w:r>
          </w:p>
        </w:tc>
        <w:tc>
          <w:tcPr>
            <w:tcW w:w="6379" w:type="dxa"/>
          </w:tcPr>
          <w:p w14:paraId="5D6D397E" w14:textId="77777777" w:rsidR="00EA0384" w:rsidRDefault="00EA0384" w:rsidP="007B00B7">
            <w:pPr>
              <w:spacing w:before="0" w:after="0"/>
            </w:pPr>
            <w:r>
              <w:t>National Electricity Objective</w:t>
            </w:r>
          </w:p>
        </w:tc>
      </w:tr>
      <w:tr w:rsidR="00EA0384" w14:paraId="71586487" w14:textId="77777777" w:rsidTr="00075FC4">
        <w:trPr>
          <w:trHeight w:val="340"/>
        </w:trPr>
        <w:tc>
          <w:tcPr>
            <w:tcW w:w="1843" w:type="dxa"/>
          </w:tcPr>
          <w:p w14:paraId="3493D70C" w14:textId="77777777" w:rsidR="00EA0384" w:rsidRDefault="00EA0384" w:rsidP="007B00B7">
            <w:pPr>
              <w:spacing w:before="0" w:after="0"/>
            </w:pPr>
            <w:r>
              <w:t>NREL</w:t>
            </w:r>
          </w:p>
        </w:tc>
        <w:tc>
          <w:tcPr>
            <w:tcW w:w="6379" w:type="dxa"/>
          </w:tcPr>
          <w:p w14:paraId="26ADB729" w14:textId="77777777" w:rsidR="00EA0384" w:rsidRDefault="00EA0384" w:rsidP="007B00B7">
            <w:pPr>
              <w:spacing w:before="0" w:after="0"/>
            </w:pPr>
            <w:r>
              <w:t>National Renewable Energy Laboratory (US)</w:t>
            </w:r>
          </w:p>
        </w:tc>
      </w:tr>
      <w:tr w:rsidR="00EA0384" w14:paraId="2C9CB2C3" w14:textId="77777777" w:rsidTr="00075FC4">
        <w:trPr>
          <w:trHeight w:val="340"/>
        </w:trPr>
        <w:tc>
          <w:tcPr>
            <w:tcW w:w="1843" w:type="dxa"/>
          </w:tcPr>
          <w:p w14:paraId="67157791" w14:textId="77777777" w:rsidR="00EA0384" w:rsidRDefault="00EA0384" w:rsidP="007B00B7">
            <w:pPr>
              <w:spacing w:before="0" w:after="0"/>
            </w:pPr>
            <w:r>
              <w:t>PEI</w:t>
            </w:r>
          </w:p>
        </w:tc>
        <w:tc>
          <w:tcPr>
            <w:tcW w:w="6379" w:type="dxa"/>
          </w:tcPr>
          <w:p w14:paraId="3D98DE80" w14:textId="77777777" w:rsidR="00EA0384" w:rsidRDefault="00EA0384" w:rsidP="007B00B7">
            <w:pPr>
              <w:spacing w:before="0" w:after="0"/>
            </w:pPr>
            <w:r>
              <w:t>Pacific Energy Institute</w:t>
            </w:r>
          </w:p>
        </w:tc>
      </w:tr>
      <w:tr w:rsidR="00EA0384" w14:paraId="25BC1744" w14:textId="77777777" w:rsidTr="00075FC4">
        <w:trPr>
          <w:trHeight w:val="340"/>
        </w:trPr>
        <w:tc>
          <w:tcPr>
            <w:tcW w:w="1843" w:type="dxa"/>
          </w:tcPr>
          <w:p w14:paraId="1282A9A6" w14:textId="77777777" w:rsidR="00EA0384" w:rsidRDefault="00EA0384" w:rsidP="007B00B7">
            <w:pPr>
              <w:spacing w:before="0" w:after="0"/>
            </w:pPr>
            <w:r>
              <w:t>PSA</w:t>
            </w:r>
          </w:p>
        </w:tc>
        <w:tc>
          <w:tcPr>
            <w:tcW w:w="6379" w:type="dxa"/>
          </w:tcPr>
          <w:p w14:paraId="39B311BB" w14:textId="77777777" w:rsidR="00EA0384" w:rsidRDefault="00EA0384" w:rsidP="007B00B7">
            <w:pPr>
              <w:spacing w:before="0" w:after="0"/>
            </w:pPr>
            <w:r>
              <w:t>Power Systems Architecture</w:t>
            </w:r>
          </w:p>
        </w:tc>
      </w:tr>
      <w:tr w:rsidR="00EA0384" w14:paraId="19C207DB" w14:textId="77777777" w:rsidTr="00075FC4">
        <w:trPr>
          <w:trHeight w:val="340"/>
        </w:trPr>
        <w:tc>
          <w:tcPr>
            <w:tcW w:w="1843" w:type="dxa"/>
          </w:tcPr>
          <w:p w14:paraId="3BD5477F" w14:textId="77777777" w:rsidR="00EA0384" w:rsidRDefault="00EA0384" w:rsidP="007B00B7">
            <w:pPr>
              <w:spacing w:before="0" w:after="0"/>
            </w:pPr>
            <w:r>
              <w:t>RACE</w:t>
            </w:r>
          </w:p>
        </w:tc>
        <w:tc>
          <w:tcPr>
            <w:tcW w:w="6379" w:type="dxa"/>
          </w:tcPr>
          <w:p w14:paraId="0024AB08" w14:textId="77777777" w:rsidR="00EA0384" w:rsidRDefault="00EA0384" w:rsidP="007B00B7">
            <w:pPr>
              <w:spacing w:before="0" w:after="0"/>
            </w:pPr>
            <w:r>
              <w:t>Reliable, Affordable, Clean Energy</w:t>
            </w:r>
          </w:p>
        </w:tc>
      </w:tr>
      <w:tr w:rsidR="00EA0384" w14:paraId="61EF6C6D" w14:textId="77777777" w:rsidTr="00075FC4">
        <w:trPr>
          <w:trHeight w:val="340"/>
        </w:trPr>
        <w:tc>
          <w:tcPr>
            <w:tcW w:w="1843" w:type="dxa"/>
          </w:tcPr>
          <w:p w14:paraId="43B42E02" w14:textId="77777777" w:rsidR="00EA0384" w:rsidRDefault="00EA0384" w:rsidP="007B00B7">
            <w:pPr>
              <w:spacing w:before="0" w:after="0"/>
            </w:pPr>
            <w:r>
              <w:t>TDC</w:t>
            </w:r>
          </w:p>
        </w:tc>
        <w:tc>
          <w:tcPr>
            <w:tcW w:w="6379" w:type="dxa"/>
          </w:tcPr>
          <w:p w14:paraId="7255D593" w14:textId="77777777" w:rsidR="00EA0384" w:rsidRDefault="00EA0384" w:rsidP="007B00B7">
            <w:pPr>
              <w:spacing w:before="0" w:after="0"/>
            </w:pPr>
            <w:r>
              <w:t>Transmission – Distribution Coordination</w:t>
            </w:r>
          </w:p>
        </w:tc>
      </w:tr>
      <w:tr w:rsidR="00EA0384" w14:paraId="4A152CC0" w14:textId="77777777" w:rsidTr="00075FC4">
        <w:trPr>
          <w:trHeight w:val="340"/>
        </w:trPr>
        <w:tc>
          <w:tcPr>
            <w:tcW w:w="1843" w:type="dxa"/>
          </w:tcPr>
          <w:p w14:paraId="391F6D89" w14:textId="77777777" w:rsidR="00EA0384" w:rsidRDefault="00EA0384" w:rsidP="007B00B7">
            <w:pPr>
              <w:spacing w:before="0" w:after="0"/>
            </w:pPr>
            <w:r>
              <w:t>UoM</w:t>
            </w:r>
          </w:p>
        </w:tc>
        <w:tc>
          <w:tcPr>
            <w:tcW w:w="6379" w:type="dxa"/>
          </w:tcPr>
          <w:p w14:paraId="05B9F5BE" w14:textId="77777777" w:rsidR="00EA0384" w:rsidRDefault="00EA0384" w:rsidP="007B00B7">
            <w:pPr>
              <w:spacing w:before="0" w:after="0"/>
            </w:pPr>
            <w:r>
              <w:t>University of Melbourne</w:t>
            </w:r>
          </w:p>
        </w:tc>
      </w:tr>
      <w:tr w:rsidR="00EA0384" w14:paraId="33A7FD13" w14:textId="77777777" w:rsidTr="00075FC4">
        <w:trPr>
          <w:trHeight w:val="340"/>
        </w:trPr>
        <w:tc>
          <w:tcPr>
            <w:tcW w:w="1843" w:type="dxa"/>
          </w:tcPr>
          <w:p w14:paraId="29629A78" w14:textId="77777777" w:rsidR="00EA0384" w:rsidRDefault="00EA0384" w:rsidP="007B00B7">
            <w:pPr>
              <w:spacing w:before="0" w:after="0"/>
            </w:pPr>
            <w:r>
              <w:t>US DOE</w:t>
            </w:r>
          </w:p>
        </w:tc>
        <w:tc>
          <w:tcPr>
            <w:tcW w:w="6379" w:type="dxa"/>
          </w:tcPr>
          <w:p w14:paraId="46CCA378" w14:textId="77777777" w:rsidR="00EA0384" w:rsidRDefault="00EA0384" w:rsidP="007B00B7">
            <w:pPr>
              <w:spacing w:before="0" w:after="0"/>
            </w:pPr>
            <w:r>
              <w:t>United States Department of Energy</w:t>
            </w:r>
          </w:p>
        </w:tc>
      </w:tr>
      <w:tr w:rsidR="00EA0384" w14:paraId="718CF833" w14:textId="77777777" w:rsidTr="00075FC4">
        <w:trPr>
          <w:trHeight w:val="340"/>
        </w:trPr>
        <w:tc>
          <w:tcPr>
            <w:tcW w:w="1843" w:type="dxa"/>
          </w:tcPr>
          <w:p w14:paraId="4EA48A82" w14:textId="77777777" w:rsidR="00EA0384" w:rsidRDefault="00EA0384" w:rsidP="007B00B7">
            <w:pPr>
              <w:spacing w:before="0" w:after="0"/>
            </w:pPr>
            <w:r>
              <w:t>VRE</w:t>
            </w:r>
          </w:p>
        </w:tc>
        <w:tc>
          <w:tcPr>
            <w:tcW w:w="6379" w:type="dxa"/>
          </w:tcPr>
          <w:p w14:paraId="19627771" w14:textId="77777777" w:rsidR="00EA0384" w:rsidRDefault="00EA0384" w:rsidP="007B00B7">
            <w:pPr>
              <w:spacing w:before="0" w:after="0"/>
            </w:pPr>
            <w:r>
              <w:t>Variable Renewable Energy</w:t>
            </w:r>
          </w:p>
        </w:tc>
      </w:tr>
      <w:bookmarkEnd w:id="3"/>
    </w:tbl>
    <w:p w14:paraId="1411A36C" w14:textId="77777777" w:rsidR="00E30C50" w:rsidRPr="00E30C50" w:rsidRDefault="00E30C50" w:rsidP="00E30C50">
      <w:pPr>
        <w:rPr>
          <w:lang w:eastAsia="en-US" w:bidi="ar-SA"/>
        </w:rPr>
      </w:pPr>
    </w:p>
    <w:p w14:paraId="3C1A7E4F" w14:textId="77777777" w:rsidR="00E30C50" w:rsidRDefault="00E30C50">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7E87E7C5" w14:textId="74A3AFDA" w:rsidR="00706727" w:rsidRPr="00050A5B" w:rsidRDefault="00706727" w:rsidP="00ED713B">
      <w:pPr>
        <w:pStyle w:val="Heading1"/>
        <w:ind w:left="567" w:hanging="567"/>
        <w:rPr>
          <w:lang w:eastAsia="en-US" w:bidi="ar-SA"/>
        </w:rPr>
      </w:pPr>
      <w:bookmarkStart w:id="4" w:name="_Toc205536744"/>
      <w:bookmarkStart w:id="5" w:name="Ch_1"/>
      <w:r w:rsidRPr="00050A5B">
        <w:rPr>
          <w:lang w:eastAsia="en-US" w:bidi="ar-SA"/>
        </w:rPr>
        <w:t xml:space="preserve">Report </w:t>
      </w:r>
      <w:r w:rsidR="006F33A3" w:rsidRPr="00050A5B">
        <w:rPr>
          <w:lang w:eastAsia="en-US" w:bidi="ar-SA"/>
        </w:rPr>
        <w:t>Purpose</w:t>
      </w:r>
      <w:r w:rsidRPr="00050A5B">
        <w:rPr>
          <w:lang w:eastAsia="en-US" w:bidi="ar-SA"/>
        </w:rPr>
        <w:t>, Context</w:t>
      </w:r>
      <w:r w:rsidR="006F33A3" w:rsidRPr="00050A5B">
        <w:rPr>
          <w:lang w:eastAsia="en-US" w:bidi="ar-SA"/>
        </w:rPr>
        <w:t xml:space="preserve"> &amp;</w:t>
      </w:r>
      <w:r w:rsidRPr="00050A5B">
        <w:rPr>
          <w:lang w:eastAsia="en-US" w:bidi="ar-SA"/>
        </w:rPr>
        <w:t xml:space="preserve"> </w:t>
      </w:r>
      <w:r w:rsidR="00E92963" w:rsidRPr="00050A5B">
        <w:rPr>
          <w:lang w:eastAsia="en-US" w:bidi="ar-SA"/>
        </w:rPr>
        <w:t>Rationale</w:t>
      </w:r>
      <w:bookmarkEnd w:id="4"/>
    </w:p>
    <w:p w14:paraId="16B63114" w14:textId="77777777" w:rsidR="006F33A3" w:rsidRPr="00050A5B" w:rsidRDefault="00DB008C" w:rsidP="00ED713B">
      <w:pPr>
        <w:pStyle w:val="Heading2"/>
        <w:rPr>
          <w:lang w:eastAsia="en-US" w:bidi="ar-SA"/>
        </w:rPr>
      </w:pPr>
      <w:bookmarkStart w:id="6" w:name="_Toc205536745"/>
      <w:bookmarkEnd w:id="5"/>
      <w:r w:rsidRPr="00050A5B">
        <w:rPr>
          <w:lang w:eastAsia="en-US" w:bidi="ar-SA"/>
        </w:rPr>
        <w:t>Purpose</w:t>
      </w:r>
      <w:bookmarkEnd w:id="6"/>
    </w:p>
    <w:p w14:paraId="092DD4CF" w14:textId="68A0A1EE" w:rsidR="00AE393A" w:rsidRPr="00050A5B" w:rsidRDefault="00115936"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 xml:space="preserve">Electric power systems exist to serve </w:t>
      </w:r>
      <w:r w:rsidR="00AE393A" w:rsidRPr="00050A5B">
        <w:rPr>
          <w:rFonts w:eastAsia="DengXian"/>
          <w:kern w:val="24"/>
          <w:szCs w:val="18"/>
          <w:lang w:eastAsia="en-AU"/>
        </w:rPr>
        <w:t xml:space="preserve">individuals, families, </w:t>
      </w:r>
      <w:r w:rsidR="00A07D53" w:rsidRPr="00050A5B">
        <w:rPr>
          <w:rFonts w:eastAsia="DengXian"/>
          <w:kern w:val="24"/>
          <w:szCs w:val="18"/>
          <w:lang w:eastAsia="en-AU"/>
        </w:rPr>
        <w:t>businesses</w:t>
      </w:r>
      <w:r w:rsidR="00AE393A" w:rsidRPr="00050A5B">
        <w:rPr>
          <w:rFonts w:eastAsia="DengXian"/>
          <w:kern w:val="24"/>
          <w:szCs w:val="18"/>
          <w:lang w:eastAsia="en-AU"/>
        </w:rPr>
        <w:t>, institutions and whole societies</w:t>
      </w:r>
      <w:r w:rsidRPr="00050A5B">
        <w:rPr>
          <w:rFonts w:eastAsia="DengXian"/>
          <w:kern w:val="24"/>
          <w:szCs w:val="18"/>
          <w:lang w:eastAsia="en-AU"/>
        </w:rPr>
        <w:t>.</w:t>
      </w:r>
      <w:r w:rsidR="00B95780" w:rsidRPr="00050A5B">
        <w:rPr>
          <w:rFonts w:eastAsia="DengXian"/>
          <w:kern w:val="24"/>
          <w:szCs w:val="18"/>
          <w:lang w:eastAsia="en-AU"/>
        </w:rPr>
        <w:t xml:space="preserve"> </w:t>
      </w:r>
      <w:r w:rsidR="00D23454" w:rsidRPr="00050A5B">
        <w:rPr>
          <w:rFonts w:eastAsia="DengXian"/>
          <w:kern w:val="24"/>
          <w:szCs w:val="18"/>
          <w:lang w:eastAsia="en-AU"/>
        </w:rPr>
        <w:t>I</w:t>
      </w:r>
      <w:r w:rsidR="00B808F8" w:rsidRPr="00050A5B">
        <w:rPr>
          <w:rFonts w:eastAsia="DengXian"/>
          <w:kern w:val="24"/>
          <w:szCs w:val="18"/>
          <w:lang w:eastAsia="en-AU"/>
        </w:rPr>
        <w:t>ndividually and collectively,</w:t>
      </w:r>
      <w:r w:rsidR="00D23454" w:rsidRPr="00050A5B">
        <w:rPr>
          <w:rFonts w:eastAsia="DengXian"/>
          <w:kern w:val="24"/>
          <w:szCs w:val="18"/>
          <w:lang w:eastAsia="en-AU"/>
        </w:rPr>
        <w:t xml:space="preserve"> humans </w:t>
      </w:r>
      <w:r w:rsidR="00FA188F" w:rsidRPr="00050A5B">
        <w:rPr>
          <w:rFonts w:eastAsia="DengXian"/>
          <w:kern w:val="24"/>
          <w:szCs w:val="18"/>
          <w:lang w:eastAsia="en-AU"/>
        </w:rPr>
        <w:t xml:space="preserve">provide the fundamental </w:t>
      </w:r>
      <w:r w:rsidR="00AE393A" w:rsidRPr="00050A5B">
        <w:rPr>
          <w:rFonts w:eastAsia="DengXian"/>
          <w:kern w:val="24"/>
          <w:szCs w:val="18"/>
          <w:lang w:eastAsia="en-AU"/>
        </w:rPr>
        <w:t xml:space="preserve">reason </w:t>
      </w:r>
      <w:r w:rsidR="00321399" w:rsidRPr="00050A5B">
        <w:rPr>
          <w:rFonts w:eastAsia="DengXian"/>
          <w:kern w:val="24"/>
          <w:szCs w:val="18"/>
          <w:lang w:eastAsia="en-AU"/>
        </w:rPr>
        <w:t xml:space="preserve">our power system </w:t>
      </w:r>
      <w:r w:rsidR="00AE393A" w:rsidRPr="00050A5B">
        <w:rPr>
          <w:rFonts w:eastAsia="DengXian"/>
          <w:kern w:val="24"/>
          <w:szCs w:val="18"/>
          <w:lang w:eastAsia="en-AU"/>
        </w:rPr>
        <w:t>exist</w:t>
      </w:r>
      <w:r w:rsidR="00CE23BE">
        <w:rPr>
          <w:rFonts w:eastAsia="DengXian"/>
          <w:kern w:val="24"/>
          <w:szCs w:val="18"/>
          <w:lang w:eastAsia="en-AU"/>
        </w:rPr>
        <w:t>s</w:t>
      </w:r>
      <w:r w:rsidR="00D23454" w:rsidRPr="00050A5B">
        <w:rPr>
          <w:rFonts w:eastAsia="DengXian"/>
          <w:kern w:val="24"/>
          <w:szCs w:val="18"/>
          <w:lang w:eastAsia="en-AU"/>
        </w:rPr>
        <w:t xml:space="preserve"> </w:t>
      </w:r>
      <w:r w:rsidR="00FC630A" w:rsidRPr="00050A5B">
        <w:rPr>
          <w:rFonts w:eastAsia="DengXian"/>
          <w:kern w:val="24"/>
          <w:szCs w:val="18"/>
          <w:lang w:eastAsia="en-AU"/>
        </w:rPr>
        <w:t xml:space="preserve">and the priorities </w:t>
      </w:r>
      <w:r w:rsidR="00CE23BE">
        <w:rPr>
          <w:rFonts w:eastAsia="DengXian"/>
          <w:kern w:val="24"/>
          <w:szCs w:val="18"/>
          <w:lang w:eastAsia="en-AU"/>
        </w:rPr>
        <w:t>it</w:t>
      </w:r>
      <w:r w:rsidR="00FC630A" w:rsidRPr="00050A5B">
        <w:rPr>
          <w:rFonts w:eastAsia="DengXian"/>
          <w:kern w:val="24"/>
          <w:szCs w:val="18"/>
          <w:lang w:eastAsia="en-AU"/>
        </w:rPr>
        <w:t xml:space="preserve"> must serve. </w:t>
      </w:r>
    </w:p>
    <w:p w14:paraId="2184D352" w14:textId="5A2FAA5B" w:rsidR="00BD2EFF" w:rsidRDefault="001A2F76"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 xml:space="preserve">The </w:t>
      </w:r>
      <w:r w:rsidR="00804383" w:rsidRPr="00050A5B">
        <w:rPr>
          <w:rFonts w:eastAsia="DengXian"/>
          <w:kern w:val="24"/>
          <w:szCs w:val="18"/>
          <w:lang w:eastAsia="en-AU"/>
        </w:rPr>
        <w:t xml:space="preserve">legacy power systems </w:t>
      </w:r>
      <w:r w:rsidR="00BE119F" w:rsidRPr="00050A5B">
        <w:rPr>
          <w:rFonts w:eastAsia="DengXian"/>
          <w:kern w:val="24"/>
          <w:szCs w:val="18"/>
          <w:lang w:eastAsia="en-AU"/>
        </w:rPr>
        <w:t xml:space="preserve">of the last century are now being </w:t>
      </w:r>
      <w:r w:rsidR="00804383" w:rsidRPr="00050A5B">
        <w:rPr>
          <w:rFonts w:eastAsia="DengXian"/>
          <w:kern w:val="24"/>
          <w:szCs w:val="18"/>
          <w:lang w:eastAsia="en-AU"/>
        </w:rPr>
        <w:t xml:space="preserve">transformed </w:t>
      </w:r>
      <w:r w:rsidR="0096387E" w:rsidRPr="00050A5B">
        <w:rPr>
          <w:rFonts w:eastAsia="DengXian"/>
          <w:kern w:val="24"/>
          <w:szCs w:val="18"/>
          <w:lang w:eastAsia="en-AU"/>
        </w:rPr>
        <w:t xml:space="preserve">to </w:t>
      </w:r>
      <w:r w:rsidR="00751DE4" w:rsidRPr="00050A5B">
        <w:rPr>
          <w:rFonts w:eastAsia="DengXian"/>
          <w:kern w:val="24"/>
          <w:szCs w:val="18"/>
          <w:lang w:eastAsia="en-AU"/>
        </w:rPr>
        <w:t>meet the needs of</w:t>
      </w:r>
      <w:r w:rsidR="0096387E" w:rsidRPr="00050A5B">
        <w:rPr>
          <w:rFonts w:eastAsia="DengXian"/>
          <w:kern w:val="24"/>
          <w:szCs w:val="18"/>
          <w:lang w:eastAsia="en-AU"/>
        </w:rPr>
        <w:t xml:space="preserve"> the </w:t>
      </w:r>
      <w:r w:rsidR="00BC0298">
        <w:rPr>
          <w:rFonts w:eastAsia="DengXian"/>
          <w:kern w:val="24"/>
          <w:szCs w:val="18"/>
          <w:lang w:eastAsia="en-AU"/>
        </w:rPr>
        <w:t>remainder</w:t>
      </w:r>
      <w:r w:rsidR="000D2E10" w:rsidRPr="00050A5B">
        <w:rPr>
          <w:rFonts w:eastAsia="DengXian"/>
          <w:kern w:val="24"/>
          <w:szCs w:val="18"/>
          <w:lang w:eastAsia="en-AU"/>
        </w:rPr>
        <w:t xml:space="preserve"> of the 21st century</w:t>
      </w:r>
      <w:r w:rsidR="00BE119F" w:rsidRPr="00050A5B">
        <w:rPr>
          <w:rFonts w:eastAsia="DengXian"/>
          <w:kern w:val="24"/>
          <w:szCs w:val="18"/>
          <w:lang w:eastAsia="en-AU"/>
        </w:rPr>
        <w:t xml:space="preserve">. </w:t>
      </w:r>
      <w:r w:rsidR="002118FA" w:rsidRPr="00050A5B">
        <w:rPr>
          <w:rFonts w:eastAsia="DengXian"/>
          <w:kern w:val="24"/>
          <w:szCs w:val="18"/>
          <w:lang w:eastAsia="en-AU"/>
        </w:rPr>
        <w:t xml:space="preserve">In this context, </w:t>
      </w:r>
      <w:r w:rsidR="00E274F0" w:rsidRPr="00050A5B">
        <w:rPr>
          <w:rFonts w:eastAsia="DengXian"/>
          <w:kern w:val="24"/>
          <w:szCs w:val="18"/>
          <w:lang w:eastAsia="en-AU"/>
        </w:rPr>
        <w:t>evaluating</w:t>
      </w:r>
      <w:r w:rsidR="002118FA" w:rsidRPr="00050A5B">
        <w:rPr>
          <w:rFonts w:eastAsia="DengXian"/>
          <w:kern w:val="24"/>
          <w:szCs w:val="18"/>
          <w:lang w:eastAsia="en-AU"/>
        </w:rPr>
        <w:t xml:space="preserve"> the </w:t>
      </w:r>
      <w:r w:rsidR="0096387E" w:rsidRPr="00050A5B">
        <w:rPr>
          <w:rFonts w:eastAsia="DengXian"/>
          <w:kern w:val="24"/>
          <w:szCs w:val="18"/>
          <w:lang w:eastAsia="en-AU"/>
        </w:rPr>
        <w:t>range and priority of fu</w:t>
      </w:r>
      <w:r w:rsidR="000D2E10" w:rsidRPr="00050A5B">
        <w:rPr>
          <w:rFonts w:eastAsia="DengXian"/>
          <w:kern w:val="24"/>
          <w:szCs w:val="18"/>
          <w:lang w:eastAsia="en-AU"/>
        </w:rPr>
        <w:t xml:space="preserve">ture </w:t>
      </w:r>
      <w:r w:rsidR="002118FA" w:rsidRPr="00050A5B">
        <w:rPr>
          <w:rFonts w:eastAsia="DengXian"/>
          <w:kern w:val="24"/>
          <w:szCs w:val="18"/>
          <w:lang w:eastAsia="en-AU"/>
        </w:rPr>
        <w:t xml:space="preserve">system </w:t>
      </w:r>
      <w:r w:rsidR="00236863" w:rsidRPr="00050A5B">
        <w:rPr>
          <w:rFonts w:eastAsia="DengXian"/>
          <w:kern w:val="24"/>
          <w:szCs w:val="18"/>
          <w:lang w:eastAsia="en-AU"/>
        </w:rPr>
        <w:t>capabilities</w:t>
      </w:r>
      <w:r w:rsidR="002118FA" w:rsidRPr="00050A5B">
        <w:rPr>
          <w:rFonts w:eastAsia="DengXian"/>
          <w:kern w:val="24"/>
          <w:szCs w:val="18"/>
          <w:lang w:eastAsia="en-AU"/>
        </w:rPr>
        <w:t xml:space="preserve"> required is </w:t>
      </w:r>
      <w:r w:rsidR="00341FDA" w:rsidRPr="00050A5B">
        <w:rPr>
          <w:rFonts w:eastAsia="DengXian"/>
          <w:kern w:val="24"/>
          <w:szCs w:val="18"/>
          <w:lang w:eastAsia="en-AU"/>
        </w:rPr>
        <w:t>simply impossible w</w:t>
      </w:r>
      <w:r w:rsidR="00236863" w:rsidRPr="00050A5B">
        <w:rPr>
          <w:rFonts w:eastAsia="DengXian"/>
          <w:kern w:val="24"/>
          <w:szCs w:val="18"/>
          <w:lang w:eastAsia="en-AU"/>
        </w:rPr>
        <w:t xml:space="preserve">ithout </w:t>
      </w:r>
      <w:r w:rsidR="00E274F0" w:rsidRPr="00050A5B">
        <w:rPr>
          <w:rFonts w:eastAsia="DengXian"/>
          <w:kern w:val="24"/>
          <w:szCs w:val="18"/>
          <w:lang w:eastAsia="en-AU"/>
        </w:rPr>
        <w:t>a</w:t>
      </w:r>
      <w:r w:rsidR="00341FDA" w:rsidRPr="00050A5B">
        <w:rPr>
          <w:rFonts w:eastAsia="DengXian"/>
          <w:kern w:val="24"/>
          <w:szCs w:val="18"/>
          <w:lang w:eastAsia="en-AU"/>
        </w:rPr>
        <w:t xml:space="preserve"> </w:t>
      </w:r>
      <w:r w:rsidR="00236863" w:rsidRPr="00050A5B">
        <w:rPr>
          <w:rFonts w:eastAsia="DengXian"/>
          <w:kern w:val="24"/>
          <w:szCs w:val="18"/>
          <w:lang w:eastAsia="en-AU"/>
        </w:rPr>
        <w:t xml:space="preserve">holistic consideration of </w:t>
      </w:r>
      <w:r w:rsidR="009A1B41" w:rsidRPr="00050A5B">
        <w:rPr>
          <w:rFonts w:eastAsia="DengXian"/>
          <w:kern w:val="24"/>
          <w:szCs w:val="18"/>
          <w:lang w:eastAsia="en-AU"/>
        </w:rPr>
        <w:t xml:space="preserve">evolving </w:t>
      </w:r>
      <w:r w:rsidR="00236863" w:rsidRPr="00050A5B">
        <w:rPr>
          <w:rFonts w:eastAsia="DengXian"/>
          <w:kern w:val="24"/>
          <w:szCs w:val="18"/>
          <w:lang w:eastAsia="en-AU"/>
        </w:rPr>
        <w:t>customer and societal objectives.</w:t>
      </w:r>
      <w:r w:rsidR="0041675D" w:rsidRPr="00050A5B">
        <w:rPr>
          <w:rFonts w:eastAsia="DengXian"/>
          <w:kern w:val="24"/>
          <w:szCs w:val="18"/>
          <w:lang w:eastAsia="en-AU"/>
        </w:rPr>
        <w:t xml:space="preserve"> </w:t>
      </w:r>
      <w:r w:rsidR="00E274F0" w:rsidRPr="00050A5B">
        <w:rPr>
          <w:rFonts w:eastAsia="DengXian"/>
          <w:kern w:val="24"/>
          <w:szCs w:val="18"/>
          <w:lang w:eastAsia="en-AU"/>
        </w:rPr>
        <w:t>Doing so is key</w:t>
      </w:r>
      <w:r w:rsidR="007D3688" w:rsidRPr="00050A5B">
        <w:rPr>
          <w:rFonts w:eastAsia="DengXian"/>
          <w:kern w:val="24"/>
          <w:szCs w:val="18"/>
          <w:lang w:eastAsia="en-AU"/>
        </w:rPr>
        <w:t xml:space="preserve"> to answering </w:t>
      </w:r>
      <w:r w:rsidR="0031282B">
        <w:rPr>
          <w:rFonts w:eastAsia="DengXian"/>
          <w:kern w:val="24"/>
          <w:szCs w:val="18"/>
          <w:lang w:eastAsia="en-AU"/>
        </w:rPr>
        <w:t>key strategic questions such as</w:t>
      </w:r>
      <w:r w:rsidR="007D3688" w:rsidRPr="00050A5B">
        <w:rPr>
          <w:rFonts w:eastAsia="DengXian"/>
          <w:kern w:val="24"/>
          <w:szCs w:val="18"/>
          <w:lang w:eastAsia="en-AU"/>
        </w:rPr>
        <w:t xml:space="preserve">: </w:t>
      </w:r>
    </w:p>
    <w:tbl>
      <w:tblPr>
        <w:tblStyle w:val="TableGrid"/>
        <w:tblW w:w="0" w:type="auto"/>
        <w:tblLook w:val="04A0" w:firstRow="1" w:lastRow="0" w:firstColumn="1" w:lastColumn="0" w:noHBand="0" w:noVBand="1"/>
      </w:tblPr>
      <w:tblGrid>
        <w:gridCol w:w="8075"/>
      </w:tblGrid>
      <w:tr w:rsidR="00BD2EFF" w:rsidRPr="00D6257A" w14:paraId="02D7F5EF" w14:textId="77777777" w:rsidTr="00607E37">
        <w:tc>
          <w:tcPr>
            <w:tcW w:w="8075" w:type="dxa"/>
            <w:tcBorders>
              <w:bottom w:val="nil"/>
            </w:tcBorders>
            <w:shd w:val="clear" w:color="auto" w:fill="013C4C" w:themeFill="text1"/>
          </w:tcPr>
          <w:p w14:paraId="2E1E45FD" w14:textId="29BA8C19" w:rsidR="00BD2EFF" w:rsidRDefault="00AC207F" w:rsidP="00356344">
            <w:pPr>
              <w:snapToGrid w:val="0"/>
              <w:spacing w:before="180" w:after="180" w:line="264" w:lineRule="auto"/>
              <w:ind w:left="176" w:right="176"/>
              <w:jc w:val="center"/>
              <w:rPr>
                <w:rFonts w:ascii="PP Mori SemiBold" w:eastAsia="DengXian" w:hAnsi="PP Mori SemiBold"/>
                <w:i/>
                <w:kern w:val="24"/>
                <w:szCs w:val="18"/>
                <w:lang w:eastAsia="en-AU"/>
              </w:rPr>
            </w:pPr>
            <w:r>
              <w:rPr>
                <w:rFonts w:ascii="PP Mori SemiBold" w:eastAsia="DengXian" w:hAnsi="PP Mori SemiBold"/>
                <w:i/>
                <w:kern w:val="24"/>
                <w:szCs w:val="18"/>
                <w:lang w:eastAsia="en-AU"/>
              </w:rPr>
              <w:t>What do</w:t>
            </w:r>
            <w:r w:rsidR="00C83C15">
              <w:rPr>
                <w:rFonts w:ascii="PP Mori SemiBold" w:eastAsia="DengXian" w:hAnsi="PP Mori SemiBold"/>
                <w:i/>
                <w:kern w:val="24"/>
                <w:szCs w:val="18"/>
                <w:lang w:eastAsia="en-AU"/>
              </w:rPr>
              <w:t xml:space="preserve"> our citizens and policy makers expect from our future power systems</w:t>
            </w:r>
            <w:r w:rsidR="00BD2EFF">
              <w:rPr>
                <w:rFonts w:ascii="PP Mori SemiBold" w:eastAsia="DengXian" w:hAnsi="PP Mori SemiBold"/>
                <w:i/>
                <w:kern w:val="24"/>
                <w:szCs w:val="18"/>
                <w:lang w:eastAsia="en-AU"/>
              </w:rPr>
              <w:t xml:space="preserve">? </w:t>
            </w:r>
          </w:p>
          <w:p w14:paraId="28DEF37F" w14:textId="73961871" w:rsidR="00BD2EFF" w:rsidRPr="00D22EBF" w:rsidRDefault="003A1964" w:rsidP="00356344">
            <w:pPr>
              <w:snapToGrid w:val="0"/>
              <w:spacing w:before="180" w:after="180" w:line="264" w:lineRule="auto"/>
              <w:ind w:left="176" w:right="176"/>
              <w:jc w:val="center"/>
              <w:rPr>
                <w:rFonts w:ascii="PP Mori SemiBold" w:eastAsia="DengXian" w:hAnsi="PP Mori SemiBold"/>
                <w:i/>
                <w:kern w:val="24"/>
                <w:szCs w:val="18"/>
                <w:lang w:eastAsia="en-AU"/>
              </w:rPr>
            </w:pPr>
            <w:r w:rsidRPr="00D22EBF">
              <w:rPr>
                <w:rFonts w:ascii="PP Mori SemiBold" w:eastAsia="DengXian" w:hAnsi="PP Mori SemiBold"/>
                <w:i/>
                <w:kern w:val="24"/>
                <w:szCs w:val="18"/>
                <w:lang w:eastAsia="en-AU"/>
              </w:rPr>
              <w:t xml:space="preserve">How might </w:t>
            </w:r>
            <w:r w:rsidR="00EF2F47" w:rsidRPr="00D22EBF">
              <w:rPr>
                <w:rFonts w:ascii="PP Mori SemiBold" w:eastAsia="DengXian" w:hAnsi="PP Mori SemiBold"/>
                <w:i/>
                <w:kern w:val="24"/>
                <w:szCs w:val="18"/>
                <w:lang w:eastAsia="en-AU"/>
              </w:rPr>
              <w:t xml:space="preserve">societal expectations </w:t>
            </w:r>
            <w:r w:rsidR="003C1F35" w:rsidRPr="00D22EBF">
              <w:rPr>
                <w:rFonts w:ascii="PP Mori SemiBold" w:eastAsia="DengXian" w:hAnsi="PP Mori SemiBold"/>
                <w:i/>
                <w:kern w:val="24"/>
                <w:szCs w:val="18"/>
                <w:lang w:eastAsia="en-AU"/>
              </w:rPr>
              <w:t>continue to change</w:t>
            </w:r>
            <w:r w:rsidR="005B19A6" w:rsidRPr="00D22EBF">
              <w:rPr>
                <w:rFonts w:ascii="PP Mori SemiBold" w:eastAsia="DengXian" w:hAnsi="PP Mori SemiBold"/>
                <w:i/>
                <w:kern w:val="24"/>
                <w:szCs w:val="18"/>
                <w:lang w:eastAsia="en-AU"/>
              </w:rPr>
              <w:t xml:space="preserve"> as </w:t>
            </w:r>
            <w:r w:rsidR="009D2E7A" w:rsidRPr="00D22EBF">
              <w:rPr>
                <w:rFonts w:ascii="PP Mori SemiBold" w:eastAsia="DengXian" w:hAnsi="PP Mori SemiBold"/>
                <w:i/>
                <w:kern w:val="24"/>
                <w:szCs w:val="18"/>
                <w:lang w:eastAsia="en-AU"/>
              </w:rPr>
              <w:t xml:space="preserve">new technologies and business models </w:t>
            </w:r>
            <w:r w:rsidR="00747298">
              <w:rPr>
                <w:rFonts w:ascii="PP Mori SemiBold" w:eastAsia="DengXian" w:hAnsi="PP Mori SemiBold"/>
                <w:i/>
                <w:kern w:val="24"/>
                <w:szCs w:val="18"/>
                <w:lang w:eastAsia="en-AU"/>
              </w:rPr>
              <w:t xml:space="preserve">evolve and alternative options </w:t>
            </w:r>
            <w:r w:rsidR="00B37E98">
              <w:rPr>
                <w:rFonts w:ascii="PP Mori SemiBold" w:eastAsia="DengXian" w:hAnsi="PP Mori SemiBold"/>
                <w:i/>
                <w:kern w:val="24"/>
                <w:szCs w:val="18"/>
                <w:lang w:eastAsia="en-AU"/>
              </w:rPr>
              <w:t>expand</w:t>
            </w:r>
            <w:r w:rsidR="009D2E7A" w:rsidRPr="00D22EBF">
              <w:rPr>
                <w:rFonts w:ascii="PP Mori SemiBold" w:eastAsia="DengXian" w:hAnsi="PP Mori SemiBold"/>
                <w:i/>
                <w:kern w:val="24"/>
                <w:szCs w:val="18"/>
                <w:lang w:eastAsia="en-AU"/>
              </w:rPr>
              <w:t>?</w:t>
            </w:r>
          </w:p>
          <w:p w14:paraId="0CF735CF" w14:textId="7F5417DF" w:rsidR="009D2E7A" w:rsidRPr="00D6257A" w:rsidRDefault="005415EF" w:rsidP="00356344">
            <w:pPr>
              <w:snapToGrid w:val="0"/>
              <w:spacing w:before="180" w:after="180" w:line="264" w:lineRule="auto"/>
              <w:ind w:left="176" w:right="176"/>
              <w:jc w:val="center"/>
              <w:rPr>
                <w:rFonts w:ascii="PP Mori SemiBold" w:eastAsia="DengXian" w:hAnsi="PP Mori SemiBold"/>
                <w:kern w:val="24"/>
                <w:szCs w:val="18"/>
                <w:lang w:eastAsia="en-AU"/>
              </w:rPr>
            </w:pPr>
            <w:r w:rsidRPr="00D22EBF">
              <w:rPr>
                <w:rFonts w:ascii="PP Mori SemiBold" w:eastAsia="DengXian" w:hAnsi="PP Mori SemiBold"/>
                <w:i/>
                <w:kern w:val="24"/>
                <w:szCs w:val="18"/>
                <w:lang w:eastAsia="en-AU"/>
              </w:rPr>
              <w:t xml:space="preserve">As </w:t>
            </w:r>
            <w:r w:rsidR="0067272E" w:rsidRPr="00D22EBF">
              <w:rPr>
                <w:rFonts w:ascii="PP Mori SemiBold" w:eastAsia="DengXian" w:hAnsi="PP Mori SemiBold"/>
                <w:i/>
                <w:kern w:val="24"/>
                <w:szCs w:val="18"/>
                <w:lang w:eastAsia="en-AU"/>
              </w:rPr>
              <w:t xml:space="preserve">significant elements of our legacy </w:t>
            </w:r>
            <w:r w:rsidR="006221DC">
              <w:rPr>
                <w:rFonts w:ascii="PP Mori SemiBold" w:eastAsia="DengXian" w:hAnsi="PP Mori SemiBold"/>
                <w:i/>
                <w:kern w:val="24"/>
                <w:szCs w:val="18"/>
                <w:lang w:eastAsia="en-AU"/>
              </w:rPr>
              <w:t>grids are approaching e</w:t>
            </w:r>
            <w:r w:rsidR="00F33BB4" w:rsidRPr="00D22EBF">
              <w:rPr>
                <w:rFonts w:ascii="PP Mori SemiBold" w:eastAsia="DengXian" w:hAnsi="PP Mori SemiBold"/>
                <w:i/>
                <w:kern w:val="24"/>
                <w:szCs w:val="18"/>
                <w:lang w:eastAsia="en-AU"/>
              </w:rPr>
              <w:t xml:space="preserve">nd of life, what </w:t>
            </w:r>
            <w:r w:rsidR="008A5D63" w:rsidRPr="00D22EBF">
              <w:rPr>
                <w:rFonts w:ascii="PP Mori SemiBold" w:eastAsia="DengXian" w:hAnsi="PP Mori SemiBold"/>
                <w:i/>
                <w:kern w:val="24"/>
                <w:szCs w:val="18"/>
                <w:lang w:eastAsia="en-AU"/>
              </w:rPr>
              <w:t xml:space="preserve">type of future power system do we need to </w:t>
            </w:r>
            <w:r w:rsidR="00D6586E" w:rsidRPr="00D22EBF">
              <w:rPr>
                <w:rFonts w:ascii="PP Mori SemiBold" w:eastAsia="DengXian" w:hAnsi="PP Mori SemiBold"/>
                <w:i/>
                <w:kern w:val="24"/>
                <w:szCs w:val="18"/>
                <w:lang w:eastAsia="en-AU"/>
              </w:rPr>
              <w:t>create</w:t>
            </w:r>
            <w:r w:rsidR="0053020F">
              <w:rPr>
                <w:rFonts w:ascii="PP Mori SemiBold" w:eastAsia="DengXian" w:hAnsi="PP Mori SemiBold"/>
                <w:i/>
                <w:kern w:val="24"/>
                <w:szCs w:val="18"/>
                <w:lang w:eastAsia="en-AU"/>
              </w:rPr>
              <w:t xml:space="preserve"> to best meet societal needs and </w:t>
            </w:r>
            <w:r w:rsidR="003B3545">
              <w:rPr>
                <w:rFonts w:ascii="PP Mori SemiBold" w:eastAsia="DengXian" w:hAnsi="PP Mori SemiBold"/>
                <w:i/>
                <w:kern w:val="24"/>
                <w:szCs w:val="18"/>
                <w:lang w:eastAsia="en-AU"/>
              </w:rPr>
              <w:t xml:space="preserve">sustain </w:t>
            </w:r>
            <w:r w:rsidR="00BA434E">
              <w:rPr>
                <w:rFonts w:ascii="PP Mori SemiBold" w:eastAsia="DengXian" w:hAnsi="PP Mori SemiBold"/>
                <w:i/>
                <w:kern w:val="24"/>
                <w:szCs w:val="18"/>
                <w:lang w:eastAsia="en-AU"/>
              </w:rPr>
              <w:t xml:space="preserve">the highest possible </w:t>
            </w:r>
            <w:r w:rsidR="003B3545">
              <w:rPr>
                <w:rFonts w:ascii="PP Mori SemiBold" w:eastAsia="DengXian" w:hAnsi="PP Mori SemiBold"/>
                <w:i/>
                <w:kern w:val="24"/>
                <w:szCs w:val="18"/>
                <w:lang w:eastAsia="en-AU"/>
              </w:rPr>
              <w:t>level of customer retention</w:t>
            </w:r>
            <w:r w:rsidR="00922CBF" w:rsidRPr="00D22EBF">
              <w:rPr>
                <w:rFonts w:ascii="PP Mori SemiBold" w:eastAsia="DengXian" w:hAnsi="PP Mori SemiBold"/>
                <w:i/>
                <w:kern w:val="24"/>
                <w:szCs w:val="18"/>
                <w:lang w:eastAsia="en-AU"/>
              </w:rPr>
              <w:t xml:space="preserve">?  </w:t>
            </w:r>
          </w:p>
        </w:tc>
      </w:tr>
    </w:tbl>
    <w:p w14:paraId="2FBC7F6B" w14:textId="48AA88D5" w:rsidR="006F33A3" w:rsidRPr="00050A5B" w:rsidRDefault="008431F5" w:rsidP="00BA434E">
      <w:pPr>
        <w:spacing w:after="120" w:line="288" w:lineRule="auto"/>
        <w:rPr>
          <w:rFonts w:cs="Calibri"/>
          <w:szCs w:val="18"/>
        </w:rPr>
      </w:pPr>
      <w:r w:rsidRPr="00050A5B">
        <w:rPr>
          <w:rFonts w:cs="Calibri"/>
          <w:szCs w:val="18"/>
        </w:rPr>
        <w:t xml:space="preserve">Therefore, this report provides a synthesis of </w:t>
      </w:r>
      <w:r w:rsidR="00792884" w:rsidRPr="00050A5B">
        <w:rPr>
          <w:rFonts w:cs="Calibri"/>
          <w:szCs w:val="18"/>
        </w:rPr>
        <w:t>c</w:t>
      </w:r>
      <w:r w:rsidRPr="00050A5B">
        <w:rPr>
          <w:rFonts w:cs="Calibri"/>
          <w:szCs w:val="18"/>
        </w:rPr>
        <w:t xml:space="preserve">ustomer </w:t>
      </w:r>
      <w:r w:rsidR="00792884" w:rsidRPr="00050A5B">
        <w:rPr>
          <w:rFonts w:cs="Calibri"/>
          <w:szCs w:val="18"/>
        </w:rPr>
        <w:t>and s</w:t>
      </w:r>
      <w:r w:rsidRPr="00050A5B">
        <w:rPr>
          <w:rFonts w:cs="Calibri"/>
          <w:szCs w:val="18"/>
        </w:rPr>
        <w:t xml:space="preserve">ocietal </w:t>
      </w:r>
      <w:r w:rsidR="00792884" w:rsidRPr="00050A5B">
        <w:rPr>
          <w:rFonts w:cs="Calibri"/>
          <w:szCs w:val="18"/>
        </w:rPr>
        <w:t>o</w:t>
      </w:r>
      <w:r w:rsidRPr="00050A5B">
        <w:rPr>
          <w:rFonts w:cs="Calibri"/>
          <w:szCs w:val="18"/>
        </w:rPr>
        <w:t xml:space="preserve">bjectives for future </w:t>
      </w:r>
      <w:r w:rsidR="007D3688" w:rsidRPr="00050A5B">
        <w:rPr>
          <w:rFonts w:cs="Calibri"/>
          <w:szCs w:val="18"/>
        </w:rPr>
        <w:t>p</w:t>
      </w:r>
      <w:r w:rsidRPr="00050A5B">
        <w:rPr>
          <w:rFonts w:cs="Calibri"/>
          <w:szCs w:val="18"/>
        </w:rPr>
        <w:t xml:space="preserve">ower </w:t>
      </w:r>
      <w:r w:rsidR="007D3688" w:rsidRPr="00050A5B">
        <w:rPr>
          <w:rFonts w:cs="Calibri"/>
          <w:szCs w:val="18"/>
        </w:rPr>
        <w:t>s</w:t>
      </w:r>
      <w:r w:rsidRPr="00050A5B">
        <w:rPr>
          <w:rFonts w:cs="Calibri"/>
          <w:szCs w:val="18"/>
        </w:rPr>
        <w:t xml:space="preserve">ystems </w:t>
      </w:r>
      <w:r w:rsidR="005E2230" w:rsidRPr="00050A5B">
        <w:rPr>
          <w:rFonts w:cs="Calibri"/>
          <w:szCs w:val="18"/>
        </w:rPr>
        <w:t xml:space="preserve">as derived from a wide range of </w:t>
      </w:r>
      <w:r w:rsidRPr="00050A5B">
        <w:rPr>
          <w:rFonts w:cs="Calibri"/>
          <w:szCs w:val="18"/>
        </w:rPr>
        <w:t xml:space="preserve">Australian and global literature. </w:t>
      </w:r>
      <w:r w:rsidR="00D151B3" w:rsidRPr="00050A5B">
        <w:rPr>
          <w:rFonts w:cs="Calibri"/>
          <w:szCs w:val="18"/>
        </w:rPr>
        <w:t xml:space="preserve">While further work will be required, its </w:t>
      </w:r>
      <w:r w:rsidRPr="00050A5B">
        <w:rPr>
          <w:rFonts w:cs="Calibri"/>
          <w:szCs w:val="18"/>
        </w:rPr>
        <w:t xml:space="preserve">findings </w:t>
      </w:r>
      <w:r w:rsidR="00425149" w:rsidRPr="00050A5B">
        <w:rPr>
          <w:rFonts w:cs="Calibri"/>
          <w:szCs w:val="18"/>
        </w:rPr>
        <w:t xml:space="preserve">are illustrative of how our relationship with, and </w:t>
      </w:r>
      <w:r w:rsidR="005E2230" w:rsidRPr="00050A5B">
        <w:rPr>
          <w:rFonts w:cs="Calibri"/>
          <w:szCs w:val="18"/>
        </w:rPr>
        <w:t xml:space="preserve">increasingly </w:t>
      </w:r>
      <w:r w:rsidR="00F15C13" w:rsidRPr="00050A5B">
        <w:rPr>
          <w:rFonts w:cs="Calibri"/>
          <w:szCs w:val="18"/>
        </w:rPr>
        <w:t xml:space="preserve">diverse </w:t>
      </w:r>
      <w:r w:rsidR="00425149" w:rsidRPr="00050A5B">
        <w:rPr>
          <w:rFonts w:cs="Calibri"/>
          <w:szCs w:val="18"/>
        </w:rPr>
        <w:t xml:space="preserve">expectations of, electric power systems are </w:t>
      </w:r>
      <w:r w:rsidR="005E2230" w:rsidRPr="00050A5B">
        <w:rPr>
          <w:rFonts w:cs="Calibri"/>
          <w:szCs w:val="18"/>
        </w:rPr>
        <w:t xml:space="preserve">fundamentally </w:t>
      </w:r>
      <w:r w:rsidR="00D46DCB" w:rsidRPr="00050A5B">
        <w:rPr>
          <w:rFonts w:cs="Calibri"/>
          <w:szCs w:val="18"/>
        </w:rPr>
        <w:t>transforming</w:t>
      </w:r>
      <w:r w:rsidR="005E2230" w:rsidRPr="00050A5B">
        <w:rPr>
          <w:rFonts w:cs="Calibri"/>
          <w:szCs w:val="18"/>
        </w:rPr>
        <w:t>.</w:t>
      </w:r>
      <w:r w:rsidR="00E14321" w:rsidRPr="00050A5B">
        <w:rPr>
          <w:rFonts w:cs="Calibri"/>
          <w:szCs w:val="18"/>
        </w:rPr>
        <w:t xml:space="preserve"> </w:t>
      </w:r>
      <w:r w:rsidR="00107DAA" w:rsidRPr="00050A5B">
        <w:rPr>
          <w:rFonts w:cs="Calibri"/>
          <w:szCs w:val="18"/>
        </w:rPr>
        <w:t xml:space="preserve">Collaborative engagements and careful </w:t>
      </w:r>
      <w:r w:rsidR="000262CF" w:rsidRPr="00050A5B">
        <w:rPr>
          <w:rFonts w:cs="Calibri"/>
          <w:szCs w:val="18"/>
        </w:rPr>
        <w:t xml:space="preserve">trade-off choices </w:t>
      </w:r>
      <w:r w:rsidR="00107DAA" w:rsidRPr="00050A5B">
        <w:rPr>
          <w:rFonts w:cs="Calibri"/>
          <w:szCs w:val="18"/>
        </w:rPr>
        <w:t>will be required to</w:t>
      </w:r>
      <w:r w:rsidR="000262CF" w:rsidRPr="00050A5B">
        <w:rPr>
          <w:rFonts w:cs="Calibri"/>
          <w:szCs w:val="18"/>
        </w:rPr>
        <w:t xml:space="preserve"> </w:t>
      </w:r>
      <w:r w:rsidR="00751DE4" w:rsidRPr="00050A5B">
        <w:rPr>
          <w:rFonts w:cs="Calibri"/>
          <w:szCs w:val="18"/>
        </w:rPr>
        <w:t>sustain trust, make efficient investment choices and mitigate</w:t>
      </w:r>
      <w:r w:rsidR="00107DAA" w:rsidRPr="00050A5B">
        <w:rPr>
          <w:rFonts w:cs="Calibri"/>
          <w:szCs w:val="18"/>
        </w:rPr>
        <w:t xml:space="preserve"> the risk</w:t>
      </w:r>
      <w:r w:rsidR="00751DE4" w:rsidRPr="00050A5B">
        <w:rPr>
          <w:rFonts w:cs="Calibri"/>
          <w:szCs w:val="18"/>
        </w:rPr>
        <w:t xml:space="preserve"> </w:t>
      </w:r>
      <w:r w:rsidR="00255A4A" w:rsidRPr="00050A5B">
        <w:rPr>
          <w:rFonts w:cs="Calibri"/>
          <w:szCs w:val="18"/>
        </w:rPr>
        <w:t xml:space="preserve">of </w:t>
      </w:r>
      <w:r w:rsidR="00751DE4" w:rsidRPr="00050A5B">
        <w:rPr>
          <w:rFonts w:cs="Calibri"/>
          <w:szCs w:val="18"/>
        </w:rPr>
        <w:t xml:space="preserve">stranded investments. </w:t>
      </w:r>
    </w:p>
    <w:p w14:paraId="40B76095" w14:textId="3D33279D" w:rsidR="0005177D" w:rsidRPr="00050A5B" w:rsidRDefault="0078259A" w:rsidP="00ED713B">
      <w:pPr>
        <w:pStyle w:val="Heading2"/>
        <w:rPr>
          <w:lang w:eastAsia="en-US" w:bidi="ar-SA"/>
        </w:rPr>
      </w:pPr>
      <w:bookmarkStart w:id="7" w:name="_Toc205536746"/>
      <w:r>
        <w:rPr>
          <w:lang w:eastAsia="en-US" w:bidi="ar-SA"/>
        </w:rPr>
        <w:t xml:space="preserve">National </w:t>
      </w:r>
      <w:r w:rsidR="0005177D" w:rsidRPr="00050A5B">
        <w:rPr>
          <w:lang w:eastAsia="en-US" w:bidi="ar-SA"/>
        </w:rPr>
        <w:t>Context</w:t>
      </w:r>
      <w:bookmarkEnd w:id="7"/>
    </w:p>
    <w:p w14:paraId="386C1F1F" w14:textId="77777777" w:rsidR="00F5702E" w:rsidRDefault="00F5702E" w:rsidP="00F5702E">
      <w:pPr>
        <w:snapToGrid w:val="0"/>
        <w:spacing w:before="120" w:after="120" w:line="264" w:lineRule="auto"/>
        <w:rPr>
          <w:rFonts w:eastAsia="DengXian"/>
          <w:kern w:val="24"/>
          <w:szCs w:val="18"/>
          <w:lang w:eastAsia="en-AU"/>
        </w:rPr>
      </w:pPr>
      <w:r>
        <w:rPr>
          <w:rFonts w:eastAsia="DengXian"/>
          <w:kern w:val="24"/>
          <w:szCs w:val="18"/>
          <w:lang w:eastAsia="en-AU"/>
        </w:rPr>
        <w:t xml:space="preserve">Electricity systems are some of the largest and most complex systems ever created by humans. Following </w:t>
      </w:r>
      <w:r w:rsidRPr="0032016A">
        <w:rPr>
          <w:rFonts w:eastAsia="DengXian"/>
          <w:kern w:val="24"/>
          <w:szCs w:val="18"/>
          <w:lang w:eastAsia="en-AU"/>
        </w:rPr>
        <w:t xml:space="preserve">decades of comparatively slow change, </w:t>
      </w:r>
      <w:r>
        <w:rPr>
          <w:rFonts w:eastAsia="DengXian"/>
          <w:kern w:val="24"/>
          <w:szCs w:val="18"/>
          <w:lang w:eastAsia="en-AU"/>
        </w:rPr>
        <w:t xml:space="preserve">these critical societal systems are now experiencing a </w:t>
      </w:r>
      <w:r w:rsidRPr="0032016A">
        <w:rPr>
          <w:rFonts w:eastAsia="DengXian"/>
          <w:kern w:val="24"/>
          <w:szCs w:val="18"/>
          <w:lang w:eastAsia="en-AU"/>
        </w:rPr>
        <w:t>scale of structural transformation not seen since the dawn of electrification</w:t>
      </w:r>
      <w:r>
        <w:rPr>
          <w:rFonts w:eastAsia="DengXian"/>
          <w:kern w:val="24"/>
          <w:szCs w:val="18"/>
          <w:lang w:eastAsia="en-AU"/>
        </w:rPr>
        <w:t xml:space="preserve">. </w:t>
      </w:r>
    </w:p>
    <w:p w14:paraId="26F2BF41" w14:textId="77777777" w:rsidR="00F5702E" w:rsidRDefault="00F5702E" w:rsidP="00F5702E">
      <w:pPr>
        <w:snapToGrid w:val="0"/>
        <w:spacing w:before="180" w:after="0" w:line="264" w:lineRule="auto"/>
        <w:rPr>
          <w:rFonts w:eastAsia="DengXian"/>
          <w:kern w:val="24"/>
          <w:szCs w:val="18"/>
          <w:lang w:eastAsia="en-AU"/>
        </w:rPr>
      </w:pPr>
      <w:r>
        <w:rPr>
          <w:rFonts w:eastAsia="DengXian"/>
          <w:kern w:val="24"/>
          <w:szCs w:val="18"/>
          <w:lang w:eastAsia="en-AU"/>
        </w:rPr>
        <w:t xml:space="preserve">On numerous metrics </w:t>
      </w:r>
      <w:r w:rsidRPr="0032016A">
        <w:rPr>
          <w:rFonts w:eastAsia="DengXian"/>
          <w:kern w:val="24"/>
          <w:szCs w:val="18"/>
          <w:lang w:eastAsia="en-AU"/>
        </w:rPr>
        <w:t xml:space="preserve">Australia’s NEM is leading the way in navigating </w:t>
      </w:r>
      <w:r>
        <w:rPr>
          <w:rFonts w:eastAsia="DengXian"/>
          <w:kern w:val="24"/>
          <w:szCs w:val="18"/>
          <w:lang w:eastAsia="en-AU"/>
        </w:rPr>
        <w:t xml:space="preserve">this </w:t>
      </w:r>
      <w:r w:rsidRPr="0032016A">
        <w:rPr>
          <w:rFonts w:eastAsia="DengXian"/>
          <w:kern w:val="24"/>
          <w:szCs w:val="18"/>
          <w:lang w:eastAsia="en-AU"/>
        </w:rPr>
        <w:t>complex and multi-faceted transformation</w:t>
      </w:r>
      <w:r>
        <w:rPr>
          <w:rFonts w:eastAsia="DengXian"/>
          <w:kern w:val="24"/>
          <w:szCs w:val="18"/>
          <w:lang w:eastAsia="en-AU"/>
        </w:rPr>
        <w:t xml:space="preserve">. </w:t>
      </w:r>
      <w:r w:rsidRPr="0032016A">
        <w:rPr>
          <w:rFonts w:eastAsia="DengXian"/>
          <w:kern w:val="24"/>
          <w:szCs w:val="18"/>
          <w:lang w:eastAsia="en-AU"/>
        </w:rPr>
        <w:t xml:space="preserve">In this </w:t>
      </w:r>
      <w:r>
        <w:rPr>
          <w:rFonts w:eastAsia="DengXian"/>
          <w:kern w:val="24"/>
          <w:szCs w:val="18"/>
          <w:lang w:eastAsia="en-AU"/>
        </w:rPr>
        <w:t>context</w:t>
      </w:r>
      <w:r w:rsidRPr="0032016A">
        <w:rPr>
          <w:rFonts w:eastAsia="DengXian"/>
          <w:kern w:val="24"/>
          <w:szCs w:val="18"/>
          <w:lang w:eastAsia="en-AU"/>
        </w:rPr>
        <w:t xml:space="preserve">, </w:t>
      </w:r>
      <w:r>
        <w:rPr>
          <w:rFonts w:eastAsia="DengXian"/>
          <w:kern w:val="24"/>
          <w:szCs w:val="18"/>
          <w:lang w:eastAsia="en-AU"/>
        </w:rPr>
        <w:t>several</w:t>
      </w:r>
      <w:r w:rsidRPr="0032016A">
        <w:rPr>
          <w:rFonts w:eastAsia="DengXian"/>
          <w:kern w:val="24"/>
          <w:szCs w:val="18"/>
          <w:lang w:eastAsia="en-AU"/>
        </w:rPr>
        <w:t xml:space="preserve"> formal initiatives</w:t>
      </w:r>
      <w:r>
        <w:rPr>
          <w:rStyle w:val="FootnoteReference"/>
          <w:rFonts w:eastAsia="DengXian"/>
          <w:kern w:val="24"/>
          <w:szCs w:val="18"/>
          <w:lang w:eastAsia="en-AU"/>
        </w:rPr>
        <w:footnoteReference w:id="2"/>
      </w:r>
      <w:r>
        <w:rPr>
          <w:rFonts w:eastAsia="DengXian"/>
          <w:kern w:val="24"/>
          <w:szCs w:val="18"/>
          <w:lang w:eastAsia="en-AU"/>
        </w:rPr>
        <w:t xml:space="preserve">  </w:t>
      </w:r>
      <w:r w:rsidRPr="0032016A">
        <w:rPr>
          <w:rFonts w:eastAsia="DengXian"/>
          <w:kern w:val="24"/>
          <w:szCs w:val="18"/>
          <w:lang w:eastAsia="en-AU"/>
        </w:rPr>
        <w:t xml:space="preserve">are currently reviewing </w:t>
      </w:r>
      <w:r>
        <w:rPr>
          <w:rFonts w:eastAsia="DengXian"/>
          <w:kern w:val="24"/>
          <w:szCs w:val="18"/>
          <w:lang w:eastAsia="en-AU"/>
        </w:rPr>
        <w:t xml:space="preserve">key </w:t>
      </w:r>
      <w:r w:rsidRPr="0032016A">
        <w:rPr>
          <w:rFonts w:eastAsia="DengXian"/>
          <w:kern w:val="24"/>
          <w:szCs w:val="18"/>
          <w:lang w:eastAsia="en-AU"/>
        </w:rPr>
        <w:t>elements of the ‘as built’ NEM and each of these processes are expected to add value within their respective remits in the near to medium-term</w:t>
      </w:r>
      <w:r>
        <w:rPr>
          <w:rFonts w:eastAsia="DengXian"/>
          <w:kern w:val="24"/>
          <w:szCs w:val="18"/>
          <w:lang w:eastAsia="en-AU"/>
        </w:rPr>
        <w:t>. It is likely that the recommendations of each of these in</w:t>
      </w:r>
      <w:r w:rsidRPr="0032016A">
        <w:rPr>
          <w:rFonts w:eastAsia="DengXian"/>
          <w:kern w:val="24"/>
          <w:szCs w:val="18"/>
          <w:lang w:eastAsia="en-AU"/>
        </w:rPr>
        <w:t>itiative</w:t>
      </w:r>
      <w:r>
        <w:rPr>
          <w:rFonts w:eastAsia="DengXian"/>
          <w:kern w:val="24"/>
          <w:szCs w:val="18"/>
          <w:lang w:eastAsia="en-AU"/>
        </w:rPr>
        <w:t>s</w:t>
      </w:r>
      <w:r w:rsidRPr="0032016A">
        <w:rPr>
          <w:rFonts w:eastAsia="DengXian"/>
          <w:kern w:val="24"/>
          <w:szCs w:val="18"/>
          <w:lang w:eastAsia="en-AU"/>
        </w:rPr>
        <w:t xml:space="preserve"> </w:t>
      </w:r>
      <w:r>
        <w:rPr>
          <w:rFonts w:eastAsia="DengXian"/>
          <w:kern w:val="24"/>
          <w:szCs w:val="18"/>
          <w:lang w:eastAsia="en-AU"/>
        </w:rPr>
        <w:t xml:space="preserve">will also have </w:t>
      </w:r>
      <w:r w:rsidRPr="0032016A">
        <w:rPr>
          <w:rFonts w:eastAsia="DengXian"/>
          <w:kern w:val="24"/>
          <w:szCs w:val="18"/>
          <w:lang w:eastAsia="en-AU"/>
        </w:rPr>
        <w:t>near, medium and long-term structural or ‘architectural’ implications that may benefit from a common set of reference materials</w:t>
      </w:r>
      <w:r>
        <w:rPr>
          <w:rFonts w:eastAsia="DengXian"/>
          <w:kern w:val="24"/>
          <w:szCs w:val="18"/>
          <w:lang w:eastAsia="en-AU"/>
        </w:rPr>
        <w:t xml:space="preserve">. </w:t>
      </w:r>
    </w:p>
    <w:p w14:paraId="11E63CC2" w14:textId="77777777" w:rsidR="00403045" w:rsidRDefault="00403045">
      <w:pPr>
        <w:spacing w:before="0" w:after="160" w:line="259" w:lineRule="auto"/>
        <w:rPr>
          <w:rFonts w:eastAsia="DengXian"/>
          <w:kern w:val="24"/>
          <w:szCs w:val="18"/>
          <w:lang w:eastAsia="en-AU"/>
        </w:rPr>
      </w:pPr>
      <w:r>
        <w:rPr>
          <w:rFonts w:eastAsia="DengXian"/>
          <w:kern w:val="24"/>
          <w:szCs w:val="18"/>
          <w:lang w:eastAsia="en-AU"/>
        </w:rPr>
        <w:br w:type="page"/>
      </w:r>
    </w:p>
    <w:p w14:paraId="65EDDC2C" w14:textId="69C8E056" w:rsidR="003D0C95" w:rsidRDefault="00733D55" w:rsidP="003D0C95">
      <w:pPr>
        <w:keepNext/>
        <w:spacing w:after="0"/>
      </w:pPr>
      <w:r w:rsidRPr="00733D55">
        <w:rPr>
          <w:noProof/>
        </w:rPr>
        <w:drawing>
          <wp:inline distT="0" distB="0" distL="0" distR="0" wp14:anchorId="5A532B04" wp14:editId="393BEA0B">
            <wp:extent cx="5219700" cy="2322195"/>
            <wp:effectExtent l="0" t="0" r="0" b="1905"/>
            <wp:docPr id="1252518672"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18672" name="Picture 1" descr="A diagram of a system&#10;&#10;AI-generated content may be incorrect."/>
                    <pic:cNvPicPr/>
                  </pic:nvPicPr>
                  <pic:blipFill>
                    <a:blip r:embed="rId15"/>
                    <a:stretch>
                      <a:fillRect/>
                    </a:stretch>
                  </pic:blipFill>
                  <pic:spPr>
                    <a:xfrm>
                      <a:off x="0" y="0"/>
                      <a:ext cx="5219700" cy="2322195"/>
                    </a:xfrm>
                    <a:prstGeom prst="rect">
                      <a:avLst/>
                    </a:prstGeom>
                  </pic:spPr>
                </pic:pic>
              </a:graphicData>
            </a:graphic>
          </wp:inline>
        </w:drawing>
      </w:r>
    </w:p>
    <w:p w14:paraId="712468C3" w14:textId="17E86131" w:rsidR="003D0C95" w:rsidRPr="003D0C95" w:rsidRDefault="003D0C95" w:rsidP="003D0C95">
      <w:pPr>
        <w:pStyle w:val="Caption"/>
        <w:spacing w:before="240" w:after="120"/>
        <w:rPr>
          <w:rFonts w:eastAsia="DengXian"/>
          <w:kern w:val="24"/>
          <w:szCs w:val="18"/>
          <w:lang w:eastAsia="en-AU"/>
        </w:rPr>
      </w:pPr>
      <w:bookmarkStart w:id="8" w:name="_Ref203983040"/>
      <w:bookmarkStart w:id="9" w:name="_Toc204156264"/>
      <w:r w:rsidRPr="003D0C95">
        <w:t xml:space="preserve">Figure </w:t>
      </w:r>
      <w:fldSimple w:instr=" SEQ Figure \* ARABIC ">
        <w:r w:rsidR="00B170DF">
          <w:rPr>
            <w:noProof/>
          </w:rPr>
          <w:t>1</w:t>
        </w:r>
      </w:fldSimple>
      <w:bookmarkEnd w:id="8"/>
      <w:r w:rsidRPr="003D0C95">
        <w:t xml:space="preserve">: </w:t>
      </w:r>
      <w:bookmarkEnd w:id="9"/>
      <w:r w:rsidRPr="003D0C95">
        <w:t>This report is one of five which, as a reference set, are designed to support an integrative approach to Australia’s power system transformation</w:t>
      </w:r>
    </w:p>
    <w:p w14:paraId="585871D5" w14:textId="3A5960E0" w:rsidR="00403045" w:rsidRDefault="00403045" w:rsidP="00403045">
      <w:pPr>
        <w:snapToGrid w:val="0"/>
        <w:spacing w:before="180" w:after="120" w:line="264" w:lineRule="auto"/>
        <w:rPr>
          <w:rFonts w:eastAsia="DengXian"/>
          <w:kern w:val="24"/>
          <w:szCs w:val="18"/>
          <w:lang w:eastAsia="en-AU"/>
        </w:rPr>
      </w:pPr>
      <w:r w:rsidRPr="00555C78">
        <w:rPr>
          <w:rFonts w:eastAsia="DengXian"/>
          <w:kern w:val="24"/>
          <w:szCs w:val="18"/>
          <w:lang w:eastAsia="en-AU"/>
        </w:rPr>
        <w:t xml:space="preserve">To help support such a foundation, this document is part </w:t>
      </w:r>
      <w:r>
        <w:rPr>
          <w:rFonts w:eastAsia="DengXian"/>
          <w:kern w:val="24"/>
          <w:szCs w:val="18"/>
          <w:lang w:eastAsia="en-AU"/>
        </w:rPr>
        <w:t xml:space="preserve">of an </w:t>
      </w:r>
      <w:r w:rsidRPr="00555C78">
        <w:rPr>
          <w:rFonts w:eastAsia="DengXian"/>
          <w:kern w:val="24"/>
          <w:szCs w:val="18"/>
          <w:lang w:eastAsia="en-AU"/>
        </w:rPr>
        <w:t xml:space="preserve">integrated set of five reports developed under </w:t>
      </w:r>
      <w:r>
        <w:rPr>
          <w:rFonts w:eastAsia="DengXian"/>
          <w:kern w:val="24"/>
          <w:szCs w:val="18"/>
          <w:lang w:eastAsia="en-AU"/>
        </w:rPr>
        <w:t xml:space="preserve">the Australian Research – Power System Transformation (AR-PST) initiative sponsored by Australia’s national science agency CSIRO and in collaboration with the Australian Energy Market Operator (AEMO). This reference set consists of the following reports: </w:t>
      </w:r>
    </w:p>
    <w:p w14:paraId="5413EE77" w14:textId="77777777" w:rsidR="00403045" w:rsidRPr="00555C78" w:rsidRDefault="00403045" w:rsidP="00403045">
      <w:pPr>
        <w:numPr>
          <w:ilvl w:val="0"/>
          <w:numId w:val="32"/>
        </w:numPr>
        <w:spacing w:before="180" w:after="120" w:line="264" w:lineRule="auto"/>
        <w:ind w:left="714" w:hanging="357"/>
        <w:rPr>
          <w:lang w:eastAsia="en-AU"/>
        </w:rPr>
      </w:pPr>
      <w:r w:rsidRPr="00E14CF8">
        <w:rPr>
          <w:rFonts w:ascii="PP Mori SemiBold" w:hAnsi="PP Mori SemiBold"/>
          <w:color w:val="013C4C" w:themeColor="text1"/>
          <w:lang w:eastAsia="en-AU"/>
        </w:rPr>
        <w:t>Report 1:</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Future Customer &amp; Societal Objectives </w:t>
      </w:r>
    </w:p>
    <w:p w14:paraId="1BB02F43" w14:textId="77777777" w:rsidR="00403045" w:rsidRPr="00555C78" w:rsidRDefault="00403045" w:rsidP="00403045">
      <w:pPr>
        <w:numPr>
          <w:ilvl w:val="0"/>
          <w:numId w:val="32"/>
        </w:numPr>
        <w:spacing w:before="120" w:after="120" w:line="264" w:lineRule="auto"/>
        <w:ind w:left="714" w:hanging="357"/>
        <w:rPr>
          <w:lang w:eastAsia="en-AU"/>
        </w:rPr>
      </w:pPr>
      <w:r w:rsidRPr="00E14CF8">
        <w:rPr>
          <w:rFonts w:ascii="PP Mori SemiBold" w:hAnsi="PP Mori SemiBold"/>
          <w:color w:val="013C4C" w:themeColor="text1"/>
          <w:lang w:eastAsia="en-AU"/>
        </w:rPr>
        <w:t>Report 2:</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Emerging Trends Driving Transformation </w:t>
      </w:r>
    </w:p>
    <w:p w14:paraId="5111E39F" w14:textId="77777777" w:rsidR="00403045" w:rsidRPr="00555C78" w:rsidRDefault="00403045" w:rsidP="00403045">
      <w:pPr>
        <w:numPr>
          <w:ilvl w:val="0"/>
          <w:numId w:val="32"/>
        </w:numPr>
        <w:spacing w:before="120" w:after="120" w:line="264" w:lineRule="auto"/>
        <w:ind w:left="714" w:hanging="357"/>
        <w:rPr>
          <w:lang w:eastAsia="en-AU"/>
        </w:rPr>
      </w:pPr>
      <w:r w:rsidRPr="00E14CF8">
        <w:rPr>
          <w:rFonts w:ascii="PP Mori SemiBold" w:hAnsi="PP Mori SemiBold"/>
          <w:color w:val="013C4C" w:themeColor="text1"/>
          <w:lang w:eastAsia="en-AU"/>
        </w:rPr>
        <w:t>Report 3:</w:t>
      </w:r>
      <w:r w:rsidRPr="00E14CF8">
        <w:rPr>
          <w:color w:val="013C4C" w:themeColor="text1"/>
          <w:lang w:eastAsia="en-AU"/>
        </w:rPr>
        <w:t xml:space="preserve"> </w:t>
      </w:r>
      <w:r>
        <w:rPr>
          <w:color w:val="013C4C" w:themeColor="text1"/>
          <w:lang w:eastAsia="en-AU"/>
        </w:rPr>
        <w:t xml:space="preserve"> </w:t>
      </w:r>
      <w:r w:rsidRPr="00555C78">
        <w:rPr>
          <w:lang w:eastAsia="en-AU"/>
        </w:rPr>
        <w:t>Systemic Issues &amp; Transformation Risks</w:t>
      </w:r>
    </w:p>
    <w:p w14:paraId="36563323" w14:textId="77777777" w:rsidR="00403045" w:rsidRPr="00555C78" w:rsidRDefault="00403045" w:rsidP="00403045">
      <w:pPr>
        <w:numPr>
          <w:ilvl w:val="0"/>
          <w:numId w:val="32"/>
        </w:numPr>
        <w:spacing w:before="120" w:after="120" w:line="264" w:lineRule="auto"/>
        <w:ind w:left="714" w:hanging="357"/>
        <w:rPr>
          <w:lang w:eastAsia="en-AU"/>
        </w:rPr>
      </w:pPr>
      <w:r w:rsidRPr="00E14CF8">
        <w:rPr>
          <w:rFonts w:ascii="PP Mori SemiBold" w:hAnsi="PP Mori SemiBold"/>
          <w:color w:val="013C4C" w:themeColor="text1"/>
          <w:lang w:eastAsia="en-AU"/>
        </w:rPr>
        <w:t>Report 4:</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Distribution System Operator (DSO) Models </w:t>
      </w:r>
    </w:p>
    <w:p w14:paraId="23F4A088" w14:textId="77777777" w:rsidR="00403045" w:rsidRPr="00555C78" w:rsidRDefault="00403045" w:rsidP="00403045">
      <w:pPr>
        <w:numPr>
          <w:ilvl w:val="0"/>
          <w:numId w:val="32"/>
        </w:numPr>
        <w:spacing w:before="120" w:after="0" w:line="264" w:lineRule="auto"/>
        <w:ind w:left="714" w:hanging="357"/>
        <w:rPr>
          <w:lang w:eastAsia="en-AU"/>
        </w:rPr>
      </w:pPr>
      <w:r w:rsidRPr="00E14CF8">
        <w:rPr>
          <w:rFonts w:ascii="PP Mori SemiBold" w:hAnsi="PP Mori SemiBold"/>
          <w:color w:val="013C4C" w:themeColor="text1"/>
          <w:lang w:eastAsia="en-AU"/>
        </w:rPr>
        <w:t>Report 5:</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Transmission-Distribution Coordination (TDC) </w:t>
      </w:r>
    </w:p>
    <w:p w14:paraId="7ABF3A93" w14:textId="31F4FDC7" w:rsidR="00403045" w:rsidRDefault="00403045" w:rsidP="006D3B5D">
      <w:pPr>
        <w:snapToGrid w:val="0"/>
        <w:spacing w:before="180" w:after="0" w:line="264" w:lineRule="auto"/>
        <w:rPr>
          <w:rFonts w:eastAsia="DengXian"/>
          <w:kern w:val="24"/>
          <w:szCs w:val="18"/>
          <w:lang w:eastAsia="en-AU"/>
        </w:rPr>
      </w:pPr>
      <w:r w:rsidRPr="00265AAE">
        <w:rPr>
          <w:rFonts w:eastAsia="DengXian"/>
          <w:kern w:val="24"/>
          <w:szCs w:val="18"/>
          <w:lang w:eastAsia="en-AU"/>
        </w:rPr>
        <w:t xml:space="preserve">Informed by Design Thinking, </w:t>
      </w:r>
      <w:r w:rsidR="00001787">
        <w:rPr>
          <w:rFonts w:eastAsia="DengXian"/>
          <w:kern w:val="24"/>
          <w:szCs w:val="18"/>
          <w:lang w:eastAsia="en-AU"/>
        </w:rPr>
        <w:t>this first report ex</w:t>
      </w:r>
      <w:r w:rsidR="009E0213">
        <w:rPr>
          <w:rFonts w:eastAsia="DengXian"/>
          <w:kern w:val="24"/>
          <w:szCs w:val="18"/>
          <w:lang w:eastAsia="en-AU"/>
        </w:rPr>
        <w:t>plore</w:t>
      </w:r>
      <w:r w:rsidR="006D3B5D">
        <w:rPr>
          <w:rFonts w:eastAsia="DengXian"/>
          <w:kern w:val="24"/>
          <w:szCs w:val="18"/>
          <w:lang w:eastAsia="en-AU"/>
        </w:rPr>
        <w:t>d</w:t>
      </w:r>
      <w:r w:rsidRPr="00265AAE">
        <w:rPr>
          <w:rFonts w:eastAsia="DengXian"/>
          <w:kern w:val="24"/>
          <w:szCs w:val="18"/>
          <w:lang w:eastAsia="en-AU"/>
        </w:rPr>
        <w:t xml:space="preserve"> customer and societal objectives for our future power systems.  This </w:t>
      </w:r>
      <w:r w:rsidR="00AE4A01">
        <w:rPr>
          <w:rFonts w:eastAsia="DengXian"/>
          <w:kern w:val="24"/>
          <w:szCs w:val="18"/>
          <w:lang w:eastAsia="en-AU"/>
        </w:rPr>
        <w:t>focus underpin</w:t>
      </w:r>
      <w:r w:rsidR="006D3B5D">
        <w:rPr>
          <w:rFonts w:eastAsia="DengXian"/>
          <w:kern w:val="24"/>
          <w:szCs w:val="18"/>
          <w:lang w:eastAsia="en-AU"/>
        </w:rPr>
        <w:t>ned</w:t>
      </w:r>
      <w:r w:rsidRPr="00265AAE">
        <w:rPr>
          <w:rFonts w:eastAsia="DengXian"/>
          <w:kern w:val="24"/>
          <w:szCs w:val="18"/>
          <w:lang w:eastAsia="en-AU"/>
        </w:rPr>
        <w:t xml:space="preserve"> the development of</w:t>
      </w:r>
      <w:r>
        <w:rPr>
          <w:rFonts w:eastAsia="DengXian"/>
          <w:kern w:val="24"/>
          <w:szCs w:val="18"/>
          <w:lang w:eastAsia="en-AU"/>
        </w:rPr>
        <w:t xml:space="preserve"> the entire</w:t>
      </w:r>
      <w:r w:rsidRPr="00265AAE">
        <w:rPr>
          <w:rFonts w:eastAsia="DengXian"/>
          <w:kern w:val="24"/>
          <w:szCs w:val="18"/>
          <w:lang w:eastAsia="en-AU"/>
        </w:rPr>
        <w:t xml:space="preserve"> reference set and encouraged an overarching perspective that placed human and societal interests at the centre of the development process.  While more can always be done, </w:t>
      </w:r>
      <w:r>
        <w:rPr>
          <w:rFonts w:eastAsia="DengXian"/>
          <w:kern w:val="24"/>
          <w:szCs w:val="18"/>
          <w:lang w:eastAsia="en-AU"/>
        </w:rPr>
        <w:t xml:space="preserve">and it must, </w:t>
      </w:r>
      <w:r w:rsidRPr="00265AAE">
        <w:rPr>
          <w:rFonts w:eastAsia="DengXian"/>
          <w:kern w:val="24"/>
          <w:szCs w:val="18"/>
          <w:lang w:eastAsia="en-AU"/>
        </w:rPr>
        <w:t xml:space="preserve">this constructively challenged the application of technical, structural and other analyses </w:t>
      </w:r>
      <w:r>
        <w:rPr>
          <w:rFonts w:eastAsia="DengXian"/>
          <w:kern w:val="24"/>
          <w:szCs w:val="18"/>
          <w:lang w:eastAsia="en-AU"/>
        </w:rPr>
        <w:t xml:space="preserve">employed </w:t>
      </w:r>
      <w:r w:rsidRPr="00265AAE">
        <w:rPr>
          <w:rFonts w:eastAsia="DengXian"/>
          <w:kern w:val="24"/>
          <w:szCs w:val="18"/>
          <w:lang w:eastAsia="en-AU"/>
        </w:rPr>
        <w:t>to constantly recalibrate against supporting the achievement of</w:t>
      </w:r>
      <w:r>
        <w:rPr>
          <w:rFonts w:eastAsia="DengXian"/>
          <w:kern w:val="24"/>
          <w:szCs w:val="18"/>
          <w:lang w:eastAsia="en-AU"/>
        </w:rPr>
        <w:t xml:space="preserve"> diverse</w:t>
      </w:r>
      <w:r w:rsidRPr="00265AAE">
        <w:rPr>
          <w:rFonts w:eastAsia="DengXian"/>
          <w:kern w:val="24"/>
          <w:szCs w:val="18"/>
          <w:lang w:eastAsia="en-AU"/>
        </w:rPr>
        <w:t xml:space="preserve"> human and societal interests</w:t>
      </w:r>
      <w:r>
        <w:rPr>
          <w:rFonts w:eastAsia="DengXian"/>
          <w:kern w:val="24"/>
          <w:szCs w:val="18"/>
          <w:lang w:eastAsia="en-AU"/>
        </w:rPr>
        <w:t xml:space="preserve">. </w:t>
      </w:r>
    </w:p>
    <w:p w14:paraId="040F6EBC" w14:textId="57B7669B" w:rsidR="00E92963" w:rsidRPr="00050A5B" w:rsidRDefault="006D3B5D" w:rsidP="00E92963">
      <w:pPr>
        <w:pStyle w:val="Heading2"/>
        <w:rPr>
          <w:lang w:eastAsia="en-US" w:bidi="ar-SA"/>
        </w:rPr>
      </w:pPr>
      <w:bookmarkStart w:id="10" w:name="_Toc205536747"/>
      <w:r>
        <w:rPr>
          <w:lang w:eastAsia="en-US" w:bidi="ar-SA"/>
        </w:rPr>
        <w:t xml:space="preserve">Practical </w:t>
      </w:r>
      <w:r w:rsidR="00E92963" w:rsidRPr="00050A5B">
        <w:rPr>
          <w:lang w:eastAsia="en-US" w:bidi="ar-SA"/>
        </w:rPr>
        <w:t>Rationale</w:t>
      </w:r>
      <w:bookmarkEnd w:id="10"/>
      <w:r w:rsidR="00E92963" w:rsidRPr="00050A5B">
        <w:rPr>
          <w:lang w:eastAsia="en-US" w:bidi="ar-SA"/>
        </w:rPr>
        <w:t xml:space="preserve"> </w:t>
      </w:r>
    </w:p>
    <w:p w14:paraId="5F17C7FC" w14:textId="29AD1A24" w:rsidR="00E92963" w:rsidRPr="00050A5B" w:rsidRDefault="00A55465"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C</w:t>
      </w:r>
      <w:r w:rsidR="00E92963" w:rsidRPr="00050A5B">
        <w:rPr>
          <w:rFonts w:eastAsia="DengXian"/>
          <w:kern w:val="24"/>
          <w:szCs w:val="18"/>
          <w:lang w:eastAsia="en-AU"/>
        </w:rPr>
        <w:t xml:space="preserve">ustomers in almost every part of the economy </w:t>
      </w:r>
      <w:r w:rsidRPr="00050A5B">
        <w:rPr>
          <w:rFonts w:eastAsia="DengXian"/>
          <w:kern w:val="24"/>
          <w:szCs w:val="18"/>
          <w:lang w:eastAsia="en-AU"/>
        </w:rPr>
        <w:t>have never</w:t>
      </w:r>
      <w:r w:rsidR="00E92963" w:rsidRPr="00050A5B">
        <w:rPr>
          <w:rFonts w:eastAsia="DengXian"/>
          <w:kern w:val="24"/>
          <w:szCs w:val="18"/>
          <w:lang w:eastAsia="en-AU"/>
        </w:rPr>
        <w:t xml:space="preserve"> enjoyed more choice and decision-making power. Digital technologies, market platforms and business model innovations are expanding options for all types of customers, whether residential, commercial or industrial. </w:t>
      </w:r>
    </w:p>
    <w:p w14:paraId="2E5FF666" w14:textId="193ADC59" w:rsidR="00E92963" w:rsidRPr="00050A5B" w:rsidRDefault="00157C68"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Often</w:t>
      </w:r>
      <w:r w:rsidR="002836E7" w:rsidRPr="00050A5B">
        <w:rPr>
          <w:rFonts w:eastAsia="DengXian"/>
          <w:kern w:val="24"/>
          <w:szCs w:val="18"/>
          <w:lang w:eastAsia="en-AU"/>
        </w:rPr>
        <w:t xml:space="preserve"> </w:t>
      </w:r>
      <w:r w:rsidR="00E92963" w:rsidRPr="00050A5B">
        <w:rPr>
          <w:rFonts w:eastAsia="DengXian"/>
          <w:kern w:val="24"/>
          <w:szCs w:val="18"/>
          <w:lang w:eastAsia="en-AU"/>
        </w:rPr>
        <w:t xml:space="preserve">referred to as the </w:t>
      </w:r>
      <w:r w:rsidR="00E92963" w:rsidRPr="00050A5B">
        <w:rPr>
          <w:rFonts w:eastAsia="DengXian"/>
          <w:i/>
          <w:kern w:val="24"/>
          <w:szCs w:val="18"/>
          <w:lang w:eastAsia="en-AU"/>
        </w:rPr>
        <w:t>Age of the Customer</w:t>
      </w:r>
      <w:r w:rsidR="00E92963" w:rsidRPr="00050A5B">
        <w:rPr>
          <w:rFonts w:eastAsia="DengXian"/>
          <w:kern w:val="24"/>
          <w:szCs w:val="18"/>
          <w:lang w:eastAsia="en-AU"/>
        </w:rPr>
        <w:t xml:space="preserve"> is also </w:t>
      </w:r>
      <w:r w:rsidR="002836E7" w:rsidRPr="00050A5B">
        <w:rPr>
          <w:rFonts w:eastAsia="DengXian"/>
          <w:kern w:val="24"/>
          <w:szCs w:val="18"/>
          <w:lang w:eastAsia="en-AU"/>
        </w:rPr>
        <w:t xml:space="preserve">called </w:t>
      </w:r>
      <w:r w:rsidR="00E92963" w:rsidRPr="00050A5B">
        <w:rPr>
          <w:rFonts w:eastAsia="DengXian"/>
          <w:kern w:val="24"/>
          <w:szCs w:val="18"/>
          <w:lang w:eastAsia="en-AU"/>
        </w:rPr>
        <w:t xml:space="preserve">the </w:t>
      </w:r>
      <w:r w:rsidR="00E92963" w:rsidRPr="00050A5B">
        <w:rPr>
          <w:rFonts w:eastAsia="DengXian"/>
          <w:i/>
          <w:kern w:val="24"/>
          <w:szCs w:val="18"/>
          <w:lang w:eastAsia="en-AU"/>
        </w:rPr>
        <w:t>Age of Disruption</w:t>
      </w:r>
      <w:r w:rsidR="00E92963" w:rsidRPr="00050A5B">
        <w:rPr>
          <w:rFonts w:eastAsia="DengXian"/>
          <w:kern w:val="24"/>
          <w:szCs w:val="18"/>
          <w:lang w:eastAsia="en-AU"/>
        </w:rPr>
        <w:t xml:space="preserve"> for good reason. </w:t>
      </w:r>
      <w:r w:rsidR="00052E38" w:rsidRPr="00050A5B">
        <w:rPr>
          <w:rFonts w:eastAsia="DengXian"/>
          <w:kern w:val="24"/>
          <w:szCs w:val="18"/>
          <w:lang w:eastAsia="en-AU"/>
        </w:rPr>
        <w:t xml:space="preserve">Accelerated by </w:t>
      </w:r>
      <w:r w:rsidR="000A0C29" w:rsidRPr="00050A5B">
        <w:rPr>
          <w:rFonts w:eastAsia="DengXian"/>
          <w:kern w:val="24"/>
          <w:szCs w:val="18"/>
          <w:lang w:eastAsia="en-AU"/>
        </w:rPr>
        <w:t>evolving customer expectations</w:t>
      </w:r>
      <w:r w:rsidR="0028061D" w:rsidRPr="00050A5B">
        <w:rPr>
          <w:rFonts w:eastAsia="DengXian"/>
          <w:kern w:val="24"/>
          <w:szCs w:val="18"/>
          <w:lang w:eastAsia="en-AU"/>
        </w:rPr>
        <w:t>, technologies and business models, m</w:t>
      </w:r>
      <w:r w:rsidR="00610BDD" w:rsidRPr="00050A5B">
        <w:rPr>
          <w:rFonts w:eastAsia="DengXian"/>
          <w:kern w:val="24"/>
          <w:szCs w:val="18"/>
          <w:lang w:eastAsia="en-AU"/>
        </w:rPr>
        <w:t>any l</w:t>
      </w:r>
      <w:r w:rsidR="00EA78A9" w:rsidRPr="00050A5B">
        <w:rPr>
          <w:rFonts w:eastAsia="DengXian"/>
          <w:kern w:val="24"/>
          <w:szCs w:val="18"/>
          <w:lang w:eastAsia="en-AU"/>
        </w:rPr>
        <w:t xml:space="preserve">ong-standing sectors and incumbent </w:t>
      </w:r>
      <w:r w:rsidR="00E92963" w:rsidRPr="00050A5B">
        <w:rPr>
          <w:rFonts w:eastAsia="DengXian"/>
          <w:kern w:val="24"/>
          <w:szCs w:val="18"/>
          <w:lang w:eastAsia="en-AU"/>
        </w:rPr>
        <w:t xml:space="preserve">corporations </w:t>
      </w:r>
      <w:r w:rsidR="00EA78A9" w:rsidRPr="00050A5B">
        <w:rPr>
          <w:rFonts w:eastAsia="DengXian"/>
          <w:kern w:val="24"/>
          <w:szCs w:val="18"/>
          <w:lang w:eastAsia="en-AU"/>
        </w:rPr>
        <w:t>have found th</w:t>
      </w:r>
      <w:r w:rsidR="004D373B" w:rsidRPr="00050A5B">
        <w:rPr>
          <w:rFonts w:eastAsia="DengXian"/>
          <w:kern w:val="24"/>
          <w:szCs w:val="18"/>
          <w:lang w:eastAsia="en-AU"/>
        </w:rPr>
        <w:t xml:space="preserve">eir familiar twentieth century context </w:t>
      </w:r>
      <w:r w:rsidR="00B30068" w:rsidRPr="00050A5B">
        <w:rPr>
          <w:rFonts w:eastAsia="DengXian"/>
          <w:kern w:val="24"/>
          <w:szCs w:val="18"/>
          <w:lang w:eastAsia="en-AU"/>
        </w:rPr>
        <w:t>transform</w:t>
      </w:r>
      <w:r w:rsidR="00610BDD" w:rsidRPr="00050A5B">
        <w:rPr>
          <w:rFonts w:eastAsia="DengXian"/>
          <w:kern w:val="24"/>
          <w:szCs w:val="18"/>
          <w:lang w:eastAsia="en-AU"/>
        </w:rPr>
        <w:t xml:space="preserve"> unrecognisably </w:t>
      </w:r>
      <w:r w:rsidR="0028061D" w:rsidRPr="00050A5B">
        <w:rPr>
          <w:rFonts w:eastAsia="DengXian"/>
          <w:kern w:val="24"/>
          <w:szCs w:val="18"/>
          <w:lang w:eastAsia="en-AU"/>
        </w:rPr>
        <w:t xml:space="preserve">over a </w:t>
      </w:r>
      <w:r w:rsidR="00610BDD" w:rsidRPr="00050A5B">
        <w:rPr>
          <w:rFonts w:eastAsia="DengXian"/>
          <w:kern w:val="24"/>
          <w:szCs w:val="18"/>
          <w:lang w:eastAsia="en-AU"/>
        </w:rPr>
        <w:t xml:space="preserve">comparatively short </w:t>
      </w:r>
      <w:r w:rsidR="0028061D" w:rsidRPr="00050A5B">
        <w:rPr>
          <w:rFonts w:eastAsia="DengXian"/>
          <w:kern w:val="24"/>
          <w:szCs w:val="18"/>
          <w:lang w:eastAsia="en-AU"/>
        </w:rPr>
        <w:t>period</w:t>
      </w:r>
      <w:r w:rsidR="00F64AD7" w:rsidRPr="00050A5B">
        <w:rPr>
          <w:rFonts w:eastAsia="DengXian"/>
          <w:kern w:val="24"/>
          <w:szCs w:val="18"/>
          <w:lang w:eastAsia="en-AU"/>
        </w:rPr>
        <w:t xml:space="preserve">. </w:t>
      </w:r>
    </w:p>
    <w:p w14:paraId="49E01207" w14:textId="7DA281DB" w:rsidR="00E92963" w:rsidRPr="00050A5B" w:rsidRDefault="007A51DE" w:rsidP="00356344">
      <w:pPr>
        <w:snapToGrid w:val="0"/>
        <w:spacing w:before="180" w:after="120" w:line="264" w:lineRule="auto"/>
        <w:rPr>
          <w:rFonts w:eastAsia="DengXian"/>
          <w:kern w:val="24"/>
          <w:szCs w:val="18"/>
          <w:lang w:eastAsia="en-AU"/>
        </w:rPr>
      </w:pPr>
      <w:r w:rsidRPr="00050A5B">
        <w:rPr>
          <w:rFonts w:eastAsia="DengXian"/>
          <w:kern w:val="24"/>
          <w:szCs w:val="18"/>
          <w:lang w:eastAsia="en-AU"/>
        </w:rPr>
        <w:t xml:space="preserve">While </w:t>
      </w:r>
      <w:r w:rsidR="00670253" w:rsidRPr="00050A5B">
        <w:rPr>
          <w:rFonts w:eastAsia="DengXian"/>
          <w:kern w:val="24"/>
          <w:szCs w:val="18"/>
          <w:lang w:eastAsia="en-AU"/>
        </w:rPr>
        <w:t xml:space="preserve">the electricity sector </w:t>
      </w:r>
      <w:r w:rsidR="007F1C54" w:rsidRPr="00050A5B">
        <w:rPr>
          <w:rFonts w:eastAsia="DengXian"/>
          <w:kern w:val="24"/>
          <w:szCs w:val="18"/>
          <w:lang w:eastAsia="en-AU"/>
        </w:rPr>
        <w:t xml:space="preserve">has </w:t>
      </w:r>
      <w:r w:rsidR="008158E6" w:rsidRPr="00050A5B">
        <w:rPr>
          <w:rFonts w:eastAsia="DengXian"/>
          <w:kern w:val="24"/>
          <w:szCs w:val="18"/>
          <w:lang w:eastAsia="en-AU"/>
        </w:rPr>
        <w:t>several</w:t>
      </w:r>
      <w:r w:rsidR="000A740E" w:rsidRPr="00050A5B">
        <w:rPr>
          <w:rFonts w:eastAsia="DengXian"/>
          <w:kern w:val="24"/>
          <w:szCs w:val="18"/>
          <w:lang w:eastAsia="en-AU"/>
        </w:rPr>
        <w:t xml:space="preserve"> unique features, it</w:t>
      </w:r>
      <w:r w:rsidR="00C61EA2" w:rsidRPr="00050A5B">
        <w:rPr>
          <w:rFonts w:eastAsia="DengXian"/>
          <w:kern w:val="24"/>
          <w:szCs w:val="18"/>
          <w:lang w:eastAsia="en-AU"/>
        </w:rPr>
        <w:t xml:space="preserve"> is important to recognise that no sector</w:t>
      </w:r>
      <w:r w:rsidR="00E92963" w:rsidRPr="00050A5B">
        <w:rPr>
          <w:rFonts w:eastAsia="DengXian"/>
          <w:kern w:val="24"/>
          <w:szCs w:val="18"/>
          <w:lang w:eastAsia="en-AU"/>
        </w:rPr>
        <w:t xml:space="preserve"> is </w:t>
      </w:r>
      <w:r w:rsidR="00C61EA2" w:rsidRPr="00050A5B">
        <w:rPr>
          <w:rFonts w:eastAsia="DengXian"/>
          <w:kern w:val="24"/>
          <w:szCs w:val="18"/>
          <w:lang w:eastAsia="en-AU"/>
        </w:rPr>
        <w:t xml:space="preserve">immune to </w:t>
      </w:r>
      <w:r w:rsidR="00E92963" w:rsidRPr="00050A5B">
        <w:rPr>
          <w:rFonts w:eastAsia="DengXian"/>
          <w:kern w:val="24"/>
          <w:szCs w:val="18"/>
          <w:lang w:eastAsia="en-AU"/>
        </w:rPr>
        <w:t xml:space="preserve">these wider societal </w:t>
      </w:r>
      <w:r w:rsidR="00C61EA2" w:rsidRPr="00050A5B">
        <w:rPr>
          <w:rFonts w:eastAsia="DengXian"/>
          <w:kern w:val="24"/>
          <w:szCs w:val="18"/>
          <w:lang w:eastAsia="en-AU"/>
        </w:rPr>
        <w:t xml:space="preserve">currents. </w:t>
      </w:r>
      <w:r w:rsidR="002A6C18" w:rsidRPr="00050A5B">
        <w:rPr>
          <w:rFonts w:eastAsia="DengXian"/>
          <w:kern w:val="24"/>
          <w:szCs w:val="18"/>
          <w:lang w:eastAsia="en-AU"/>
        </w:rPr>
        <w:t>For example, n</w:t>
      </w:r>
      <w:r w:rsidR="00760D0C" w:rsidRPr="00050A5B">
        <w:rPr>
          <w:rFonts w:eastAsia="DengXian"/>
          <w:kern w:val="24"/>
          <w:szCs w:val="18"/>
          <w:lang w:eastAsia="en-AU"/>
        </w:rPr>
        <w:t>o</w:t>
      </w:r>
      <w:r w:rsidR="00E92963" w:rsidRPr="00050A5B">
        <w:rPr>
          <w:rFonts w:eastAsia="DengXian"/>
          <w:kern w:val="24"/>
          <w:szCs w:val="18"/>
          <w:lang w:eastAsia="en-AU"/>
        </w:rPr>
        <w:t xml:space="preserve"> longer </w:t>
      </w:r>
      <w:r w:rsidR="002A6C18" w:rsidRPr="00050A5B">
        <w:rPr>
          <w:rFonts w:eastAsia="DengXian"/>
          <w:kern w:val="24"/>
          <w:szCs w:val="18"/>
          <w:lang w:eastAsia="en-AU"/>
        </w:rPr>
        <w:t>content to</w:t>
      </w:r>
      <w:r w:rsidR="0024293F" w:rsidRPr="00050A5B">
        <w:rPr>
          <w:rFonts w:eastAsia="DengXian"/>
          <w:kern w:val="24"/>
          <w:szCs w:val="18"/>
          <w:lang w:eastAsia="en-AU"/>
        </w:rPr>
        <w:t xml:space="preserve"> </w:t>
      </w:r>
      <w:r w:rsidR="00E92963" w:rsidRPr="00050A5B">
        <w:rPr>
          <w:rFonts w:eastAsia="DengXian"/>
          <w:kern w:val="24"/>
          <w:szCs w:val="18"/>
          <w:lang w:eastAsia="en-AU"/>
        </w:rPr>
        <w:t xml:space="preserve">simply </w:t>
      </w:r>
      <w:r w:rsidR="0024293F" w:rsidRPr="00050A5B">
        <w:rPr>
          <w:rFonts w:eastAsia="DengXian"/>
          <w:kern w:val="24"/>
          <w:szCs w:val="18"/>
          <w:lang w:eastAsia="en-AU"/>
        </w:rPr>
        <w:t>be</w:t>
      </w:r>
      <w:r w:rsidR="00760D0C" w:rsidRPr="00050A5B">
        <w:rPr>
          <w:rFonts w:eastAsia="DengXian"/>
          <w:kern w:val="24"/>
          <w:szCs w:val="18"/>
          <w:lang w:eastAsia="en-AU"/>
        </w:rPr>
        <w:t xml:space="preserve"> </w:t>
      </w:r>
      <w:r w:rsidR="00E92963" w:rsidRPr="00050A5B">
        <w:rPr>
          <w:rFonts w:eastAsia="DengXian"/>
          <w:kern w:val="24"/>
          <w:szCs w:val="18"/>
          <w:lang w:eastAsia="en-AU"/>
        </w:rPr>
        <w:t xml:space="preserve">passive consumers, </w:t>
      </w:r>
      <w:r w:rsidR="009E4BDB" w:rsidRPr="00050A5B">
        <w:rPr>
          <w:rFonts w:eastAsia="DengXian"/>
          <w:kern w:val="24"/>
          <w:szCs w:val="18"/>
          <w:lang w:eastAsia="en-AU"/>
        </w:rPr>
        <w:t xml:space="preserve">millions of </w:t>
      </w:r>
      <w:r w:rsidR="00E92963" w:rsidRPr="00050A5B">
        <w:rPr>
          <w:rFonts w:eastAsia="DengXian"/>
          <w:kern w:val="24"/>
          <w:szCs w:val="18"/>
          <w:lang w:eastAsia="en-AU"/>
        </w:rPr>
        <w:t>citizens</w:t>
      </w:r>
      <w:r w:rsidR="009E4BDB" w:rsidRPr="00050A5B">
        <w:rPr>
          <w:rFonts w:eastAsia="DengXian"/>
          <w:kern w:val="24"/>
          <w:szCs w:val="18"/>
          <w:lang w:eastAsia="en-AU"/>
        </w:rPr>
        <w:t xml:space="preserve"> and </w:t>
      </w:r>
      <w:r w:rsidR="00E92963" w:rsidRPr="00050A5B">
        <w:rPr>
          <w:rFonts w:eastAsia="DengXian"/>
          <w:kern w:val="24"/>
          <w:szCs w:val="18"/>
          <w:lang w:eastAsia="en-AU"/>
        </w:rPr>
        <w:t xml:space="preserve">businesses </w:t>
      </w:r>
      <w:r w:rsidR="00760D0C" w:rsidRPr="00050A5B">
        <w:rPr>
          <w:rFonts w:eastAsia="DengXian"/>
          <w:kern w:val="24"/>
          <w:szCs w:val="18"/>
          <w:lang w:eastAsia="en-AU"/>
        </w:rPr>
        <w:t xml:space="preserve">are </w:t>
      </w:r>
      <w:r w:rsidR="009E4BDB" w:rsidRPr="00050A5B">
        <w:rPr>
          <w:rFonts w:eastAsia="DengXian"/>
          <w:kern w:val="24"/>
          <w:szCs w:val="18"/>
          <w:lang w:eastAsia="en-AU"/>
        </w:rPr>
        <w:t>now</w:t>
      </w:r>
      <w:r w:rsidR="00E92963" w:rsidRPr="00050A5B">
        <w:rPr>
          <w:rFonts w:eastAsia="DengXian"/>
          <w:kern w:val="24"/>
          <w:szCs w:val="18"/>
          <w:lang w:eastAsia="en-AU"/>
        </w:rPr>
        <w:t xml:space="preserve"> driving the transformation, with many becoming investor-participants in their own energy future</w:t>
      </w:r>
      <w:r w:rsidR="004947F3">
        <w:rPr>
          <w:rFonts w:eastAsia="DengXian"/>
          <w:kern w:val="24"/>
          <w:szCs w:val="18"/>
          <w:lang w:eastAsia="en-AU"/>
        </w:rPr>
        <w:t xml:space="preserve"> and a</w:t>
      </w:r>
      <w:r w:rsidR="00531AB6">
        <w:rPr>
          <w:rFonts w:eastAsia="DengXian"/>
          <w:kern w:val="24"/>
          <w:szCs w:val="18"/>
          <w:lang w:eastAsia="en-AU"/>
        </w:rPr>
        <w:t>n entirely</w:t>
      </w:r>
      <w:r w:rsidR="004947F3">
        <w:rPr>
          <w:rFonts w:eastAsia="DengXian"/>
          <w:kern w:val="24"/>
          <w:szCs w:val="18"/>
          <w:lang w:eastAsia="en-AU"/>
        </w:rPr>
        <w:t xml:space="preserve"> separate demographic to those consumers </w:t>
      </w:r>
      <w:r w:rsidR="00A01D2F" w:rsidRPr="00A01D2F">
        <w:rPr>
          <w:rFonts w:eastAsia="DengXian"/>
          <w:kern w:val="24"/>
          <w:szCs w:val="18"/>
          <w:lang w:eastAsia="en-AU"/>
        </w:rPr>
        <w:t>who will probably never want to be ‘active’ energy consumers.</w:t>
      </w:r>
      <w:r w:rsidR="00E92963" w:rsidRPr="00050A5B">
        <w:rPr>
          <w:rFonts w:eastAsia="DengXian"/>
          <w:kern w:val="24"/>
          <w:szCs w:val="18"/>
          <w:lang w:eastAsia="en-AU"/>
        </w:rPr>
        <w:t xml:space="preserve"> According to most scenarios, what was historically called the ‘demand side’ is likely to become where a large proportion of the energy resources available to Australia’s power systems are located</w:t>
      </w:r>
      <w:r w:rsidR="0043162D">
        <w:rPr>
          <w:rFonts w:eastAsia="DengXian"/>
          <w:kern w:val="24"/>
          <w:szCs w:val="18"/>
          <w:lang w:eastAsia="en-AU"/>
        </w:rPr>
        <w:t>.</w:t>
      </w:r>
    </w:p>
    <w:p w14:paraId="192277FE" w14:textId="23812DD6" w:rsidR="00664B02" w:rsidRPr="00050A5B" w:rsidRDefault="00E92963" w:rsidP="00356344">
      <w:pPr>
        <w:snapToGrid w:val="0"/>
        <w:spacing w:before="180" w:after="120" w:line="264" w:lineRule="auto"/>
        <w:rPr>
          <w:rFonts w:eastAsia="DengXian"/>
          <w:kern w:val="24"/>
          <w:szCs w:val="18"/>
          <w:lang w:eastAsia="en-AU"/>
        </w:rPr>
      </w:pPr>
      <w:r w:rsidRPr="00050A5B">
        <w:rPr>
          <w:rFonts w:eastAsia="DengXian"/>
          <w:kern w:val="24"/>
          <w:szCs w:val="18"/>
          <w:lang w:eastAsia="en-AU"/>
        </w:rPr>
        <w:t xml:space="preserve">Both lived experience and the extensive academic literature illustrate the </w:t>
      </w:r>
      <w:r w:rsidR="003C5067" w:rsidRPr="00050A5B">
        <w:rPr>
          <w:rFonts w:eastAsia="DengXian"/>
          <w:kern w:val="24"/>
          <w:szCs w:val="18"/>
          <w:lang w:eastAsia="en-AU"/>
        </w:rPr>
        <w:t xml:space="preserve">diverse </w:t>
      </w:r>
      <w:r w:rsidR="00671FEB" w:rsidRPr="00050A5B">
        <w:rPr>
          <w:rFonts w:eastAsia="DengXian"/>
          <w:kern w:val="24"/>
          <w:szCs w:val="18"/>
          <w:lang w:eastAsia="en-AU"/>
        </w:rPr>
        <w:t>nature</w:t>
      </w:r>
      <w:r w:rsidRPr="00050A5B">
        <w:rPr>
          <w:rFonts w:eastAsia="DengXian"/>
          <w:kern w:val="24"/>
          <w:szCs w:val="18"/>
          <w:lang w:eastAsia="en-AU"/>
        </w:rPr>
        <w:t xml:space="preserve"> of sectoral disruptions</w:t>
      </w:r>
      <w:r w:rsidR="00782FD6" w:rsidRPr="00050A5B">
        <w:rPr>
          <w:rFonts w:eastAsia="DengXian"/>
          <w:kern w:val="24"/>
          <w:szCs w:val="18"/>
          <w:lang w:eastAsia="en-AU"/>
        </w:rPr>
        <w:t xml:space="preserve"> across</w:t>
      </w:r>
      <w:r w:rsidRPr="00050A5B">
        <w:rPr>
          <w:rFonts w:eastAsia="DengXian"/>
          <w:kern w:val="24"/>
          <w:szCs w:val="18"/>
          <w:lang w:eastAsia="en-AU"/>
        </w:rPr>
        <w:t xml:space="preserve"> banking, telecommunications, transport, media, entertainment, accommodation – the list goes on. </w:t>
      </w:r>
    </w:p>
    <w:p w14:paraId="41F1B374" w14:textId="73E6082A" w:rsidR="00E92963" w:rsidRPr="00050A5B" w:rsidRDefault="00EF6975" w:rsidP="00356344">
      <w:pPr>
        <w:snapToGrid w:val="0"/>
        <w:spacing w:before="180" w:after="120" w:line="264" w:lineRule="auto"/>
        <w:rPr>
          <w:rFonts w:eastAsia="DengXian"/>
          <w:kern w:val="24"/>
          <w:szCs w:val="18"/>
          <w:lang w:eastAsia="en-AU"/>
        </w:rPr>
      </w:pPr>
      <w:r w:rsidRPr="00050A5B">
        <w:rPr>
          <w:rFonts w:eastAsia="DengXian"/>
          <w:kern w:val="24"/>
          <w:szCs w:val="18"/>
          <w:lang w:eastAsia="en-AU"/>
        </w:rPr>
        <w:t>W</w:t>
      </w:r>
      <w:r w:rsidR="009E1FD7" w:rsidRPr="00050A5B">
        <w:rPr>
          <w:rFonts w:eastAsia="DengXian"/>
          <w:kern w:val="24"/>
          <w:szCs w:val="18"/>
          <w:lang w:eastAsia="en-AU"/>
        </w:rPr>
        <w:t>hile</w:t>
      </w:r>
      <w:r w:rsidR="00E92963" w:rsidRPr="00050A5B">
        <w:rPr>
          <w:rFonts w:eastAsia="DengXian"/>
          <w:kern w:val="24"/>
          <w:szCs w:val="18"/>
          <w:lang w:eastAsia="en-AU"/>
        </w:rPr>
        <w:t xml:space="preserve"> analogies from other sectors may be of illustrative value, they rarely apply directly to a sector such as the electric power sector with all its unique characteristics. For all the differences, however, </w:t>
      </w:r>
      <w:r w:rsidR="00EC3999" w:rsidRPr="00050A5B">
        <w:rPr>
          <w:rFonts w:eastAsia="DengXian"/>
          <w:kern w:val="24"/>
          <w:szCs w:val="18"/>
          <w:lang w:eastAsia="en-AU"/>
        </w:rPr>
        <w:t>several</w:t>
      </w:r>
      <w:r w:rsidR="00E92963" w:rsidRPr="00050A5B">
        <w:rPr>
          <w:rFonts w:eastAsia="DengXian"/>
          <w:kern w:val="24"/>
          <w:szCs w:val="18"/>
          <w:lang w:eastAsia="en-AU"/>
        </w:rPr>
        <w:t xml:space="preserve"> commonalities repeatedly manifest across the wide range of </w:t>
      </w:r>
      <w:r w:rsidRPr="00050A5B">
        <w:rPr>
          <w:rFonts w:eastAsia="DengXian"/>
          <w:kern w:val="24"/>
          <w:szCs w:val="18"/>
          <w:lang w:eastAsia="en-AU"/>
        </w:rPr>
        <w:t xml:space="preserve">transformational and </w:t>
      </w:r>
      <w:r w:rsidR="00E92963" w:rsidRPr="00050A5B">
        <w:rPr>
          <w:rFonts w:eastAsia="DengXian"/>
          <w:kern w:val="24"/>
          <w:szCs w:val="18"/>
          <w:lang w:eastAsia="en-AU"/>
        </w:rPr>
        <w:t>disrupti</w:t>
      </w:r>
      <w:r w:rsidRPr="00050A5B">
        <w:rPr>
          <w:rFonts w:eastAsia="DengXian"/>
          <w:kern w:val="24"/>
          <w:szCs w:val="18"/>
          <w:lang w:eastAsia="en-AU"/>
        </w:rPr>
        <w:t>ve forces</w:t>
      </w:r>
      <w:r w:rsidR="00E92963" w:rsidRPr="00050A5B">
        <w:rPr>
          <w:rFonts w:eastAsia="DengXian"/>
          <w:kern w:val="24"/>
          <w:szCs w:val="18"/>
          <w:lang w:eastAsia="en-AU"/>
        </w:rPr>
        <w:t>. These are summarised below.</w:t>
      </w:r>
    </w:p>
    <w:p w14:paraId="707E2E99" w14:textId="1E9E9599" w:rsidR="00E92963" w:rsidRPr="00050A5B"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Disruption starts small. </w:t>
      </w:r>
      <w:r w:rsidRPr="00050A5B">
        <w:rPr>
          <w:rFonts w:eastAsia="DengXian"/>
          <w:kern w:val="24"/>
          <w:szCs w:val="18"/>
          <w:lang w:eastAsia="en-AU"/>
        </w:rPr>
        <w:t>Disruptive forces initially impact only the edges of a system. Their initial impacts are small and are largely ignored as posing any significant threat</w:t>
      </w:r>
      <w:r w:rsidR="00E62B4D" w:rsidRPr="00050A5B">
        <w:rPr>
          <w:rFonts w:eastAsia="DengXian"/>
          <w:kern w:val="24"/>
          <w:szCs w:val="18"/>
          <w:lang w:eastAsia="en-AU"/>
        </w:rPr>
        <w:t xml:space="preserve"> by incumbents</w:t>
      </w:r>
      <w:r w:rsidRPr="00050A5B">
        <w:rPr>
          <w:rFonts w:eastAsia="DengXian"/>
          <w:kern w:val="24"/>
          <w:szCs w:val="18"/>
          <w:lang w:eastAsia="en-AU"/>
        </w:rPr>
        <w:t>. The gradual erosion of customer loyalty and increasing options for ‘product substitution’ are largely dismissed as peripheral</w:t>
      </w:r>
      <w:r w:rsidR="009A246A" w:rsidRPr="00050A5B">
        <w:rPr>
          <w:rFonts w:eastAsia="DengXian"/>
          <w:kern w:val="24"/>
          <w:szCs w:val="18"/>
          <w:lang w:eastAsia="en-AU"/>
        </w:rPr>
        <w:t xml:space="preserve"> – often until it’s too late. </w:t>
      </w:r>
    </w:p>
    <w:p w14:paraId="33CE8C08" w14:textId="27F97264" w:rsidR="00E92963" w:rsidRPr="00050A5B"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Customers drive disruption. </w:t>
      </w:r>
      <w:r w:rsidRPr="007F0A9F">
        <w:rPr>
          <w:rFonts w:eastAsia="DengXian"/>
          <w:color w:val="013C4C" w:themeColor="text1"/>
          <w:kern w:val="24"/>
          <w:szCs w:val="18"/>
          <w:lang w:eastAsia="en-AU"/>
        </w:rPr>
        <w:t xml:space="preserve"> </w:t>
      </w:r>
      <w:r w:rsidRPr="00050A5B">
        <w:rPr>
          <w:rFonts w:eastAsia="DengXian"/>
          <w:kern w:val="24"/>
          <w:szCs w:val="18"/>
          <w:lang w:eastAsia="en-AU"/>
        </w:rPr>
        <w:t xml:space="preserve">The driving force of disruption is customers, not technology. New technologies and business models enable and accelerate disruption, but the critical driver is the human </w:t>
      </w:r>
      <w:r w:rsidR="008D604E" w:rsidRPr="00050A5B">
        <w:rPr>
          <w:rFonts w:eastAsia="DengXian"/>
          <w:kern w:val="24"/>
          <w:szCs w:val="18"/>
          <w:lang w:eastAsia="en-AU"/>
        </w:rPr>
        <w:t>aspiration</w:t>
      </w:r>
      <w:r w:rsidRPr="00050A5B">
        <w:rPr>
          <w:rFonts w:eastAsia="DengXian"/>
          <w:kern w:val="24"/>
          <w:szCs w:val="18"/>
          <w:lang w:eastAsia="en-AU"/>
        </w:rPr>
        <w:t xml:space="preserve"> for better solutions to the specific </w:t>
      </w:r>
      <w:r w:rsidR="005A05F2" w:rsidRPr="00050A5B">
        <w:rPr>
          <w:rFonts w:eastAsia="DengXian"/>
          <w:kern w:val="24"/>
          <w:szCs w:val="18"/>
          <w:lang w:eastAsia="en-AU"/>
        </w:rPr>
        <w:t>needs</w:t>
      </w:r>
      <w:r w:rsidRPr="00050A5B">
        <w:rPr>
          <w:rFonts w:eastAsia="DengXian"/>
          <w:kern w:val="24"/>
          <w:szCs w:val="18"/>
          <w:lang w:eastAsia="en-AU"/>
        </w:rPr>
        <w:t xml:space="preserve"> faced and key objectives pursued. </w:t>
      </w:r>
    </w:p>
    <w:p w14:paraId="15DEF0D7" w14:textId="2762F785" w:rsidR="00E92963" w:rsidRPr="00050A5B"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Negative impacts vary. </w:t>
      </w:r>
      <w:r w:rsidRPr="00050A5B">
        <w:rPr>
          <w:rFonts w:eastAsia="DengXian"/>
          <w:kern w:val="24"/>
          <w:szCs w:val="18"/>
          <w:lang w:eastAsia="en-AU"/>
        </w:rPr>
        <w:t xml:space="preserve">Not all disruption results in the substantive destruction of a sector and its incumbent entities. Often it has </w:t>
      </w:r>
      <w:r w:rsidR="00FC5DC5" w:rsidRPr="00050A5B">
        <w:rPr>
          <w:rFonts w:eastAsia="DengXian"/>
          <w:kern w:val="24"/>
          <w:szCs w:val="18"/>
          <w:lang w:eastAsia="en-AU"/>
        </w:rPr>
        <w:t>the</w:t>
      </w:r>
      <w:r w:rsidRPr="00050A5B">
        <w:rPr>
          <w:rFonts w:eastAsia="DengXian"/>
          <w:kern w:val="24"/>
          <w:szCs w:val="18"/>
          <w:lang w:eastAsia="en-AU"/>
        </w:rPr>
        <w:t xml:space="preserve"> more subtle but significant impact of eroding </w:t>
      </w:r>
      <w:r w:rsidR="00FC5DC5" w:rsidRPr="00050A5B">
        <w:rPr>
          <w:rFonts w:eastAsia="DengXian"/>
          <w:kern w:val="24"/>
          <w:szCs w:val="18"/>
          <w:lang w:eastAsia="en-AU"/>
        </w:rPr>
        <w:t>the</w:t>
      </w:r>
      <w:r w:rsidRPr="00050A5B">
        <w:rPr>
          <w:rFonts w:eastAsia="DengXian"/>
          <w:kern w:val="24"/>
          <w:szCs w:val="18"/>
          <w:lang w:eastAsia="en-AU"/>
        </w:rPr>
        <w:t xml:space="preserve"> economic vitality</w:t>
      </w:r>
      <w:r w:rsidR="00FC5DC5" w:rsidRPr="00050A5B">
        <w:rPr>
          <w:rFonts w:eastAsia="DengXian"/>
          <w:kern w:val="24"/>
          <w:szCs w:val="18"/>
          <w:lang w:eastAsia="en-AU"/>
        </w:rPr>
        <w:t xml:space="preserve"> of a sector</w:t>
      </w:r>
      <w:r w:rsidRPr="00050A5B">
        <w:rPr>
          <w:rFonts w:eastAsia="DengXian"/>
          <w:kern w:val="24"/>
          <w:szCs w:val="18"/>
          <w:lang w:eastAsia="en-AU"/>
        </w:rPr>
        <w:t>. For example, railways were once one of the most lucrative and prestigious sectors to be employed in.</w:t>
      </w:r>
    </w:p>
    <w:p w14:paraId="24CA2B18" w14:textId="5F649F90" w:rsidR="009349BF"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Disruption impacts regulation</w:t>
      </w:r>
      <w:r w:rsidRPr="00050A5B">
        <w:rPr>
          <w:rFonts w:ascii="PP Mori SemiBold" w:eastAsia="DengXian" w:hAnsi="PP Mori SemiBold"/>
          <w:kern w:val="24"/>
          <w:szCs w:val="18"/>
          <w:lang w:eastAsia="en-AU"/>
        </w:rPr>
        <w:t>.</w:t>
      </w:r>
      <w:r>
        <w:rPr>
          <w:rFonts w:ascii="PP Mori SemiBold" w:eastAsia="DengXian" w:hAnsi="PP Mori SemiBold"/>
          <w:kern w:val="24"/>
          <w:szCs w:val="18"/>
          <w:lang w:eastAsia="en-AU"/>
        </w:rPr>
        <w:t xml:space="preserve"> </w:t>
      </w:r>
      <w:r w:rsidR="00382028" w:rsidRPr="00050A5B">
        <w:rPr>
          <w:rFonts w:eastAsia="DengXian"/>
          <w:kern w:val="24"/>
          <w:szCs w:val="18"/>
          <w:lang w:eastAsia="en-AU"/>
        </w:rPr>
        <w:t>Incumbents often assume</w:t>
      </w:r>
      <w:r w:rsidRPr="00050A5B">
        <w:rPr>
          <w:rFonts w:eastAsia="DengXian"/>
          <w:kern w:val="24"/>
          <w:szCs w:val="18"/>
          <w:lang w:eastAsia="en-AU"/>
        </w:rPr>
        <w:t xml:space="preserve"> that regulatory mechanisms will shield </w:t>
      </w:r>
      <w:r w:rsidR="006648D9" w:rsidRPr="00050A5B">
        <w:rPr>
          <w:rFonts w:eastAsia="DengXian"/>
          <w:kern w:val="24"/>
          <w:szCs w:val="18"/>
          <w:lang w:eastAsia="en-AU"/>
        </w:rPr>
        <w:t>them</w:t>
      </w:r>
      <w:r w:rsidRPr="00050A5B">
        <w:rPr>
          <w:rFonts w:eastAsia="DengXian"/>
          <w:kern w:val="24"/>
          <w:szCs w:val="18"/>
          <w:lang w:eastAsia="en-AU"/>
        </w:rPr>
        <w:t xml:space="preserve"> from disruptive forces. While this may slow the full impact for a time, history demonstrates that even </w:t>
      </w:r>
      <w:r w:rsidR="006648D9" w:rsidRPr="00050A5B">
        <w:rPr>
          <w:rFonts w:eastAsia="DengXian"/>
          <w:kern w:val="24"/>
          <w:szCs w:val="18"/>
          <w:lang w:eastAsia="en-AU"/>
        </w:rPr>
        <w:t>entrenched</w:t>
      </w:r>
      <w:r w:rsidRPr="00050A5B">
        <w:rPr>
          <w:rFonts w:eastAsia="DengXian"/>
          <w:kern w:val="24"/>
          <w:szCs w:val="18"/>
          <w:lang w:eastAsia="en-AU"/>
        </w:rPr>
        <w:t xml:space="preserve"> regulatory </w:t>
      </w:r>
      <w:r w:rsidR="006648D9" w:rsidRPr="00050A5B">
        <w:rPr>
          <w:rFonts w:eastAsia="DengXian"/>
          <w:kern w:val="24"/>
          <w:szCs w:val="18"/>
          <w:lang w:eastAsia="en-AU"/>
        </w:rPr>
        <w:t>systems</w:t>
      </w:r>
      <w:r w:rsidRPr="00050A5B">
        <w:rPr>
          <w:rFonts w:eastAsia="DengXian"/>
          <w:kern w:val="24"/>
          <w:szCs w:val="18"/>
          <w:lang w:eastAsia="en-AU"/>
        </w:rPr>
        <w:t xml:space="preserve"> </w:t>
      </w:r>
      <w:r w:rsidR="006648D9" w:rsidRPr="00050A5B">
        <w:rPr>
          <w:rFonts w:eastAsia="DengXian"/>
          <w:kern w:val="24"/>
          <w:szCs w:val="18"/>
          <w:lang w:eastAsia="en-AU"/>
        </w:rPr>
        <w:t>themselves</w:t>
      </w:r>
      <w:r w:rsidRPr="00050A5B">
        <w:rPr>
          <w:rFonts w:eastAsia="DengXian"/>
          <w:kern w:val="24"/>
          <w:szCs w:val="18"/>
          <w:lang w:eastAsia="en-AU"/>
        </w:rPr>
        <w:t xml:space="preserve"> face disruption where customer and societal aspirations diverge from </w:t>
      </w:r>
      <w:r w:rsidR="006648D9" w:rsidRPr="00050A5B">
        <w:rPr>
          <w:rFonts w:eastAsia="DengXian"/>
          <w:kern w:val="24"/>
          <w:szCs w:val="18"/>
          <w:lang w:eastAsia="en-AU"/>
        </w:rPr>
        <w:t>the</w:t>
      </w:r>
      <w:r w:rsidRPr="00050A5B">
        <w:rPr>
          <w:rFonts w:eastAsia="DengXian"/>
          <w:kern w:val="24"/>
          <w:szCs w:val="18"/>
          <w:lang w:eastAsia="en-AU"/>
        </w:rPr>
        <w:t xml:space="preserve"> solutions</w:t>
      </w:r>
      <w:r w:rsidR="006648D9" w:rsidRPr="00050A5B">
        <w:rPr>
          <w:rFonts w:eastAsia="DengXian"/>
          <w:kern w:val="24"/>
          <w:szCs w:val="18"/>
          <w:lang w:eastAsia="en-AU"/>
        </w:rPr>
        <w:t xml:space="preserve"> provided by </w:t>
      </w:r>
      <w:r w:rsidRPr="00050A5B">
        <w:rPr>
          <w:rFonts w:eastAsia="DengXian"/>
          <w:kern w:val="24"/>
          <w:szCs w:val="18"/>
          <w:lang w:eastAsia="en-AU"/>
        </w:rPr>
        <w:t>incumben</w:t>
      </w:r>
      <w:r w:rsidR="006648D9" w:rsidRPr="00050A5B">
        <w:rPr>
          <w:rFonts w:eastAsia="DengXian"/>
          <w:kern w:val="24"/>
          <w:szCs w:val="18"/>
          <w:lang w:eastAsia="en-AU"/>
        </w:rPr>
        <w:t>ts</w:t>
      </w:r>
      <w:r w:rsidRPr="00050A5B">
        <w:rPr>
          <w:rFonts w:eastAsia="DengXian"/>
          <w:kern w:val="24"/>
          <w:szCs w:val="18"/>
          <w:lang w:eastAsia="en-AU"/>
        </w:rPr>
        <w:t xml:space="preserve">. </w:t>
      </w:r>
    </w:p>
    <w:p w14:paraId="7AE3FA07" w14:textId="695351CA" w:rsidR="00E92963" w:rsidRPr="00FF6E70" w:rsidRDefault="00D62390"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Customer-focus </w:t>
      </w:r>
      <w:r w:rsidR="008158E6" w:rsidRPr="007F0A9F">
        <w:rPr>
          <w:rFonts w:ascii="PP Mori SemiBold" w:eastAsia="DengXian" w:hAnsi="PP Mori SemiBold"/>
          <w:color w:val="013C4C" w:themeColor="text1"/>
          <w:kern w:val="24"/>
          <w:szCs w:val="18"/>
          <w:lang w:eastAsia="en-AU"/>
        </w:rPr>
        <w:t>is</w:t>
      </w:r>
      <w:r w:rsidRPr="007F0A9F">
        <w:rPr>
          <w:rFonts w:ascii="PP Mori SemiBold" w:eastAsia="DengXian" w:hAnsi="PP Mori SemiBold"/>
          <w:color w:val="013C4C" w:themeColor="text1"/>
          <w:kern w:val="24"/>
          <w:szCs w:val="18"/>
          <w:lang w:eastAsia="en-AU"/>
        </w:rPr>
        <w:t xml:space="preserve"> key to </w:t>
      </w:r>
      <w:r w:rsidR="00EA27B9" w:rsidRPr="007F0A9F">
        <w:rPr>
          <w:rFonts w:ascii="PP Mori SemiBold" w:eastAsia="DengXian" w:hAnsi="PP Mori SemiBold"/>
          <w:color w:val="013C4C" w:themeColor="text1"/>
          <w:kern w:val="24"/>
          <w:szCs w:val="18"/>
          <w:lang w:eastAsia="en-AU"/>
        </w:rPr>
        <w:t xml:space="preserve">surviving and thriving. </w:t>
      </w:r>
      <w:r w:rsidR="00E92963" w:rsidRPr="00FF6E70">
        <w:rPr>
          <w:rFonts w:eastAsia="DengXian"/>
          <w:kern w:val="24"/>
          <w:szCs w:val="18"/>
          <w:lang w:eastAsia="en-AU"/>
        </w:rPr>
        <w:t xml:space="preserve">The history of disruption is not encouraging for incumbents. What can be learned is that </w:t>
      </w:r>
      <w:r w:rsidR="00847EB3" w:rsidRPr="00FF6E70">
        <w:rPr>
          <w:rFonts w:eastAsia="DengXian"/>
          <w:kern w:val="24"/>
          <w:szCs w:val="18"/>
          <w:lang w:eastAsia="en-AU"/>
        </w:rPr>
        <w:t xml:space="preserve">one of </w:t>
      </w:r>
      <w:r w:rsidR="00E92963" w:rsidRPr="00FF6E70">
        <w:rPr>
          <w:rFonts w:eastAsia="DengXian"/>
          <w:kern w:val="24"/>
          <w:szCs w:val="18"/>
          <w:lang w:eastAsia="en-AU"/>
        </w:rPr>
        <w:t xml:space="preserve">the most </w:t>
      </w:r>
      <w:r w:rsidR="00847EB3" w:rsidRPr="00FF6E70">
        <w:rPr>
          <w:rFonts w:eastAsia="DengXian"/>
          <w:kern w:val="24"/>
          <w:szCs w:val="18"/>
          <w:lang w:eastAsia="en-AU"/>
        </w:rPr>
        <w:t>vital aspects of navigating</w:t>
      </w:r>
      <w:r w:rsidR="00E92963" w:rsidRPr="00FF6E70">
        <w:rPr>
          <w:rFonts w:eastAsia="DengXian"/>
          <w:kern w:val="24"/>
          <w:szCs w:val="18"/>
          <w:lang w:eastAsia="en-AU"/>
        </w:rPr>
        <w:t xml:space="preserve"> disruptive forces </w:t>
      </w:r>
      <w:r w:rsidR="00847EB3" w:rsidRPr="00FF6E70">
        <w:rPr>
          <w:rFonts w:eastAsia="DengXian"/>
          <w:kern w:val="24"/>
          <w:szCs w:val="18"/>
          <w:lang w:eastAsia="en-AU"/>
        </w:rPr>
        <w:t xml:space="preserve">is </w:t>
      </w:r>
      <w:r w:rsidR="00470014" w:rsidRPr="00FF6E70">
        <w:rPr>
          <w:rFonts w:eastAsia="DengXian"/>
          <w:kern w:val="24"/>
          <w:szCs w:val="18"/>
          <w:lang w:eastAsia="en-AU"/>
        </w:rPr>
        <w:t xml:space="preserve">deep customer focus. </w:t>
      </w:r>
      <w:r w:rsidR="009B792A" w:rsidRPr="00FF6E70">
        <w:rPr>
          <w:rFonts w:eastAsia="DengXian"/>
          <w:kern w:val="24"/>
          <w:szCs w:val="18"/>
          <w:lang w:eastAsia="en-AU"/>
        </w:rPr>
        <w:t>That is, getting</w:t>
      </w:r>
      <w:r w:rsidR="00E92963" w:rsidRPr="00FF6E70">
        <w:rPr>
          <w:rFonts w:eastAsia="DengXian"/>
          <w:kern w:val="24"/>
          <w:szCs w:val="18"/>
          <w:lang w:eastAsia="en-AU"/>
        </w:rPr>
        <w:t xml:space="preserve"> very close to what diverse customers value today, build</w:t>
      </w:r>
      <w:r w:rsidR="0078535C" w:rsidRPr="00FF6E70">
        <w:rPr>
          <w:rFonts w:eastAsia="DengXian"/>
          <w:kern w:val="24"/>
          <w:szCs w:val="18"/>
          <w:lang w:eastAsia="en-AU"/>
        </w:rPr>
        <w:t>ing</w:t>
      </w:r>
      <w:r w:rsidR="00E92963" w:rsidRPr="00FF6E70">
        <w:rPr>
          <w:rFonts w:eastAsia="DengXian"/>
          <w:kern w:val="24"/>
          <w:szCs w:val="18"/>
          <w:lang w:eastAsia="en-AU"/>
        </w:rPr>
        <w:t xml:space="preserve"> deep capability </w:t>
      </w:r>
      <w:r w:rsidR="0078535C" w:rsidRPr="00FF6E70">
        <w:rPr>
          <w:rFonts w:eastAsia="DengXian"/>
          <w:kern w:val="24"/>
          <w:szCs w:val="18"/>
          <w:lang w:eastAsia="en-AU"/>
        </w:rPr>
        <w:t xml:space="preserve">to </w:t>
      </w:r>
      <w:r w:rsidR="00E92963" w:rsidRPr="00FF6E70">
        <w:rPr>
          <w:rFonts w:eastAsia="DengXian"/>
          <w:kern w:val="24"/>
          <w:szCs w:val="18"/>
          <w:lang w:eastAsia="en-AU"/>
        </w:rPr>
        <w:t>anticipat</w:t>
      </w:r>
      <w:r w:rsidR="0078535C" w:rsidRPr="00FF6E70">
        <w:rPr>
          <w:rFonts w:eastAsia="DengXian"/>
          <w:kern w:val="24"/>
          <w:szCs w:val="18"/>
          <w:lang w:eastAsia="en-AU"/>
        </w:rPr>
        <w:t>e</w:t>
      </w:r>
      <w:r w:rsidR="00E92963" w:rsidRPr="00FF6E70">
        <w:rPr>
          <w:rFonts w:eastAsia="DengXian"/>
          <w:kern w:val="24"/>
          <w:szCs w:val="18"/>
          <w:lang w:eastAsia="en-AU"/>
        </w:rPr>
        <w:t xml:space="preserve"> how customer objectives are likely to evolve</w:t>
      </w:r>
      <w:r w:rsidR="00D07BF9" w:rsidRPr="00FF6E70">
        <w:rPr>
          <w:rFonts w:eastAsia="DengXian"/>
          <w:kern w:val="24"/>
          <w:szCs w:val="18"/>
          <w:lang w:eastAsia="en-AU"/>
        </w:rPr>
        <w:t xml:space="preserve"> in the future</w:t>
      </w:r>
      <w:r w:rsidR="00E92963" w:rsidRPr="00FF6E70">
        <w:rPr>
          <w:rFonts w:eastAsia="DengXian"/>
          <w:kern w:val="24"/>
          <w:szCs w:val="18"/>
          <w:lang w:eastAsia="en-AU"/>
        </w:rPr>
        <w:t>, and forg</w:t>
      </w:r>
      <w:r w:rsidR="0078535C" w:rsidRPr="00FF6E70">
        <w:rPr>
          <w:rFonts w:eastAsia="DengXian"/>
          <w:kern w:val="24"/>
          <w:szCs w:val="18"/>
          <w:lang w:eastAsia="en-AU"/>
        </w:rPr>
        <w:t>ing</w:t>
      </w:r>
      <w:r w:rsidR="00E92963" w:rsidRPr="00FF6E70">
        <w:rPr>
          <w:rFonts w:eastAsia="DengXian"/>
          <w:kern w:val="24"/>
          <w:szCs w:val="18"/>
          <w:lang w:eastAsia="en-AU"/>
        </w:rPr>
        <w:t xml:space="preserve"> the sectoral architecture </w:t>
      </w:r>
      <w:r w:rsidR="00F3124A" w:rsidRPr="00FF6E70">
        <w:rPr>
          <w:rFonts w:eastAsia="DengXian"/>
          <w:kern w:val="24"/>
          <w:szCs w:val="18"/>
          <w:lang w:eastAsia="en-AU"/>
        </w:rPr>
        <w:t>and capability</w:t>
      </w:r>
      <w:r w:rsidR="00E92963" w:rsidRPr="00FF6E70">
        <w:rPr>
          <w:rFonts w:eastAsia="DengXian"/>
          <w:kern w:val="24"/>
          <w:szCs w:val="18"/>
          <w:lang w:eastAsia="en-AU"/>
        </w:rPr>
        <w:t xml:space="preserve"> to enable timely adaptation and response.</w:t>
      </w:r>
      <w:r w:rsidR="00851CE5">
        <w:rPr>
          <w:rFonts w:eastAsia="DengXian"/>
          <w:kern w:val="24"/>
          <w:szCs w:val="18"/>
          <w:lang w:eastAsia="en-AU"/>
        </w:rPr>
        <w:t xml:space="preserve">  </w:t>
      </w:r>
      <w:r w:rsidR="005E3A6C">
        <w:rPr>
          <w:rFonts w:eastAsia="DengXian"/>
          <w:kern w:val="24"/>
          <w:szCs w:val="18"/>
          <w:lang w:eastAsia="en-AU"/>
        </w:rPr>
        <w:t xml:space="preserve">Some important aspects of this consideration also include the </w:t>
      </w:r>
      <w:r w:rsidR="007F0A9F">
        <w:rPr>
          <w:rFonts w:eastAsia="DengXian"/>
          <w:kern w:val="24"/>
          <w:szCs w:val="18"/>
          <w:lang w:eastAsia="en-AU"/>
        </w:rPr>
        <w:t>varying</w:t>
      </w:r>
      <w:r w:rsidR="005E3A6C">
        <w:rPr>
          <w:rFonts w:eastAsia="DengXian"/>
          <w:kern w:val="24"/>
          <w:szCs w:val="18"/>
          <w:lang w:eastAsia="en-AU"/>
        </w:rPr>
        <w:t xml:space="preserve"> levels of risk appetite and market proficiency that </w:t>
      </w:r>
      <w:r w:rsidR="007F0A9F">
        <w:rPr>
          <w:rFonts w:eastAsia="DengXian"/>
          <w:kern w:val="24"/>
          <w:szCs w:val="18"/>
          <w:lang w:eastAsia="en-AU"/>
        </w:rPr>
        <w:t xml:space="preserve">different customers have. </w:t>
      </w:r>
    </w:p>
    <w:p w14:paraId="63B94E9B" w14:textId="77777777" w:rsidR="007F0A9F" w:rsidRDefault="007F0A9F">
      <w:pPr>
        <w:spacing w:before="0" w:after="160" w:line="259" w:lineRule="auto"/>
        <w:rPr>
          <w:rFonts w:eastAsia="DengXian"/>
          <w:kern w:val="24"/>
          <w:szCs w:val="18"/>
          <w:lang w:eastAsia="en-AU"/>
        </w:rPr>
      </w:pPr>
      <w:r>
        <w:rPr>
          <w:rFonts w:eastAsia="DengXian"/>
          <w:kern w:val="24"/>
          <w:szCs w:val="18"/>
          <w:lang w:eastAsia="en-AU"/>
        </w:rPr>
        <w:br w:type="page"/>
      </w:r>
    </w:p>
    <w:p w14:paraId="3C3566CA" w14:textId="316C11C3" w:rsidR="000069DE" w:rsidRPr="00050A5B" w:rsidRDefault="00D5408D" w:rsidP="002A629A">
      <w:pPr>
        <w:snapToGrid w:val="0"/>
        <w:spacing w:before="180" w:after="180" w:line="264" w:lineRule="auto"/>
        <w:rPr>
          <w:rFonts w:eastAsia="DengXian"/>
          <w:kern w:val="24"/>
          <w:szCs w:val="18"/>
          <w:lang w:eastAsia="en-AU"/>
        </w:rPr>
      </w:pPr>
      <w:r w:rsidRPr="00050A5B">
        <w:rPr>
          <w:rFonts w:eastAsia="DengXian"/>
          <w:kern w:val="24"/>
          <w:szCs w:val="18"/>
          <w:lang w:eastAsia="en-AU"/>
        </w:rPr>
        <w:t>In summary</w:t>
      </w:r>
      <w:r w:rsidR="000B33FF" w:rsidRPr="00050A5B">
        <w:rPr>
          <w:rFonts w:eastAsia="DengXian"/>
          <w:kern w:val="24"/>
          <w:szCs w:val="18"/>
          <w:lang w:eastAsia="en-AU"/>
        </w:rPr>
        <w:t xml:space="preserve">, </w:t>
      </w:r>
      <w:r w:rsidR="00E211F3" w:rsidRPr="00050A5B">
        <w:rPr>
          <w:rFonts w:eastAsia="DengXian"/>
          <w:kern w:val="24"/>
          <w:szCs w:val="18"/>
          <w:lang w:eastAsia="en-AU"/>
        </w:rPr>
        <w:t>for</w:t>
      </w:r>
      <w:r w:rsidR="0009204D" w:rsidRPr="00050A5B">
        <w:rPr>
          <w:rFonts w:eastAsia="DengXian"/>
          <w:kern w:val="24"/>
          <w:szCs w:val="18"/>
          <w:lang w:eastAsia="en-AU"/>
        </w:rPr>
        <w:t xml:space="preserve"> much of the last century </w:t>
      </w:r>
      <w:r w:rsidR="000B33FF" w:rsidRPr="00050A5B">
        <w:rPr>
          <w:rFonts w:eastAsia="DengXian"/>
          <w:kern w:val="24"/>
          <w:szCs w:val="18"/>
          <w:lang w:eastAsia="en-AU"/>
        </w:rPr>
        <w:t xml:space="preserve">customers </w:t>
      </w:r>
      <w:r w:rsidR="0009204D" w:rsidRPr="00050A5B">
        <w:rPr>
          <w:rFonts w:eastAsia="DengXian"/>
          <w:kern w:val="24"/>
          <w:szCs w:val="18"/>
          <w:lang w:eastAsia="en-AU"/>
        </w:rPr>
        <w:t xml:space="preserve">had </w:t>
      </w:r>
      <w:r w:rsidR="0007513F" w:rsidRPr="00050A5B">
        <w:rPr>
          <w:rFonts w:eastAsia="DengXian"/>
          <w:kern w:val="24"/>
          <w:szCs w:val="18"/>
          <w:lang w:eastAsia="en-AU"/>
        </w:rPr>
        <w:t xml:space="preserve">few alternatives </w:t>
      </w:r>
      <w:r w:rsidR="001D527C" w:rsidRPr="00050A5B">
        <w:rPr>
          <w:rFonts w:eastAsia="DengXian"/>
          <w:kern w:val="24"/>
          <w:szCs w:val="18"/>
          <w:lang w:eastAsia="en-AU"/>
        </w:rPr>
        <w:t xml:space="preserve">for meeting the </w:t>
      </w:r>
      <w:r w:rsidR="00B67BC6" w:rsidRPr="00050A5B">
        <w:rPr>
          <w:rFonts w:eastAsia="DengXian"/>
          <w:kern w:val="24"/>
          <w:szCs w:val="18"/>
          <w:lang w:eastAsia="en-AU"/>
        </w:rPr>
        <w:t>bulk</w:t>
      </w:r>
      <w:r w:rsidR="00A73E6D" w:rsidRPr="00050A5B">
        <w:rPr>
          <w:rFonts w:eastAsia="DengXian"/>
          <w:kern w:val="24"/>
          <w:szCs w:val="18"/>
          <w:lang w:eastAsia="en-AU"/>
        </w:rPr>
        <w:t xml:space="preserve"> of</w:t>
      </w:r>
      <w:r w:rsidR="00A32882" w:rsidRPr="00050A5B">
        <w:rPr>
          <w:rFonts w:eastAsia="DengXian"/>
          <w:kern w:val="24"/>
          <w:szCs w:val="18"/>
          <w:lang w:eastAsia="en-AU"/>
        </w:rPr>
        <w:t xml:space="preserve"> their </w:t>
      </w:r>
      <w:r w:rsidR="00DD0065" w:rsidRPr="00050A5B">
        <w:rPr>
          <w:rFonts w:eastAsia="DengXian"/>
          <w:kern w:val="24"/>
          <w:szCs w:val="18"/>
          <w:lang w:eastAsia="en-AU"/>
        </w:rPr>
        <w:t>electricity</w:t>
      </w:r>
      <w:r w:rsidR="00B67BC6" w:rsidRPr="00050A5B">
        <w:rPr>
          <w:rFonts w:eastAsia="DengXian"/>
          <w:kern w:val="24"/>
          <w:szCs w:val="18"/>
          <w:lang w:eastAsia="en-AU"/>
        </w:rPr>
        <w:t xml:space="preserve"> needs</w:t>
      </w:r>
      <w:r w:rsidR="001D527C" w:rsidRPr="00050A5B">
        <w:rPr>
          <w:rFonts w:eastAsia="DengXian"/>
          <w:kern w:val="24"/>
          <w:szCs w:val="18"/>
          <w:lang w:eastAsia="en-AU"/>
        </w:rPr>
        <w:t xml:space="preserve"> other than the </w:t>
      </w:r>
      <w:r w:rsidR="00FC1CFC" w:rsidRPr="00050A5B">
        <w:rPr>
          <w:rFonts w:eastAsia="DengXian"/>
          <w:kern w:val="24"/>
          <w:szCs w:val="18"/>
          <w:lang w:eastAsia="en-AU"/>
        </w:rPr>
        <w:t>commodity service</w:t>
      </w:r>
      <w:r w:rsidR="004D3A0A" w:rsidRPr="00050A5B">
        <w:rPr>
          <w:rFonts w:eastAsia="DengXian"/>
          <w:kern w:val="24"/>
          <w:szCs w:val="18"/>
          <w:lang w:eastAsia="en-AU"/>
        </w:rPr>
        <w:t xml:space="preserve"> provided by l</w:t>
      </w:r>
      <w:r w:rsidR="0007513F" w:rsidRPr="00050A5B">
        <w:rPr>
          <w:rFonts w:eastAsia="DengXian"/>
          <w:kern w:val="24"/>
          <w:szCs w:val="18"/>
          <w:lang w:eastAsia="en-AU"/>
        </w:rPr>
        <w:t>arge-scale</w:t>
      </w:r>
      <w:r w:rsidR="004D3A0A" w:rsidRPr="00050A5B">
        <w:rPr>
          <w:rFonts w:eastAsia="DengXian"/>
          <w:kern w:val="24"/>
          <w:szCs w:val="18"/>
          <w:lang w:eastAsia="en-AU"/>
        </w:rPr>
        <w:t xml:space="preserve"> </w:t>
      </w:r>
      <w:r w:rsidR="00646D1F" w:rsidRPr="00050A5B">
        <w:rPr>
          <w:rFonts w:eastAsia="DengXian"/>
          <w:kern w:val="24"/>
          <w:szCs w:val="18"/>
          <w:lang w:eastAsia="en-AU"/>
        </w:rPr>
        <w:t>grids</w:t>
      </w:r>
      <w:r w:rsidR="004D3A0A" w:rsidRPr="00050A5B">
        <w:rPr>
          <w:rFonts w:eastAsia="DengXian"/>
          <w:kern w:val="24"/>
          <w:szCs w:val="18"/>
          <w:lang w:eastAsia="en-AU"/>
        </w:rPr>
        <w:t xml:space="preserve">. Unlike most </w:t>
      </w:r>
      <w:r w:rsidR="00504E1C" w:rsidRPr="00050A5B">
        <w:rPr>
          <w:rFonts w:eastAsia="DengXian"/>
          <w:kern w:val="24"/>
          <w:szCs w:val="18"/>
          <w:lang w:eastAsia="en-AU"/>
        </w:rPr>
        <w:t xml:space="preserve">other </w:t>
      </w:r>
      <w:r w:rsidR="004D3A0A" w:rsidRPr="00050A5B">
        <w:rPr>
          <w:rFonts w:eastAsia="DengXian"/>
          <w:kern w:val="24"/>
          <w:szCs w:val="18"/>
          <w:lang w:eastAsia="en-AU"/>
        </w:rPr>
        <w:t xml:space="preserve">sectors, </w:t>
      </w:r>
      <w:r w:rsidR="003C6413" w:rsidRPr="00050A5B">
        <w:rPr>
          <w:rFonts w:eastAsia="DengXian"/>
          <w:kern w:val="24"/>
          <w:szCs w:val="18"/>
          <w:lang w:eastAsia="en-AU"/>
        </w:rPr>
        <w:t xml:space="preserve">the risk </w:t>
      </w:r>
      <w:r w:rsidR="00D40597" w:rsidRPr="00050A5B">
        <w:rPr>
          <w:rFonts w:eastAsia="DengXian"/>
          <w:kern w:val="24"/>
          <w:szCs w:val="18"/>
          <w:lang w:eastAsia="en-AU"/>
        </w:rPr>
        <w:t xml:space="preserve">of ‘product substitution’ </w:t>
      </w:r>
      <w:r w:rsidR="003C6413" w:rsidRPr="00050A5B">
        <w:rPr>
          <w:rFonts w:eastAsia="DengXian"/>
          <w:kern w:val="24"/>
          <w:szCs w:val="18"/>
          <w:lang w:eastAsia="en-AU"/>
        </w:rPr>
        <w:t xml:space="preserve">for </w:t>
      </w:r>
      <w:r w:rsidR="00504E1C" w:rsidRPr="00050A5B">
        <w:rPr>
          <w:rFonts w:eastAsia="DengXian"/>
          <w:kern w:val="24"/>
          <w:szCs w:val="18"/>
          <w:lang w:eastAsia="en-AU"/>
        </w:rPr>
        <w:t xml:space="preserve">electricity </w:t>
      </w:r>
      <w:r w:rsidR="003C6413" w:rsidRPr="00050A5B">
        <w:rPr>
          <w:rFonts w:eastAsia="DengXian"/>
          <w:kern w:val="24"/>
          <w:szCs w:val="18"/>
          <w:lang w:eastAsia="en-AU"/>
        </w:rPr>
        <w:t>incumbent</w:t>
      </w:r>
      <w:r w:rsidR="00646D1F" w:rsidRPr="00050A5B">
        <w:rPr>
          <w:rFonts w:eastAsia="DengXian"/>
          <w:kern w:val="24"/>
          <w:szCs w:val="18"/>
          <w:lang w:eastAsia="en-AU"/>
        </w:rPr>
        <w:t xml:space="preserve">s </w:t>
      </w:r>
      <w:r w:rsidR="00D40597" w:rsidRPr="00050A5B">
        <w:rPr>
          <w:rFonts w:eastAsia="DengXian"/>
          <w:kern w:val="24"/>
          <w:szCs w:val="18"/>
          <w:lang w:eastAsia="en-AU"/>
        </w:rPr>
        <w:t xml:space="preserve">was </w:t>
      </w:r>
      <w:r w:rsidR="0089469D" w:rsidRPr="00050A5B">
        <w:rPr>
          <w:rFonts w:eastAsia="DengXian"/>
          <w:kern w:val="24"/>
          <w:szCs w:val="18"/>
          <w:lang w:eastAsia="en-AU"/>
        </w:rPr>
        <w:t>almost non-</w:t>
      </w:r>
      <w:r w:rsidR="00DC4473" w:rsidRPr="00050A5B">
        <w:rPr>
          <w:rFonts w:eastAsia="DengXian"/>
          <w:kern w:val="24"/>
          <w:szCs w:val="18"/>
          <w:lang w:eastAsia="en-AU"/>
        </w:rPr>
        <w:t>existent</w:t>
      </w:r>
      <w:r w:rsidR="0089469D" w:rsidRPr="00050A5B">
        <w:rPr>
          <w:rFonts w:eastAsia="DengXian"/>
          <w:kern w:val="24"/>
          <w:szCs w:val="18"/>
          <w:lang w:eastAsia="en-AU"/>
        </w:rPr>
        <w:t xml:space="preserve">.  </w:t>
      </w:r>
      <w:r w:rsidR="00EA1B11" w:rsidRPr="00050A5B">
        <w:rPr>
          <w:rFonts w:eastAsia="DengXian"/>
          <w:kern w:val="24"/>
          <w:szCs w:val="18"/>
          <w:lang w:eastAsia="en-AU"/>
        </w:rPr>
        <w:t xml:space="preserve">Despite </w:t>
      </w:r>
      <w:r w:rsidR="00087ADD" w:rsidRPr="00050A5B">
        <w:rPr>
          <w:rFonts w:eastAsia="DengXian"/>
          <w:kern w:val="24"/>
          <w:szCs w:val="18"/>
          <w:lang w:eastAsia="en-AU"/>
        </w:rPr>
        <w:t xml:space="preserve">recognising </w:t>
      </w:r>
      <w:r w:rsidR="00C03D4D" w:rsidRPr="00050A5B">
        <w:rPr>
          <w:rFonts w:eastAsia="DengXian"/>
          <w:kern w:val="24"/>
          <w:szCs w:val="18"/>
          <w:lang w:eastAsia="en-AU"/>
        </w:rPr>
        <w:t xml:space="preserve">the scale of change unfolding, </w:t>
      </w:r>
      <w:r w:rsidR="00E769B0" w:rsidRPr="00050A5B">
        <w:rPr>
          <w:rFonts w:eastAsia="DengXian"/>
          <w:kern w:val="24"/>
          <w:szCs w:val="18"/>
          <w:lang w:eastAsia="en-AU"/>
        </w:rPr>
        <w:t xml:space="preserve">it is perhaps </w:t>
      </w:r>
      <w:r w:rsidR="00371D01" w:rsidRPr="00050A5B">
        <w:rPr>
          <w:rFonts w:eastAsia="DengXian"/>
          <w:kern w:val="24"/>
          <w:szCs w:val="18"/>
          <w:lang w:eastAsia="en-AU"/>
        </w:rPr>
        <w:t>natural for</w:t>
      </w:r>
      <w:r w:rsidR="003E705C" w:rsidRPr="00050A5B">
        <w:rPr>
          <w:rFonts w:eastAsia="DengXian"/>
          <w:kern w:val="24"/>
          <w:szCs w:val="18"/>
          <w:lang w:eastAsia="en-AU"/>
        </w:rPr>
        <w:t xml:space="preserve"> many in the sector to assume the status quo of the last century will continue </w:t>
      </w:r>
      <w:r w:rsidR="00F3124A" w:rsidRPr="00050A5B">
        <w:rPr>
          <w:rFonts w:eastAsia="DengXian"/>
          <w:kern w:val="24"/>
          <w:szCs w:val="18"/>
          <w:lang w:eastAsia="en-AU"/>
        </w:rPr>
        <w:t>substantively</w:t>
      </w:r>
      <w:r w:rsidR="006D3619" w:rsidRPr="00050A5B">
        <w:rPr>
          <w:rFonts w:eastAsia="DengXian"/>
          <w:kern w:val="24"/>
          <w:szCs w:val="18"/>
          <w:lang w:eastAsia="en-AU"/>
        </w:rPr>
        <w:t xml:space="preserve"> unchanged </w:t>
      </w:r>
      <w:r w:rsidR="00AF437D" w:rsidRPr="00050A5B">
        <w:rPr>
          <w:rFonts w:eastAsia="DengXian"/>
          <w:kern w:val="24"/>
          <w:szCs w:val="18"/>
          <w:lang w:eastAsia="en-AU"/>
        </w:rPr>
        <w:t>well into the future</w:t>
      </w:r>
      <w:r w:rsidR="00620F14" w:rsidRPr="00050A5B">
        <w:rPr>
          <w:rFonts w:eastAsia="DengXian"/>
          <w:kern w:val="24"/>
          <w:szCs w:val="18"/>
          <w:lang w:eastAsia="en-AU"/>
        </w:rPr>
        <w:t xml:space="preserve">. </w:t>
      </w:r>
      <w:r w:rsidR="00927FB4" w:rsidRPr="00050A5B">
        <w:rPr>
          <w:rFonts w:eastAsia="DengXian"/>
          <w:kern w:val="24"/>
          <w:szCs w:val="18"/>
          <w:lang w:eastAsia="en-AU"/>
        </w:rPr>
        <w:t xml:space="preserve">In a highly risk </w:t>
      </w:r>
      <w:proofErr w:type="gramStart"/>
      <w:r w:rsidR="00927FB4" w:rsidRPr="00050A5B">
        <w:rPr>
          <w:rFonts w:eastAsia="DengXian"/>
          <w:kern w:val="24"/>
          <w:szCs w:val="18"/>
          <w:lang w:eastAsia="en-AU"/>
        </w:rPr>
        <w:t>averse</w:t>
      </w:r>
      <w:proofErr w:type="gramEnd"/>
      <w:r w:rsidR="00927FB4" w:rsidRPr="00050A5B">
        <w:rPr>
          <w:rFonts w:eastAsia="DengXian"/>
          <w:kern w:val="24"/>
          <w:szCs w:val="18"/>
          <w:lang w:eastAsia="en-AU"/>
        </w:rPr>
        <w:t xml:space="preserve"> sector, it is unlikely that such assumptions would be acceptable in </w:t>
      </w:r>
      <w:r w:rsidR="00401662" w:rsidRPr="00050A5B">
        <w:rPr>
          <w:rFonts w:eastAsia="DengXian"/>
          <w:kern w:val="24"/>
          <w:szCs w:val="18"/>
          <w:lang w:eastAsia="en-AU"/>
        </w:rPr>
        <w:t>any other sphere of activity</w:t>
      </w:r>
      <w:r w:rsidR="00927FB4" w:rsidRPr="00050A5B">
        <w:rPr>
          <w:rFonts w:eastAsia="DengXian"/>
          <w:kern w:val="24"/>
          <w:szCs w:val="18"/>
          <w:lang w:eastAsia="en-AU"/>
        </w:rPr>
        <w:t xml:space="preserve">. </w:t>
      </w:r>
    </w:p>
    <w:p w14:paraId="1DA29281" w14:textId="1D4280B6" w:rsidR="002A629A" w:rsidRPr="00050A5B" w:rsidRDefault="007F0A9F" w:rsidP="002A629A">
      <w:pPr>
        <w:snapToGrid w:val="0"/>
        <w:spacing w:before="180" w:after="180" w:line="264" w:lineRule="auto"/>
        <w:rPr>
          <w:rFonts w:eastAsia="DengXian"/>
          <w:kern w:val="24"/>
          <w:szCs w:val="18"/>
          <w:lang w:eastAsia="en-AU"/>
        </w:rPr>
      </w:pPr>
      <w:r w:rsidRPr="00050A5B">
        <w:rPr>
          <w:noProof/>
          <w:lang w:eastAsia="en-AU"/>
        </w:rPr>
        <mc:AlternateContent>
          <mc:Choice Requires="wps">
            <w:drawing>
              <wp:anchor distT="45720" distB="45720" distL="114300" distR="114300" simplePos="0" relativeHeight="251658244" behindDoc="0" locked="0" layoutInCell="1" allowOverlap="1" wp14:anchorId="460A2A66" wp14:editId="14D5877D">
                <wp:simplePos x="0" y="0"/>
                <wp:positionH relativeFrom="margin">
                  <wp:posOffset>11430</wp:posOffset>
                </wp:positionH>
                <wp:positionV relativeFrom="paragraph">
                  <wp:posOffset>1287780</wp:posOffset>
                </wp:positionV>
                <wp:extent cx="5223510" cy="2216150"/>
                <wp:effectExtent l="0" t="0" r="15240" b="12700"/>
                <wp:wrapThrough wrapText="bothSides">
                  <wp:wrapPolygon edited="0">
                    <wp:start x="0" y="0"/>
                    <wp:lineTo x="0" y="21538"/>
                    <wp:lineTo x="21584" y="21538"/>
                    <wp:lineTo x="21584" y="0"/>
                    <wp:lineTo x="0" y="0"/>
                  </wp:wrapPolygon>
                </wp:wrapThrough>
                <wp:docPr id="1045996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216150"/>
                        </a:xfrm>
                        <a:prstGeom prst="rect">
                          <a:avLst/>
                        </a:prstGeom>
                        <a:solidFill>
                          <a:srgbClr val="013C4C"/>
                        </a:solidFill>
                        <a:ln w="9525">
                          <a:solidFill>
                            <a:srgbClr val="000000"/>
                          </a:solidFill>
                          <a:miter lim="800000"/>
                          <a:headEnd/>
                          <a:tailEnd/>
                        </a:ln>
                      </wps:spPr>
                      <wps:txbx>
                        <w:txbxContent>
                          <w:p w14:paraId="6A2897D9" w14:textId="77777777" w:rsidR="000B20A8" w:rsidRDefault="000B20A8" w:rsidP="000864F2">
                            <w:pPr>
                              <w:spacing w:before="120" w:after="0"/>
                              <w:ind w:left="142"/>
                              <w:rPr>
                                <w:i/>
                                <w:iCs/>
                                <w:szCs w:val="22"/>
                              </w:rPr>
                            </w:pPr>
                            <w:r w:rsidRPr="000B20A8">
                              <w:rPr>
                                <w:i/>
                                <w:iCs/>
                                <w:szCs w:val="22"/>
                              </w:rPr>
                              <w:t xml:space="preserve">Consumers will have much more skin in the game and will be looking for returns. </w:t>
                            </w:r>
                          </w:p>
                          <w:p w14:paraId="77E3B57D" w14:textId="54DFB32F" w:rsidR="000B20A8" w:rsidRDefault="000B20A8" w:rsidP="000864F2">
                            <w:pPr>
                              <w:spacing w:before="120" w:after="0"/>
                              <w:ind w:left="142"/>
                              <w:rPr>
                                <w:i/>
                                <w:iCs/>
                                <w:szCs w:val="22"/>
                              </w:rPr>
                            </w:pPr>
                            <w:r w:rsidRPr="000B20A8">
                              <w:rPr>
                                <w:i/>
                                <w:iCs/>
                                <w:szCs w:val="22"/>
                              </w:rPr>
                              <w:t xml:space="preserve">That’s right, returns. </w:t>
                            </w:r>
                          </w:p>
                          <w:p w14:paraId="5E1EAC8B" w14:textId="77777777" w:rsidR="000864F2" w:rsidRDefault="000B20A8" w:rsidP="000864F2">
                            <w:pPr>
                              <w:spacing w:before="120" w:after="0"/>
                              <w:ind w:left="142"/>
                              <w:rPr>
                                <w:i/>
                                <w:iCs/>
                                <w:szCs w:val="22"/>
                              </w:rPr>
                            </w:pPr>
                            <w:r w:rsidRPr="000B20A8">
                              <w:rPr>
                                <w:i/>
                                <w:iCs/>
                                <w:szCs w:val="22"/>
                              </w:rPr>
                              <w:t xml:space="preserve">Let’s just say over the next 10 – 15 years that five million Australian households each spend around $50,000 on a combination of things like buying an EV, adding batteries or rooftop solar and changing over from gas appliances to electric ones. </w:t>
                            </w:r>
                          </w:p>
                          <w:p w14:paraId="423C695C" w14:textId="4EE263E2" w:rsidR="000B20A8" w:rsidRPr="000B20A8" w:rsidRDefault="000B20A8" w:rsidP="000864F2">
                            <w:pPr>
                              <w:spacing w:before="120" w:after="0"/>
                              <w:ind w:left="142"/>
                              <w:rPr>
                                <w:i/>
                                <w:iCs/>
                                <w:szCs w:val="22"/>
                              </w:rPr>
                            </w:pPr>
                            <w:r w:rsidRPr="000B20A8">
                              <w:rPr>
                                <w:i/>
                                <w:iCs/>
                                <w:szCs w:val="22"/>
                              </w:rPr>
                              <w:t>That’s actually a pretty conservative estimate. But it’s no small thing. All of those households doing that represents a $250 billion investment in assets underpinning the future energy system.</w:t>
                            </w:r>
                          </w:p>
                          <w:p w14:paraId="0531A9E5" w14:textId="77777777" w:rsidR="000864F2" w:rsidRDefault="000B20A8" w:rsidP="000864F2">
                            <w:pPr>
                              <w:spacing w:before="120" w:after="0"/>
                              <w:ind w:left="142"/>
                              <w:jc w:val="right"/>
                              <w:rPr>
                                <w:szCs w:val="22"/>
                              </w:rPr>
                            </w:pPr>
                            <w:r w:rsidRPr="000864F2">
                              <w:rPr>
                                <w:szCs w:val="22"/>
                              </w:rPr>
                              <w:t>Gavin Dufty</w:t>
                            </w:r>
                            <w:r w:rsidR="000864F2">
                              <w:rPr>
                                <w:szCs w:val="22"/>
                              </w:rPr>
                              <w:t xml:space="preserve">, </w:t>
                            </w:r>
                          </w:p>
                          <w:p w14:paraId="5C7326C8" w14:textId="519CBDFE" w:rsidR="000B20A8" w:rsidRPr="000864F2" w:rsidRDefault="000864F2" w:rsidP="000864F2">
                            <w:pPr>
                              <w:spacing w:before="0" w:after="0"/>
                              <w:ind w:left="142"/>
                              <w:jc w:val="right"/>
                              <w:rPr>
                                <w:szCs w:val="22"/>
                              </w:rPr>
                            </w:pPr>
                            <w:r>
                              <w:rPr>
                                <w:szCs w:val="22"/>
                              </w:rPr>
                              <w:t>St Vincent de Paul</w:t>
                            </w:r>
                          </w:p>
                          <w:p w14:paraId="089C745F" w14:textId="03F19FE4" w:rsidR="000B20A8" w:rsidRDefault="000B2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A2A66" id="_x0000_t202" coordsize="21600,21600" o:spt="202" path="m,l,21600r21600,l21600,xe">
                <v:stroke joinstyle="miter"/>
                <v:path gradientshapeok="t" o:connecttype="rect"/>
              </v:shapetype>
              <v:shape id="Text Box 2" o:spid="_x0000_s1026" type="#_x0000_t202" style="position:absolute;margin-left:.9pt;margin-top:101.4pt;width:411.3pt;height:17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" fillcolor="#013c4c">
                <v:textbox>
                  <w:txbxContent>
                    <w:p w14:paraId="6A2897D9" w14:textId="77777777" w:rsidR="000B20A8" w:rsidRDefault="000B20A8" w:rsidP="000864F2">
                      <w:pPr>
                        <w:spacing w:before="120" w:after="0"/>
                        <w:ind w:left="142"/>
                        <w:rPr>
                          <w:i/>
                          <w:iCs/>
                          <w:szCs w:val="22"/>
                        </w:rPr>
                      </w:pPr>
                      <w:r w:rsidRPr="000B20A8">
                        <w:rPr>
                          <w:i/>
                          <w:iCs/>
                          <w:szCs w:val="22"/>
                        </w:rPr>
                        <w:t xml:space="preserve">Consumers will have much more skin in the game and will be looking for returns. </w:t>
                      </w:r>
                    </w:p>
                    <w:p w14:paraId="77E3B57D" w14:textId="54DFB32F" w:rsidR="000B20A8" w:rsidRDefault="000B20A8" w:rsidP="000864F2">
                      <w:pPr>
                        <w:spacing w:before="120" w:after="0"/>
                        <w:ind w:left="142"/>
                        <w:rPr>
                          <w:i/>
                          <w:iCs/>
                          <w:szCs w:val="22"/>
                        </w:rPr>
                      </w:pPr>
                      <w:r w:rsidRPr="000B20A8">
                        <w:rPr>
                          <w:i/>
                          <w:iCs/>
                          <w:szCs w:val="22"/>
                        </w:rPr>
                        <w:t xml:space="preserve">That’s right, returns. </w:t>
                      </w:r>
                    </w:p>
                    <w:p w14:paraId="5E1EAC8B" w14:textId="77777777" w:rsidR="000864F2" w:rsidRDefault="000B20A8" w:rsidP="000864F2">
                      <w:pPr>
                        <w:spacing w:before="120" w:after="0"/>
                        <w:ind w:left="142"/>
                        <w:rPr>
                          <w:i/>
                          <w:iCs/>
                          <w:szCs w:val="22"/>
                        </w:rPr>
                      </w:pPr>
                      <w:r w:rsidRPr="000B20A8">
                        <w:rPr>
                          <w:i/>
                          <w:iCs/>
                          <w:szCs w:val="22"/>
                        </w:rPr>
                        <w:t xml:space="preserve">Let’s just say over the next 10 – 15 years that five million Australian households each spend around $50,000 on a combination of things like buying an EV, adding batteries or rooftop solar and changing over from gas appliances to electric ones. </w:t>
                      </w:r>
                    </w:p>
                    <w:p w14:paraId="423C695C" w14:textId="4EE263E2" w:rsidR="000B20A8" w:rsidRPr="000B20A8" w:rsidRDefault="000B20A8" w:rsidP="000864F2">
                      <w:pPr>
                        <w:spacing w:before="120" w:after="0"/>
                        <w:ind w:left="142"/>
                        <w:rPr>
                          <w:i/>
                          <w:iCs/>
                          <w:szCs w:val="22"/>
                        </w:rPr>
                      </w:pPr>
                      <w:r w:rsidRPr="000B20A8">
                        <w:rPr>
                          <w:i/>
                          <w:iCs/>
                          <w:szCs w:val="22"/>
                        </w:rPr>
                        <w:t>That’s actually a pretty conservative estimate. But it’s no small thing. All of those households doing that represents a $250 billion investment in assets underpinning the future energy system.</w:t>
                      </w:r>
                    </w:p>
                    <w:p w14:paraId="0531A9E5" w14:textId="77777777" w:rsidR="000864F2" w:rsidRDefault="000B20A8" w:rsidP="000864F2">
                      <w:pPr>
                        <w:spacing w:before="120" w:after="0"/>
                        <w:ind w:left="142"/>
                        <w:jc w:val="right"/>
                        <w:rPr>
                          <w:szCs w:val="22"/>
                        </w:rPr>
                      </w:pPr>
                      <w:r w:rsidRPr="000864F2">
                        <w:rPr>
                          <w:szCs w:val="22"/>
                        </w:rPr>
                        <w:t>Gavin Dufty</w:t>
                      </w:r>
                      <w:r w:rsidR="000864F2">
                        <w:rPr>
                          <w:szCs w:val="22"/>
                        </w:rPr>
                        <w:t xml:space="preserve">, </w:t>
                      </w:r>
                    </w:p>
                    <w:p w14:paraId="5C7326C8" w14:textId="519CBDFE" w:rsidR="000B20A8" w:rsidRPr="000864F2" w:rsidRDefault="000864F2" w:rsidP="000864F2">
                      <w:pPr>
                        <w:spacing w:before="0" w:after="0"/>
                        <w:ind w:left="142"/>
                        <w:jc w:val="right"/>
                        <w:rPr>
                          <w:szCs w:val="22"/>
                        </w:rPr>
                      </w:pPr>
                      <w:r>
                        <w:rPr>
                          <w:szCs w:val="22"/>
                        </w:rPr>
                        <w:t>St Vincent de Paul</w:t>
                      </w:r>
                    </w:p>
                    <w:p w14:paraId="089C745F" w14:textId="03F19FE4" w:rsidR="000B20A8" w:rsidRDefault="000B20A8"/>
                  </w:txbxContent>
                </v:textbox>
                <w10:wrap type="through" anchorx="margin"/>
              </v:shape>
            </w:pict>
          </mc:Fallback>
        </mc:AlternateContent>
      </w:r>
      <w:r w:rsidR="00FD23AE" w:rsidRPr="00050A5B">
        <w:rPr>
          <w:rFonts w:eastAsia="DengXian"/>
          <w:kern w:val="24"/>
          <w:szCs w:val="18"/>
          <w:lang w:eastAsia="en-AU"/>
        </w:rPr>
        <w:t>Without assuming exact parallels to other industries, t</w:t>
      </w:r>
      <w:r w:rsidR="00BC385B" w:rsidRPr="00050A5B">
        <w:rPr>
          <w:rFonts w:eastAsia="DengXian"/>
          <w:kern w:val="24"/>
          <w:szCs w:val="18"/>
          <w:lang w:eastAsia="en-AU"/>
        </w:rPr>
        <w:t>h</w:t>
      </w:r>
      <w:r w:rsidR="00337764" w:rsidRPr="00050A5B">
        <w:rPr>
          <w:rFonts w:eastAsia="DengXian"/>
          <w:kern w:val="24"/>
          <w:szCs w:val="18"/>
          <w:lang w:eastAsia="en-AU"/>
        </w:rPr>
        <w:t>e</w:t>
      </w:r>
      <w:r w:rsidR="000C26E4" w:rsidRPr="00050A5B">
        <w:rPr>
          <w:rFonts w:eastAsia="DengXian"/>
          <w:kern w:val="24"/>
          <w:szCs w:val="18"/>
          <w:lang w:eastAsia="en-AU"/>
        </w:rPr>
        <w:t xml:space="preserve"> </w:t>
      </w:r>
      <w:r w:rsidR="00AE08DF" w:rsidRPr="00050A5B">
        <w:rPr>
          <w:rFonts w:eastAsia="DengXian"/>
          <w:kern w:val="24"/>
          <w:szCs w:val="18"/>
          <w:lang w:eastAsia="en-AU"/>
        </w:rPr>
        <w:t>scale</w:t>
      </w:r>
      <w:r w:rsidR="00FD0C92" w:rsidRPr="00050A5B">
        <w:rPr>
          <w:rFonts w:eastAsia="DengXian"/>
          <w:kern w:val="24"/>
          <w:szCs w:val="18"/>
          <w:lang w:eastAsia="en-AU"/>
        </w:rPr>
        <w:t xml:space="preserve"> </w:t>
      </w:r>
      <w:r w:rsidR="00ED4131" w:rsidRPr="00050A5B">
        <w:rPr>
          <w:rFonts w:eastAsia="DengXian"/>
          <w:kern w:val="24"/>
          <w:szCs w:val="18"/>
          <w:lang w:eastAsia="en-AU"/>
        </w:rPr>
        <w:t>of disrupti</w:t>
      </w:r>
      <w:r w:rsidR="000C26E4" w:rsidRPr="00050A5B">
        <w:rPr>
          <w:rFonts w:eastAsia="DengXian"/>
          <w:kern w:val="24"/>
          <w:szCs w:val="18"/>
          <w:lang w:eastAsia="en-AU"/>
        </w:rPr>
        <w:t xml:space="preserve">ve forces </w:t>
      </w:r>
      <w:r w:rsidR="000D3E6C" w:rsidRPr="00050A5B">
        <w:rPr>
          <w:rFonts w:eastAsia="DengXian"/>
          <w:kern w:val="24"/>
          <w:szCs w:val="18"/>
          <w:lang w:eastAsia="en-AU"/>
        </w:rPr>
        <w:t>eroding</w:t>
      </w:r>
      <w:r w:rsidR="00CB6866" w:rsidRPr="00050A5B">
        <w:rPr>
          <w:rFonts w:eastAsia="DengXian"/>
          <w:kern w:val="24"/>
          <w:szCs w:val="18"/>
          <w:lang w:eastAsia="en-AU"/>
        </w:rPr>
        <w:t xml:space="preserve"> sectors</w:t>
      </w:r>
      <w:r w:rsidR="000C26E4" w:rsidRPr="00050A5B">
        <w:rPr>
          <w:rFonts w:eastAsia="DengXian"/>
          <w:kern w:val="24"/>
          <w:szCs w:val="18"/>
          <w:lang w:eastAsia="en-AU"/>
        </w:rPr>
        <w:t xml:space="preserve"> </w:t>
      </w:r>
      <w:r w:rsidR="00AB34C4" w:rsidRPr="00050A5B">
        <w:rPr>
          <w:rFonts w:eastAsia="DengXian"/>
          <w:kern w:val="24"/>
          <w:szCs w:val="18"/>
          <w:lang w:eastAsia="en-AU"/>
        </w:rPr>
        <w:t xml:space="preserve">once </w:t>
      </w:r>
      <w:r w:rsidR="000D3E6C" w:rsidRPr="00050A5B">
        <w:rPr>
          <w:rFonts w:eastAsia="DengXian"/>
          <w:kern w:val="24"/>
          <w:szCs w:val="18"/>
          <w:lang w:eastAsia="en-AU"/>
        </w:rPr>
        <w:t>thought</w:t>
      </w:r>
      <w:r w:rsidR="00AB34C4" w:rsidRPr="00050A5B">
        <w:rPr>
          <w:rFonts w:eastAsia="DengXian"/>
          <w:kern w:val="24"/>
          <w:szCs w:val="18"/>
          <w:lang w:eastAsia="en-AU"/>
        </w:rPr>
        <w:t xml:space="preserve"> </w:t>
      </w:r>
      <w:r w:rsidR="005E5BD7" w:rsidRPr="00050A5B">
        <w:rPr>
          <w:rFonts w:eastAsia="DengXian"/>
          <w:kern w:val="24"/>
          <w:szCs w:val="18"/>
          <w:lang w:eastAsia="en-AU"/>
        </w:rPr>
        <w:t>unassailable</w:t>
      </w:r>
      <w:r w:rsidR="00FD054B" w:rsidRPr="00050A5B">
        <w:rPr>
          <w:rFonts w:eastAsia="DengXian"/>
          <w:kern w:val="24"/>
          <w:szCs w:val="18"/>
          <w:lang w:eastAsia="en-AU"/>
        </w:rPr>
        <w:t xml:space="preserve">, </w:t>
      </w:r>
      <w:r w:rsidR="00104753" w:rsidRPr="00050A5B">
        <w:rPr>
          <w:rFonts w:eastAsia="DengXian"/>
          <w:kern w:val="24"/>
          <w:szCs w:val="18"/>
          <w:lang w:eastAsia="en-AU"/>
        </w:rPr>
        <w:t>growing</w:t>
      </w:r>
      <w:r w:rsidR="00FD054B" w:rsidRPr="00050A5B">
        <w:rPr>
          <w:rFonts w:eastAsia="DengXian"/>
          <w:kern w:val="24"/>
          <w:szCs w:val="18"/>
          <w:lang w:eastAsia="en-AU"/>
        </w:rPr>
        <w:t xml:space="preserve"> concern</w:t>
      </w:r>
      <w:r w:rsidR="00B64B81" w:rsidRPr="00050A5B">
        <w:rPr>
          <w:rFonts w:eastAsia="DengXian"/>
          <w:kern w:val="24"/>
          <w:szCs w:val="18"/>
          <w:lang w:eastAsia="en-AU"/>
        </w:rPr>
        <w:t>s</w:t>
      </w:r>
      <w:r w:rsidR="00FD054B" w:rsidRPr="00050A5B">
        <w:rPr>
          <w:rFonts w:eastAsia="DengXian"/>
          <w:kern w:val="24"/>
          <w:szCs w:val="18"/>
          <w:lang w:eastAsia="en-AU"/>
        </w:rPr>
        <w:t xml:space="preserve"> over energy affordability and the </w:t>
      </w:r>
      <w:r w:rsidR="00ED4131" w:rsidRPr="00050A5B">
        <w:rPr>
          <w:rFonts w:eastAsia="DengXian"/>
          <w:kern w:val="24"/>
          <w:szCs w:val="18"/>
          <w:lang w:eastAsia="en-AU"/>
        </w:rPr>
        <w:t xml:space="preserve">accelerating ‘democratisation’ of </w:t>
      </w:r>
      <w:r w:rsidR="00FD23AE" w:rsidRPr="00050A5B">
        <w:rPr>
          <w:rFonts w:eastAsia="DengXian"/>
          <w:kern w:val="24"/>
          <w:szCs w:val="18"/>
          <w:lang w:eastAsia="en-AU"/>
        </w:rPr>
        <w:t xml:space="preserve">new </w:t>
      </w:r>
      <w:r w:rsidR="00ED4131" w:rsidRPr="00050A5B">
        <w:rPr>
          <w:rFonts w:eastAsia="DengXian"/>
          <w:kern w:val="24"/>
          <w:szCs w:val="18"/>
          <w:lang w:eastAsia="en-AU"/>
        </w:rPr>
        <w:t xml:space="preserve">energy technologies </w:t>
      </w:r>
      <w:r w:rsidR="00104753" w:rsidRPr="00050A5B">
        <w:rPr>
          <w:rFonts w:eastAsia="DengXian"/>
          <w:kern w:val="24"/>
          <w:szCs w:val="18"/>
          <w:lang w:eastAsia="en-AU"/>
        </w:rPr>
        <w:t>all</w:t>
      </w:r>
      <w:r w:rsidR="00ED4131" w:rsidRPr="00050A5B">
        <w:rPr>
          <w:rFonts w:eastAsia="DengXian"/>
          <w:kern w:val="24"/>
          <w:szCs w:val="18"/>
          <w:lang w:eastAsia="en-AU"/>
        </w:rPr>
        <w:t xml:space="preserve"> </w:t>
      </w:r>
      <w:r w:rsidR="00A04BE7" w:rsidRPr="00050A5B">
        <w:rPr>
          <w:rFonts w:eastAsia="DengXian"/>
          <w:kern w:val="24"/>
          <w:szCs w:val="18"/>
          <w:lang w:eastAsia="en-AU"/>
        </w:rPr>
        <w:t>provide</w:t>
      </w:r>
      <w:r w:rsidR="00243479" w:rsidRPr="00050A5B">
        <w:rPr>
          <w:rFonts w:eastAsia="DengXian"/>
          <w:kern w:val="24"/>
          <w:szCs w:val="18"/>
          <w:lang w:eastAsia="en-AU"/>
        </w:rPr>
        <w:t xml:space="preserve"> </w:t>
      </w:r>
      <w:r w:rsidR="00477C42" w:rsidRPr="00050A5B">
        <w:rPr>
          <w:rFonts w:eastAsia="DengXian"/>
          <w:kern w:val="24"/>
          <w:szCs w:val="18"/>
          <w:lang w:eastAsia="en-AU"/>
        </w:rPr>
        <w:t>signals that should not be ignored</w:t>
      </w:r>
      <w:r w:rsidR="00FD23AE" w:rsidRPr="00050A5B">
        <w:rPr>
          <w:rFonts w:eastAsia="DengXian"/>
          <w:kern w:val="24"/>
          <w:szCs w:val="18"/>
          <w:lang w:eastAsia="en-AU"/>
        </w:rPr>
        <w:t>.</w:t>
      </w:r>
      <w:r w:rsidR="00477C42" w:rsidRPr="00050A5B">
        <w:rPr>
          <w:rFonts w:eastAsia="DengXian"/>
          <w:kern w:val="24"/>
          <w:szCs w:val="18"/>
          <w:lang w:eastAsia="en-AU"/>
        </w:rPr>
        <w:t xml:space="preserve"> </w:t>
      </w:r>
      <w:r w:rsidR="006079A5" w:rsidRPr="00050A5B">
        <w:rPr>
          <w:rFonts w:eastAsia="DengXian"/>
          <w:kern w:val="24"/>
          <w:szCs w:val="18"/>
          <w:lang w:eastAsia="en-AU"/>
        </w:rPr>
        <w:t xml:space="preserve">As noted above, one of the few means </w:t>
      </w:r>
      <w:r w:rsidR="00113504" w:rsidRPr="00050A5B">
        <w:rPr>
          <w:rFonts w:eastAsia="DengXian"/>
          <w:kern w:val="24"/>
          <w:szCs w:val="18"/>
          <w:lang w:eastAsia="en-AU"/>
        </w:rPr>
        <w:t xml:space="preserve">for an incumbent sector to </w:t>
      </w:r>
      <w:r w:rsidR="007B040C" w:rsidRPr="00050A5B">
        <w:rPr>
          <w:rFonts w:eastAsia="DengXian"/>
          <w:kern w:val="24"/>
          <w:szCs w:val="18"/>
          <w:lang w:eastAsia="en-AU"/>
        </w:rPr>
        <w:t xml:space="preserve">successfully </w:t>
      </w:r>
      <w:r w:rsidR="00270323" w:rsidRPr="00050A5B">
        <w:rPr>
          <w:rFonts w:eastAsia="DengXian"/>
          <w:kern w:val="24"/>
          <w:szCs w:val="18"/>
          <w:lang w:eastAsia="en-AU"/>
        </w:rPr>
        <w:t xml:space="preserve">navigate </w:t>
      </w:r>
      <w:r w:rsidR="00FD23AE" w:rsidRPr="00050A5B">
        <w:rPr>
          <w:rFonts w:eastAsia="DengXian"/>
          <w:kern w:val="24"/>
          <w:szCs w:val="18"/>
          <w:lang w:eastAsia="en-AU"/>
        </w:rPr>
        <w:t xml:space="preserve">such </w:t>
      </w:r>
      <w:r w:rsidR="007B040C" w:rsidRPr="00050A5B">
        <w:rPr>
          <w:rFonts w:eastAsia="DengXian"/>
          <w:kern w:val="24"/>
          <w:szCs w:val="18"/>
          <w:lang w:eastAsia="en-AU"/>
        </w:rPr>
        <w:t>complex transformations i</w:t>
      </w:r>
      <w:r w:rsidR="006079A5" w:rsidRPr="00050A5B">
        <w:rPr>
          <w:rFonts w:eastAsia="DengXian"/>
          <w:kern w:val="24"/>
          <w:szCs w:val="18"/>
          <w:lang w:eastAsia="en-AU"/>
        </w:rPr>
        <w:t xml:space="preserve">s to focus intently on </w:t>
      </w:r>
      <w:r w:rsidR="007B040C" w:rsidRPr="00050A5B">
        <w:rPr>
          <w:rFonts w:eastAsia="DengXian"/>
          <w:kern w:val="24"/>
          <w:szCs w:val="18"/>
          <w:lang w:eastAsia="en-AU"/>
        </w:rPr>
        <w:t xml:space="preserve">understanding and serving </w:t>
      </w:r>
      <w:r w:rsidR="00981AF8" w:rsidRPr="00050A5B">
        <w:rPr>
          <w:rFonts w:eastAsia="DengXian"/>
          <w:kern w:val="24"/>
          <w:szCs w:val="18"/>
          <w:lang w:eastAsia="en-AU"/>
        </w:rPr>
        <w:t>customer and societ</w:t>
      </w:r>
      <w:r w:rsidR="004E6090" w:rsidRPr="00050A5B">
        <w:rPr>
          <w:rFonts w:eastAsia="DengXian"/>
          <w:kern w:val="24"/>
          <w:szCs w:val="18"/>
          <w:lang w:eastAsia="en-AU"/>
        </w:rPr>
        <w:t>al needs</w:t>
      </w:r>
      <w:r w:rsidR="00FD23AE" w:rsidRPr="00050A5B">
        <w:rPr>
          <w:rFonts w:eastAsia="DengXian"/>
          <w:kern w:val="24"/>
          <w:szCs w:val="18"/>
          <w:lang w:eastAsia="en-AU"/>
        </w:rPr>
        <w:t xml:space="preserve"> and objectives</w:t>
      </w:r>
      <w:r w:rsidR="004E6090" w:rsidRPr="00050A5B">
        <w:rPr>
          <w:rFonts w:eastAsia="DengXian"/>
          <w:kern w:val="24"/>
          <w:szCs w:val="18"/>
          <w:lang w:eastAsia="en-AU"/>
        </w:rPr>
        <w:t xml:space="preserve">, </w:t>
      </w:r>
      <w:r w:rsidR="00981AF8" w:rsidRPr="00050A5B">
        <w:rPr>
          <w:rFonts w:eastAsia="DengXian"/>
          <w:kern w:val="24"/>
          <w:szCs w:val="18"/>
          <w:lang w:eastAsia="en-AU"/>
        </w:rPr>
        <w:t xml:space="preserve">both </w:t>
      </w:r>
      <w:r w:rsidR="004E6090" w:rsidRPr="00050A5B">
        <w:rPr>
          <w:rFonts w:eastAsia="DengXian"/>
          <w:kern w:val="24"/>
          <w:szCs w:val="18"/>
          <w:lang w:eastAsia="en-AU"/>
        </w:rPr>
        <w:t>in the present and well i</w:t>
      </w:r>
      <w:r w:rsidR="00981AF8" w:rsidRPr="00050A5B">
        <w:rPr>
          <w:rFonts w:eastAsia="DengXian"/>
          <w:kern w:val="24"/>
          <w:szCs w:val="18"/>
          <w:lang w:eastAsia="en-AU"/>
        </w:rPr>
        <w:t xml:space="preserve">nto the future.  </w:t>
      </w:r>
    </w:p>
    <w:p w14:paraId="1CA3A625" w14:textId="77777777" w:rsidR="00F46742" w:rsidRDefault="00F46742">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738978B5" w14:textId="77777777" w:rsidR="00F2176F" w:rsidRDefault="00F2176F" w:rsidP="00F2176F">
      <w:pPr>
        <w:pStyle w:val="Heading10"/>
        <w:numPr>
          <w:ilvl w:val="0"/>
          <w:numId w:val="1"/>
        </w:numPr>
        <w:spacing w:before="0"/>
        <w:ind w:left="567" w:hanging="567"/>
      </w:pPr>
      <w:bookmarkStart w:id="11" w:name="_Toc205357944"/>
      <w:bookmarkStart w:id="12" w:name="_Toc205536748"/>
      <w:bookmarkStart w:id="13" w:name="S_2_RepDevelopAppLimit"/>
      <w:r>
        <w:t>Report Development Approach &amp; Limitations</w:t>
      </w:r>
      <w:bookmarkEnd w:id="11"/>
      <w:bookmarkEnd w:id="12"/>
      <w:r>
        <w:t xml:space="preserve"> </w:t>
      </w:r>
    </w:p>
    <w:p w14:paraId="4EEEFF40" w14:textId="77777777" w:rsidR="00063465" w:rsidRPr="004802F9" w:rsidRDefault="00063465" w:rsidP="00063465">
      <w:pPr>
        <w:pStyle w:val="11Heading"/>
        <w:numPr>
          <w:ilvl w:val="0"/>
          <w:numId w:val="0"/>
        </w:numPr>
        <w:rPr>
          <w:lang w:val="en-US" w:eastAsia="en-US" w:bidi="ar-SA"/>
        </w:rPr>
      </w:pPr>
      <w:bookmarkStart w:id="14" w:name="_Toc205357945"/>
      <w:bookmarkStart w:id="15" w:name="_Toc205536749"/>
      <w:bookmarkEnd w:id="13"/>
      <w:r>
        <w:rPr>
          <w:lang w:val="en-US" w:eastAsia="en-US" w:bidi="ar-SA"/>
        </w:rPr>
        <w:t>2.1</w:t>
      </w:r>
      <w:r>
        <w:rPr>
          <w:lang w:val="en-US" w:eastAsia="en-US" w:bidi="ar-SA"/>
        </w:rPr>
        <w:tab/>
        <w:t>Philosophy</w:t>
      </w:r>
      <w:bookmarkEnd w:id="14"/>
      <w:bookmarkEnd w:id="15"/>
    </w:p>
    <w:p w14:paraId="41C31FB4" w14:textId="77777777" w:rsidR="00063465" w:rsidRDefault="00063465" w:rsidP="00063465">
      <w:pPr>
        <w:spacing w:before="120" w:after="120"/>
      </w:pPr>
      <w:r w:rsidRPr="00853247">
        <w:t>The set of reports has been developed through the lens of Design Thinking</w:t>
      </w:r>
      <w:r>
        <w:t xml:space="preserve"> and u</w:t>
      </w:r>
      <w:r w:rsidRPr="00853247">
        <w:t>nderpinned by Systems Engineering</w:t>
      </w:r>
      <w:r>
        <w:t xml:space="preserve">, </w:t>
      </w:r>
      <w:r w:rsidRPr="00853247">
        <w:t>Systems Architecture</w:t>
      </w:r>
      <w:r>
        <w:t xml:space="preserve"> and related </w:t>
      </w:r>
      <w:r w:rsidRPr="00853247">
        <w:t>disciplines</w:t>
      </w:r>
      <w:r>
        <w:t>.  I</w:t>
      </w:r>
      <w:r w:rsidRPr="00853247">
        <w:t>n doing</w:t>
      </w:r>
      <w:r>
        <w:t xml:space="preserve"> so</w:t>
      </w:r>
      <w:r w:rsidRPr="00853247">
        <w:t xml:space="preserve">, it attempts to take a longer </w:t>
      </w:r>
      <w:r>
        <w:t xml:space="preserve">view of whole-system transformation relevant to the NEM and the increasingly critical role of DSO models for achieving the key objective of the federal </w:t>
      </w:r>
      <w:r w:rsidRPr="00853247">
        <w:t>National CER Roadmap</w:t>
      </w:r>
      <w:r>
        <w:t xml:space="preserve"> initiative </w:t>
      </w:r>
      <w:hyperlink w:anchor="R_1" w:history="1">
        <w:r w:rsidRPr="0029430E">
          <w:rPr>
            <w:rStyle w:val="Hyperlink"/>
          </w:rPr>
          <w:fldChar w:fldCharType="begin"/>
        </w:r>
        <w:r w:rsidRPr="0029430E">
          <w:rPr>
            <w:rStyle w:val="Hyperlink"/>
          </w:rPr>
          <w:instrText xml:space="preserve"> ADDIN ZOTERO_ITEM CSL_CITATION {"citationID":"a1j96m64us6","properties":{"formattedCitation":"[1]","plainCitation":"[1]","noteIndex":0},"citationItems":[{"id":655,"uris":["http://zotero.org/users/local/2mgdH29P/items/6LVNU7TB"],"itemData":{"id":655,"type":"report","event-place":"GPO Box 3090 Canberra ACT 2601","publisher-place":"GPO Box 3090 Canberra ACT 2601","title":"National Consumer Energy Resources Roadmap - Powering Decarbonised Homes and Communities","URL":"https://www.energy.gov.au/sites/default/files/2024-07/national-consumer-energy-resources-roadmap.pdf","author":[{"literal":"Department of Climate Change, Energy, the Environment and Water (DCCEEW)"}],"issued":{"date-parts":[["2024",7]]}}}],"schema":"https://github.com/citation-style-language/schema/raw/master/csl-citation.json"} </w:instrText>
        </w:r>
        <w:r w:rsidRPr="0029430E">
          <w:rPr>
            <w:rStyle w:val="Hyperlink"/>
          </w:rPr>
          <w:fldChar w:fldCharType="separate"/>
        </w:r>
        <w:r w:rsidRPr="0029430E">
          <w:rPr>
            <w:rStyle w:val="Hyperlink"/>
            <w:rFonts w:cs="Times New Roman"/>
            <w:kern w:val="0"/>
          </w:rPr>
          <w:t>[1]</w:t>
        </w:r>
        <w:r w:rsidRPr="0029430E">
          <w:rPr>
            <w:rStyle w:val="Hyperlink"/>
          </w:rPr>
          <w:fldChar w:fldCharType="end"/>
        </w:r>
      </w:hyperlink>
      <w:r w:rsidRPr="00853247">
        <w:t xml:space="preserve">. </w:t>
      </w:r>
    </w:p>
    <w:p w14:paraId="75A413FB" w14:textId="36113E2C" w:rsidR="00063465" w:rsidRPr="00593AE7" w:rsidRDefault="00063465" w:rsidP="00063465">
      <w:pPr>
        <w:spacing w:before="0" w:after="0"/>
        <w:jc w:val="center"/>
        <w:rPr>
          <w:i/>
          <w:iCs/>
          <w:color w:val="013C4C" w:themeColor="text1"/>
          <w:szCs w:val="22"/>
        </w:rPr>
      </w:pPr>
      <w:bookmarkStart w:id="16" w:name="F_2"/>
      <w:r>
        <w:rPr>
          <w:noProof/>
        </w:rPr>
        <w:drawing>
          <wp:inline distT="0" distB="0" distL="0" distR="0" wp14:anchorId="28D8277B" wp14:editId="076F5CAC">
            <wp:extent cx="5399405" cy="2641854"/>
            <wp:effectExtent l="0" t="0" r="0" b="6350"/>
            <wp:docPr id="17396182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18245" name="Picture 1739618245"/>
                    <pic:cNvPicPr/>
                  </pic:nvPicPr>
                  <pic:blipFill rotWithShape="1">
                    <a:blip r:embed="rId16" cstate="print">
                      <a:extLst>
                        <a:ext uri="{28A0092B-C50C-407E-A947-70E740481C1C}">
                          <a14:useLocalDpi xmlns:a14="http://schemas.microsoft.com/office/drawing/2010/main" val="0"/>
                        </a:ext>
                      </a:extLst>
                    </a:blip>
                    <a:srcRect t="5854" b="7171"/>
                    <a:stretch/>
                  </pic:blipFill>
                  <pic:spPr bwMode="auto">
                    <a:xfrm>
                      <a:off x="0" y="0"/>
                      <a:ext cx="5399405" cy="2641854"/>
                    </a:xfrm>
                    <a:prstGeom prst="rect">
                      <a:avLst/>
                    </a:prstGeom>
                    <a:ln>
                      <a:noFill/>
                    </a:ln>
                    <a:extLst>
                      <a:ext uri="{53640926-AAD7-44D8-BBD7-CCE9431645EC}">
                        <a14:shadowObscured xmlns:a14="http://schemas.microsoft.com/office/drawing/2010/main"/>
                      </a:ext>
                    </a:extLst>
                  </pic:spPr>
                </pic:pic>
              </a:graphicData>
            </a:graphic>
          </wp:inline>
        </w:drawing>
      </w:r>
      <w:bookmarkEnd w:id="16"/>
      <w:r>
        <w:br/>
      </w:r>
      <w:bookmarkStart w:id="17" w:name="_Ref204848292"/>
      <w:bookmarkStart w:id="18" w:name="_Toc205313100"/>
      <w:r w:rsidRPr="00555C78">
        <w:rPr>
          <w:i/>
          <w:iCs/>
          <w:color w:val="013C4C" w:themeColor="text1"/>
          <w:szCs w:val="22"/>
        </w:rPr>
        <w:t xml:space="preserve">Figure </w:t>
      </w:r>
      <w:r w:rsidRPr="00555C78">
        <w:rPr>
          <w:i/>
          <w:iCs/>
          <w:color w:val="013C4C" w:themeColor="text1"/>
          <w:szCs w:val="22"/>
        </w:rPr>
        <w:fldChar w:fldCharType="begin"/>
      </w:r>
      <w:r w:rsidRPr="00555C78">
        <w:rPr>
          <w:i/>
          <w:iCs/>
          <w:color w:val="013C4C" w:themeColor="text1"/>
          <w:szCs w:val="22"/>
        </w:rPr>
        <w:instrText xml:space="preserve"> SEQ Figure \* ARABIC </w:instrText>
      </w:r>
      <w:r w:rsidRPr="00555C78">
        <w:rPr>
          <w:i/>
          <w:iCs/>
          <w:color w:val="013C4C" w:themeColor="text1"/>
          <w:szCs w:val="22"/>
        </w:rPr>
        <w:fldChar w:fldCharType="separate"/>
      </w:r>
      <w:r w:rsidR="00B170DF">
        <w:rPr>
          <w:i/>
          <w:iCs/>
          <w:noProof/>
          <w:color w:val="013C4C" w:themeColor="text1"/>
          <w:szCs w:val="22"/>
        </w:rPr>
        <w:t>2</w:t>
      </w:r>
      <w:r w:rsidRPr="00555C78">
        <w:rPr>
          <w:i/>
          <w:iCs/>
          <w:color w:val="013C4C" w:themeColor="text1"/>
          <w:szCs w:val="22"/>
        </w:rPr>
        <w:fldChar w:fldCharType="end"/>
      </w:r>
      <w:bookmarkEnd w:id="17"/>
      <w:r w:rsidRPr="00555C78">
        <w:rPr>
          <w:i/>
          <w:iCs/>
          <w:color w:val="013C4C" w:themeColor="text1"/>
          <w:szCs w:val="22"/>
        </w:rPr>
        <w:t xml:space="preserve">: </w:t>
      </w:r>
      <w:r>
        <w:rPr>
          <w:i/>
          <w:iCs/>
          <w:color w:val="013C4C" w:themeColor="text1"/>
          <w:szCs w:val="22"/>
        </w:rPr>
        <w:t>The reference set of five reports applies a Design Thinking approach to whole-system tr</w:t>
      </w:r>
      <w:r w:rsidRPr="00555C78">
        <w:rPr>
          <w:i/>
          <w:iCs/>
          <w:color w:val="013C4C" w:themeColor="text1"/>
          <w:szCs w:val="22"/>
        </w:rPr>
        <w:t>ansformation</w:t>
      </w:r>
      <w:r>
        <w:rPr>
          <w:i/>
          <w:iCs/>
          <w:color w:val="013C4C" w:themeColor="text1"/>
          <w:szCs w:val="22"/>
        </w:rPr>
        <w:t xml:space="preserve"> underpinned by </w:t>
      </w:r>
      <w:r w:rsidRPr="00D82255">
        <w:rPr>
          <w:i/>
          <w:iCs/>
          <w:color w:val="013C4C" w:themeColor="text1"/>
          <w:szCs w:val="22"/>
        </w:rPr>
        <w:t>Systems Engineering</w:t>
      </w:r>
      <w:r>
        <w:rPr>
          <w:i/>
          <w:iCs/>
          <w:color w:val="013C4C" w:themeColor="text1"/>
          <w:szCs w:val="22"/>
        </w:rPr>
        <w:t xml:space="preserve"> and </w:t>
      </w:r>
      <w:r w:rsidRPr="00D82255">
        <w:rPr>
          <w:i/>
          <w:iCs/>
          <w:color w:val="013C4C" w:themeColor="text1"/>
          <w:szCs w:val="22"/>
        </w:rPr>
        <w:t>related disciplines</w:t>
      </w:r>
      <w:bookmarkEnd w:id="18"/>
    </w:p>
    <w:p w14:paraId="329F6AFD" w14:textId="6A5A16A2" w:rsidR="00063465" w:rsidRPr="00C14B3C" w:rsidRDefault="00063465" w:rsidP="00063465">
      <w:pPr>
        <w:snapToGrid w:val="0"/>
        <w:spacing w:after="120" w:line="264" w:lineRule="auto"/>
        <w:rPr>
          <w:rFonts w:eastAsia="DengXian"/>
          <w:kern w:val="24"/>
          <w:szCs w:val="18"/>
          <w:lang w:eastAsia="en-AU"/>
        </w:rPr>
      </w:pPr>
      <w:r>
        <w:rPr>
          <w:rFonts w:eastAsia="DengXian"/>
          <w:kern w:val="24"/>
          <w:szCs w:val="18"/>
          <w:lang w:eastAsia="en-AU"/>
        </w:rPr>
        <w:t xml:space="preserve">As noted previously, the reference set is </w:t>
      </w:r>
      <w:r w:rsidRPr="00E24697">
        <w:rPr>
          <w:rFonts w:eastAsia="DengXian"/>
          <w:kern w:val="24"/>
          <w:szCs w:val="18"/>
          <w:lang w:eastAsia="en-AU"/>
        </w:rPr>
        <w:t xml:space="preserve">designed to underpin a </w:t>
      </w:r>
      <w:r>
        <w:rPr>
          <w:rFonts w:eastAsia="DengXian"/>
          <w:kern w:val="24"/>
          <w:szCs w:val="18"/>
          <w:lang w:eastAsia="en-AU"/>
        </w:rPr>
        <w:t xml:space="preserve">subsequent </w:t>
      </w:r>
      <w:r w:rsidRPr="00E24697">
        <w:rPr>
          <w:rFonts w:eastAsia="DengXian"/>
          <w:kern w:val="24"/>
          <w:szCs w:val="18"/>
          <w:lang w:eastAsia="en-AU"/>
        </w:rPr>
        <w:t>Detailed Architecture process</w:t>
      </w:r>
      <w:r>
        <w:rPr>
          <w:rFonts w:eastAsia="DengXian"/>
          <w:kern w:val="24"/>
          <w:szCs w:val="18"/>
          <w:lang w:eastAsia="en-AU"/>
        </w:rPr>
        <w:t xml:space="preserve"> that provides an integrated approach for navigating Australia’s timely and efficient deployment of DSO and TDC models (i.e. ‘solution space’). As illustrated in </w:t>
      </w:r>
      <w:r w:rsidRPr="00063465">
        <w:t>Figure 2</w:t>
      </w:r>
      <w:r>
        <w:rPr>
          <w:rFonts w:eastAsia="DengXian"/>
          <w:kern w:val="24"/>
          <w:szCs w:val="18"/>
          <w:lang w:eastAsia="en-AU"/>
        </w:rPr>
        <w:t xml:space="preserve"> </w:t>
      </w:r>
      <w:r>
        <w:rPr>
          <w:rFonts w:eastAsia="DengXian"/>
          <w:kern w:val="24"/>
          <w:szCs w:val="18"/>
          <w:lang w:eastAsia="en-AU"/>
        </w:rPr>
        <w:fldChar w:fldCharType="begin"/>
      </w:r>
      <w:r>
        <w:rPr>
          <w:rFonts w:eastAsia="DengXian"/>
          <w:kern w:val="24"/>
          <w:szCs w:val="18"/>
          <w:lang w:eastAsia="en-AU"/>
        </w:rPr>
        <w:instrText xml:space="preserve"> REF _Ref204782959 \p \h </w:instrText>
      </w:r>
      <w:r>
        <w:rPr>
          <w:rFonts w:eastAsia="DengXian"/>
          <w:kern w:val="24"/>
          <w:szCs w:val="18"/>
          <w:lang w:eastAsia="en-AU"/>
        </w:rPr>
        <w:fldChar w:fldCharType="separate"/>
      </w:r>
      <w:r w:rsidR="00B170DF">
        <w:rPr>
          <w:rFonts w:eastAsia="DengXian"/>
          <w:b/>
          <w:bCs/>
          <w:kern w:val="24"/>
          <w:szCs w:val="18"/>
          <w:lang w:val="en-US" w:eastAsia="en-AU"/>
        </w:rPr>
        <w:t>Error! Reference source not found.</w:t>
      </w:r>
      <w:r>
        <w:rPr>
          <w:rFonts w:eastAsia="DengXian"/>
          <w:kern w:val="24"/>
          <w:szCs w:val="18"/>
          <w:lang w:eastAsia="en-AU"/>
        </w:rPr>
        <w:fldChar w:fldCharType="end"/>
      </w:r>
      <w:r>
        <w:rPr>
          <w:rFonts w:eastAsia="DengXian"/>
          <w:kern w:val="24"/>
          <w:szCs w:val="18"/>
          <w:lang w:eastAsia="en-AU"/>
        </w:rPr>
        <w:t xml:space="preserve">, the five reports developed in AR-PST Stage 4 evaluate the divergent global and Australian content relevant to each of the topics covered (i.e. ‘problem space’). This enables a rigorous, objective and traceable means for reporting and converging on the most critical issues that must be addressed to develop future-ready solutions enabled by constructive multi-stakeholder collaboration. </w:t>
      </w:r>
    </w:p>
    <w:p w14:paraId="6718EE81" w14:textId="1C70B1CD" w:rsidR="00987713" w:rsidRDefault="002E1292" w:rsidP="00656E88">
      <w:pPr>
        <w:spacing w:before="180" w:after="180" w:line="288" w:lineRule="auto"/>
        <w:rPr>
          <w:rFonts w:cs="Calibri"/>
        </w:rPr>
      </w:pPr>
      <w:r w:rsidRPr="002C71DC">
        <w:rPr>
          <w:rFonts w:cs="Calibri"/>
        </w:rPr>
        <w:t xml:space="preserve">The </w:t>
      </w:r>
      <w:r w:rsidR="00F44F67" w:rsidRPr="002C71DC">
        <w:rPr>
          <w:rFonts w:cs="Calibri"/>
        </w:rPr>
        <w:t xml:space="preserve">Power Systems Architecture (PSA) </w:t>
      </w:r>
      <w:r w:rsidRPr="002C71DC">
        <w:rPr>
          <w:rFonts w:cs="Calibri"/>
        </w:rPr>
        <w:t>discipline is fundamentally stakeholder</w:t>
      </w:r>
      <w:r w:rsidR="00987713" w:rsidRPr="002C71DC">
        <w:rPr>
          <w:rFonts w:cs="Calibri"/>
        </w:rPr>
        <w:t>-</w:t>
      </w:r>
      <w:r w:rsidRPr="002C71DC">
        <w:rPr>
          <w:rFonts w:cs="Calibri"/>
        </w:rPr>
        <w:t xml:space="preserve"> and </w:t>
      </w:r>
      <w:r w:rsidR="00F44F67" w:rsidRPr="002C71DC">
        <w:rPr>
          <w:rFonts w:cs="Calibri"/>
        </w:rPr>
        <w:t>user</w:t>
      </w:r>
      <w:r w:rsidR="00987713" w:rsidRPr="002C71DC">
        <w:rPr>
          <w:rFonts w:cs="Calibri"/>
        </w:rPr>
        <w:t>-</w:t>
      </w:r>
      <w:r w:rsidR="00F44F67" w:rsidRPr="002C71DC">
        <w:rPr>
          <w:rFonts w:cs="Calibri"/>
        </w:rPr>
        <w:t>centric</w:t>
      </w:r>
      <w:r w:rsidRPr="002C71DC">
        <w:rPr>
          <w:rFonts w:cs="Calibri"/>
        </w:rPr>
        <w:t>.</w:t>
      </w:r>
      <w:r w:rsidR="00F3464D" w:rsidRPr="002C71DC">
        <w:rPr>
          <w:rFonts w:cs="Calibri"/>
        </w:rPr>
        <w:t xml:space="preserve"> As illustrated in </w:t>
      </w:r>
      <w:r w:rsidR="00F3464D" w:rsidRPr="00063465">
        <w:rPr>
          <w:rFonts w:cs="Calibri"/>
        </w:rPr>
        <w:t>Figure 1</w:t>
      </w:r>
      <w:r w:rsidR="00987713" w:rsidRPr="002C71DC">
        <w:rPr>
          <w:rFonts w:cs="Calibri"/>
        </w:rPr>
        <w:t xml:space="preserve"> (above), this report functions as an important foundational input to a structured process for developing an architectural model of the power system and its transformation</w:t>
      </w:r>
      <w:r w:rsidR="005B7BFC" w:rsidRPr="002C71DC">
        <w:rPr>
          <w:rFonts w:cs="Calibri"/>
        </w:rPr>
        <w:t xml:space="preserve">, </w:t>
      </w:r>
      <w:r w:rsidR="00987713" w:rsidRPr="002C71DC">
        <w:rPr>
          <w:rFonts w:cs="Calibri"/>
        </w:rPr>
        <w:t>a process informed and guided by PSA principles.</w:t>
      </w:r>
    </w:p>
    <w:p w14:paraId="44C83E31" w14:textId="77777777" w:rsidR="0061056D" w:rsidRDefault="0061056D" w:rsidP="00656E88">
      <w:pPr>
        <w:spacing w:before="180" w:after="180" w:line="288" w:lineRule="auto"/>
        <w:rPr>
          <w:rFonts w:cs="Calibri"/>
        </w:rPr>
      </w:pPr>
    </w:p>
    <w:p w14:paraId="07A65870" w14:textId="77777777" w:rsidR="0061056D" w:rsidRDefault="0061056D" w:rsidP="00656E88">
      <w:pPr>
        <w:spacing w:before="180" w:after="180" w:line="288" w:lineRule="auto"/>
        <w:rPr>
          <w:rFonts w:cs="Calibri"/>
        </w:rPr>
      </w:pPr>
    </w:p>
    <w:p w14:paraId="282A2681" w14:textId="6B566A5D" w:rsidR="000B04AD" w:rsidRPr="002B14F8" w:rsidRDefault="000B04AD" w:rsidP="000B04AD">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19" w:name="_Toc205357947"/>
      <w:bookmarkStart w:id="20" w:name="_Toc205536750"/>
      <w:r w:rsidRPr="00F16DE2">
        <w:rPr>
          <w:rFonts w:ascii="PP Mori SemiBold" w:eastAsiaTheme="majorEastAsia" w:hAnsi="PP Mori SemiBold" w:cstheme="majorBidi"/>
          <w:color w:val="002C38" w:themeColor="accent1" w:themeShade="BF"/>
          <w:sz w:val="26"/>
          <w:szCs w:val="33"/>
          <w:lang w:val="en-US" w:eastAsia="en-US" w:bidi="ar-SA"/>
        </w:rPr>
        <w:t>2.</w:t>
      </w:r>
      <w:r>
        <w:rPr>
          <w:rFonts w:ascii="PP Mori SemiBold" w:eastAsiaTheme="majorEastAsia" w:hAnsi="PP Mori SemiBold" w:cstheme="majorBidi"/>
          <w:color w:val="002C38" w:themeColor="accent1" w:themeShade="BF"/>
          <w:sz w:val="26"/>
          <w:szCs w:val="33"/>
          <w:lang w:val="en-US" w:eastAsia="en-US" w:bidi="ar-SA"/>
        </w:rPr>
        <w:t>2</w:t>
      </w:r>
      <w:r w:rsidRPr="00F16DE2">
        <w:rPr>
          <w:rFonts w:ascii="PP Mori SemiBold" w:eastAsiaTheme="majorEastAsia" w:hAnsi="PP Mori SemiBold" w:cstheme="majorBidi"/>
          <w:color w:val="002C38" w:themeColor="accent1" w:themeShade="BF"/>
          <w:sz w:val="26"/>
          <w:szCs w:val="33"/>
          <w:lang w:val="en-US" w:eastAsia="en-US" w:bidi="ar-SA"/>
        </w:rPr>
        <w:tab/>
      </w:r>
      <w:bookmarkStart w:id="21" w:name="S_2_3_Develop_Methodology"/>
      <w:r w:rsidRPr="00F16DE2">
        <w:rPr>
          <w:rFonts w:ascii="PP Mori SemiBold" w:eastAsiaTheme="majorEastAsia" w:hAnsi="PP Mori SemiBold" w:cstheme="majorBidi"/>
          <w:color w:val="002C38" w:themeColor="accent1" w:themeShade="BF"/>
          <w:sz w:val="26"/>
          <w:szCs w:val="33"/>
          <w:lang w:val="en-US" w:eastAsia="en-US" w:bidi="ar-SA"/>
        </w:rPr>
        <w:t>Development Methodology</w:t>
      </w:r>
      <w:bookmarkEnd w:id="19"/>
      <w:bookmarkEnd w:id="20"/>
      <w:bookmarkEnd w:id="21"/>
    </w:p>
    <w:p w14:paraId="09299C49" w14:textId="6F66B9E5" w:rsidR="00AA3807" w:rsidRPr="00050A5B" w:rsidRDefault="000C701C" w:rsidP="00656E88">
      <w:pPr>
        <w:spacing w:before="180" w:after="180" w:line="288" w:lineRule="auto"/>
        <w:rPr>
          <w:rFonts w:cs="Calibri"/>
        </w:rPr>
      </w:pPr>
      <w:r w:rsidRPr="00050A5B">
        <w:rPr>
          <w:rFonts w:cs="Calibri"/>
        </w:rPr>
        <w:t xml:space="preserve">The report </w:t>
      </w:r>
      <w:r w:rsidR="002C448F" w:rsidRPr="00050A5B">
        <w:rPr>
          <w:rFonts w:cs="Calibri"/>
        </w:rPr>
        <w:t>was d</w:t>
      </w:r>
      <w:r w:rsidR="0066165B" w:rsidRPr="00050A5B">
        <w:rPr>
          <w:rFonts w:cs="Calibri"/>
        </w:rPr>
        <w:t xml:space="preserve">eveloped based on a </w:t>
      </w:r>
      <w:r w:rsidR="00C01EEF" w:rsidRPr="00050A5B">
        <w:rPr>
          <w:rFonts w:cs="Calibri"/>
        </w:rPr>
        <w:t>wide-ranging</w:t>
      </w:r>
      <w:r w:rsidR="00AA3807" w:rsidRPr="00050A5B">
        <w:rPr>
          <w:rFonts w:cs="Calibri"/>
        </w:rPr>
        <w:t xml:space="preserve"> literature review </w:t>
      </w:r>
      <w:r w:rsidR="001F3DF3" w:rsidRPr="00050A5B">
        <w:rPr>
          <w:rFonts w:cs="Calibri"/>
        </w:rPr>
        <w:t>of over fifty (50)</w:t>
      </w:r>
      <w:r w:rsidR="00AA3807" w:rsidRPr="00050A5B">
        <w:rPr>
          <w:rFonts w:cs="Calibri"/>
        </w:rPr>
        <w:t xml:space="preserve"> primary sources from customer advocates, academia, and industry, originating from Australia, North America, the United Kingdom and the European Union (refer </w:t>
      </w:r>
      <w:hyperlink w:anchor="Appendix_A" w:history="1">
        <w:r w:rsidR="00AA3807" w:rsidRPr="002931C5">
          <w:rPr>
            <w:rStyle w:val="Hyperlink"/>
            <w:rFonts w:cs="Calibri"/>
          </w:rPr>
          <w:t xml:space="preserve">Appendix </w:t>
        </w:r>
        <w:r w:rsidR="008E149A" w:rsidRPr="002931C5">
          <w:rPr>
            <w:rStyle w:val="Hyperlink"/>
            <w:rFonts w:cs="Calibri"/>
          </w:rPr>
          <w:t>A</w:t>
        </w:r>
      </w:hyperlink>
      <w:r w:rsidR="00F46742">
        <w:rPr>
          <w:rFonts w:cs="Calibri"/>
        </w:rPr>
        <w:t>)</w:t>
      </w:r>
      <w:r w:rsidR="00C01EEF" w:rsidRPr="00050A5B">
        <w:rPr>
          <w:rFonts w:cs="Calibri"/>
        </w:rPr>
        <w:t xml:space="preserve">. </w:t>
      </w:r>
      <w:r w:rsidR="003756C8" w:rsidRPr="00050A5B">
        <w:rPr>
          <w:rFonts w:cs="Calibri"/>
        </w:rPr>
        <w:t>T</w:t>
      </w:r>
      <w:r w:rsidR="00AA3807" w:rsidRPr="00050A5B">
        <w:rPr>
          <w:rFonts w:cs="Calibri"/>
        </w:rPr>
        <w:t xml:space="preserve">hese sources </w:t>
      </w:r>
      <w:r w:rsidR="003756C8" w:rsidRPr="00050A5B">
        <w:rPr>
          <w:rFonts w:cs="Calibri"/>
        </w:rPr>
        <w:t>were shortlisted</w:t>
      </w:r>
      <w:r w:rsidR="00AA3807" w:rsidRPr="00050A5B">
        <w:rPr>
          <w:rFonts w:cs="Calibri"/>
        </w:rPr>
        <w:t xml:space="preserve"> from </w:t>
      </w:r>
      <w:r w:rsidR="00B826F7" w:rsidRPr="00050A5B">
        <w:rPr>
          <w:rFonts w:cs="Calibri"/>
        </w:rPr>
        <w:t xml:space="preserve">a larger selection of </w:t>
      </w:r>
      <w:r w:rsidR="00AA3807" w:rsidRPr="00050A5B">
        <w:rPr>
          <w:rFonts w:cs="Calibri"/>
        </w:rPr>
        <w:t xml:space="preserve">potential materials to ensure diversity of representation, content relevance and future orientation. </w:t>
      </w:r>
    </w:p>
    <w:p w14:paraId="6DD073CC" w14:textId="4FD7B7E2" w:rsidR="00BF113B" w:rsidRPr="00F16DE2" w:rsidRDefault="00BF113B" w:rsidP="00BF113B">
      <w:pPr>
        <w:spacing w:before="180" w:after="120" w:line="288" w:lineRule="auto"/>
        <w:rPr>
          <w:rFonts w:cs="Calibri"/>
          <w:szCs w:val="18"/>
        </w:rPr>
      </w:pPr>
      <w:r>
        <w:rPr>
          <w:rFonts w:cs="Calibri"/>
          <w:szCs w:val="18"/>
        </w:rPr>
        <w:t xml:space="preserve">Guided by the principles and methodologies outlined in </w:t>
      </w:r>
      <w:commentRangeStart w:id="22"/>
      <w:r w:rsidRPr="00686D4E">
        <w:rPr>
          <w:rFonts w:cs="Calibri"/>
          <w:szCs w:val="18"/>
          <w:highlight w:val="yellow"/>
        </w:rPr>
        <w:t>Appendix B</w:t>
      </w:r>
      <w:commentRangeEnd w:id="22"/>
      <w:r w:rsidR="001C625A">
        <w:rPr>
          <w:rStyle w:val="CommentReference"/>
        </w:rPr>
        <w:commentReference w:id="22"/>
      </w:r>
      <w:r>
        <w:t>,</w:t>
      </w:r>
      <w:r>
        <w:rPr>
          <w:rFonts w:cs="Calibri"/>
          <w:szCs w:val="18"/>
        </w:rPr>
        <w:t xml:space="preserve"> the process moved </w:t>
      </w:r>
      <w:r w:rsidRPr="00F16DE2">
        <w:rPr>
          <w:rFonts w:cs="Calibri"/>
          <w:szCs w:val="18"/>
        </w:rPr>
        <w:t>through the following steps</w:t>
      </w:r>
      <w:r>
        <w:rPr>
          <w:rFonts w:cs="Calibri"/>
          <w:szCs w:val="18"/>
        </w:rPr>
        <w:t>, giving particular attention to:</w:t>
      </w:r>
    </w:p>
    <w:p w14:paraId="432EB72C" w14:textId="363AB87A" w:rsidR="00AA3807" w:rsidRPr="00EC7675" w:rsidRDefault="00AA3807" w:rsidP="00B86A97">
      <w:pPr>
        <w:pStyle w:val="ListParagraph"/>
        <w:numPr>
          <w:ilvl w:val="0"/>
          <w:numId w:val="34"/>
        </w:numPr>
        <w:spacing w:before="180" w:line="264" w:lineRule="auto"/>
        <w:ind w:left="714" w:hanging="357"/>
        <w:rPr>
          <w:rFonts w:cs="Calibri"/>
        </w:rPr>
      </w:pPr>
      <w:r w:rsidRPr="00EC7675">
        <w:rPr>
          <w:rFonts w:cs="Calibri"/>
        </w:rPr>
        <w:t xml:space="preserve">Ensuring the ‘voice of the customer’, as represented in the literature, </w:t>
      </w:r>
      <w:r w:rsidR="00F26838" w:rsidRPr="00EC7675">
        <w:rPr>
          <w:rFonts w:cs="Calibri"/>
        </w:rPr>
        <w:t>directly informed how each objective was characterised</w:t>
      </w:r>
      <w:r w:rsidR="009A06E2" w:rsidRPr="00EC7675">
        <w:rPr>
          <w:rFonts w:cs="Calibri"/>
        </w:rPr>
        <w:t>.</w:t>
      </w:r>
      <w:r w:rsidRPr="00EC7675">
        <w:rPr>
          <w:rFonts w:cs="Calibri"/>
        </w:rPr>
        <w:t xml:space="preserve"> </w:t>
      </w:r>
    </w:p>
    <w:p w14:paraId="7235DB96" w14:textId="7573B4D5" w:rsidR="00AA3807" w:rsidRPr="00EC7675" w:rsidRDefault="00AA3807" w:rsidP="00B86A97">
      <w:pPr>
        <w:pStyle w:val="ListParagraph"/>
        <w:numPr>
          <w:ilvl w:val="0"/>
          <w:numId w:val="34"/>
        </w:numPr>
        <w:spacing w:before="180" w:line="264" w:lineRule="auto"/>
        <w:ind w:left="714" w:hanging="357"/>
        <w:rPr>
          <w:rFonts w:cs="Calibri"/>
        </w:rPr>
      </w:pPr>
      <w:r w:rsidRPr="00EC7675">
        <w:rPr>
          <w:rFonts w:cs="Calibri"/>
        </w:rPr>
        <w:t xml:space="preserve">Providing a </w:t>
      </w:r>
      <w:r w:rsidR="00565B6F" w:rsidRPr="00EC7675">
        <w:rPr>
          <w:rFonts w:cs="Calibri"/>
        </w:rPr>
        <w:t>range of</w:t>
      </w:r>
      <w:r w:rsidRPr="00EC7675">
        <w:rPr>
          <w:rFonts w:cs="Calibri"/>
        </w:rPr>
        <w:t xml:space="preserve"> perspectives </w:t>
      </w:r>
      <w:r w:rsidR="003823C3" w:rsidRPr="00EC7675">
        <w:rPr>
          <w:rFonts w:cs="Calibri"/>
        </w:rPr>
        <w:t xml:space="preserve">spanning a diversity of </w:t>
      </w:r>
      <w:r w:rsidR="001F475F" w:rsidRPr="00EC7675">
        <w:rPr>
          <w:rFonts w:cs="Calibri"/>
        </w:rPr>
        <w:t xml:space="preserve">policy makers and </w:t>
      </w:r>
      <w:r w:rsidRPr="00EC7675">
        <w:rPr>
          <w:rFonts w:cs="Calibri"/>
        </w:rPr>
        <w:t>customer</w:t>
      </w:r>
      <w:r w:rsidR="001F475F" w:rsidRPr="00EC7675">
        <w:rPr>
          <w:rFonts w:cs="Calibri"/>
        </w:rPr>
        <w:t xml:space="preserve"> types (residential, commercial and industrial)</w:t>
      </w:r>
      <w:r w:rsidR="009A06E2" w:rsidRPr="00EC7675">
        <w:rPr>
          <w:rFonts w:cs="Calibri"/>
        </w:rPr>
        <w:t>.</w:t>
      </w:r>
      <w:r w:rsidRPr="00EC7675">
        <w:rPr>
          <w:rFonts w:cs="Calibri"/>
        </w:rPr>
        <w:t xml:space="preserve"> </w:t>
      </w:r>
    </w:p>
    <w:p w14:paraId="17360A12" w14:textId="30AB5F97" w:rsidR="00AA3807" w:rsidRPr="00EC7675" w:rsidRDefault="00AA3807" w:rsidP="00B86A97">
      <w:pPr>
        <w:pStyle w:val="ListParagraph"/>
        <w:numPr>
          <w:ilvl w:val="0"/>
          <w:numId w:val="34"/>
        </w:numPr>
        <w:spacing w:before="180" w:line="264" w:lineRule="auto"/>
        <w:ind w:left="714" w:hanging="357"/>
        <w:rPr>
          <w:rFonts w:cs="Calibri"/>
        </w:rPr>
      </w:pPr>
      <w:r w:rsidRPr="00EC7675">
        <w:rPr>
          <w:rFonts w:cs="Calibri"/>
        </w:rPr>
        <w:t xml:space="preserve">Ensuring each objective is as distinct as possible (while </w:t>
      </w:r>
      <w:r w:rsidR="00EF6E5E" w:rsidRPr="00EC7675">
        <w:rPr>
          <w:rFonts w:cs="Calibri"/>
        </w:rPr>
        <w:t xml:space="preserve">recognising that </w:t>
      </w:r>
      <w:r w:rsidRPr="00EC7675">
        <w:rPr>
          <w:rFonts w:cs="Calibri"/>
        </w:rPr>
        <w:t xml:space="preserve">some overlap is unavoidable). </w:t>
      </w:r>
    </w:p>
    <w:p w14:paraId="62256BF7" w14:textId="5647D950" w:rsidR="000D438A" w:rsidRPr="00EC7675" w:rsidRDefault="000D438A" w:rsidP="00B86A97">
      <w:pPr>
        <w:pStyle w:val="ListParagraph"/>
        <w:numPr>
          <w:ilvl w:val="0"/>
          <w:numId w:val="34"/>
        </w:numPr>
        <w:spacing w:before="180" w:line="264" w:lineRule="auto"/>
        <w:ind w:left="714" w:hanging="357"/>
        <w:rPr>
          <w:rFonts w:cs="Calibri"/>
        </w:rPr>
      </w:pPr>
      <w:r w:rsidRPr="00EC7675">
        <w:rPr>
          <w:rFonts w:cs="Calibri"/>
        </w:rPr>
        <w:t xml:space="preserve">In seeking to fairly report the findings, no opinion is offered on the appropriateness or otherwise of the objectives, nor of their </w:t>
      </w:r>
      <w:r w:rsidR="00DC0662" w:rsidRPr="00EC7675">
        <w:rPr>
          <w:rFonts w:cs="Calibri"/>
        </w:rPr>
        <w:t>priority with reference to the other objectives</w:t>
      </w:r>
      <w:r w:rsidR="00656E88" w:rsidRPr="00EC7675">
        <w:rPr>
          <w:rFonts w:cs="Calibri"/>
        </w:rPr>
        <w:t xml:space="preserve">. </w:t>
      </w:r>
    </w:p>
    <w:p w14:paraId="392EB7AD" w14:textId="3646EA8D" w:rsidR="009A3D48" w:rsidRPr="00050A5B" w:rsidRDefault="00D4658B" w:rsidP="005738B6">
      <w:pPr>
        <w:spacing w:before="120" w:after="120" w:line="288" w:lineRule="auto"/>
        <w:rPr>
          <w:rFonts w:cs="Calibri"/>
        </w:rPr>
      </w:pPr>
      <w:r w:rsidRPr="00050A5B">
        <w:rPr>
          <w:rFonts w:cs="Calibri"/>
        </w:rPr>
        <w:t>Regarding</w:t>
      </w:r>
      <w:r w:rsidR="009608B1" w:rsidRPr="00050A5B">
        <w:rPr>
          <w:rFonts w:cs="Calibri"/>
        </w:rPr>
        <w:t xml:space="preserve"> </w:t>
      </w:r>
      <w:r w:rsidR="00395C02" w:rsidRPr="00050A5B">
        <w:rPr>
          <w:rFonts w:cs="Calibri"/>
        </w:rPr>
        <w:t xml:space="preserve">limitations in the available </w:t>
      </w:r>
      <w:r w:rsidR="009968F4" w:rsidRPr="00050A5B">
        <w:rPr>
          <w:rFonts w:cs="Calibri"/>
        </w:rPr>
        <w:t>source material</w:t>
      </w:r>
      <w:r w:rsidR="000D438A" w:rsidRPr="00050A5B">
        <w:rPr>
          <w:rFonts w:cs="Calibri"/>
        </w:rPr>
        <w:t xml:space="preserve"> and the analytic process</w:t>
      </w:r>
      <w:r w:rsidR="00BF52D3" w:rsidRPr="00050A5B">
        <w:rPr>
          <w:rFonts w:cs="Calibri"/>
        </w:rPr>
        <w:t xml:space="preserve">, the following observations are made: </w:t>
      </w:r>
    </w:p>
    <w:p w14:paraId="45929416" w14:textId="2BB136CD" w:rsidR="00BA479D" w:rsidRPr="00050A5B" w:rsidRDefault="004E08AE" w:rsidP="00B86A97">
      <w:pPr>
        <w:pStyle w:val="ListParagraph"/>
        <w:numPr>
          <w:ilvl w:val="0"/>
          <w:numId w:val="34"/>
        </w:numPr>
        <w:spacing w:before="180" w:line="264" w:lineRule="auto"/>
        <w:ind w:left="714" w:hanging="357"/>
        <w:rPr>
          <w:rFonts w:cs="Calibri"/>
        </w:rPr>
      </w:pPr>
      <w:r w:rsidRPr="00050A5B">
        <w:rPr>
          <w:rFonts w:cs="Calibri"/>
        </w:rPr>
        <w:t>T</w:t>
      </w:r>
      <w:r w:rsidR="00C07293" w:rsidRPr="00050A5B">
        <w:rPr>
          <w:rFonts w:cs="Calibri"/>
        </w:rPr>
        <w:t xml:space="preserve">here is extensive discussion in the global literature about </w:t>
      </w:r>
      <w:r w:rsidR="00497788" w:rsidRPr="00050A5B">
        <w:rPr>
          <w:rFonts w:cs="Calibri"/>
        </w:rPr>
        <w:t xml:space="preserve">both the </w:t>
      </w:r>
      <w:r w:rsidRPr="00050A5B">
        <w:rPr>
          <w:rFonts w:cs="Calibri"/>
        </w:rPr>
        <w:t>varied</w:t>
      </w:r>
      <w:r w:rsidR="00E667B8" w:rsidRPr="00050A5B">
        <w:rPr>
          <w:rFonts w:cs="Calibri"/>
        </w:rPr>
        <w:t xml:space="preserve"> </w:t>
      </w:r>
      <w:r w:rsidR="001B0D62" w:rsidRPr="00050A5B">
        <w:rPr>
          <w:rFonts w:cs="Calibri"/>
        </w:rPr>
        <w:t xml:space="preserve">technical </w:t>
      </w:r>
      <w:r w:rsidR="00497788" w:rsidRPr="00050A5B">
        <w:rPr>
          <w:rFonts w:cs="Calibri"/>
        </w:rPr>
        <w:t>options</w:t>
      </w:r>
      <w:r w:rsidR="003B60D2" w:rsidRPr="00050A5B">
        <w:rPr>
          <w:rFonts w:cs="Calibri"/>
        </w:rPr>
        <w:t xml:space="preserve"> relevant to future power systems</w:t>
      </w:r>
      <w:r w:rsidR="00EB40FF" w:rsidRPr="00050A5B">
        <w:rPr>
          <w:rFonts w:cs="Calibri"/>
        </w:rPr>
        <w:t xml:space="preserve"> and the near</w:t>
      </w:r>
      <w:r w:rsidRPr="00050A5B">
        <w:rPr>
          <w:rFonts w:cs="Calibri"/>
        </w:rPr>
        <w:t>er</w:t>
      </w:r>
      <w:r w:rsidR="00EB40FF" w:rsidRPr="00050A5B">
        <w:rPr>
          <w:rFonts w:cs="Calibri"/>
        </w:rPr>
        <w:t xml:space="preserve">-term </w:t>
      </w:r>
      <w:r w:rsidR="00306403" w:rsidRPr="00050A5B">
        <w:rPr>
          <w:rFonts w:cs="Calibri"/>
        </w:rPr>
        <w:t>expectations</w:t>
      </w:r>
      <w:r w:rsidR="00EB40FF" w:rsidRPr="00050A5B">
        <w:rPr>
          <w:rFonts w:cs="Calibri"/>
        </w:rPr>
        <w:t xml:space="preserve"> of customers and society</w:t>
      </w:r>
      <w:r w:rsidRPr="00050A5B">
        <w:rPr>
          <w:rFonts w:cs="Calibri"/>
        </w:rPr>
        <w:t xml:space="preserve">. </w:t>
      </w:r>
      <w:r w:rsidR="00DA580D" w:rsidRPr="00050A5B">
        <w:rPr>
          <w:rFonts w:cs="Calibri"/>
        </w:rPr>
        <w:t>By contrast,</w:t>
      </w:r>
      <w:r w:rsidR="0067754A" w:rsidRPr="00050A5B">
        <w:rPr>
          <w:rFonts w:cs="Calibri"/>
        </w:rPr>
        <w:t xml:space="preserve"> </w:t>
      </w:r>
      <w:r w:rsidR="00306403" w:rsidRPr="00050A5B">
        <w:rPr>
          <w:rFonts w:cs="Calibri"/>
        </w:rPr>
        <w:t xml:space="preserve">the </w:t>
      </w:r>
      <w:r w:rsidR="001D417F" w:rsidRPr="00050A5B">
        <w:rPr>
          <w:rFonts w:cs="Calibri"/>
        </w:rPr>
        <w:t>availability</w:t>
      </w:r>
      <w:r w:rsidR="00306403" w:rsidRPr="00050A5B">
        <w:rPr>
          <w:rFonts w:cs="Calibri"/>
        </w:rPr>
        <w:t xml:space="preserve"> of sources that </w:t>
      </w:r>
      <w:r w:rsidR="001D417F" w:rsidRPr="00050A5B">
        <w:rPr>
          <w:rFonts w:cs="Calibri"/>
        </w:rPr>
        <w:t xml:space="preserve">explicitly </w:t>
      </w:r>
      <w:r w:rsidRPr="00050A5B">
        <w:rPr>
          <w:rFonts w:cs="Calibri"/>
        </w:rPr>
        <w:t>explore f</w:t>
      </w:r>
      <w:r w:rsidR="009F124B" w:rsidRPr="00050A5B">
        <w:rPr>
          <w:rFonts w:cs="Calibri"/>
        </w:rPr>
        <w:t xml:space="preserve">uture customer and societal objectives </w:t>
      </w:r>
      <w:r w:rsidRPr="00050A5B">
        <w:rPr>
          <w:rFonts w:cs="Calibri"/>
        </w:rPr>
        <w:t>for the power system</w:t>
      </w:r>
      <w:r w:rsidR="009F124B" w:rsidRPr="00050A5B">
        <w:rPr>
          <w:rFonts w:cs="Calibri"/>
        </w:rPr>
        <w:t xml:space="preserve"> is limited</w:t>
      </w:r>
      <w:r w:rsidR="009A06E2" w:rsidRPr="00050A5B">
        <w:rPr>
          <w:rFonts w:cs="Calibri"/>
        </w:rPr>
        <w:t xml:space="preserve">. </w:t>
      </w:r>
    </w:p>
    <w:p w14:paraId="5E71A76B" w14:textId="525B92CE" w:rsidR="000864F2" w:rsidRPr="00D46AEE" w:rsidRDefault="00BA479D" w:rsidP="00B86A97">
      <w:pPr>
        <w:pStyle w:val="ListParagraph"/>
        <w:numPr>
          <w:ilvl w:val="0"/>
          <w:numId w:val="34"/>
        </w:numPr>
        <w:spacing w:before="180" w:line="264" w:lineRule="auto"/>
        <w:ind w:left="714" w:hanging="357"/>
        <w:rPr>
          <w:rFonts w:cs="Calibri"/>
        </w:rPr>
      </w:pPr>
      <w:r w:rsidRPr="00050A5B">
        <w:rPr>
          <w:rFonts w:cs="Calibri"/>
        </w:rPr>
        <w:t>Noting the above point</w:t>
      </w:r>
      <w:r w:rsidR="00115797" w:rsidRPr="00050A5B">
        <w:rPr>
          <w:rFonts w:cs="Calibri"/>
        </w:rPr>
        <w:t>, h</w:t>
      </w:r>
      <w:r w:rsidR="00E90EDF" w:rsidRPr="00050A5B">
        <w:rPr>
          <w:rFonts w:cs="Calibri"/>
        </w:rPr>
        <w:t xml:space="preserve">aving selected the material </w:t>
      </w:r>
      <w:r w:rsidR="00C9018B" w:rsidRPr="00050A5B">
        <w:rPr>
          <w:rFonts w:cs="Calibri"/>
        </w:rPr>
        <w:t xml:space="preserve">that was </w:t>
      </w:r>
      <w:r w:rsidR="00E90EDF" w:rsidRPr="00050A5B">
        <w:rPr>
          <w:rFonts w:cs="Calibri"/>
        </w:rPr>
        <w:t>of greatest relevance</w:t>
      </w:r>
      <w:r w:rsidR="00C9018B" w:rsidRPr="00050A5B">
        <w:rPr>
          <w:rFonts w:cs="Calibri"/>
        </w:rPr>
        <w:t xml:space="preserve"> to the topic</w:t>
      </w:r>
      <w:r w:rsidR="00E90EDF" w:rsidRPr="00050A5B">
        <w:rPr>
          <w:rFonts w:cs="Calibri"/>
        </w:rPr>
        <w:t xml:space="preserve">, the </w:t>
      </w:r>
      <w:r w:rsidR="009A06E2" w:rsidRPr="00050A5B">
        <w:rPr>
          <w:rFonts w:cs="Calibri"/>
        </w:rPr>
        <w:t>development process</w:t>
      </w:r>
      <w:r w:rsidR="00115797" w:rsidRPr="00050A5B">
        <w:rPr>
          <w:rFonts w:cs="Calibri"/>
        </w:rPr>
        <w:t xml:space="preserve"> </w:t>
      </w:r>
      <w:r w:rsidRPr="00050A5B">
        <w:rPr>
          <w:rFonts w:cs="Calibri"/>
        </w:rPr>
        <w:t>required</w:t>
      </w:r>
      <w:r w:rsidR="00115797" w:rsidRPr="00050A5B">
        <w:rPr>
          <w:rFonts w:cs="Calibri"/>
        </w:rPr>
        <w:t xml:space="preserve"> a significant level of inferential reasoning </w:t>
      </w:r>
      <w:r w:rsidR="002E0E85" w:rsidRPr="00050A5B">
        <w:rPr>
          <w:rFonts w:cs="Calibri"/>
        </w:rPr>
        <w:t xml:space="preserve">to </w:t>
      </w:r>
      <w:r w:rsidR="008E40CB" w:rsidRPr="00050A5B">
        <w:rPr>
          <w:rFonts w:cs="Calibri"/>
        </w:rPr>
        <w:t>d</w:t>
      </w:r>
      <w:r w:rsidR="00A86659" w:rsidRPr="00050A5B">
        <w:rPr>
          <w:rFonts w:cs="Calibri"/>
        </w:rPr>
        <w:t>erive</w:t>
      </w:r>
      <w:r w:rsidR="008E40CB" w:rsidRPr="00050A5B">
        <w:rPr>
          <w:rFonts w:cs="Calibri"/>
        </w:rPr>
        <w:t xml:space="preserve"> </w:t>
      </w:r>
      <w:r w:rsidR="007E0DB3" w:rsidRPr="00050A5B">
        <w:rPr>
          <w:rFonts w:cs="Calibri"/>
        </w:rPr>
        <w:t xml:space="preserve">future-oriented implications </w:t>
      </w:r>
      <w:r w:rsidR="00AC01DA" w:rsidRPr="00050A5B">
        <w:rPr>
          <w:rFonts w:cs="Calibri"/>
        </w:rPr>
        <w:t xml:space="preserve">relevant to customer and societal objectives. </w:t>
      </w:r>
    </w:p>
    <w:p w14:paraId="1E5DA122" w14:textId="7D8FDE81" w:rsidR="000D438A" w:rsidRPr="00050A5B" w:rsidRDefault="000D438A" w:rsidP="00B86A97">
      <w:pPr>
        <w:pStyle w:val="ListParagraph"/>
        <w:numPr>
          <w:ilvl w:val="0"/>
          <w:numId w:val="34"/>
        </w:numPr>
        <w:spacing w:before="180" w:line="264" w:lineRule="auto"/>
        <w:ind w:left="714" w:hanging="357"/>
        <w:rPr>
          <w:rFonts w:cs="Calibri"/>
        </w:rPr>
      </w:pPr>
      <w:r w:rsidRPr="00050A5B">
        <w:rPr>
          <w:rFonts w:cs="Calibri"/>
        </w:rPr>
        <w:t xml:space="preserve">In addition, there was a comparative scarcity of discussion on first order qualities such as the safe, secure, adequate, reliable, and resilient supply of electricity. This may best be explained by the fact that they are considered intrinsic to power system operations and therefore assumed as a given in any future power system. </w:t>
      </w:r>
    </w:p>
    <w:p w14:paraId="75093433" w14:textId="125826E6" w:rsidR="0078449E" w:rsidRPr="00050A5B" w:rsidRDefault="00656E88" w:rsidP="00B86A97">
      <w:pPr>
        <w:pStyle w:val="ListParagraph"/>
        <w:numPr>
          <w:ilvl w:val="0"/>
          <w:numId w:val="34"/>
        </w:numPr>
        <w:spacing w:before="180" w:line="264" w:lineRule="auto"/>
        <w:ind w:left="714" w:hanging="357"/>
        <w:rPr>
          <w:rFonts w:cs="Calibri"/>
        </w:rPr>
      </w:pPr>
      <w:r w:rsidRPr="00050A5B">
        <w:rPr>
          <w:rFonts w:cs="Calibri"/>
        </w:rPr>
        <w:t>T</w:t>
      </w:r>
      <w:r w:rsidR="00EF6E5E" w:rsidRPr="00050A5B">
        <w:rPr>
          <w:rFonts w:cs="Calibri"/>
        </w:rPr>
        <w:t xml:space="preserve">he eight </w:t>
      </w:r>
      <w:r w:rsidRPr="00050A5B">
        <w:rPr>
          <w:rFonts w:cs="Calibri"/>
        </w:rPr>
        <w:t>objectives</w:t>
      </w:r>
      <w:r w:rsidR="00EF6E5E" w:rsidRPr="00050A5B">
        <w:rPr>
          <w:rFonts w:cs="Calibri"/>
        </w:rPr>
        <w:t xml:space="preserve"> identified are not proposed as either exhaustive or equally relevant in every location. </w:t>
      </w:r>
    </w:p>
    <w:p w14:paraId="6BE15D6A" w14:textId="3144AD21" w:rsidR="009F4041" w:rsidRPr="00050A5B" w:rsidRDefault="009F4041" w:rsidP="005738B6">
      <w:pPr>
        <w:spacing w:before="120" w:after="120" w:line="288" w:lineRule="auto"/>
        <w:rPr>
          <w:rFonts w:cs="Calibri"/>
        </w:rPr>
      </w:pPr>
      <w:r w:rsidRPr="00050A5B">
        <w:rPr>
          <w:rFonts w:cs="Calibri"/>
        </w:rPr>
        <w:t xml:space="preserve">In summary, while further work will be required, the report findings </w:t>
      </w:r>
      <w:r w:rsidR="00D04F8F" w:rsidRPr="00050A5B">
        <w:rPr>
          <w:rFonts w:cs="Calibri"/>
        </w:rPr>
        <w:t>illustrate</w:t>
      </w:r>
      <w:r w:rsidRPr="00050A5B">
        <w:rPr>
          <w:rFonts w:cs="Calibri"/>
        </w:rPr>
        <w:t xml:space="preserve"> how our collective relationship with, and increasingly diverse expectations of, electric power systems are </w:t>
      </w:r>
      <w:r w:rsidR="00D04F8F" w:rsidRPr="00050A5B">
        <w:rPr>
          <w:rFonts w:cs="Calibri"/>
        </w:rPr>
        <w:t xml:space="preserve">transforming </w:t>
      </w:r>
      <w:r w:rsidRPr="00050A5B">
        <w:rPr>
          <w:rFonts w:cs="Calibri"/>
        </w:rPr>
        <w:t xml:space="preserve">fundamentally. </w:t>
      </w:r>
      <w:r w:rsidR="000C005F" w:rsidRPr="00050A5B">
        <w:rPr>
          <w:rFonts w:cs="Calibri"/>
        </w:rPr>
        <w:t>The design of our future power systems will require c</w:t>
      </w:r>
      <w:r w:rsidRPr="00050A5B">
        <w:rPr>
          <w:rFonts w:cs="Calibri"/>
        </w:rPr>
        <w:t xml:space="preserve">ollaborative engagements and careful trade-off choices to sustain trust, </w:t>
      </w:r>
      <w:r w:rsidR="008D50AB" w:rsidRPr="00050A5B">
        <w:rPr>
          <w:rFonts w:cs="Calibri"/>
        </w:rPr>
        <w:t xml:space="preserve">foster social licence, </w:t>
      </w:r>
      <w:r w:rsidRPr="00050A5B">
        <w:rPr>
          <w:rFonts w:cs="Calibri"/>
        </w:rPr>
        <w:t>mitigate the risk of stranded investments</w:t>
      </w:r>
      <w:r w:rsidR="00DC4C49" w:rsidRPr="00050A5B">
        <w:rPr>
          <w:rFonts w:cs="Calibri"/>
        </w:rPr>
        <w:t xml:space="preserve"> and deliver the benefits customers and society need</w:t>
      </w:r>
      <w:r w:rsidR="002862FE" w:rsidRPr="00050A5B">
        <w:rPr>
          <w:rFonts w:cs="Calibri"/>
        </w:rPr>
        <w:t>.</w:t>
      </w:r>
    </w:p>
    <w:p w14:paraId="788B52F8" w14:textId="19FC0444" w:rsidR="001F08C6" w:rsidRPr="00050A5B" w:rsidRDefault="008E5071" w:rsidP="008E5071">
      <w:pPr>
        <w:keepNext/>
        <w:jc w:val="center"/>
      </w:pPr>
      <w:r w:rsidRPr="008E5071">
        <w:rPr>
          <w:noProof/>
        </w:rPr>
        <w:drawing>
          <wp:inline distT="0" distB="0" distL="0" distR="0" wp14:anchorId="31C40944" wp14:editId="13221185">
            <wp:extent cx="4705350" cy="4705350"/>
            <wp:effectExtent l="0" t="0" r="0" b="0"/>
            <wp:docPr id="120045506" name="Picture 15" descr="A diagram of a customer and social objecti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5506" name="Picture 15" descr="A diagram of a customer and social objectiv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inline>
        </w:drawing>
      </w:r>
    </w:p>
    <w:p w14:paraId="57D2C25C" w14:textId="22733FEB" w:rsidR="00F46742" w:rsidRPr="00050A5B" w:rsidRDefault="00C20035" w:rsidP="00454CC9">
      <w:pPr>
        <w:pStyle w:val="Caption"/>
        <w:spacing w:before="120" w:after="0"/>
        <w:rPr>
          <w:lang w:eastAsia="en-US" w:bidi="ar-SA"/>
        </w:rPr>
      </w:pPr>
      <w:bookmarkStart w:id="24" w:name="Figure_2"/>
      <w:bookmarkStart w:id="25" w:name="_Toc204156265"/>
      <w:r>
        <w:t xml:space="preserve">Figure </w:t>
      </w:r>
      <w:fldSimple w:instr=" SEQ Figure \* ARABIC ">
        <w:r w:rsidR="00B170DF">
          <w:rPr>
            <w:noProof/>
          </w:rPr>
          <w:t>3</w:t>
        </w:r>
      </w:fldSimple>
      <w:r>
        <w:t xml:space="preserve">: </w:t>
      </w:r>
      <w:bookmarkEnd w:id="24"/>
      <w:r w:rsidR="00316BA2">
        <w:t>The study identified e</w:t>
      </w:r>
      <w:r w:rsidR="00F46742" w:rsidRPr="00050A5B">
        <w:t>ight customer and societal objective</w:t>
      </w:r>
      <w:r w:rsidR="00316BA2">
        <w:t xml:space="preserve">s </w:t>
      </w:r>
      <w:r w:rsidR="00F46742" w:rsidRPr="00050A5B">
        <w:t>for future power systems</w:t>
      </w:r>
      <w:r>
        <w:t>.</w:t>
      </w:r>
      <w:bookmarkEnd w:id="25"/>
    </w:p>
    <w:p w14:paraId="0233BBAD" w14:textId="5967E6AE" w:rsidR="00CA670C" w:rsidRPr="00CA670C" w:rsidRDefault="00FE0EA0" w:rsidP="00FE0EA0">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26" w:name="S_2_4_Inh_Lim_Constraints"/>
      <w:bookmarkStart w:id="27" w:name="_Toc205536751"/>
      <w:r>
        <w:rPr>
          <w:rFonts w:ascii="PP Mori SemiBold" w:eastAsiaTheme="majorEastAsia" w:hAnsi="PP Mori SemiBold" w:cstheme="majorBidi"/>
          <w:color w:val="002C38" w:themeColor="accent1" w:themeShade="BF"/>
          <w:sz w:val="26"/>
          <w:szCs w:val="33"/>
          <w:lang w:val="en-US" w:eastAsia="en-US" w:bidi="ar-SA"/>
        </w:rPr>
        <w:t>2.3</w:t>
      </w:r>
      <w:r>
        <w:rPr>
          <w:rFonts w:ascii="PP Mori SemiBold" w:eastAsiaTheme="majorEastAsia" w:hAnsi="PP Mori SemiBold" w:cstheme="majorBidi"/>
          <w:color w:val="002C38" w:themeColor="accent1" w:themeShade="BF"/>
          <w:sz w:val="26"/>
          <w:szCs w:val="33"/>
          <w:lang w:val="en-US" w:eastAsia="en-US" w:bidi="ar-SA"/>
        </w:rPr>
        <w:tab/>
      </w:r>
      <w:r w:rsidR="00CA670C" w:rsidRPr="00CA670C">
        <w:rPr>
          <w:rFonts w:ascii="PP Mori SemiBold" w:eastAsiaTheme="majorEastAsia" w:hAnsi="PP Mori SemiBold" w:cstheme="majorBidi"/>
          <w:color w:val="002C38" w:themeColor="accent1" w:themeShade="BF"/>
          <w:sz w:val="26"/>
          <w:szCs w:val="33"/>
          <w:lang w:val="en-US" w:eastAsia="en-US" w:bidi="ar-SA"/>
        </w:rPr>
        <w:t>Inherent Limitations &amp; Constraints</w:t>
      </w:r>
      <w:bookmarkEnd w:id="26"/>
      <w:bookmarkEnd w:id="27"/>
    </w:p>
    <w:p w14:paraId="15B37ADF" w14:textId="77777777" w:rsidR="00CA670C" w:rsidRPr="00CA670C" w:rsidRDefault="00CA670C" w:rsidP="00CA670C">
      <w:pPr>
        <w:spacing w:after="120"/>
      </w:pPr>
      <w:r w:rsidRPr="00CA670C">
        <w:t xml:space="preserve">Given the wide-ranging nature of the reference set, the following points highlight limitations that are inherent to any such analysis.  They should therefore be noted in the interpretation and application of this report subject to the formal disclaimers provided above. </w:t>
      </w:r>
    </w:p>
    <w:p w14:paraId="217D7822" w14:textId="77777777" w:rsidR="00CA670C" w:rsidRPr="00CA670C" w:rsidRDefault="00CA670C" w:rsidP="00CA670C">
      <w:pPr>
        <w:numPr>
          <w:ilvl w:val="0"/>
          <w:numId w:val="39"/>
        </w:numPr>
        <w:spacing w:before="120" w:after="120"/>
      </w:pPr>
      <w:r w:rsidRPr="00CA670C">
        <w:t xml:space="preserve">The five reports have been developed as an integrated reference set which, by definition, covers an extremely wide range of complex topics.  This necessarily </w:t>
      </w:r>
      <w:r w:rsidRPr="00CA670C">
        <w:rPr>
          <w:rFonts w:cs="Calibri"/>
          <w:szCs w:val="18"/>
        </w:rPr>
        <w:t>means that none of these topics have been treated exhaustively.</w:t>
      </w:r>
    </w:p>
    <w:p w14:paraId="657686E4" w14:textId="77777777" w:rsidR="00CA670C" w:rsidRPr="00CA670C" w:rsidRDefault="00CA670C" w:rsidP="00CA670C">
      <w:pPr>
        <w:numPr>
          <w:ilvl w:val="0"/>
          <w:numId w:val="39"/>
        </w:numPr>
        <w:spacing w:before="120" w:after="120"/>
      </w:pPr>
      <w:r w:rsidRPr="00CA670C">
        <w:t xml:space="preserve">As a reference set, it is anticipated that most readers will refer to </w:t>
      </w:r>
      <w:proofErr w:type="gramStart"/>
      <w:r w:rsidRPr="00CA670C">
        <w:t>particular content</w:t>
      </w:r>
      <w:proofErr w:type="gramEnd"/>
      <w:r w:rsidRPr="00CA670C">
        <w:t xml:space="preserve"> on an ‘as needs’ basis.  Therefore, each of the five reports is designed to stand alone which has required some repetition of key unifying themes and concepts. </w:t>
      </w:r>
    </w:p>
    <w:p w14:paraId="2F97533A" w14:textId="77777777" w:rsidR="00FE0EA0" w:rsidRDefault="00FE0EA0">
      <w:pPr>
        <w:spacing w:before="0" w:after="160" w:line="259" w:lineRule="auto"/>
        <w:rPr>
          <w:rFonts w:cs="Calibri"/>
          <w:szCs w:val="18"/>
          <w:highlight w:val="yellow"/>
        </w:rPr>
      </w:pPr>
      <w:r>
        <w:rPr>
          <w:rFonts w:cs="Calibri"/>
          <w:szCs w:val="18"/>
          <w:highlight w:val="yellow"/>
        </w:rPr>
        <w:br w:type="page"/>
      </w:r>
    </w:p>
    <w:p w14:paraId="7AAFD376" w14:textId="4F66A366"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The reference set focuses on several emerging areas of consideration and is designed to assist navigation of the ‘emerging future’ over the next decade and beyond.  It is therefore a consolidation of the development team’s understanding at the time of publishing and will likely benefit from a comprehensive update on at least a bi-annual basis. </w:t>
      </w:r>
    </w:p>
    <w:p w14:paraId="4650607C" w14:textId="77777777"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While a range of tools and models are employed as a basis for reasoning about how the power system and its wider societal context may evolve, it is recognised that reality is far more complex than any model or archetype can ultimately represent. </w:t>
      </w:r>
    </w:p>
    <w:p w14:paraId="14925063" w14:textId="77777777"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Recognising the inherent complexity of the topics explored, the diversity of perspectives and terminology, and the many thousands of pages of global content that is </w:t>
      </w:r>
      <w:proofErr w:type="gramStart"/>
      <w:r w:rsidRPr="00CA670C">
        <w:rPr>
          <w:rFonts w:cs="Calibri"/>
          <w:szCs w:val="18"/>
        </w:rPr>
        <w:t>more or less relevant</w:t>
      </w:r>
      <w:proofErr w:type="gramEnd"/>
      <w:r w:rsidRPr="00CA670C">
        <w:rPr>
          <w:rFonts w:cs="Calibri"/>
          <w:szCs w:val="18"/>
        </w:rPr>
        <w:t xml:space="preserve">, the following points should be noted: </w:t>
      </w:r>
    </w:p>
    <w:p w14:paraId="4C22A98D" w14:textId="77777777" w:rsidR="00CA670C" w:rsidRPr="00CA670C" w:rsidRDefault="00CA670C" w:rsidP="00CA670C">
      <w:pPr>
        <w:numPr>
          <w:ilvl w:val="1"/>
          <w:numId w:val="39"/>
        </w:numPr>
        <w:spacing w:before="120" w:after="120" w:line="288" w:lineRule="auto"/>
        <w:rPr>
          <w:rFonts w:cs="Calibri"/>
          <w:szCs w:val="18"/>
        </w:rPr>
      </w:pPr>
      <w:r w:rsidRPr="00CA670C">
        <w:rPr>
          <w:rFonts w:cs="Calibri"/>
          <w:szCs w:val="18"/>
        </w:rPr>
        <w:t xml:space="preserve">The reference set is inherently explorative and spans numerous overlapping topics and developments, many of which are yet to mature to a point of industry consensus, either in Australia or globally. </w:t>
      </w:r>
    </w:p>
    <w:p w14:paraId="68CF59EA" w14:textId="77777777" w:rsidR="00CA670C" w:rsidRPr="00CA670C" w:rsidRDefault="00CA670C" w:rsidP="00CA670C">
      <w:pPr>
        <w:numPr>
          <w:ilvl w:val="1"/>
          <w:numId w:val="39"/>
        </w:numPr>
        <w:spacing w:before="120" w:after="120" w:line="288" w:lineRule="auto"/>
        <w:rPr>
          <w:rFonts w:cs="Calibri"/>
          <w:szCs w:val="18"/>
        </w:rPr>
      </w:pPr>
      <w:r w:rsidRPr="00CA670C">
        <w:rPr>
          <w:rFonts w:cs="Calibri"/>
          <w:szCs w:val="18"/>
        </w:rPr>
        <w:t xml:space="preserve">Therefore, it is inevitable, expected and healthy that different readers will draw different conclusions on some or several of the topics addressed. </w:t>
      </w:r>
    </w:p>
    <w:p w14:paraId="75B96216" w14:textId="77777777" w:rsidR="00CA670C" w:rsidRPr="00CA670C" w:rsidRDefault="00CA670C" w:rsidP="00CA670C">
      <w:pPr>
        <w:numPr>
          <w:ilvl w:val="1"/>
          <w:numId w:val="39"/>
        </w:numPr>
        <w:spacing w:before="120" w:after="120" w:line="288" w:lineRule="auto"/>
        <w:rPr>
          <w:rFonts w:cs="Calibri"/>
          <w:szCs w:val="18"/>
        </w:rPr>
      </w:pPr>
      <w:proofErr w:type="gramStart"/>
      <w:r w:rsidRPr="00CA670C">
        <w:rPr>
          <w:rFonts w:eastAsia="Times New Roman"/>
        </w:rPr>
        <w:t>Particular content</w:t>
      </w:r>
      <w:proofErr w:type="gramEnd"/>
      <w:r w:rsidRPr="00CA670C">
        <w:rPr>
          <w:rFonts w:eastAsia="Times New Roman"/>
        </w:rPr>
        <w:t xml:space="preserve"> will mean more to some system actors and/or those with </w:t>
      </w:r>
      <w:proofErr w:type="gramStart"/>
      <w:r w:rsidRPr="00CA670C">
        <w:rPr>
          <w:rFonts w:eastAsia="Times New Roman"/>
        </w:rPr>
        <w:t>particular discipline</w:t>
      </w:r>
      <w:proofErr w:type="gramEnd"/>
      <w:r w:rsidRPr="00CA670C">
        <w:rPr>
          <w:rFonts w:eastAsia="Times New Roman"/>
        </w:rPr>
        <w:t xml:space="preserve"> expertise than others.  The standpoint of the reader and the time horizon they are primarily focused on will likely influence how the desirability or otherwise of </w:t>
      </w:r>
      <w:proofErr w:type="gramStart"/>
      <w:r w:rsidRPr="00CA670C">
        <w:rPr>
          <w:rFonts w:eastAsia="Times New Roman"/>
        </w:rPr>
        <w:t>particular content</w:t>
      </w:r>
      <w:proofErr w:type="gramEnd"/>
      <w:r w:rsidRPr="00CA670C">
        <w:rPr>
          <w:rFonts w:eastAsia="Times New Roman"/>
        </w:rPr>
        <w:t xml:space="preserve"> is evaluated. </w:t>
      </w:r>
    </w:p>
    <w:p w14:paraId="63F4DE66" w14:textId="77777777" w:rsidR="00CA670C" w:rsidRPr="00CA670C" w:rsidRDefault="00CA670C" w:rsidP="00CA670C">
      <w:pPr>
        <w:numPr>
          <w:ilvl w:val="1"/>
          <w:numId w:val="39"/>
        </w:numPr>
        <w:spacing w:before="120" w:after="120" w:line="288" w:lineRule="auto"/>
        <w:rPr>
          <w:rFonts w:cs="Calibri"/>
          <w:szCs w:val="18"/>
        </w:rPr>
      </w:pPr>
      <w:r w:rsidRPr="00CA670C">
        <w:rPr>
          <w:rFonts w:eastAsia="Times New Roman"/>
        </w:rPr>
        <w:t xml:space="preserve">Accurately predicting the future and/or foreseeing all eventualities is impossible.  Therefore, it is anticipated that some of the content contained in this reference set will prove to be incorrect.  For that reason, stakeholder feedback is strongly encouraged and a formal mechanism to do so is provided below. </w:t>
      </w:r>
    </w:p>
    <w:p w14:paraId="4404EB5C" w14:textId="77777777" w:rsidR="00CA670C" w:rsidRPr="00CA670C" w:rsidRDefault="00CA670C" w:rsidP="00CA670C">
      <w:pPr>
        <w:numPr>
          <w:ilvl w:val="1"/>
          <w:numId w:val="39"/>
        </w:numPr>
        <w:spacing w:before="120" w:after="120" w:line="288" w:lineRule="auto"/>
        <w:rPr>
          <w:rFonts w:cs="Calibri"/>
          <w:szCs w:val="18"/>
        </w:rPr>
      </w:pPr>
      <w:r w:rsidRPr="00CA670C">
        <w:rPr>
          <w:szCs w:val="18"/>
        </w:rPr>
        <w:t>In summary, the information contained in the reference set comprises general statements based on research.  No claim to represent the official policy of CSIRO, AEMO or any other third party is made.</w:t>
      </w:r>
    </w:p>
    <w:p w14:paraId="0BC60F60" w14:textId="77777777"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Finally, while each of the five reports are designed to stand alone, they are best employed as an integrated set of reference material. Reports 3, 4 &amp; 5 </w:t>
      </w:r>
      <w:proofErr w:type="gramStart"/>
      <w:r w:rsidRPr="00CA670C">
        <w:rPr>
          <w:rFonts w:cs="Calibri"/>
          <w:szCs w:val="18"/>
        </w:rPr>
        <w:t>in particular should</w:t>
      </w:r>
      <w:proofErr w:type="gramEnd"/>
      <w:r w:rsidRPr="00CA670C">
        <w:rPr>
          <w:rFonts w:cs="Calibri"/>
          <w:szCs w:val="18"/>
        </w:rPr>
        <w:t xml:space="preserve"> be read with reference to each other. </w:t>
      </w:r>
    </w:p>
    <w:p w14:paraId="48489F61" w14:textId="25686268" w:rsidR="00CA670C" w:rsidRPr="00CA670C" w:rsidRDefault="00CA670C" w:rsidP="00CA670C">
      <w:pPr>
        <w:keepNext/>
        <w:keepLines/>
        <w:numPr>
          <w:ilvl w:val="1"/>
          <w:numId w:val="0"/>
        </w:numPr>
        <w:spacing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28" w:name="_Toc205357949"/>
      <w:bookmarkStart w:id="29" w:name="_Toc205536752"/>
      <w:r w:rsidRPr="00CA670C">
        <w:rPr>
          <w:rFonts w:ascii="PP Mori SemiBold" w:eastAsiaTheme="majorEastAsia" w:hAnsi="PP Mori SemiBold" w:cstheme="majorBidi"/>
          <w:color w:val="002C38" w:themeColor="accent1" w:themeShade="BF"/>
          <w:sz w:val="26"/>
          <w:szCs w:val="33"/>
          <w:lang w:val="en-US" w:eastAsia="en-US" w:bidi="ar-SA"/>
        </w:rPr>
        <w:t>2.</w:t>
      </w:r>
      <w:r w:rsidR="00FE0EA0">
        <w:rPr>
          <w:rFonts w:ascii="PP Mori SemiBold" w:eastAsiaTheme="majorEastAsia" w:hAnsi="PP Mori SemiBold" w:cstheme="majorBidi"/>
          <w:color w:val="002C38" w:themeColor="accent1" w:themeShade="BF"/>
          <w:sz w:val="26"/>
          <w:szCs w:val="33"/>
          <w:lang w:val="en-US" w:eastAsia="en-US" w:bidi="ar-SA"/>
        </w:rPr>
        <w:t>4</w:t>
      </w:r>
      <w:r w:rsidRPr="00CA670C">
        <w:rPr>
          <w:rFonts w:ascii="PP Mori SemiBold" w:eastAsiaTheme="majorEastAsia" w:hAnsi="PP Mori SemiBold" w:cstheme="majorBidi"/>
          <w:color w:val="002C38" w:themeColor="accent1" w:themeShade="BF"/>
          <w:sz w:val="26"/>
          <w:szCs w:val="33"/>
          <w:lang w:val="en-US" w:eastAsia="en-US" w:bidi="ar-SA"/>
        </w:rPr>
        <w:tab/>
        <w:t>Accessing the Reference Set &amp; Providing Feedback</w:t>
      </w:r>
      <w:bookmarkEnd w:id="28"/>
      <w:bookmarkEnd w:id="29"/>
      <w:r w:rsidRPr="00CA670C">
        <w:rPr>
          <w:rFonts w:ascii="PP Mori SemiBold" w:eastAsiaTheme="majorEastAsia" w:hAnsi="PP Mori SemiBold" w:cstheme="majorBidi"/>
          <w:color w:val="002C38" w:themeColor="accent1" w:themeShade="BF"/>
          <w:sz w:val="26"/>
          <w:szCs w:val="33"/>
          <w:lang w:val="en-US" w:eastAsia="en-US" w:bidi="ar-SA"/>
        </w:rPr>
        <w:t xml:space="preserve"> </w:t>
      </w:r>
    </w:p>
    <w:p w14:paraId="25172D59" w14:textId="77777777" w:rsidR="00CA670C" w:rsidRPr="00CA670C" w:rsidRDefault="00CA670C" w:rsidP="00CA670C">
      <w:pPr>
        <w:snapToGrid w:val="0"/>
        <w:spacing w:before="180" w:after="120" w:line="264" w:lineRule="auto"/>
        <w:rPr>
          <w:rFonts w:cs="Calibri"/>
          <w:szCs w:val="18"/>
        </w:rPr>
      </w:pPr>
      <w:r w:rsidRPr="00CA670C">
        <w:rPr>
          <w:rFonts w:cs="Calibri"/>
          <w:szCs w:val="18"/>
        </w:rPr>
        <w:t xml:space="preserve">The Energy Catalyst team deeply values excellence and humility.  We believe that true leaders in times of transformational change do not overestimate their own knowledge.  On the contrary, they foster and contribute to an ecosystem of diverse perspectives which enables shared understanding and mutual progress – even where differences remain. </w:t>
      </w:r>
    </w:p>
    <w:p w14:paraId="3944F5D1" w14:textId="77777777" w:rsidR="00FE0EA0" w:rsidRDefault="00FE0EA0">
      <w:pPr>
        <w:spacing w:before="0" w:after="160" w:line="259" w:lineRule="auto"/>
        <w:rPr>
          <w:rFonts w:cs="Calibri"/>
          <w:szCs w:val="18"/>
        </w:rPr>
      </w:pPr>
      <w:r>
        <w:rPr>
          <w:rFonts w:cs="Calibri"/>
          <w:szCs w:val="18"/>
        </w:rPr>
        <w:br w:type="page"/>
      </w:r>
    </w:p>
    <w:p w14:paraId="05337266" w14:textId="30940307" w:rsidR="00CA670C" w:rsidRPr="00CA670C" w:rsidRDefault="00CA670C" w:rsidP="00CA670C">
      <w:pPr>
        <w:snapToGrid w:val="0"/>
        <w:spacing w:before="180" w:after="120" w:line="264" w:lineRule="auto"/>
        <w:rPr>
          <w:rFonts w:eastAsia="Times New Roman"/>
        </w:rPr>
      </w:pPr>
      <w:r w:rsidRPr="00CA670C">
        <w:rPr>
          <w:rFonts w:cs="Calibri"/>
          <w:szCs w:val="18"/>
        </w:rPr>
        <w:t>This reference set is developed from a perspective that values exploration, discovery and convergence based on shared learning.  Others will have important insights that the development team has not considered, and we would like to hear them.  As noted earlier, as realists we also anticipate that some o</w:t>
      </w:r>
      <w:r w:rsidRPr="00CA670C">
        <w:rPr>
          <w:rFonts w:eastAsia="Times New Roman"/>
        </w:rPr>
        <w:t xml:space="preserve">f the content contained will ultimately prove to be incorrect.  </w:t>
      </w:r>
    </w:p>
    <w:p w14:paraId="21B855F9" w14:textId="77777777" w:rsidR="00CA670C" w:rsidRPr="00CA670C" w:rsidRDefault="00CA670C" w:rsidP="00CA670C">
      <w:pPr>
        <w:snapToGrid w:val="0"/>
        <w:spacing w:before="180" w:after="120" w:line="264" w:lineRule="auto"/>
      </w:pPr>
      <w:r w:rsidRPr="00CA670C">
        <w:rPr>
          <w:rFonts w:eastAsia="Times New Roman"/>
        </w:rPr>
        <w:t xml:space="preserve">The full reference set of reports is available free for download at </w:t>
      </w:r>
      <w:hyperlink r:id="rId22" w:history="1">
        <w:r w:rsidRPr="00CA670C">
          <w:rPr>
            <w:color w:val="F85C5D" w:themeColor="hyperlink"/>
            <w:u w:val="single"/>
            <w:lang w:eastAsia="en-US" w:bidi="ar-SA"/>
          </w:rPr>
          <w:t>energycatalyst.au/</w:t>
        </w:r>
        <w:proofErr w:type="spellStart"/>
        <w:r w:rsidRPr="00CA670C">
          <w:rPr>
            <w:color w:val="F85C5D" w:themeColor="hyperlink"/>
            <w:u w:val="single"/>
            <w:lang w:eastAsia="en-US" w:bidi="ar-SA"/>
          </w:rPr>
          <w:t>futuregrid</w:t>
        </w:r>
        <w:proofErr w:type="spellEnd"/>
      </w:hyperlink>
      <w:r w:rsidRPr="00CA670C">
        <w:t xml:space="preserve"> or by scanning the following QR code.  </w:t>
      </w:r>
    </w:p>
    <w:p w14:paraId="37C6FDA9" w14:textId="77777777" w:rsidR="00CA670C" w:rsidRPr="00CA670C" w:rsidRDefault="00CA670C" w:rsidP="00CA670C">
      <w:pPr>
        <w:snapToGrid w:val="0"/>
        <w:spacing w:before="180" w:after="120" w:line="264" w:lineRule="auto"/>
      </w:pPr>
      <w:r w:rsidRPr="00CA670C">
        <w:rPr>
          <w:rFonts w:eastAsia="Times New Roman"/>
        </w:rPr>
        <w:t xml:space="preserve">Constructive stakeholder feedback is also strongly encouraged, and a formal mechanism </w:t>
      </w:r>
      <w:r w:rsidRPr="00CA670C">
        <w:t xml:space="preserve">is also provided for each report at the same location.  Thank you in advance for your collaboration. </w:t>
      </w:r>
    </w:p>
    <w:p w14:paraId="67FE0BD1" w14:textId="77777777" w:rsidR="00CA670C" w:rsidRPr="00CA670C" w:rsidRDefault="00CA670C" w:rsidP="00CA670C">
      <w:pPr>
        <w:snapToGrid w:val="0"/>
        <w:spacing w:before="180" w:after="120" w:line="264" w:lineRule="auto"/>
      </w:pPr>
      <w:r w:rsidRPr="00CA670C">
        <w:rPr>
          <w:i/>
          <w:iCs/>
          <w:noProof/>
          <w:color w:val="013C4C" w:themeColor="accent1"/>
          <w:szCs w:val="18"/>
        </w:rPr>
        <w:drawing>
          <wp:inline distT="0" distB="0" distL="0" distR="0" wp14:anchorId="18183F73" wp14:editId="7546CF2E">
            <wp:extent cx="1250950" cy="1250950"/>
            <wp:effectExtent l="0" t="0" r="6350" b="6350"/>
            <wp:docPr id="739541584" name="Picture 15"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1584" name="Picture 15" descr="A qr code with a white backgrou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1692" cy="1251692"/>
                    </a:xfrm>
                    <a:prstGeom prst="rect">
                      <a:avLst/>
                    </a:prstGeom>
                    <a:noFill/>
                    <a:ln>
                      <a:noFill/>
                    </a:ln>
                  </pic:spPr>
                </pic:pic>
              </a:graphicData>
            </a:graphic>
          </wp:inline>
        </w:drawing>
      </w:r>
    </w:p>
    <w:p w14:paraId="52193670" w14:textId="77777777" w:rsidR="00905173" w:rsidRDefault="00905173">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20EE78C2" w14:textId="07F80D0C" w:rsidR="00706727" w:rsidRPr="00050A5B" w:rsidRDefault="00706727" w:rsidP="00706727">
      <w:pPr>
        <w:pStyle w:val="Heading1"/>
        <w:rPr>
          <w:lang w:eastAsia="en-US" w:bidi="ar-SA"/>
        </w:rPr>
      </w:pPr>
      <w:bookmarkStart w:id="30" w:name="_Toc205536753"/>
      <w:bookmarkStart w:id="31" w:name="Ch_3"/>
      <w:r w:rsidRPr="00050A5B">
        <w:rPr>
          <w:lang w:eastAsia="en-US" w:bidi="ar-SA"/>
        </w:rPr>
        <w:t xml:space="preserve">Future </w:t>
      </w:r>
      <w:r w:rsidR="00DB3B05" w:rsidRPr="00050A5B">
        <w:rPr>
          <w:lang w:eastAsia="en-US" w:bidi="ar-SA"/>
        </w:rPr>
        <w:t xml:space="preserve">Customer &amp; Societal </w:t>
      </w:r>
      <w:r w:rsidRPr="00050A5B">
        <w:rPr>
          <w:lang w:eastAsia="en-US" w:bidi="ar-SA"/>
        </w:rPr>
        <w:t>Objectives</w:t>
      </w:r>
      <w:bookmarkEnd w:id="30"/>
    </w:p>
    <w:bookmarkEnd w:id="31"/>
    <w:p w14:paraId="4C5E19E3" w14:textId="603CDF72" w:rsidR="00472F24" w:rsidRPr="00050A5B" w:rsidRDefault="000864F2" w:rsidP="00D04CC3">
      <w:pPr>
        <w:snapToGrid w:val="0"/>
        <w:spacing w:before="120" w:after="120" w:line="264" w:lineRule="auto"/>
        <w:rPr>
          <w:rFonts w:eastAsia="DengXian"/>
          <w:kern w:val="24"/>
          <w:szCs w:val="18"/>
          <w:lang w:eastAsia="en-AU"/>
        </w:rPr>
      </w:pPr>
      <w:r w:rsidRPr="00050A5B">
        <w:rPr>
          <w:rFonts w:eastAsia="DengXian"/>
          <w:kern w:val="24"/>
          <w:lang w:eastAsia="en-AU"/>
        </w:rPr>
        <w:t>H</w:t>
      </w:r>
      <w:r w:rsidR="00983D05" w:rsidRPr="00050A5B">
        <w:rPr>
          <w:rFonts w:eastAsia="DengXian"/>
          <w:kern w:val="24"/>
          <w:lang w:eastAsia="en-AU"/>
        </w:rPr>
        <w:t xml:space="preserve">umans provide the fundamental reason our power system </w:t>
      </w:r>
      <w:r w:rsidR="0070169F">
        <w:rPr>
          <w:rFonts w:eastAsia="DengXian"/>
          <w:kern w:val="24"/>
          <w:lang w:eastAsia="en-AU"/>
        </w:rPr>
        <w:t>exists and the priorities it</w:t>
      </w:r>
      <w:r w:rsidR="00983D05" w:rsidRPr="00050A5B">
        <w:rPr>
          <w:rFonts w:eastAsia="DengXian"/>
          <w:kern w:val="24"/>
          <w:lang w:eastAsia="en-AU"/>
        </w:rPr>
        <w:t xml:space="preserve"> must serve.</w:t>
      </w:r>
      <w:r w:rsidR="007F205A" w:rsidRPr="00050A5B">
        <w:rPr>
          <w:rFonts w:eastAsia="DengXian"/>
          <w:kern w:val="24"/>
          <w:lang w:eastAsia="en-AU"/>
        </w:rPr>
        <w:t xml:space="preserve"> </w:t>
      </w:r>
      <w:r w:rsidR="00FE58C2" w:rsidRPr="00050A5B">
        <w:rPr>
          <w:rFonts w:eastAsia="DengXian"/>
          <w:kern w:val="24"/>
          <w:lang w:eastAsia="en-AU"/>
        </w:rPr>
        <w:t>I</w:t>
      </w:r>
      <w:r w:rsidR="004549DA" w:rsidRPr="00050A5B">
        <w:rPr>
          <w:rFonts w:eastAsia="DengXian"/>
          <w:kern w:val="24"/>
          <w:lang w:eastAsia="en-AU"/>
        </w:rPr>
        <w:t xml:space="preserve">f this is true, </w:t>
      </w:r>
      <w:r w:rsidR="0059186D" w:rsidRPr="00050A5B">
        <w:rPr>
          <w:rFonts w:eastAsia="DengXian"/>
          <w:kern w:val="24"/>
          <w:lang w:eastAsia="en-AU"/>
        </w:rPr>
        <w:t xml:space="preserve">it is impossible to </w:t>
      </w:r>
      <w:r w:rsidR="00A67A3B" w:rsidRPr="00050A5B">
        <w:rPr>
          <w:rFonts w:eastAsia="DengXian"/>
          <w:kern w:val="24"/>
          <w:lang w:eastAsia="en-AU"/>
        </w:rPr>
        <w:t xml:space="preserve">consider the </w:t>
      </w:r>
      <w:r w:rsidR="0034170A" w:rsidRPr="00050A5B">
        <w:rPr>
          <w:rFonts w:eastAsia="DengXian"/>
          <w:kern w:val="24"/>
          <w:lang w:eastAsia="en-AU"/>
        </w:rPr>
        <w:t>req</w:t>
      </w:r>
      <w:r w:rsidR="006A171A" w:rsidRPr="00050A5B">
        <w:rPr>
          <w:rFonts w:eastAsia="DengXian"/>
          <w:kern w:val="24"/>
          <w:lang w:eastAsia="en-AU"/>
        </w:rPr>
        <w:t>uired</w:t>
      </w:r>
      <w:r w:rsidR="00E45998" w:rsidRPr="00050A5B">
        <w:rPr>
          <w:rFonts w:eastAsia="DengXian"/>
          <w:kern w:val="24"/>
          <w:lang w:eastAsia="en-AU"/>
        </w:rPr>
        <w:t xml:space="preserve"> </w:t>
      </w:r>
      <w:r w:rsidR="00F9394C" w:rsidRPr="00050A5B">
        <w:rPr>
          <w:rFonts w:eastAsia="DengXian"/>
          <w:kern w:val="24"/>
          <w:szCs w:val="18"/>
          <w:lang w:eastAsia="en-AU"/>
        </w:rPr>
        <w:t xml:space="preserve">capabilities of our </w:t>
      </w:r>
      <w:r w:rsidR="00F9110C" w:rsidRPr="00050A5B">
        <w:rPr>
          <w:rFonts w:eastAsia="DengXian"/>
          <w:kern w:val="24"/>
          <w:lang w:eastAsia="en-AU"/>
        </w:rPr>
        <w:t xml:space="preserve">future </w:t>
      </w:r>
      <w:r w:rsidR="00F9394C" w:rsidRPr="00050A5B">
        <w:rPr>
          <w:rFonts w:eastAsia="DengXian"/>
          <w:kern w:val="24"/>
          <w:szCs w:val="18"/>
          <w:lang w:eastAsia="en-AU"/>
        </w:rPr>
        <w:t xml:space="preserve">power systems without </w:t>
      </w:r>
      <w:r w:rsidR="002800C9" w:rsidRPr="00050A5B">
        <w:rPr>
          <w:rFonts w:eastAsia="DengXian"/>
          <w:kern w:val="24"/>
          <w:szCs w:val="18"/>
          <w:lang w:eastAsia="en-AU"/>
        </w:rPr>
        <w:t>a</w:t>
      </w:r>
      <w:r w:rsidR="00DF45B1" w:rsidRPr="00050A5B">
        <w:rPr>
          <w:rFonts w:eastAsia="DengXian"/>
          <w:kern w:val="24"/>
          <w:szCs w:val="18"/>
          <w:lang w:eastAsia="en-AU"/>
        </w:rPr>
        <w:t xml:space="preserve"> holistic consideration o</w:t>
      </w:r>
      <w:r w:rsidR="002800C9" w:rsidRPr="00050A5B">
        <w:rPr>
          <w:rFonts w:eastAsia="DengXian"/>
          <w:kern w:val="24"/>
          <w:szCs w:val="18"/>
          <w:lang w:eastAsia="en-AU"/>
        </w:rPr>
        <w:t xml:space="preserve">f customer and societal objectives. </w:t>
      </w:r>
    </w:p>
    <w:p w14:paraId="768CD49A" w14:textId="497F0319" w:rsidR="00177FD3" w:rsidRPr="00050A5B" w:rsidRDefault="00DC2C10" w:rsidP="00D04CC3">
      <w:pPr>
        <w:spacing w:before="120" w:after="120" w:line="288" w:lineRule="auto"/>
        <w:rPr>
          <w:rFonts w:cs="Calibri"/>
          <w:szCs w:val="18"/>
        </w:rPr>
      </w:pPr>
      <w:r w:rsidRPr="00050A5B">
        <w:rPr>
          <w:rFonts w:cs="Calibri"/>
          <w:szCs w:val="18"/>
        </w:rPr>
        <w:t xml:space="preserve">In the context of </w:t>
      </w:r>
      <w:r w:rsidR="005A7148" w:rsidRPr="00050A5B">
        <w:rPr>
          <w:rFonts w:cs="Calibri"/>
          <w:szCs w:val="18"/>
        </w:rPr>
        <w:t>global power system transform</w:t>
      </w:r>
      <w:r w:rsidRPr="00050A5B">
        <w:rPr>
          <w:rFonts w:cs="Calibri"/>
          <w:szCs w:val="18"/>
        </w:rPr>
        <w:t>ations</w:t>
      </w:r>
      <w:r w:rsidR="005A7148" w:rsidRPr="00050A5B">
        <w:rPr>
          <w:rFonts w:cs="Calibri"/>
          <w:szCs w:val="18"/>
        </w:rPr>
        <w:t xml:space="preserve">, </w:t>
      </w:r>
      <w:r w:rsidRPr="00050A5B">
        <w:rPr>
          <w:rFonts w:cs="Calibri"/>
          <w:szCs w:val="18"/>
        </w:rPr>
        <w:t>a set of eight</w:t>
      </w:r>
      <w:r w:rsidR="00220985" w:rsidRPr="00050A5B">
        <w:rPr>
          <w:rFonts w:cs="Calibri"/>
          <w:szCs w:val="18"/>
        </w:rPr>
        <w:t xml:space="preserve"> </w:t>
      </w:r>
      <w:r w:rsidR="005A7148" w:rsidRPr="00050A5B">
        <w:rPr>
          <w:rFonts w:cs="Calibri"/>
          <w:szCs w:val="18"/>
        </w:rPr>
        <w:t xml:space="preserve">future customer and societal </w:t>
      </w:r>
      <w:r w:rsidR="00220985" w:rsidRPr="00050A5B">
        <w:rPr>
          <w:rFonts w:cs="Calibri"/>
          <w:szCs w:val="18"/>
        </w:rPr>
        <w:t>objectives emerged from the Australian and global literature</w:t>
      </w:r>
      <w:r w:rsidR="00364360" w:rsidRPr="00050A5B">
        <w:rPr>
          <w:rFonts w:cs="Calibri"/>
          <w:szCs w:val="18"/>
        </w:rPr>
        <w:t xml:space="preserve">. </w:t>
      </w:r>
      <w:r w:rsidR="000536B2" w:rsidRPr="00050A5B">
        <w:rPr>
          <w:rFonts w:cs="Calibri"/>
          <w:szCs w:val="18"/>
        </w:rPr>
        <w:t>Like</w:t>
      </w:r>
      <w:r w:rsidR="00364360" w:rsidRPr="00050A5B">
        <w:rPr>
          <w:rFonts w:cs="Calibri"/>
          <w:szCs w:val="18"/>
        </w:rPr>
        <w:t xml:space="preserve"> the diversity of </w:t>
      </w:r>
      <w:r w:rsidR="00220985" w:rsidRPr="00050A5B">
        <w:rPr>
          <w:rFonts w:cs="Calibri"/>
          <w:szCs w:val="18"/>
        </w:rPr>
        <w:t xml:space="preserve">society itself, </w:t>
      </w:r>
      <w:r w:rsidR="00EF3D43" w:rsidRPr="00050A5B">
        <w:rPr>
          <w:rFonts w:cs="Calibri"/>
          <w:szCs w:val="18"/>
        </w:rPr>
        <w:t>the</w:t>
      </w:r>
      <w:r w:rsidR="00D72868" w:rsidRPr="00050A5B">
        <w:rPr>
          <w:rFonts w:cs="Calibri"/>
          <w:szCs w:val="18"/>
        </w:rPr>
        <w:t xml:space="preserve"> o</w:t>
      </w:r>
      <w:r w:rsidR="003C48AC" w:rsidRPr="00050A5B">
        <w:rPr>
          <w:rFonts w:cs="Calibri"/>
          <w:szCs w:val="18"/>
        </w:rPr>
        <w:t xml:space="preserve">bjectives </w:t>
      </w:r>
      <w:r w:rsidR="00D72868" w:rsidRPr="00050A5B">
        <w:rPr>
          <w:rFonts w:cs="Calibri"/>
          <w:szCs w:val="18"/>
        </w:rPr>
        <w:t xml:space="preserve">are analogous to </w:t>
      </w:r>
      <w:r w:rsidR="00343063" w:rsidRPr="00050A5B">
        <w:rPr>
          <w:rFonts w:cs="Calibri"/>
          <w:szCs w:val="18"/>
        </w:rPr>
        <w:t xml:space="preserve">an intricate </w:t>
      </w:r>
      <w:r w:rsidR="00722383" w:rsidRPr="00050A5B">
        <w:rPr>
          <w:rFonts w:cs="Calibri"/>
          <w:szCs w:val="18"/>
        </w:rPr>
        <w:t>tapestry and</w:t>
      </w:r>
      <w:r w:rsidR="00E0510E" w:rsidRPr="00050A5B">
        <w:rPr>
          <w:rFonts w:cs="Calibri"/>
          <w:szCs w:val="18"/>
        </w:rPr>
        <w:t xml:space="preserve"> </w:t>
      </w:r>
      <w:r w:rsidR="003C4D44" w:rsidRPr="00050A5B">
        <w:rPr>
          <w:rFonts w:cs="Calibri"/>
          <w:szCs w:val="18"/>
        </w:rPr>
        <w:t>involve</w:t>
      </w:r>
      <w:r w:rsidR="00D72868" w:rsidRPr="00050A5B">
        <w:rPr>
          <w:rFonts w:cs="Calibri"/>
          <w:szCs w:val="18"/>
        </w:rPr>
        <w:t xml:space="preserve"> </w:t>
      </w:r>
      <w:r w:rsidR="000536B2" w:rsidRPr="00050A5B">
        <w:rPr>
          <w:rFonts w:cs="Calibri"/>
          <w:szCs w:val="18"/>
        </w:rPr>
        <w:t>va</w:t>
      </w:r>
      <w:r w:rsidR="00D579B9" w:rsidRPr="00050A5B">
        <w:rPr>
          <w:rFonts w:cs="Calibri"/>
          <w:szCs w:val="18"/>
        </w:rPr>
        <w:t>rying levels of interdependenc</w:t>
      </w:r>
      <w:r w:rsidR="006E4608" w:rsidRPr="00050A5B">
        <w:rPr>
          <w:rFonts w:cs="Calibri"/>
          <w:szCs w:val="18"/>
        </w:rPr>
        <w:t>e</w:t>
      </w:r>
      <w:r w:rsidR="0090280A" w:rsidRPr="00050A5B">
        <w:rPr>
          <w:rFonts w:cs="Calibri"/>
          <w:szCs w:val="18"/>
        </w:rPr>
        <w:t xml:space="preserve">. </w:t>
      </w:r>
      <w:r w:rsidR="00177FD3" w:rsidRPr="00050A5B">
        <w:rPr>
          <w:rFonts w:cs="Calibri"/>
          <w:szCs w:val="18"/>
        </w:rPr>
        <w:t xml:space="preserve">For example, </w:t>
      </w:r>
      <w:r w:rsidR="0078130D" w:rsidRPr="00050A5B">
        <w:rPr>
          <w:rFonts w:cs="Calibri"/>
          <w:szCs w:val="18"/>
        </w:rPr>
        <w:t xml:space="preserve">pursuing a </w:t>
      </w:r>
      <w:r w:rsidR="00177FD3" w:rsidRPr="00050A5B">
        <w:rPr>
          <w:rFonts w:cs="Calibri"/>
          <w:szCs w:val="18"/>
        </w:rPr>
        <w:t>deeper and more rapid decarbonisation of the power system (Sustainable) may result in power quality and system security risks (Dependable) and escalated system costs (Affordable).</w:t>
      </w:r>
    </w:p>
    <w:p w14:paraId="75F2466B" w14:textId="1FF0E8CD" w:rsidR="000536B2" w:rsidRDefault="00E819EF" w:rsidP="00D04CC3">
      <w:pPr>
        <w:spacing w:before="120" w:after="120" w:line="288" w:lineRule="auto"/>
        <w:rPr>
          <w:rFonts w:cs="Calibri"/>
        </w:rPr>
      </w:pPr>
      <w:r w:rsidRPr="00050A5B">
        <w:rPr>
          <w:rFonts w:cs="Calibri"/>
        </w:rPr>
        <w:t xml:space="preserve">A consolidated summary of the eight future customer and societal objectives </w:t>
      </w:r>
      <w:r w:rsidR="006B66BD">
        <w:rPr>
          <w:rFonts w:cs="Calibri"/>
        </w:rPr>
        <w:t>is</w:t>
      </w:r>
      <w:r w:rsidRPr="00050A5B">
        <w:rPr>
          <w:rFonts w:cs="Calibri"/>
        </w:rPr>
        <w:t xml:space="preserve"> provided below. </w:t>
      </w:r>
    </w:p>
    <w:tbl>
      <w:tblPr>
        <w:tblStyle w:val="ListTable3"/>
        <w:tblW w:w="8075" w:type="dxa"/>
        <w:tblLook w:val="0480" w:firstRow="0" w:lastRow="0" w:firstColumn="1" w:lastColumn="0" w:noHBand="0" w:noVBand="1"/>
      </w:tblPr>
      <w:tblGrid>
        <w:gridCol w:w="2405"/>
        <w:gridCol w:w="5670"/>
      </w:tblGrid>
      <w:tr w:rsidR="00F91792" w:rsidRPr="00050A5B" w14:paraId="0949C756" w14:textId="678DFBD4"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0C1F8EB0" w14:textId="169E88EB" w:rsidR="00F91792" w:rsidRPr="00050A5B" w:rsidRDefault="00F91792" w:rsidP="001A3AD9">
            <w:pPr>
              <w:spacing w:before="160" w:after="160" w:line="288" w:lineRule="auto"/>
              <w:jc w:val="center"/>
              <w:rPr>
                <w:rFonts w:cs="Calibri"/>
              </w:rPr>
            </w:pPr>
            <w:r w:rsidRPr="00050A5B">
              <w:rPr>
                <w:rFonts w:cs="Calibri"/>
                <w:caps/>
              </w:rPr>
              <w:t>Dependable</w:t>
            </w:r>
          </w:p>
        </w:tc>
        <w:tc>
          <w:tcPr>
            <w:tcW w:w="5670" w:type="dxa"/>
            <w:tcBorders>
              <w:left w:val="single" w:sz="4" w:space="0" w:color="FAFAFA" w:themeColor="background1"/>
            </w:tcBorders>
            <w:vAlign w:val="center"/>
          </w:tcPr>
          <w:p w14:paraId="4D02DB44" w14:textId="1D45312F"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b/>
                <w:bCs/>
              </w:rPr>
            </w:pPr>
            <w:r w:rsidRPr="00050A5B">
              <w:rPr>
                <w:rFonts w:cs="Calibri"/>
              </w:rPr>
              <w:t>Safe, secure, adequate, reliable and resilient</w:t>
            </w:r>
          </w:p>
        </w:tc>
      </w:tr>
      <w:tr w:rsidR="00F91792" w:rsidRPr="00050A5B" w14:paraId="127D5D50" w14:textId="45EB6D2C"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6E70E802" w14:textId="44B2334C" w:rsidR="00F91792" w:rsidRPr="00050A5B" w:rsidRDefault="00F91792" w:rsidP="001A3AD9">
            <w:pPr>
              <w:spacing w:before="160" w:after="160" w:line="288" w:lineRule="auto"/>
              <w:jc w:val="center"/>
              <w:rPr>
                <w:rFonts w:cs="Calibri"/>
              </w:rPr>
            </w:pPr>
            <w:r w:rsidRPr="00050A5B">
              <w:rPr>
                <w:rFonts w:cs="Calibri"/>
                <w:caps/>
              </w:rPr>
              <w:t>Affordable</w:t>
            </w:r>
          </w:p>
        </w:tc>
        <w:tc>
          <w:tcPr>
            <w:tcW w:w="5670" w:type="dxa"/>
            <w:tcBorders>
              <w:left w:val="single" w:sz="4" w:space="0" w:color="FAFAFA" w:themeColor="background1"/>
            </w:tcBorders>
            <w:vAlign w:val="center"/>
          </w:tcPr>
          <w:p w14:paraId="73C81E01" w14:textId="1BC886CE"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Efficient and cost-effective</w:t>
            </w:r>
          </w:p>
        </w:tc>
      </w:tr>
      <w:tr w:rsidR="00F91792" w:rsidRPr="00050A5B" w14:paraId="57B63244" w14:textId="77777777"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601BE694" w14:textId="778DB502" w:rsidR="00F91792" w:rsidRPr="00050A5B" w:rsidRDefault="00F91792" w:rsidP="001A3AD9">
            <w:pPr>
              <w:spacing w:before="160" w:after="160" w:line="288" w:lineRule="auto"/>
              <w:jc w:val="center"/>
              <w:rPr>
                <w:rFonts w:cs="Calibri"/>
              </w:rPr>
            </w:pPr>
            <w:r w:rsidRPr="00050A5B">
              <w:rPr>
                <w:rFonts w:cs="Calibri"/>
                <w:caps/>
              </w:rPr>
              <w:t>Sustainable</w:t>
            </w:r>
          </w:p>
        </w:tc>
        <w:tc>
          <w:tcPr>
            <w:tcW w:w="5670" w:type="dxa"/>
            <w:tcBorders>
              <w:left w:val="single" w:sz="4" w:space="0" w:color="FAFAFA" w:themeColor="background1"/>
            </w:tcBorders>
            <w:vAlign w:val="center"/>
          </w:tcPr>
          <w:p w14:paraId="2969B7A0" w14:textId="43934832"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rPr>
            </w:pPr>
            <w:r w:rsidRPr="00050A5B">
              <w:rPr>
                <w:rFonts w:cs="Calibri"/>
              </w:rPr>
              <w:t>Enables 2030 and 2050 decarbonisation goals</w:t>
            </w:r>
          </w:p>
        </w:tc>
      </w:tr>
      <w:tr w:rsidR="00F91792" w:rsidRPr="00050A5B" w14:paraId="795AE818" w14:textId="77777777"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2DF19B5B" w14:textId="5DEE74BE" w:rsidR="00F91792" w:rsidRPr="00050A5B" w:rsidRDefault="00F91792" w:rsidP="001A3AD9">
            <w:pPr>
              <w:spacing w:before="160" w:after="160" w:line="288" w:lineRule="auto"/>
              <w:jc w:val="center"/>
              <w:rPr>
                <w:rFonts w:cs="Calibri"/>
              </w:rPr>
            </w:pPr>
            <w:r w:rsidRPr="00050A5B">
              <w:rPr>
                <w:rFonts w:cs="Calibri"/>
                <w:caps/>
              </w:rPr>
              <w:t>Equitable</w:t>
            </w:r>
          </w:p>
        </w:tc>
        <w:tc>
          <w:tcPr>
            <w:tcW w:w="5670" w:type="dxa"/>
            <w:tcBorders>
              <w:left w:val="single" w:sz="4" w:space="0" w:color="FAFAFA" w:themeColor="background1"/>
            </w:tcBorders>
            <w:vAlign w:val="center"/>
          </w:tcPr>
          <w:p w14:paraId="28E1CBF9" w14:textId="76A29A5F"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Broad accessibility of benefits and the fair sharing of costs</w:t>
            </w:r>
          </w:p>
        </w:tc>
      </w:tr>
      <w:tr w:rsidR="00F91792" w:rsidRPr="00050A5B" w14:paraId="465FB8B2" w14:textId="77777777"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3EC742EC" w14:textId="68CA0513" w:rsidR="00F91792" w:rsidRPr="00050A5B" w:rsidRDefault="00F91792" w:rsidP="001A3AD9">
            <w:pPr>
              <w:spacing w:before="160" w:after="160" w:line="288" w:lineRule="auto"/>
              <w:jc w:val="center"/>
              <w:rPr>
                <w:rFonts w:cs="Calibri"/>
              </w:rPr>
            </w:pPr>
            <w:r w:rsidRPr="00050A5B">
              <w:rPr>
                <w:rFonts w:cs="Calibri"/>
                <w:caps/>
              </w:rPr>
              <w:t>Empowering</w:t>
            </w:r>
          </w:p>
        </w:tc>
        <w:tc>
          <w:tcPr>
            <w:tcW w:w="5670" w:type="dxa"/>
            <w:tcBorders>
              <w:left w:val="single" w:sz="4" w:space="0" w:color="FAFAFA" w:themeColor="background1"/>
            </w:tcBorders>
            <w:vAlign w:val="center"/>
          </w:tcPr>
          <w:p w14:paraId="7D5F26C8" w14:textId="6E5AC8B1"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rPr>
            </w:pPr>
            <w:r w:rsidRPr="00050A5B">
              <w:rPr>
                <w:rFonts w:cs="Calibri"/>
              </w:rPr>
              <w:t>Advances customer and community agency, optionality, and customisation</w:t>
            </w:r>
          </w:p>
        </w:tc>
      </w:tr>
      <w:tr w:rsidR="00F91792" w:rsidRPr="00050A5B" w14:paraId="29B24B94" w14:textId="77777777"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0F902FCD" w14:textId="70C5B24F" w:rsidR="00F91792" w:rsidRPr="00050A5B" w:rsidRDefault="00F91792" w:rsidP="001A3AD9">
            <w:pPr>
              <w:spacing w:before="160" w:after="160" w:line="288" w:lineRule="auto"/>
              <w:jc w:val="center"/>
              <w:rPr>
                <w:rFonts w:cs="Calibri"/>
              </w:rPr>
            </w:pPr>
            <w:r w:rsidRPr="00050A5B">
              <w:rPr>
                <w:rFonts w:cs="Calibri"/>
                <w:caps/>
              </w:rPr>
              <w:t>Expandable</w:t>
            </w:r>
          </w:p>
        </w:tc>
        <w:tc>
          <w:tcPr>
            <w:tcW w:w="5670" w:type="dxa"/>
            <w:tcBorders>
              <w:left w:val="single" w:sz="4" w:space="0" w:color="FAFAFA" w:themeColor="background1"/>
            </w:tcBorders>
            <w:vAlign w:val="center"/>
          </w:tcPr>
          <w:p w14:paraId="29868BEA" w14:textId="238F43F5"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Enables electrification of transport, building services and industrial processes</w:t>
            </w:r>
          </w:p>
        </w:tc>
      </w:tr>
      <w:tr w:rsidR="00F91792" w:rsidRPr="00050A5B" w14:paraId="5B1D0AEF" w14:textId="7DC93D5E"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6E71750A" w14:textId="2E51EB81" w:rsidR="00F91792" w:rsidRPr="00050A5B" w:rsidRDefault="00F91792" w:rsidP="001A3AD9">
            <w:pPr>
              <w:spacing w:before="160" w:after="160" w:line="288" w:lineRule="auto"/>
              <w:jc w:val="center"/>
              <w:rPr>
                <w:rFonts w:cs="Calibri"/>
              </w:rPr>
            </w:pPr>
            <w:r w:rsidRPr="00050A5B">
              <w:rPr>
                <w:rFonts w:cs="Calibri"/>
                <w:caps/>
              </w:rPr>
              <w:t>Adaptable</w:t>
            </w:r>
          </w:p>
        </w:tc>
        <w:tc>
          <w:tcPr>
            <w:tcW w:w="5670" w:type="dxa"/>
            <w:tcBorders>
              <w:left w:val="single" w:sz="4" w:space="0" w:color="FAFAFA" w:themeColor="background1"/>
            </w:tcBorders>
            <w:vAlign w:val="center"/>
          </w:tcPr>
          <w:p w14:paraId="2C443C35" w14:textId="6A23D238"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rPr>
            </w:pPr>
            <w:r w:rsidRPr="00050A5B">
              <w:rPr>
                <w:rFonts w:cs="Calibri"/>
              </w:rPr>
              <w:t>Flexible and adaptive to change, including technological, regulatory and business model innovation</w:t>
            </w:r>
          </w:p>
        </w:tc>
      </w:tr>
      <w:tr w:rsidR="00F91792" w:rsidRPr="00050A5B" w14:paraId="2617C3C9" w14:textId="57F009BB"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right w:val="single" w:sz="4" w:space="0" w:color="FAFAFA" w:themeColor="background1"/>
            </w:tcBorders>
            <w:shd w:val="clear" w:color="auto" w:fill="013C4C" w:themeFill="text1"/>
            <w:vAlign w:val="center"/>
          </w:tcPr>
          <w:p w14:paraId="04395EE0" w14:textId="1B1C5EDF" w:rsidR="00F91792" w:rsidRPr="00050A5B" w:rsidRDefault="00F91792" w:rsidP="001A3AD9">
            <w:pPr>
              <w:spacing w:before="160" w:after="160" w:line="288" w:lineRule="auto"/>
              <w:jc w:val="center"/>
              <w:rPr>
                <w:rFonts w:cs="Calibri"/>
              </w:rPr>
            </w:pPr>
            <w:r w:rsidRPr="00050A5B">
              <w:rPr>
                <w:rFonts w:cs="Calibri"/>
                <w:caps/>
              </w:rPr>
              <w:t>Beneficial</w:t>
            </w:r>
          </w:p>
        </w:tc>
        <w:tc>
          <w:tcPr>
            <w:tcW w:w="5670" w:type="dxa"/>
            <w:tcBorders>
              <w:left w:val="single" w:sz="4" w:space="0" w:color="FAFAFA" w:themeColor="background1"/>
            </w:tcBorders>
            <w:vAlign w:val="center"/>
          </w:tcPr>
          <w:p w14:paraId="2EB237E1" w14:textId="02FEF4D6"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Socially trusted, public good/benefits, commercially investable and financeable</w:t>
            </w:r>
          </w:p>
        </w:tc>
      </w:tr>
    </w:tbl>
    <w:p w14:paraId="18931663" w14:textId="6663A1C7" w:rsidR="002843DD" w:rsidRPr="00050A5B" w:rsidRDefault="00E819EF" w:rsidP="007C6485">
      <w:pPr>
        <w:spacing w:before="180" w:after="180" w:line="288" w:lineRule="auto"/>
        <w:rPr>
          <w:rFonts w:cs="Calibri"/>
          <w:szCs w:val="18"/>
        </w:rPr>
      </w:pPr>
      <w:bookmarkStart w:id="32" w:name="_bookmark0"/>
      <w:bookmarkEnd w:id="32"/>
      <w:r w:rsidRPr="00050A5B">
        <w:rPr>
          <w:rFonts w:cs="Calibri"/>
          <w:szCs w:val="18"/>
        </w:rPr>
        <w:t xml:space="preserve">More expansive than </w:t>
      </w:r>
      <w:r w:rsidR="001B57A9" w:rsidRPr="00050A5B">
        <w:rPr>
          <w:rFonts w:cs="Calibri"/>
          <w:szCs w:val="18"/>
        </w:rPr>
        <w:t xml:space="preserve">conventional </w:t>
      </w:r>
      <w:r w:rsidRPr="00050A5B">
        <w:rPr>
          <w:rFonts w:cs="Calibri"/>
          <w:szCs w:val="18"/>
        </w:rPr>
        <w:t>set</w:t>
      </w:r>
      <w:r w:rsidR="00DB3B05" w:rsidRPr="00050A5B">
        <w:rPr>
          <w:rFonts w:cs="Calibri"/>
          <w:szCs w:val="18"/>
        </w:rPr>
        <w:t>s</w:t>
      </w:r>
      <w:r w:rsidRPr="00050A5B">
        <w:rPr>
          <w:rFonts w:cs="Calibri"/>
          <w:szCs w:val="18"/>
        </w:rPr>
        <w:t xml:space="preserve"> of objectives</w:t>
      </w:r>
      <w:r w:rsidR="00E14B19" w:rsidRPr="00050A5B">
        <w:rPr>
          <w:rFonts w:cs="Calibri"/>
          <w:szCs w:val="18"/>
        </w:rPr>
        <w:t xml:space="preserve">, </w:t>
      </w:r>
      <w:r w:rsidRPr="00050A5B">
        <w:rPr>
          <w:rFonts w:cs="Calibri"/>
          <w:szCs w:val="18"/>
        </w:rPr>
        <w:t>these eight objectives provide a more holistic, nuanced and future-facing set of insights</w:t>
      </w:r>
      <w:r w:rsidR="00E14B19" w:rsidRPr="00050A5B">
        <w:rPr>
          <w:rFonts w:cs="Calibri"/>
          <w:szCs w:val="18"/>
        </w:rPr>
        <w:t xml:space="preserve"> relevant to a bi-directional and participative </w:t>
      </w:r>
      <w:r w:rsidR="002558E3" w:rsidRPr="00050A5B">
        <w:rPr>
          <w:rFonts w:cs="Calibri"/>
          <w:szCs w:val="18"/>
        </w:rPr>
        <w:t>electricity future.</w:t>
      </w:r>
      <w:r w:rsidR="001C3F01" w:rsidRPr="00050A5B">
        <w:rPr>
          <w:rFonts w:cs="Calibri"/>
          <w:szCs w:val="18"/>
        </w:rPr>
        <w:t xml:space="preserve"> </w:t>
      </w:r>
      <w:r w:rsidR="00CE4988" w:rsidRPr="00050A5B">
        <w:rPr>
          <w:rFonts w:cs="Calibri"/>
          <w:szCs w:val="18"/>
        </w:rPr>
        <w:t>As such, they</w:t>
      </w:r>
      <w:r w:rsidR="00FA4460" w:rsidRPr="00050A5B">
        <w:rPr>
          <w:rFonts w:cs="Calibri"/>
          <w:szCs w:val="18"/>
        </w:rPr>
        <w:t xml:space="preserve"> </w:t>
      </w:r>
      <w:r w:rsidRPr="00050A5B">
        <w:rPr>
          <w:rFonts w:cs="Calibri"/>
          <w:szCs w:val="18"/>
        </w:rPr>
        <w:t xml:space="preserve">highlight the expanding diversity of customer and societal expectations and the need for collaborative prioritisation and trade-off choices. </w:t>
      </w:r>
    </w:p>
    <w:p w14:paraId="4C3ABD0E" w14:textId="77777777" w:rsidR="009A1F2F" w:rsidRDefault="009A1F2F">
      <w:pPr>
        <w:spacing w:before="0" w:after="160" w:line="259" w:lineRule="auto"/>
        <w:rPr>
          <w:rFonts w:cs="Calibri"/>
          <w:szCs w:val="18"/>
        </w:rPr>
      </w:pPr>
      <w:r>
        <w:rPr>
          <w:rFonts w:cs="Calibri"/>
          <w:szCs w:val="18"/>
        </w:rPr>
        <w:br w:type="page"/>
      </w:r>
    </w:p>
    <w:p w14:paraId="10E7DFB1" w14:textId="00E42A63" w:rsidR="00CD2EEA" w:rsidRPr="00E819EF" w:rsidRDefault="006B2A81" w:rsidP="00D46AEE">
      <w:pPr>
        <w:spacing w:before="180" w:after="180" w:line="288" w:lineRule="auto"/>
        <w:rPr>
          <w:highlight w:val="green"/>
          <w:lang w:val="en-US" w:eastAsia="en-US" w:bidi="ar-SA"/>
        </w:rPr>
      </w:pPr>
      <w:r w:rsidRPr="00050A5B">
        <w:rPr>
          <w:rFonts w:cs="Calibri"/>
          <w:szCs w:val="18"/>
        </w:rPr>
        <w:t xml:space="preserve">Each of these eight </w:t>
      </w:r>
      <w:r w:rsidR="004B66CB" w:rsidRPr="00050A5B">
        <w:rPr>
          <w:rFonts w:cs="Calibri"/>
          <w:szCs w:val="18"/>
        </w:rPr>
        <w:t xml:space="preserve">future </w:t>
      </w:r>
      <w:r w:rsidR="00AD4DE8" w:rsidRPr="00050A5B">
        <w:rPr>
          <w:rFonts w:cs="Calibri"/>
          <w:szCs w:val="18"/>
        </w:rPr>
        <w:t xml:space="preserve">customer and societal objectives are summarised </w:t>
      </w:r>
      <w:r w:rsidR="00F33AB2" w:rsidRPr="00050A5B">
        <w:rPr>
          <w:rFonts w:cs="Calibri"/>
          <w:szCs w:val="18"/>
        </w:rPr>
        <w:t>below</w:t>
      </w:r>
      <w:r w:rsidR="002F1032">
        <w:rPr>
          <w:rFonts w:cs="Calibri"/>
          <w:szCs w:val="18"/>
        </w:rPr>
        <w:t xml:space="preserve"> together with a selection of </w:t>
      </w:r>
      <w:r w:rsidR="001A3AD9">
        <w:rPr>
          <w:rFonts w:cs="Calibri"/>
          <w:szCs w:val="18"/>
        </w:rPr>
        <w:t>quotations from the literature reviewed. A more detailed o</w:t>
      </w:r>
      <w:r w:rsidR="00DC0476" w:rsidRPr="00050A5B">
        <w:rPr>
          <w:rFonts w:cs="Calibri"/>
          <w:szCs w:val="18"/>
        </w:rPr>
        <w:t xml:space="preserve">verview of the </w:t>
      </w:r>
      <w:r w:rsidR="00FB5A5A" w:rsidRPr="00050A5B">
        <w:rPr>
          <w:rFonts w:cs="Calibri"/>
          <w:szCs w:val="18"/>
        </w:rPr>
        <w:t>underpinning source</w:t>
      </w:r>
      <w:r w:rsidR="00AF3FE0">
        <w:rPr>
          <w:rFonts w:cs="Calibri"/>
          <w:szCs w:val="18"/>
        </w:rPr>
        <w:t xml:space="preserve"> material </w:t>
      </w:r>
      <w:r w:rsidR="001A3AD9">
        <w:rPr>
          <w:rFonts w:cs="Calibri"/>
          <w:szCs w:val="18"/>
        </w:rPr>
        <w:t xml:space="preserve">is also </w:t>
      </w:r>
      <w:r w:rsidR="00FB5A5A" w:rsidRPr="00050A5B">
        <w:rPr>
          <w:rFonts w:cs="Calibri"/>
          <w:szCs w:val="18"/>
        </w:rPr>
        <w:t xml:space="preserve">provided in </w:t>
      </w:r>
      <w:hyperlink w:anchor="Appendix_A" w:history="1">
        <w:r w:rsidR="00E62B4D" w:rsidRPr="007530FE">
          <w:rPr>
            <w:rStyle w:val="Hyperlink"/>
            <w:rFonts w:cs="Calibri"/>
            <w:szCs w:val="18"/>
          </w:rPr>
          <w:t>Appendix A</w:t>
        </w:r>
      </w:hyperlink>
      <w:r w:rsidR="00FB5A5A" w:rsidRPr="00050A5B">
        <w:rPr>
          <w:rFonts w:cs="Calibri"/>
          <w:szCs w:val="18"/>
        </w:rPr>
        <w:t xml:space="preserve">. </w:t>
      </w:r>
      <w:r w:rsidR="00ED09B9">
        <w:rPr>
          <w:rFonts w:cs="Calibri"/>
          <w:szCs w:val="18"/>
        </w:rPr>
        <w:t>Based on the analysis, several</w:t>
      </w:r>
      <w:r w:rsidR="00DD407A">
        <w:rPr>
          <w:rFonts w:cs="Calibri"/>
          <w:szCs w:val="18"/>
        </w:rPr>
        <w:t xml:space="preserve"> cross-cutting</w:t>
      </w:r>
      <w:r w:rsidR="00CE64D5">
        <w:rPr>
          <w:rFonts w:cs="Calibri"/>
          <w:szCs w:val="18"/>
        </w:rPr>
        <w:t xml:space="preserve"> observations </w:t>
      </w:r>
      <w:r w:rsidR="00ED09B9">
        <w:rPr>
          <w:rFonts w:cs="Calibri"/>
          <w:szCs w:val="18"/>
        </w:rPr>
        <w:t xml:space="preserve">can be made: </w:t>
      </w:r>
    </w:p>
    <w:p w14:paraId="779B7B9F" w14:textId="4BAE4AC8" w:rsidR="00706727" w:rsidRPr="00050A5B" w:rsidRDefault="00706727" w:rsidP="00F47D56">
      <w:pPr>
        <w:pStyle w:val="Heading2"/>
        <w:ind w:left="578" w:hanging="578"/>
        <w:rPr>
          <w:lang w:eastAsia="en-US" w:bidi="ar-SA"/>
        </w:rPr>
      </w:pPr>
      <w:bookmarkStart w:id="33" w:name="_Toc205536754"/>
      <w:r w:rsidRPr="00050A5B">
        <w:rPr>
          <w:caps/>
          <w:lang w:eastAsia="en-US" w:bidi="ar-SA"/>
        </w:rPr>
        <w:t>Dependable</w:t>
      </w:r>
      <w:r w:rsidRPr="00050A5B">
        <w:rPr>
          <w:lang w:eastAsia="en-US" w:bidi="ar-SA"/>
        </w:rPr>
        <w:t>: Safe, secure, adequate, reliable and resilient</w:t>
      </w:r>
      <w:bookmarkEnd w:id="33"/>
    </w:p>
    <w:p w14:paraId="330ED2A1" w14:textId="0AB9F1D9" w:rsidR="007629E3" w:rsidRPr="00050A5B" w:rsidRDefault="00586AE8" w:rsidP="00B54119">
      <w:pPr>
        <w:rPr>
          <w:rFonts w:cs="Calibri"/>
        </w:rPr>
      </w:pPr>
      <w:r w:rsidRPr="00050A5B">
        <w:rPr>
          <w:rFonts w:cs="Calibri"/>
        </w:rPr>
        <w:t xml:space="preserve">An almost universal emphasis in the literature is that </w:t>
      </w:r>
      <w:r w:rsidR="00A76302" w:rsidRPr="00050A5B">
        <w:rPr>
          <w:rFonts w:cs="Calibri"/>
        </w:rPr>
        <w:t xml:space="preserve">dependable </w:t>
      </w:r>
      <w:r w:rsidR="00940099" w:rsidRPr="00050A5B">
        <w:rPr>
          <w:rFonts w:cs="Calibri"/>
        </w:rPr>
        <w:t>electricity systems</w:t>
      </w:r>
      <w:r w:rsidR="00455EA3" w:rsidRPr="00050A5B">
        <w:rPr>
          <w:rFonts w:cs="Calibri"/>
        </w:rPr>
        <w:t xml:space="preserve"> </w:t>
      </w:r>
      <w:r w:rsidR="00E77BB4" w:rsidRPr="00050A5B">
        <w:rPr>
          <w:rFonts w:cs="Calibri"/>
        </w:rPr>
        <w:t>will remain</w:t>
      </w:r>
      <w:r w:rsidR="00455EA3" w:rsidRPr="00050A5B">
        <w:rPr>
          <w:rFonts w:cs="Calibri"/>
        </w:rPr>
        <w:t xml:space="preserve"> </w:t>
      </w:r>
      <w:r w:rsidR="00915500" w:rsidRPr="00050A5B">
        <w:rPr>
          <w:rFonts w:cs="Calibri"/>
        </w:rPr>
        <w:t xml:space="preserve">essential </w:t>
      </w:r>
      <w:r w:rsidR="00E77BB4" w:rsidRPr="00050A5B">
        <w:rPr>
          <w:rFonts w:cs="Calibri"/>
        </w:rPr>
        <w:t>to</w:t>
      </w:r>
      <w:r w:rsidR="00915500" w:rsidRPr="00050A5B">
        <w:rPr>
          <w:rFonts w:cs="Calibri"/>
        </w:rPr>
        <w:t xml:space="preserve"> </w:t>
      </w:r>
      <w:r w:rsidR="004703C7" w:rsidRPr="00050A5B">
        <w:rPr>
          <w:rFonts w:cs="Calibri"/>
        </w:rPr>
        <w:t>all</w:t>
      </w:r>
      <w:r w:rsidR="00915500" w:rsidRPr="00050A5B">
        <w:rPr>
          <w:rFonts w:cs="Calibri"/>
        </w:rPr>
        <w:t xml:space="preserve"> </w:t>
      </w:r>
      <w:r w:rsidR="008A799C" w:rsidRPr="00050A5B">
        <w:rPr>
          <w:rFonts w:cs="Calibri"/>
        </w:rPr>
        <w:t>modern societ</w:t>
      </w:r>
      <w:r w:rsidR="004703C7" w:rsidRPr="00050A5B">
        <w:rPr>
          <w:rFonts w:cs="Calibri"/>
        </w:rPr>
        <w:t>ies</w:t>
      </w:r>
      <w:r w:rsidR="008A799C" w:rsidRPr="00050A5B">
        <w:rPr>
          <w:rFonts w:cs="Calibri"/>
        </w:rPr>
        <w:t xml:space="preserve">. As </w:t>
      </w:r>
      <w:r w:rsidR="00E10846" w:rsidRPr="00050A5B">
        <w:rPr>
          <w:rFonts w:cs="Calibri"/>
        </w:rPr>
        <w:t>li</w:t>
      </w:r>
      <w:r w:rsidR="0019397A" w:rsidRPr="00050A5B">
        <w:rPr>
          <w:rFonts w:cs="Calibri"/>
        </w:rPr>
        <w:t>festyles, commerce, industry an</w:t>
      </w:r>
      <w:r w:rsidR="00044ED0" w:rsidRPr="00050A5B">
        <w:rPr>
          <w:rFonts w:cs="Calibri"/>
        </w:rPr>
        <w:t xml:space="preserve">d </w:t>
      </w:r>
      <w:r w:rsidR="009B0A24">
        <w:rPr>
          <w:rFonts w:cs="Calibri"/>
        </w:rPr>
        <w:t xml:space="preserve">a range of </w:t>
      </w:r>
      <w:r w:rsidR="00A45B10" w:rsidRPr="00050A5B">
        <w:rPr>
          <w:rFonts w:cs="Calibri"/>
        </w:rPr>
        <w:t>enabling infrastructure</w:t>
      </w:r>
      <w:r w:rsidR="009B0A24">
        <w:rPr>
          <w:rFonts w:cs="Calibri"/>
        </w:rPr>
        <w:t>s</w:t>
      </w:r>
      <w:r w:rsidR="0019397A" w:rsidRPr="00050A5B">
        <w:rPr>
          <w:rFonts w:cs="Calibri"/>
        </w:rPr>
        <w:t xml:space="preserve"> (</w:t>
      </w:r>
      <w:r w:rsidR="00C85109" w:rsidRPr="00050A5B">
        <w:rPr>
          <w:rFonts w:cs="Calibri"/>
        </w:rPr>
        <w:t xml:space="preserve">internet, water, </w:t>
      </w:r>
      <w:r w:rsidR="00C17D28" w:rsidRPr="00050A5B">
        <w:rPr>
          <w:rFonts w:cs="Calibri"/>
        </w:rPr>
        <w:t>banking, telecommunications</w:t>
      </w:r>
      <w:r w:rsidR="00216466" w:rsidRPr="00050A5B">
        <w:rPr>
          <w:rFonts w:cs="Calibri"/>
        </w:rPr>
        <w:t>, etc)</w:t>
      </w:r>
      <w:r w:rsidR="00B63103" w:rsidRPr="00050A5B">
        <w:rPr>
          <w:rFonts w:cs="Calibri"/>
        </w:rPr>
        <w:t xml:space="preserve"> are </w:t>
      </w:r>
      <w:r w:rsidR="008A799C" w:rsidRPr="00050A5B">
        <w:rPr>
          <w:rFonts w:cs="Calibri"/>
        </w:rPr>
        <w:t xml:space="preserve">increasingly electrified, </w:t>
      </w:r>
      <w:r w:rsidR="007E5E60" w:rsidRPr="00050A5B">
        <w:rPr>
          <w:rFonts w:cs="Calibri"/>
        </w:rPr>
        <w:t>the</w:t>
      </w:r>
      <w:r w:rsidR="008A799C" w:rsidRPr="00050A5B">
        <w:rPr>
          <w:rFonts w:cs="Calibri"/>
        </w:rPr>
        <w:t xml:space="preserve"> critical importance </w:t>
      </w:r>
      <w:r w:rsidR="009B0A24">
        <w:rPr>
          <w:rFonts w:cs="Calibri"/>
        </w:rPr>
        <w:t xml:space="preserve">of </w:t>
      </w:r>
      <w:r w:rsidR="008A799C" w:rsidRPr="00050A5B">
        <w:rPr>
          <w:rFonts w:cs="Calibri"/>
        </w:rPr>
        <w:t>dependable power system</w:t>
      </w:r>
      <w:r w:rsidR="00805F2C" w:rsidRPr="00050A5B">
        <w:rPr>
          <w:rFonts w:cs="Calibri"/>
        </w:rPr>
        <w:t>s</w:t>
      </w:r>
      <w:r w:rsidR="008A799C" w:rsidRPr="00050A5B">
        <w:rPr>
          <w:rFonts w:cs="Calibri"/>
        </w:rPr>
        <w:t xml:space="preserve"> </w:t>
      </w:r>
      <w:r w:rsidR="00F47D56" w:rsidRPr="00050A5B">
        <w:rPr>
          <w:rFonts w:cs="Calibri"/>
        </w:rPr>
        <w:t>continues to expand</w:t>
      </w:r>
      <w:r w:rsidR="008A799C" w:rsidRPr="00050A5B">
        <w:rPr>
          <w:rFonts w:cs="Calibri"/>
        </w:rPr>
        <w:t>.</w:t>
      </w:r>
      <w:r w:rsidR="009B0A24">
        <w:rPr>
          <w:rFonts w:cs="Calibri"/>
        </w:rPr>
        <w:t xml:space="preserve"> The s</w:t>
      </w:r>
      <w:r w:rsidR="008A799C" w:rsidRPr="00050A5B">
        <w:rPr>
          <w:rFonts w:cs="Calibri"/>
        </w:rPr>
        <w:t>ources also maintain that electricity</w:t>
      </w:r>
      <w:r w:rsidR="009B0A24">
        <w:rPr>
          <w:rFonts w:cs="Calibri"/>
        </w:rPr>
        <w:t xml:space="preserve"> systems </w:t>
      </w:r>
      <w:r w:rsidR="002F39ED">
        <w:rPr>
          <w:rFonts w:cs="Calibri"/>
        </w:rPr>
        <w:t>must c</w:t>
      </w:r>
      <w:r w:rsidR="008A799C" w:rsidRPr="00050A5B">
        <w:rPr>
          <w:rFonts w:cs="Calibri"/>
        </w:rPr>
        <w:t>ontinue to be considered an essential service into the future</w:t>
      </w:r>
      <w:r w:rsidR="00F33EB9">
        <w:rPr>
          <w:rFonts w:cs="Calibri"/>
        </w:rPr>
        <w:t xml:space="preserve"> even as the potential for customer agency and auto</w:t>
      </w:r>
      <w:r w:rsidR="008B6532">
        <w:rPr>
          <w:rFonts w:cs="Calibri"/>
        </w:rPr>
        <w:t>nomy</w:t>
      </w:r>
      <w:r w:rsidR="008A799C" w:rsidRPr="00050A5B">
        <w:rPr>
          <w:rFonts w:cs="Calibri"/>
        </w:rPr>
        <w:t xml:space="preserve">. </w:t>
      </w:r>
    </w:p>
    <w:p w14:paraId="0AF5C73C" w14:textId="5E700EE3" w:rsidR="00CC48EF" w:rsidRPr="00050A5B" w:rsidRDefault="00A02599" w:rsidP="00B54119">
      <w:pPr>
        <w:rPr>
          <w:lang w:eastAsia="en-US" w:bidi="ar-SA"/>
        </w:rPr>
      </w:pPr>
      <w:r w:rsidRPr="00050A5B">
        <w:rPr>
          <w:rFonts w:cs="Calibri"/>
          <w:noProof/>
        </w:rPr>
        <mc:AlternateContent>
          <mc:Choice Requires="wps">
            <w:drawing>
              <wp:anchor distT="45720" distB="45720" distL="114300" distR="114300" simplePos="0" relativeHeight="251658241" behindDoc="0" locked="0" layoutInCell="1" allowOverlap="1" wp14:anchorId="1765E25E" wp14:editId="72D0D8CE">
                <wp:simplePos x="0" y="0"/>
                <wp:positionH relativeFrom="margin">
                  <wp:posOffset>0</wp:posOffset>
                </wp:positionH>
                <wp:positionV relativeFrom="paragraph">
                  <wp:posOffset>1322070</wp:posOffset>
                </wp:positionV>
                <wp:extent cx="5201920" cy="2533650"/>
                <wp:effectExtent l="0" t="0" r="17780" b="19050"/>
                <wp:wrapSquare wrapText="bothSides"/>
                <wp:docPr id="1038926233" name="Text Box 1038926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2533650"/>
                        </a:xfrm>
                        <a:prstGeom prst="rect">
                          <a:avLst/>
                        </a:prstGeom>
                        <a:solidFill>
                          <a:srgbClr val="013C4C"/>
                        </a:solidFill>
                        <a:ln w="9525">
                          <a:solidFill>
                            <a:srgbClr val="000000"/>
                          </a:solidFill>
                          <a:miter lim="800000"/>
                          <a:headEnd/>
                          <a:tailEnd/>
                        </a:ln>
                      </wps:spPr>
                      <wps:txbx>
                        <w:txbxContent>
                          <w:p w14:paraId="49924231" w14:textId="24175022" w:rsidR="00222116" w:rsidRPr="0002742A" w:rsidRDefault="00420BB7" w:rsidP="00CA317F">
                            <w:pPr>
                              <w:ind w:left="142"/>
                              <w:rPr>
                                <w:i/>
                                <w:sz w:val="20"/>
                                <w:szCs w:val="24"/>
                              </w:rPr>
                            </w:pPr>
                            <w:r w:rsidRPr="0002742A">
                              <w:rPr>
                                <w:i/>
                                <w:sz w:val="20"/>
                                <w:szCs w:val="24"/>
                              </w:rPr>
                              <w:t>E</w:t>
                            </w:r>
                            <w:r w:rsidR="009258FD" w:rsidRPr="0002742A">
                              <w:rPr>
                                <w:i/>
                                <w:sz w:val="20"/>
                                <w:szCs w:val="24"/>
                              </w:rPr>
                              <w:t>nergy is an essential service</w:t>
                            </w:r>
                            <w:r w:rsidR="007478B7">
                              <w:rPr>
                                <w:i/>
                                <w:sz w:val="20"/>
                                <w:szCs w:val="24"/>
                              </w:rPr>
                              <w:t>;</w:t>
                            </w:r>
                            <w:r w:rsidR="009258FD" w:rsidRPr="0002742A">
                              <w:rPr>
                                <w:i/>
                                <w:sz w:val="20"/>
                                <w:szCs w:val="24"/>
                              </w:rPr>
                              <w:t xml:space="preserve"> the energy system exists to support the community and is not an end in itself.</w:t>
                            </w:r>
                          </w:p>
                          <w:p w14:paraId="0B022E44" w14:textId="761957A5" w:rsidR="00D51811" w:rsidRDefault="009976B9" w:rsidP="009976B9">
                            <w:pPr>
                              <w:pBdr>
                                <w:bottom w:val="single" w:sz="6" w:space="1" w:color="auto"/>
                              </w:pBdr>
                              <w:ind w:firstLine="284"/>
                              <w:jc w:val="right"/>
                              <w:rPr>
                                <w:sz w:val="16"/>
                                <w:szCs w:val="20"/>
                              </w:rPr>
                            </w:pPr>
                            <w:hyperlink w:anchor="Ref_ACOSS_AiGroup_EEC_PropCouncAus" w:history="1">
                              <w:r w:rsidRPr="0027512A">
                                <w:rPr>
                                  <w:rStyle w:val="Hyperlink"/>
                                  <w:sz w:val="16"/>
                                  <w:szCs w:val="20"/>
                                </w:rPr>
                                <w:t>ACOSS, AiG, EEC</w:t>
                              </w:r>
                              <w:r w:rsidR="009258FD" w:rsidRPr="0027512A">
                                <w:rPr>
                                  <w:rStyle w:val="Hyperlink"/>
                                  <w:sz w:val="16"/>
                                  <w:szCs w:val="20"/>
                                </w:rPr>
                                <w:t xml:space="preserve"> and Property Council of Australia</w:t>
                              </w:r>
                              <w:r w:rsidR="009943C4" w:rsidRPr="0027512A">
                                <w:rPr>
                                  <w:rStyle w:val="Hyperlink"/>
                                  <w:sz w:val="16"/>
                                  <w:szCs w:val="20"/>
                                </w:rPr>
                                <w:t xml:space="preserve"> </w:t>
                              </w:r>
                              <w:r w:rsidRPr="0027512A">
                                <w:rPr>
                                  <w:rStyle w:val="Hyperlink"/>
                                  <w:sz w:val="16"/>
                                  <w:szCs w:val="20"/>
                                </w:rPr>
                                <w:t>-</w:t>
                              </w:r>
                              <w:r w:rsidR="009943C4" w:rsidRPr="0027512A">
                                <w:rPr>
                                  <w:rStyle w:val="Hyperlink"/>
                                  <w:sz w:val="16"/>
                                  <w:szCs w:val="20"/>
                                </w:rPr>
                                <w:t xml:space="preserve"> </w:t>
                              </w:r>
                              <w:r w:rsidR="009258FD" w:rsidRPr="0027512A">
                                <w:rPr>
                                  <w:rStyle w:val="Hyperlink"/>
                                  <w:sz w:val="16"/>
                                  <w:szCs w:val="20"/>
                                </w:rPr>
                                <w:t>Demanding Better: A Reform Agenda for Harnessing the Power and Flexibility of Demand Side Energy Resources,</w:t>
                              </w:r>
                              <w:r w:rsidR="009943C4" w:rsidRPr="0027512A">
                                <w:rPr>
                                  <w:rStyle w:val="Hyperlink"/>
                                  <w:sz w:val="16"/>
                                  <w:szCs w:val="20"/>
                                </w:rPr>
                                <w:t xml:space="preserve"> December</w:t>
                              </w:r>
                              <w:r w:rsidR="009258FD" w:rsidRPr="0027512A">
                                <w:rPr>
                                  <w:rStyle w:val="Hyperlink"/>
                                  <w:sz w:val="16"/>
                                  <w:szCs w:val="20"/>
                                </w:rPr>
                                <w:t xml:space="preserve"> 2024</w:t>
                              </w:r>
                            </w:hyperlink>
                            <w:r w:rsidR="00D51811">
                              <w:rPr>
                                <w:sz w:val="16"/>
                                <w:szCs w:val="20"/>
                              </w:rPr>
                              <w:br/>
                            </w:r>
                          </w:p>
                          <w:p w14:paraId="6DB59FB9" w14:textId="77777777" w:rsidR="00322DCA" w:rsidRPr="00CA317F" w:rsidRDefault="00322DCA" w:rsidP="00CA317F">
                            <w:pPr>
                              <w:ind w:left="142" w:right="235"/>
                              <w:rPr>
                                <w:i/>
                                <w:sz w:val="20"/>
                                <w:szCs w:val="24"/>
                              </w:rPr>
                            </w:pPr>
                            <w:r w:rsidRPr="0002742A">
                              <w:rPr>
                                <w:i/>
                                <w:sz w:val="20"/>
                                <w:szCs w:val="24"/>
                              </w:rPr>
                              <w:t>Consumers expect leadership and transparency. The participants wanted government in control of the transition, not industry. They expected government to provide clear, consistent and timely information, and create regulations to protect them.</w:t>
                            </w:r>
                          </w:p>
                          <w:p w14:paraId="6BBD5ECF" w14:textId="70696D58" w:rsidR="001B6055" w:rsidRPr="00322DCA" w:rsidRDefault="001B6055" w:rsidP="009976B9">
                            <w:pPr>
                              <w:jc w:val="right"/>
                              <w:rPr>
                                <w:sz w:val="16"/>
                                <w:szCs w:val="20"/>
                              </w:rPr>
                            </w:pPr>
                            <w:hyperlink w:anchor="Ref_ECA_Power_Up_Consumer_Voices_2024" w:history="1">
                              <w:r w:rsidRPr="00764271">
                                <w:rPr>
                                  <w:rStyle w:val="Hyperlink"/>
                                  <w:sz w:val="16"/>
                                  <w:szCs w:val="20"/>
                                </w:rPr>
                                <w:t>Energy Consumers Australia - PowerUp: Consumer Voices in the Energy Transition, July 2024</w:t>
                              </w:r>
                            </w:hyperlink>
                          </w:p>
                          <w:p w14:paraId="5AEB2CE6" w14:textId="77777777" w:rsidR="00322DCA" w:rsidRPr="00322DCA" w:rsidRDefault="00322DCA" w:rsidP="00322DCA">
                            <w:pPr>
                              <w:rPr>
                                <w:sz w:val="16"/>
                                <w:szCs w:val="20"/>
                              </w:rPr>
                            </w:pPr>
                          </w:p>
                          <w:p w14:paraId="0B265D95" w14:textId="77777777" w:rsidR="009943C4" w:rsidRPr="005850F6" w:rsidRDefault="00322DCA" w:rsidP="00322DCA">
                            <w:pPr>
                              <w:rPr>
                                <w:sz w:val="16"/>
                                <w:szCs w:val="20"/>
                              </w:rPr>
                            </w:pPr>
                            <w:r w:rsidRPr="00322DCA">
                              <w:rPr>
                                <w:sz w:val="16"/>
                                <w:szCs w:val="20"/>
                              </w:rPr>
                              <w:t>Energy Consumers Australia, PowerUp: Consumer Voices in the Energy Transition, Jul.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5E25E" id="Text Box 1038926233" o:spid="_x0000_s1027" type="#_x0000_t202" style="position:absolute;margin-left:0;margin-top:104.1pt;width:409.6pt;height:19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" fillcolor="#013c4c">
                <v:textbox>
                  <w:txbxContent>
                    <w:p w14:paraId="49924231" w14:textId="24175022" w:rsidR="00222116" w:rsidRPr="0002742A" w:rsidRDefault="00420BB7" w:rsidP="00CA317F">
                      <w:pPr>
                        <w:ind w:left="142"/>
                        <w:rPr>
                          <w:i/>
                          <w:sz w:val="20"/>
                          <w:szCs w:val="24"/>
                        </w:rPr>
                      </w:pPr>
                      <w:r w:rsidRPr="0002742A">
                        <w:rPr>
                          <w:i/>
                          <w:sz w:val="20"/>
                          <w:szCs w:val="24"/>
                        </w:rPr>
                        <w:t>E</w:t>
                      </w:r>
                      <w:r w:rsidR="009258FD" w:rsidRPr="0002742A">
                        <w:rPr>
                          <w:i/>
                          <w:sz w:val="20"/>
                          <w:szCs w:val="24"/>
                        </w:rPr>
                        <w:t>nergy is an essential service</w:t>
                      </w:r>
                      <w:r w:rsidR="007478B7">
                        <w:rPr>
                          <w:i/>
                          <w:sz w:val="20"/>
                          <w:szCs w:val="24"/>
                        </w:rPr>
                        <w:t>;</w:t>
                      </w:r>
                      <w:r w:rsidR="009258FD" w:rsidRPr="0002742A">
                        <w:rPr>
                          <w:i/>
                          <w:sz w:val="20"/>
                          <w:szCs w:val="24"/>
                        </w:rPr>
                        <w:t xml:space="preserve"> the energy system exists to support the community and is not an end in itself.</w:t>
                      </w:r>
                    </w:p>
                    <w:p w14:paraId="0B022E44" w14:textId="761957A5" w:rsidR="00D51811" w:rsidRDefault="009976B9" w:rsidP="009976B9">
                      <w:pPr>
                        <w:pBdr>
                          <w:bottom w:val="single" w:sz="6" w:space="1" w:color="auto"/>
                        </w:pBdr>
                        <w:ind w:firstLine="284"/>
                        <w:jc w:val="right"/>
                        <w:rPr>
                          <w:sz w:val="16"/>
                          <w:szCs w:val="20"/>
                        </w:rPr>
                      </w:pPr>
                      <w:hyperlink w:anchor="Ref_ACOSS_AiGroup_EEC_PropCouncAus" w:history="1">
                        <w:r w:rsidRPr="0027512A">
                          <w:rPr>
                            <w:rStyle w:val="Hyperlink"/>
                            <w:sz w:val="16"/>
                            <w:szCs w:val="20"/>
                          </w:rPr>
                          <w:t>ACOSS, AiG, EEC</w:t>
                        </w:r>
                        <w:r w:rsidR="009258FD" w:rsidRPr="0027512A">
                          <w:rPr>
                            <w:rStyle w:val="Hyperlink"/>
                            <w:sz w:val="16"/>
                            <w:szCs w:val="20"/>
                          </w:rPr>
                          <w:t xml:space="preserve"> and Property Council of Australia</w:t>
                        </w:r>
                        <w:r w:rsidR="009943C4" w:rsidRPr="0027512A">
                          <w:rPr>
                            <w:rStyle w:val="Hyperlink"/>
                            <w:sz w:val="16"/>
                            <w:szCs w:val="20"/>
                          </w:rPr>
                          <w:t xml:space="preserve"> </w:t>
                        </w:r>
                        <w:r w:rsidRPr="0027512A">
                          <w:rPr>
                            <w:rStyle w:val="Hyperlink"/>
                            <w:sz w:val="16"/>
                            <w:szCs w:val="20"/>
                          </w:rPr>
                          <w:t>-</w:t>
                        </w:r>
                        <w:r w:rsidR="009943C4" w:rsidRPr="0027512A">
                          <w:rPr>
                            <w:rStyle w:val="Hyperlink"/>
                            <w:sz w:val="16"/>
                            <w:szCs w:val="20"/>
                          </w:rPr>
                          <w:t xml:space="preserve"> </w:t>
                        </w:r>
                        <w:r w:rsidR="009258FD" w:rsidRPr="0027512A">
                          <w:rPr>
                            <w:rStyle w:val="Hyperlink"/>
                            <w:sz w:val="16"/>
                            <w:szCs w:val="20"/>
                          </w:rPr>
                          <w:t>Demanding Better: A Reform Agenda for Harnessing the Power and Flexibility of Demand Side Energy Resources,</w:t>
                        </w:r>
                        <w:r w:rsidR="009943C4" w:rsidRPr="0027512A">
                          <w:rPr>
                            <w:rStyle w:val="Hyperlink"/>
                            <w:sz w:val="16"/>
                            <w:szCs w:val="20"/>
                          </w:rPr>
                          <w:t xml:space="preserve"> December</w:t>
                        </w:r>
                        <w:r w:rsidR="009258FD" w:rsidRPr="0027512A">
                          <w:rPr>
                            <w:rStyle w:val="Hyperlink"/>
                            <w:sz w:val="16"/>
                            <w:szCs w:val="20"/>
                          </w:rPr>
                          <w:t xml:space="preserve"> 2024</w:t>
                        </w:r>
                      </w:hyperlink>
                      <w:r w:rsidR="00D51811">
                        <w:rPr>
                          <w:sz w:val="16"/>
                          <w:szCs w:val="20"/>
                        </w:rPr>
                        <w:br/>
                      </w:r>
                    </w:p>
                    <w:p w14:paraId="6DB59FB9" w14:textId="77777777" w:rsidR="00322DCA" w:rsidRPr="00CA317F" w:rsidRDefault="00322DCA" w:rsidP="00CA317F">
                      <w:pPr>
                        <w:ind w:left="142" w:right="235"/>
                        <w:rPr>
                          <w:i/>
                          <w:sz w:val="20"/>
                          <w:szCs w:val="24"/>
                        </w:rPr>
                      </w:pPr>
                      <w:r w:rsidRPr="0002742A">
                        <w:rPr>
                          <w:i/>
                          <w:sz w:val="20"/>
                          <w:szCs w:val="24"/>
                        </w:rPr>
                        <w:t>Consumers expect leadership and transparency. The participants wanted government in control of the transition, not industry. They expected government to provide clear, consistent and timely information, and create regulations to protect them.</w:t>
                      </w:r>
                    </w:p>
                    <w:p w14:paraId="6BBD5ECF" w14:textId="70696D58" w:rsidR="001B6055" w:rsidRPr="00322DCA" w:rsidRDefault="001B6055" w:rsidP="009976B9">
                      <w:pPr>
                        <w:jc w:val="right"/>
                        <w:rPr>
                          <w:sz w:val="16"/>
                          <w:szCs w:val="20"/>
                        </w:rPr>
                      </w:pPr>
                      <w:hyperlink w:anchor="Ref_ECA_Power_Up_Consumer_Voices_2024" w:history="1">
                        <w:r w:rsidRPr="00764271">
                          <w:rPr>
                            <w:rStyle w:val="Hyperlink"/>
                            <w:sz w:val="16"/>
                            <w:szCs w:val="20"/>
                          </w:rPr>
                          <w:t>Energy Consumers Australia - PowerUp: Consumer Voices in the Energy Transition, July 2024</w:t>
                        </w:r>
                      </w:hyperlink>
                    </w:p>
                    <w:p w14:paraId="5AEB2CE6" w14:textId="77777777" w:rsidR="00322DCA" w:rsidRPr="00322DCA" w:rsidRDefault="00322DCA" w:rsidP="00322DCA">
                      <w:pPr>
                        <w:rPr>
                          <w:sz w:val="16"/>
                          <w:szCs w:val="20"/>
                        </w:rPr>
                      </w:pPr>
                    </w:p>
                    <w:p w14:paraId="0B265D95" w14:textId="77777777" w:rsidR="009943C4" w:rsidRPr="005850F6" w:rsidRDefault="00322DCA" w:rsidP="00322DCA">
                      <w:pPr>
                        <w:rPr>
                          <w:sz w:val="16"/>
                          <w:szCs w:val="20"/>
                        </w:rPr>
                      </w:pPr>
                      <w:r w:rsidRPr="00322DCA">
                        <w:rPr>
                          <w:sz w:val="16"/>
                          <w:szCs w:val="20"/>
                        </w:rPr>
                        <w:t>Energy Consumers Australia, PowerUp: Consumer Voices in the Energy Transition, Jul. 2024</w:t>
                      </w:r>
                    </w:p>
                  </w:txbxContent>
                </v:textbox>
                <w10:wrap type="square" anchorx="margin"/>
              </v:shape>
            </w:pict>
          </mc:Fallback>
        </mc:AlternateContent>
      </w:r>
      <w:r w:rsidR="008A799C" w:rsidRPr="00050A5B">
        <w:rPr>
          <w:rFonts w:cs="Calibri"/>
        </w:rPr>
        <w:t>As an essential service, ultimate responsibility for a dependable power system will continue to reside with government</w:t>
      </w:r>
      <w:r w:rsidR="00C90EE7">
        <w:rPr>
          <w:rFonts w:cs="Calibri"/>
        </w:rPr>
        <w:t>s</w:t>
      </w:r>
      <w:r w:rsidR="008A799C" w:rsidRPr="00050A5B">
        <w:rPr>
          <w:rFonts w:cs="Calibri"/>
        </w:rPr>
        <w:t xml:space="preserve">. </w:t>
      </w:r>
      <w:r w:rsidR="00020BEB" w:rsidRPr="00020BEB">
        <w:rPr>
          <w:rFonts w:cs="Calibri"/>
        </w:rPr>
        <w:t>Numerous discussions in the literature note that improving reliability, resilience, and restoration time should be prioritised for customer benefit</w:t>
      </w:r>
      <w:r w:rsidR="00CC560B">
        <w:rPr>
          <w:rFonts w:cs="Calibri"/>
        </w:rPr>
        <w:t xml:space="preserve"> (refer to </w:t>
      </w:r>
      <w:hyperlink w:anchor="Reference_8_1" w:history="1">
        <w:r w:rsidR="005262DF" w:rsidRPr="00A80FF8">
          <w:rPr>
            <w:rStyle w:val="Hyperlink"/>
            <w:rFonts w:cs="Calibri"/>
          </w:rPr>
          <w:t>References 8.1</w:t>
        </w:r>
      </w:hyperlink>
      <w:r w:rsidR="005262DF">
        <w:rPr>
          <w:rFonts w:cs="Calibri"/>
        </w:rPr>
        <w:t>)</w:t>
      </w:r>
      <w:r w:rsidR="00020BEB" w:rsidRPr="00020BEB">
        <w:rPr>
          <w:rFonts w:cs="Calibri"/>
        </w:rPr>
        <w:t xml:space="preserve">. This potential increases as the power system </w:t>
      </w:r>
      <w:r w:rsidR="00020BEB">
        <w:rPr>
          <w:rFonts w:cs="Calibri"/>
        </w:rPr>
        <w:t>becomes</w:t>
      </w:r>
      <w:r w:rsidR="00020BEB" w:rsidRPr="00020BEB">
        <w:rPr>
          <w:rFonts w:cs="Calibri"/>
        </w:rPr>
        <w:t xml:space="preserve"> more automated, digitised, coordinated, and decentralised.</w:t>
      </w:r>
      <w:r w:rsidR="00020BEB">
        <w:rPr>
          <w:rFonts w:cs="Calibri"/>
        </w:rPr>
        <w:t xml:space="preserve"> </w:t>
      </w:r>
      <w:r w:rsidR="00697636">
        <w:rPr>
          <w:rFonts w:cs="Calibri"/>
        </w:rPr>
        <w:t xml:space="preserve">At the same time, it is also recognised that </w:t>
      </w:r>
      <w:r w:rsidR="008A799C" w:rsidRPr="00050A5B">
        <w:rPr>
          <w:rFonts w:cs="Calibri"/>
        </w:rPr>
        <w:t xml:space="preserve">digitalisation also introduces new challenges and vulnerabilities, such as data privacy and cyber-security, which must be addressed to </w:t>
      </w:r>
      <w:r w:rsidR="00697636">
        <w:rPr>
          <w:rFonts w:cs="Calibri"/>
        </w:rPr>
        <w:t>ensure</w:t>
      </w:r>
      <w:r w:rsidR="008A799C" w:rsidRPr="00050A5B">
        <w:rPr>
          <w:rFonts w:cs="Calibri"/>
        </w:rPr>
        <w:t xml:space="preserve"> a safe and secure system.</w:t>
      </w:r>
    </w:p>
    <w:p w14:paraId="29D9234F" w14:textId="77777777" w:rsidR="00F47D56" w:rsidRPr="00050A5B" w:rsidRDefault="00F47D56">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sidRPr="00050A5B">
        <w:rPr>
          <w:lang w:eastAsia="en-US" w:bidi="ar-SA"/>
        </w:rPr>
        <w:br w:type="page"/>
      </w:r>
    </w:p>
    <w:p w14:paraId="22E2781A" w14:textId="6EC58055" w:rsidR="00706727" w:rsidRPr="00050A5B" w:rsidRDefault="00706727" w:rsidP="00F47D56">
      <w:pPr>
        <w:pStyle w:val="Heading2"/>
        <w:ind w:left="578" w:hanging="578"/>
        <w:rPr>
          <w:lang w:eastAsia="en-US" w:bidi="ar-SA"/>
        </w:rPr>
      </w:pPr>
      <w:bookmarkStart w:id="34" w:name="_Toc205536755"/>
      <w:r w:rsidRPr="00050A5B">
        <w:rPr>
          <w:caps/>
          <w:lang w:eastAsia="en-US" w:bidi="ar-SA"/>
        </w:rPr>
        <w:t>Affordable</w:t>
      </w:r>
      <w:r w:rsidRPr="00050A5B">
        <w:rPr>
          <w:lang w:eastAsia="en-US" w:bidi="ar-SA"/>
        </w:rPr>
        <w:t>: Efficient and cost-effective</w:t>
      </w:r>
      <w:bookmarkEnd w:id="34"/>
    </w:p>
    <w:p w14:paraId="7B8AB99F" w14:textId="7A9EA5BB" w:rsidR="008C440F" w:rsidRPr="00050A5B" w:rsidRDefault="008C440F" w:rsidP="008C440F">
      <w:pPr>
        <w:spacing w:after="0" w:line="288" w:lineRule="auto"/>
        <w:rPr>
          <w:rFonts w:cs="Calibri"/>
        </w:rPr>
      </w:pPr>
      <w:r w:rsidRPr="00050A5B">
        <w:rPr>
          <w:rFonts w:cs="Calibri"/>
        </w:rPr>
        <w:t xml:space="preserve">Affordability </w:t>
      </w:r>
      <w:r w:rsidR="00A42974" w:rsidRPr="00050A5B">
        <w:rPr>
          <w:rFonts w:cs="Calibri"/>
        </w:rPr>
        <w:t>is</w:t>
      </w:r>
      <w:r w:rsidRPr="00050A5B">
        <w:rPr>
          <w:rFonts w:cs="Calibri"/>
        </w:rPr>
        <w:t xml:space="preserve"> recognised in the literature as a </w:t>
      </w:r>
      <w:r w:rsidR="00E771C2" w:rsidRPr="00050A5B">
        <w:rPr>
          <w:rFonts w:cs="Calibri"/>
        </w:rPr>
        <w:t xml:space="preserve">critical </w:t>
      </w:r>
      <w:r w:rsidRPr="00050A5B">
        <w:rPr>
          <w:rFonts w:cs="Calibri"/>
        </w:rPr>
        <w:t xml:space="preserve">priority with significant scope for improvement in the future power system. As a baseline, Energy Consumers Australia’s </w:t>
      </w:r>
      <w:r w:rsidR="0071539B">
        <w:rPr>
          <w:rFonts w:cs="Calibri"/>
        </w:rPr>
        <w:t>2022</w:t>
      </w:r>
      <w:r w:rsidRPr="00050A5B">
        <w:rPr>
          <w:rFonts w:cs="Calibri"/>
        </w:rPr>
        <w:t xml:space="preserve"> </w:t>
      </w:r>
      <w:hyperlink w:anchor="Ref_ECA_Sentiment_Survey_Household_2022" w:history="1">
        <w:r w:rsidRPr="00682120">
          <w:rPr>
            <w:rStyle w:val="Hyperlink"/>
            <w:rFonts w:cs="Calibri"/>
          </w:rPr>
          <w:t>Energy Consumer Sentiment Survey</w:t>
        </w:r>
      </w:hyperlink>
      <w:r w:rsidRPr="00050A5B">
        <w:rPr>
          <w:rFonts w:cs="Calibri"/>
        </w:rPr>
        <w:t xml:space="preserve"> indicates </w:t>
      </w:r>
      <w:r w:rsidR="00B60BBE" w:rsidRPr="00050A5B">
        <w:rPr>
          <w:rFonts w:cs="Calibri"/>
        </w:rPr>
        <w:t xml:space="preserve">consumer likelihood of identifying as under financial pressure per income bracket </w:t>
      </w:r>
      <w:r w:rsidRPr="00050A5B">
        <w:rPr>
          <w:rFonts w:cs="Calibri"/>
        </w:rPr>
        <w:t>(</w:t>
      </w:r>
      <w:hyperlink w:anchor="Figure_3" w:history="1">
        <w:r w:rsidRPr="00E84B7F">
          <w:rPr>
            <w:rStyle w:val="Hyperlink"/>
            <w:rFonts w:cs="Calibri"/>
          </w:rPr>
          <w:t>Figure 3</w:t>
        </w:r>
      </w:hyperlink>
      <w:r w:rsidRPr="00050A5B">
        <w:rPr>
          <w:rFonts w:cs="Calibri"/>
        </w:rPr>
        <w:t xml:space="preserve">) and the value for money of electricity services as </w:t>
      </w:r>
      <w:r w:rsidR="005B7414" w:rsidRPr="00050A5B">
        <w:rPr>
          <w:rFonts w:cs="Calibri"/>
        </w:rPr>
        <w:t xml:space="preserve">second </w:t>
      </w:r>
      <w:r w:rsidRPr="00050A5B">
        <w:rPr>
          <w:rFonts w:cs="Calibri"/>
        </w:rPr>
        <w:t>lowest across all services assessed (</w:t>
      </w:r>
      <w:hyperlink w:anchor="Figure_4" w:history="1">
        <w:r w:rsidRPr="00E84B7F">
          <w:rPr>
            <w:rStyle w:val="Hyperlink"/>
            <w:rFonts w:cs="Calibri"/>
          </w:rPr>
          <w:t>Figure 4</w:t>
        </w:r>
      </w:hyperlink>
      <w:r w:rsidRPr="00050A5B">
        <w:rPr>
          <w:rFonts w:cs="Calibri"/>
        </w:rPr>
        <w:t xml:space="preserve">). Various sources also highlighted that many emerging features of the future power system are tightly coupled with affordability, such as automation, demand-side flexibility, cost-reflective tariffs, unbundling of energy services, energy efficiency. </w:t>
      </w:r>
    </w:p>
    <w:p w14:paraId="79657664" w14:textId="77777777" w:rsidR="00C20035" w:rsidRDefault="00D263D7" w:rsidP="00C20035">
      <w:pPr>
        <w:keepNext/>
        <w:spacing w:before="120" w:after="0" w:line="288" w:lineRule="auto"/>
        <w:jc w:val="center"/>
      </w:pPr>
      <w:r w:rsidRPr="00050A5B">
        <w:rPr>
          <w:rFonts w:cs="Calibri"/>
          <w:noProof/>
        </w:rPr>
        <w:drawing>
          <wp:inline distT="0" distB="0" distL="0" distR="0" wp14:anchorId="66723974" wp14:editId="37F20D60">
            <wp:extent cx="4864100" cy="2502467"/>
            <wp:effectExtent l="0" t="0" r="0" b="0"/>
            <wp:docPr id="1724561265"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61265" name="Picture 1" descr="A graph of different colored lines&#10;&#10;AI-generated content may be incorrect."/>
                    <pic:cNvPicPr/>
                  </pic:nvPicPr>
                  <pic:blipFill>
                    <a:blip r:embed="rId24"/>
                    <a:stretch>
                      <a:fillRect/>
                    </a:stretch>
                  </pic:blipFill>
                  <pic:spPr>
                    <a:xfrm>
                      <a:off x="0" y="0"/>
                      <a:ext cx="4870185" cy="2505598"/>
                    </a:xfrm>
                    <a:prstGeom prst="rect">
                      <a:avLst/>
                    </a:prstGeom>
                  </pic:spPr>
                </pic:pic>
              </a:graphicData>
            </a:graphic>
          </wp:inline>
        </w:drawing>
      </w:r>
    </w:p>
    <w:p w14:paraId="62560707" w14:textId="6C82B29A" w:rsidR="008C440F" w:rsidRPr="00050A5B" w:rsidRDefault="00C20035" w:rsidP="00C20035">
      <w:pPr>
        <w:pStyle w:val="Caption"/>
        <w:rPr>
          <w:rFonts w:cs="Calibri"/>
        </w:rPr>
      </w:pPr>
      <w:bookmarkStart w:id="35" w:name="_Toc204156266"/>
      <w:r>
        <w:t xml:space="preserve">Figure </w:t>
      </w:r>
      <w:fldSimple w:instr=" SEQ Figure \* ARABIC ">
        <w:r w:rsidR="00B170DF">
          <w:rPr>
            <w:noProof/>
          </w:rPr>
          <w:t>4</w:t>
        </w:r>
      </w:fldSimple>
      <w:r>
        <w:t>:</w:t>
      </w:r>
      <w:bookmarkStart w:id="36" w:name="_Toc134518039"/>
      <w:bookmarkStart w:id="37" w:name="Figure_3"/>
      <w:r w:rsidR="008C440F" w:rsidRPr="00050A5B">
        <w:rPr>
          <w:rFonts w:cs="Calibri"/>
        </w:rPr>
        <w:t xml:space="preserve"> </w:t>
      </w:r>
      <w:bookmarkStart w:id="38" w:name="_Toc134518040"/>
      <w:bookmarkEnd w:id="36"/>
      <w:r w:rsidR="003C7AFB" w:rsidRPr="00050A5B">
        <w:rPr>
          <w:rFonts w:cs="Calibri"/>
        </w:rPr>
        <w:t>Consumer likelihood of identifying as under financial pressure</w:t>
      </w:r>
      <w:r w:rsidR="002B5676" w:rsidRPr="00050A5B">
        <w:rPr>
          <w:rFonts w:cs="Calibri"/>
        </w:rPr>
        <w:t>, per income bracket</w:t>
      </w:r>
      <w:r w:rsidR="00FC3A66">
        <w:rPr>
          <w:rFonts w:cs="Calibri"/>
        </w:rPr>
        <w:t>.</w:t>
      </w:r>
      <w:bookmarkEnd w:id="35"/>
    </w:p>
    <w:p w14:paraId="2D1BE5F6" w14:textId="77777777" w:rsidR="00017F86" w:rsidRDefault="00017F86" w:rsidP="0013632B">
      <w:pPr>
        <w:pStyle w:val="Caption"/>
        <w:spacing w:line="288" w:lineRule="auto"/>
        <w:rPr>
          <w:rFonts w:cs="Calibri"/>
          <w:bCs/>
        </w:rPr>
      </w:pPr>
      <w:bookmarkStart w:id="39" w:name="_Ref113279563"/>
      <w:bookmarkEnd w:id="37"/>
      <w:r w:rsidRPr="00050A5B">
        <w:rPr>
          <w:rFonts w:cs="Calibri"/>
          <w:noProof/>
        </w:rPr>
        <w:drawing>
          <wp:inline distT="0" distB="0" distL="0" distR="0" wp14:anchorId="1DA32DBC" wp14:editId="181E5519">
            <wp:extent cx="4744178" cy="2724150"/>
            <wp:effectExtent l="0" t="0" r="0" b="0"/>
            <wp:docPr id="410472670" name="Picture 1" descr="A graph of blue and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2670" name="Picture 1" descr="A graph of blue and red bars&#10;&#10;AI-generated content may be incorrect."/>
                    <pic:cNvPicPr/>
                  </pic:nvPicPr>
                  <pic:blipFill>
                    <a:blip r:embed="rId25"/>
                    <a:stretch>
                      <a:fillRect/>
                    </a:stretch>
                  </pic:blipFill>
                  <pic:spPr>
                    <a:xfrm>
                      <a:off x="0" y="0"/>
                      <a:ext cx="4753666" cy="2729598"/>
                    </a:xfrm>
                    <a:prstGeom prst="rect">
                      <a:avLst/>
                    </a:prstGeom>
                  </pic:spPr>
                </pic:pic>
              </a:graphicData>
            </a:graphic>
          </wp:inline>
        </w:drawing>
      </w:r>
    </w:p>
    <w:p w14:paraId="35088C30" w14:textId="451A19A4" w:rsidR="008C440F" w:rsidRPr="00050A5B" w:rsidRDefault="00583B37" w:rsidP="00583B37">
      <w:pPr>
        <w:pStyle w:val="Caption"/>
        <w:rPr>
          <w:rFonts w:cs="Calibri"/>
        </w:rPr>
      </w:pPr>
      <w:bookmarkStart w:id="40" w:name="_Toc204156267"/>
      <w:bookmarkStart w:id="41" w:name="Figure_4"/>
      <w:r w:rsidRPr="00050A5B">
        <w:rPr>
          <w:rFonts w:cs="Calibri"/>
        </w:rPr>
        <w:t xml:space="preserve">Figure </w:t>
      </w:r>
      <w:fldSimple w:instr=" SEQ Figure \* ARABIC ">
        <w:r w:rsidR="00B170DF">
          <w:rPr>
            <w:noProof/>
          </w:rPr>
          <w:t>5</w:t>
        </w:r>
      </w:fldSimple>
      <w:r>
        <w:t>:</w:t>
      </w:r>
      <w:bookmarkEnd w:id="39"/>
      <w:r w:rsidR="008C440F" w:rsidRPr="00050A5B">
        <w:rPr>
          <w:rFonts w:cs="Calibri"/>
        </w:rPr>
        <w:t xml:space="preserve"> </w:t>
      </w:r>
      <w:r w:rsidR="004712D8" w:rsidRPr="00050A5B">
        <w:rPr>
          <w:rFonts w:cs="Calibri"/>
        </w:rPr>
        <w:t xml:space="preserve">Consumer-perceived value for money </w:t>
      </w:r>
      <w:r w:rsidR="00597EE7" w:rsidRPr="00050A5B">
        <w:rPr>
          <w:rFonts w:cs="Calibri"/>
        </w:rPr>
        <w:t xml:space="preserve">across </w:t>
      </w:r>
      <w:r w:rsidR="00CD7285" w:rsidRPr="00050A5B">
        <w:rPr>
          <w:rFonts w:cs="Calibri"/>
        </w:rPr>
        <w:t>different services</w:t>
      </w:r>
      <w:bookmarkEnd w:id="38"/>
      <w:r>
        <w:rPr>
          <w:rFonts w:cs="Calibri"/>
        </w:rPr>
        <w:t>.</w:t>
      </w:r>
      <w:bookmarkEnd w:id="40"/>
    </w:p>
    <w:bookmarkEnd w:id="41"/>
    <w:p w14:paraId="23F6DC7D" w14:textId="701F187B" w:rsidR="008C440F" w:rsidRPr="00050A5B" w:rsidRDefault="003E5219" w:rsidP="008C440F">
      <w:pPr>
        <w:spacing w:line="288" w:lineRule="auto"/>
        <w:rPr>
          <w:rFonts w:cs="Calibri"/>
        </w:rPr>
      </w:pPr>
      <w:r w:rsidRPr="00050A5B">
        <w:rPr>
          <w:rFonts w:cs="Calibri"/>
          <w:noProof/>
        </w:rPr>
        <mc:AlternateContent>
          <mc:Choice Requires="wps">
            <w:drawing>
              <wp:anchor distT="45720" distB="45720" distL="114300" distR="114300" simplePos="0" relativeHeight="251658240" behindDoc="0" locked="0" layoutInCell="1" allowOverlap="1" wp14:anchorId="29BBE449" wp14:editId="2F7AE015">
                <wp:simplePos x="0" y="0"/>
                <wp:positionH relativeFrom="margin">
                  <wp:posOffset>-1270</wp:posOffset>
                </wp:positionH>
                <wp:positionV relativeFrom="paragraph">
                  <wp:posOffset>1332230</wp:posOffset>
                </wp:positionV>
                <wp:extent cx="5194935" cy="4508500"/>
                <wp:effectExtent l="0" t="0" r="24765"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4508500"/>
                        </a:xfrm>
                        <a:prstGeom prst="rect">
                          <a:avLst/>
                        </a:prstGeom>
                        <a:solidFill>
                          <a:srgbClr val="013C4C"/>
                        </a:solidFill>
                        <a:ln w="9525">
                          <a:solidFill>
                            <a:srgbClr val="000000"/>
                          </a:solidFill>
                          <a:miter lim="800000"/>
                          <a:headEnd/>
                          <a:tailEnd/>
                        </a:ln>
                      </wps:spPr>
                      <wps:txbx>
                        <w:txbxContent>
                          <w:p w14:paraId="2ECB062E" w14:textId="77777777" w:rsidR="003A0A99" w:rsidRPr="003A0A99" w:rsidRDefault="003A0A99" w:rsidP="003A0A99">
                            <w:pPr>
                              <w:ind w:left="142"/>
                              <w:rPr>
                                <w:i/>
                                <w:sz w:val="20"/>
                                <w:szCs w:val="24"/>
                              </w:rPr>
                            </w:pPr>
                            <w:r w:rsidRPr="003A0A99">
                              <w:rPr>
                                <w:i/>
                                <w:sz w:val="20"/>
                                <w:szCs w:val="24"/>
                              </w:rPr>
                              <w:t>There is a well-known and widely accepted correlation between income and the energy divide… low-income households are consistently paying a greater portion of their income on energy than their higher earning counterparts. Results from December 2023 indicate that for the lowest income households (below $20,000/year), energy costs represent 13.6% of their total income, an increase of 1.2% compared to December 2022. This is over five times more than the proportion of income spent on energy by the highest earning group.</w:t>
                            </w:r>
                          </w:p>
                          <w:p w14:paraId="3DB8E309" w14:textId="2F8E107A" w:rsidR="003A0A99" w:rsidRDefault="003A0A99" w:rsidP="003A0A99">
                            <w:pPr>
                              <w:jc w:val="right"/>
                              <w:rPr>
                                <w:sz w:val="16"/>
                                <w:szCs w:val="20"/>
                              </w:rPr>
                            </w:pPr>
                            <w:hyperlink w:anchor="Ref_8_2_ECA_Understanding_the_E_Div_2023" w:history="1">
                              <w:r w:rsidRPr="00E5766C">
                                <w:rPr>
                                  <w:rStyle w:val="Hyperlink"/>
                                </w:rPr>
                                <w:t>Energy Consumers Australia - Understanding the Energy Divide (Explainer), December 2023</w:t>
                              </w:r>
                            </w:hyperlink>
                            <w:r>
                              <w:rPr>
                                <w:sz w:val="16"/>
                                <w:szCs w:val="20"/>
                              </w:rPr>
                              <w:t xml:space="preserve"> </w:t>
                            </w:r>
                          </w:p>
                          <w:p w14:paraId="7C8D7BC2" w14:textId="24699B6E" w:rsidR="00D07D8E" w:rsidRPr="00D07D8E" w:rsidRDefault="00DF6B3D" w:rsidP="003A0A99">
                            <w:pPr>
                              <w:ind w:left="142"/>
                              <w:rPr>
                                <w:i/>
                                <w:iCs/>
                                <w:sz w:val="20"/>
                                <w:szCs w:val="24"/>
                              </w:rPr>
                            </w:pPr>
                            <w:r w:rsidRPr="00D07D8E">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42A58524" w14:textId="0D28F05C" w:rsidR="009778D2" w:rsidRDefault="00D07D8E" w:rsidP="00BE26E2">
                            <w:pPr>
                              <w:jc w:val="right"/>
                              <w:rPr>
                                <w:sz w:val="16"/>
                                <w:szCs w:val="20"/>
                              </w:rPr>
                            </w:pPr>
                            <w:hyperlink w:anchor="Ref_ACOSS_et_al_Demanding_Better_2024" w:history="1">
                              <w:r w:rsidRPr="00591005">
                                <w:rPr>
                                  <w:rStyle w:val="Hyperlink"/>
                                  <w:sz w:val="16"/>
                                  <w:szCs w:val="20"/>
                                </w:rPr>
                                <w:t xml:space="preserve">ACOSS, AiG, EEC and </w:t>
                              </w:r>
                              <w:r w:rsidR="00DF6B3D" w:rsidRPr="00591005">
                                <w:rPr>
                                  <w:rStyle w:val="Hyperlink"/>
                                  <w:sz w:val="16"/>
                                  <w:szCs w:val="20"/>
                                </w:rPr>
                                <w:t>Property Council of Australia - Demanding Better: A Reform Agenda for Harnessing the Power and Flexibility of Demand Side Energy Resources, December 2024</w:t>
                              </w:r>
                            </w:hyperlink>
                          </w:p>
                          <w:p w14:paraId="5C953C58" w14:textId="5417EE9E" w:rsidR="009778D2" w:rsidRPr="009778D2" w:rsidRDefault="009778D2" w:rsidP="003A0A99">
                            <w:pPr>
                              <w:ind w:left="142"/>
                              <w:rPr>
                                <w:i/>
                                <w:iCs/>
                                <w:sz w:val="20"/>
                                <w:szCs w:val="24"/>
                              </w:rPr>
                            </w:pPr>
                            <w:r w:rsidRPr="009778D2">
                              <w:rPr>
                                <w:i/>
                                <w:iCs/>
                                <w:sz w:val="20"/>
                                <w:szCs w:val="24"/>
                              </w:rPr>
                              <w:t>For the past 20 years, economic regulators of the energy market have told consumers to shop around for a better energy deal if they are not happy or if they are concerned their bills are too high. As far as consumers are concerned, the ‘system’ has said to them: It’s your risk. You manage it.</w:t>
                            </w:r>
                          </w:p>
                          <w:p w14:paraId="65B09E45" w14:textId="5412BE7C" w:rsidR="00194C0D" w:rsidRDefault="00635DD0" w:rsidP="00027033">
                            <w:pPr>
                              <w:jc w:val="right"/>
                              <w:rPr>
                                <w:sz w:val="16"/>
                                <w:szCs w:val="20"/>
                              </w:rPr>
                            </w:pPr>
                            <w:hyperlink w:anchor="Ref_Minimising_Consumer_Harm_2022" w:history="1">
                              <w:r w:rsidRPr="004150EA">
                                <w:rPr>
                                  <w:rStyle w:val="Hyperlink"/>
                                  <w:sz w:val="16"/>
                                  <w:szCs w:val="20"/>
                                </w:rPr>
                                <w:t>Monash University (</w:t>
                              </w:r>
                              <w:r w:rsidR="009778D2" w:rsidRPr="004150EA">
                                <w:rPr>
                                  <w:rStyle w:val="Hyperlink"/>
                                  <w:sz w:val="16"/>
                                  <w:szCs w:val="20"/>
                                </w:rPr>
                                <w:t>R. Ben-David</w:t>
                              </w:r>
                              <w:r w:rsidRPr="004150EA">
                                <w:rPr>
                                  <w:rStyle w:val="Hyperlink"/>
                                  <w:sz w:val="16"/>
                                  <w:szCs w:val="20"/>
                                </w:rPr>
                                <w:t>) -</w:t>
                              </w:r>
                              <w:r w:rsidR="009778D2" w:rsidRPr="004150EA">
                                <w:rPr>
                                  <w:rStyle w:val="Hyperlink"/>
                                  <w:sz w:val="16"/>
                                  <w:szCs w:val="20"/>
                                </w:rPr>
                                <w:t xml:space="preserve"> Minimising Consumer Harm for a Successful Energy Transition, Presentation to IPART’s 30th Anniversary Conference, Nov</w:t>
                              </w:r>
                              <w:r w:rsidRPr="004150EA">
                                <w:rPr>
                                  <w:rStyle w:val="Hyperlink"/>
                                  <w:sz w:val="16"/>
                                  <w:szCs w:val="20"/>
                                </w:rPr>
                                <w:t xml:space="preserve">ember </w:t>
                              </w:r>
                              <w:r w:rsidR="009778D2" w:rsidRPr="004150EA">
                                <w:rPr>
                                  <w:rStyle w:val="Hyperlink"/>
                                  <w:sz w:val="16"/>
                                  <w:szCs w:val="20"/>
                                </w:rPr>
                                <w:t>2022</w:t>
                              </w:r>
                            </w:hyperlink>
                            <w:r w:rsidR="009047F0">
                              <w:rPr>
                                <w:sz w:val="16"/>
                                <w:szCs w:val="20"/>
                              </w:rPr>
                              <w:t xml:space="preserve"> </w:t>
                            </w:r>
                          </w:p>
                          <w:p w14:paraId="2394383A" w14:textId="74FE386E" w:rsidR="002E0AA5" w:rsidRPr="00D07D8E" w:rsidRDefault="002E0AA5" w:rsidP="00BE26E2">
                            <w:pPr>
                              <w:jc w:val="right"/>
                              <w:rPr>
                                <w:i/>
                                <w:iCs/>
                                <w:szCs w:val="22"/>
                              </w:rPr>
                            </w:pPr>
                            <w:r>
                              <w:rPr>
                                <w:sz w:val="16"/>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BE449" id="Text Box 3" o:spid="_x0000_s1028" type="#_x0000_t202" style="position:absolute;margin-left:-.1pt;margin-top:104.9pt;width:409.05pt;height:3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" fillcolor="#013c4c">
                <v:textbox>
                  <w:txbxContent>
                    <w:p w14:paraId="2ECB062E" w14:textId="77777777" w:rsidR="003A0A99" w:rsidRPr="003A0A99" w:rsidRDefault="003A0A99" w:rsidP="003A0A99">
                      <w:pPr>
                        <w:ind w:left="142"/>
                        <w:rPr>
                          <w:i/>
                          <w:sz w:val="20"/>
                          <w:szCs w:val="24"/>
                        </w:rPr>
                      </w:pPr>
                      <w:r w:rsidRPr="003A0A99">
                        <w:rPr>
                          <w:i/>
                          <w:sz w:val="20"/>
                          <w:szCs w:val="24"/>
                        </w:rPr>
                        <w:t>There is a well-known and widely accepted correlation between income and the energy divide… low-income households are consistently paying a greater portion of their income on energy than their higher earning counterparts. Results from December 2023 indicate that for the lowest income households (below $20,000/year), energy costs represent 13.6% of their total income, an increase of 1.2% compared to December 2022. This is over five times more than the proportion of income spent on energy by the highest earning group.</w:t>
                      </w:r>
                    </w:p>
                    <w:p w14:paraId="3DB8E309" w14:textId="2F8E107A" w:rsidR="003A0A99" w:rsidRDefault="003A0A99" w:rsidP="003A0A99">
                      <w:pPr>
                        <w:jc w:val="right"/>
                        <w:rPr>
                          <w:sz w:val="16"/>
                          <w:szCs w:val="20"/>
                        </w:rPr>
                      </w:pPr>
                      <w:hyperlink w:anchor="Ref_8_2_ECA_Understanding_the_E_Div_2023" w:history="1">
                        <w:r w:rsidRPr="00E5766C">
                          <w:rPr>
                            <w:rStyle w:val="Hyperlink"/>
                          </w:rPr>
                          <w:t>Energy Consumers Australia - Understanding the Energy Divide (Explainer), December 2023</w:t>
                        </w:r>
                      </w:hyperlink>
                      <w:r>
                        <w:rPr>
                          <w:sz w:val="16"/>
                          <w:szCs w:val="20"/>
                        </w:rPr>
                        <w:t xml:space="preserve"> </w:t>
                      </w:r>
                    </w:p>
                    <w:p w14:paraId="7C8D7BC2" w14:textId="24699B6E" w:rsidR="00D07D8E" w:rsidRPr="00D07D8E" w:rsidRDefault="00DF6B3D" w:rsidP="003A0A99">
                      <w:pPr>
                        <w:ind w:left="142"/>
                        <w:rPr>
                          <w:i/>
                          <w:iCs/>
                          <w:sz w:val="20"/>
                          <w:szCs w:val="24"/>
                        </w:rPr>
                      </w:pPr>
                      <w:r w:rsidRPr="00D07D8E">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42A58524" w14:textId="0D28F05C" w:rsidR="009778D2" w:rsidRDefault="00D07D8E" w:rsidP="00BE26E2">
                      <w:pPr>
                        <w:jc w:val="right"/>
                        <w:rPr>
                          <w:sz w:val="16"/>
                          <w:szCs w:val="20"/>
                        </w:rPr>
                      </w:pPr>
                      <w:hyperlink w:anchor="Ref_ACOSS_et_al_Demanding_Better_2024" w:history="1">
                        <w:r w:rsidRPr="00591005">
                          <w:rPr>
                            <w:rStyle w:val="Hyperlink"/>
                            <w:sz w:val="16"/>
                            <w:szCs w:val="20"/>
                          </w:rPr>
                          <w:t xml:space="preserve">ACOSS, AiG, EEC and </w:t>
                        </w:r>
                        <w:r w:rsidR="00DF6B3D" w:rsidRPr="00591005">
                          <w:rPr>
                            <w:rStyle w:val="Hyperlink"/>
                            <w:sz w:val="16"/>
                            <w:szCs w:val="20"/>
                          </w:rPr>
                          <w:t>Property Council of Australia - Demanding Better: A Reform Agenda for Harnessing the Power and Flexibility of Demand Side Energy Resources, December 2024</w:t>
                        </w:r>
                      </w:hyperlink>
                    </w:p>
                    <w:p w14:paraId="5C953C58" w14:textId="5417EE9E" w:rsidR="009778D2" w:rsidRPr="009778D2" w:rsidRDefault="009778D2" w:rsidP="003A0A99">
                      <w:pPr>
                        <w:ind w:left="142"/>
                        <w:rPr>
                          <w:i/>
                          <w:iCs/>
                          <w:sz w:val="20"/>
                          <w:szCs w:val="24"/>
                        </w:rPr>
                      </w:pPr>
                      <w:r w:rsidRPr="009778D2">
                        <w:rPr>
                          <w:i/>
                          <w:iCs/>
                          <w:sz w:val="20"/>
                          <w:szCs w:val="24"/>
                        </w:rPr>
                        <w:t>For the past 20 years, economic regulators of the energy market have told consumers to shop around for a better energy deal if they are not happy or if they are concerned their bills are too high. As far as consumers are concerned, the ‘system’ has said to them: It’s your risk. You manage it.</w:t>
                      </w:r>
                    </w:p>
                    <w:p w14:paraId="65B09E45" w14:textId="5412BE7C" w:rsidR="00194C0D" w:rsidRDefault="00635DD0" w:rsidP="00027033">
                      <w:pPr>
                        <w:jc w:val="right"/>
                        <w:rPr>
                          <w:sz w:val="16"/>
                          <w:szCs w:val="20"/>
                        </w:rPr>
                      </w:pPr>
                      <w:hyperlink w:anchor="Ref_Minimising_Consumer_Harm_2022" w:history="1">
                        <w:r w:rsidRPr="004150EA">
                          <w:rPr>
                            <w:rStyle w:val="Hyperlink"/>
                            <w:sz w:val="16"/>
                            <w:szCs w:val="20"/>
                          </w:rPr>
                          <w:t>Monash University (</w:t>
                        </w:r>
                        <w:r w:rsidR="009778D2" w:rsidRPr="004150EA">
                          <w:rPr>
                            <w:rStyle w:val="Hyperlink"/>
                            <w:sz w:val="16"/>
                            <w:szCs w:val="20"/>
                          </w:rPr>
                          <w:t>R. Ben-David</w:t>
                        </w:r>
                        <w:r w:rsidRPr="004150EA">
                          <w:rPr>
                            <w:rStyle w:val="Hyperlink"/>
                            <w:sz w:val="16"/>
                            <w:szCs w:val="20"/>
                          </w:rPr>
                          <w:t>) -</w:t>
                        </w:r>
                        <w:r w:rsidR="009778D2" w:rsidRPr="004150EA">
                          <w:rPr>
                            <w:rStyle w:val="Hyperlink"/>
                            <w:sz w:val="16"/>
                            <w:szCs w:val="20"/>
                          </w:rPr>
                          <w:t xml:space="preserve"> Minimising Consumer Harm for a Successful Energy Transition, Presentation to IPART’s 30th Anniversary Conference, Nov</w:t>
                        </w:r>
                        <w:r w:rsidRPr="004150EA">
                          <w:rPr>
                            <w:rStyle w:val="Hyperlink"/>
                            <w:sz w:val="16"/>
                            <w:szCs w:val="20"/>
                          </w:rPr>
                          <w:t xml:space="preserve">ember </w:t>
                        </w:r>
                        <w:r w:rsidR="009778D2" w:rsidRPr="004150EA">
                          <w:rPr>
                            <w:rStyle w:val="Hyperlink"/>
                            <w:sz w:val="16"/>
                            <w:szCs w:val="20"/>
                          </w:rPr>
                          <w:t>2022</w:t>
                        </w:r>
                      </w:hyperlink>
                      <w:r w:rsidR="009047F0">
                        <w:rPr>
                          <w:sz w:val="16"/>
                          <w:szCs w:val="20"/>
                        </w:rPr>
                        <w:t xml:space="preserve"> </w:t>
                      </w:r>
                    </w:p>
                    <w:p w14:paraId="2394383A" w14:textId="74FE386E" w:rsidR="002E0AA5" w:rsidRPr="00D07D8E" w:rsidRDefault="002E0AA5" w:rsidP="00BE26E2">
                      <w:pPr>
                        <w:jc w:val="right"/>
                        <w:rPr>
                          <w:i/>
                          <w:iCs/>
                          <w:szCs w:val="22"/>
                        </w:rPr>
                      </w:pPr>
                      <w:r>
                        <w:rPr>
                          <w:sz w:val="16"/>
                          <w:szCs w:val="20"/>
                        </w:rPr>
                        <w:br/>
                      </w:r>
                    </w:p>
                  </w:txbxContent>
                </v:textbox>
                <w10:wrap type="square" anchorx="margin"/>
              </v:shape>
            </w:pict>
          </mc:Fallback>
        </mc:AlternateContent>
      </w:r>
      <w:r w:rsidR="008C440F" w:rsidRPr="00050A5B">
        <w:rPr>
          <w:rFonts w:cs="Calibri"/>
        </w:rPr>
        <w:t xml:space="preserve">Efficient investment in utility-scale infrastructure and utilisation of existing transmission and distribution </w:t>
      </w:r>
      <w:proofErr w:type="gramStart"/>
      <w:r w:rsidR="008C440F" w:rsidRPr="00050A5B">
        <w:rPr>
          <w:rFonts w:cs="Calibri"/>
        </w:rPr>
        <w:t>were</w:t>
      </w:r>
      <w:proofErr w:type="gramEnd"/>
      <w:r w:rsidR="008C440F" w:rsidRPr="00050A5B">
        <w:rPr>
          <w:rFonts w:cs="Calibri"/>
        </w:rPr>
        <w:t xml:space="preserve"> also raised across multiple sources as a key determinant of affordability for customers that will continue to require rigorous attention. Some sources discussed the need for customer’s perception of value of their energy services to better align with the costs they incur, and similarly, that customers are confident that competition and cooperation across the supply chain are resulting in increased affordability.</w:t>
      </w:r>
    </w:p>
    <w:p w14:paraId="4DA3A327" w14:textId="34D015A5" w:rsidR="00123EFF" w:rsidRPr="00050A5B" w:rsidRDefault="00123EFF" w:rsidP="008C440F">
      <w:pPr>
        <w:spacing w:line="288" w:lineRule="auto"/>
        <w:rPr>
          <w:rFonts w:cs="Calibri"/>
        </w:rPr>
      </w:pPr>
    </w:p>
    <w:p w14:paraId="2CFBB3EE" w14:textId="10DE409F" w:rsidR="00B54119" w:rsidRPr="00050A5B" w:rsidRDefault="00B54119" w:rsidP="00B54119">
      <w:pPr>
        <w:rPr>
          <w:lang w:eastAsia="en-US" w:bidi="ar-SA"/>
        </w:rPr>
      </w:pPr>
    </w:p>
    <w:p w14:paraId="120DC7BA" w14:textId="0ABF92F0" w:rsidR="00DD4A9D" w:rsidRPr="00050A5B" w:rsidRDefault="00DD4A9D">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sidRPr="00050A5B">
        <w:rPr>
          <w:lang w:eastAsia="en-US" w:bidi="ar-SA"/>
        </w:rPr>
        <w:br w:type="page"/>
      </w:r>
    </w:p>
    <w:p w14:paraId="6526424D" w14:textId="2FCFF94E" w:rsidR="00706727" w:rsidRPr="00050A5B" w:rsidRDefault="00706727" w:rsidP="00706727">
      <w:pPr>
        <w:pStyle w:val="Heading2"/>
        <w:rPr>
          <w:lang w:eastAsia="en-US" w:bidi="ar-SA"/>
        </w:rPr>
      </w:pPr>
      <w:bookmarkStart w:id="42" w:name="_Toc205536756"/>
      <w:r w:rsidRPr="00050A5B">
        <w:rPr>
          <w:caps/>
          <w:lang w:eastAsia="en-US" w:bidi="ar-SA"/>
        </w:rPr>
        <w:t>Sustainable</w:t>
      </w:r>
      <w:r w:rsidRPr="00050A5B">
        <w:rPr>
          <w:lang w:eastAsia="en-US" w:bidi="ar-SA"/>
        </w:rPr>
        <w:t xml:space="preserve">: Enables 2030 and 2050 </w:t>
      </w:r>
      <w:r w:rsidR="00377DAB" w:rsidRPr="00050A5B">
        <w:rPr>
          <w:lang w:eastAsia="en-US" w:bidi="ar-SA"/>
        </w:rPr>
        <w:t>D</w:t>
      </w:r>
      <w:r w:rsidRPr="00050A5B">
        <w:rPr>
          <w:lang w:eastAsia="en-US" w:bidi="ar-SA"/>
        </w:rPr>
        <w:t xml:space="preserve">ecarbonisation </w:t>
      </w:r>
      <w:r w:rsidR="00377DAB" w:rsidRPr="00050A5B">
        <w:rPr>
          <w:lang w:eastAsia="en-US" w:bidi="ar-SA"/>
        </w:rPr>
        <w:t>G</w:t>
      </w:r>
      <w:r w:rsidRPr="00050A5B">
        <w:rPr>
          <w:lang w:eastAsia="en-US" w:bidi="ar-SA"/>
        </w:rPr>
        <w:t>oals</w:t>
      </w:r>
      <w:bookmarkEnd w:id="42"/>
    </w:p>
    <w:p w14:paraId="3A44A662" w14:textId="1DACF4BA" w:rsidR="00680E0E" w:rsidRPr="00050A5B" w:rsidRDefault="008E77E2" w:rsidP="008E77E2">
      <w:pPr>
        <w:spacing w:line="288" w:lineRule="auto"/>
        <w:rPr>
          <w:rFonts w:cs="Calibri"/>
        </w:rPr>
      </w:pPr>
      <w:r w:rsidRPr="00050A5B">
        <w:rPr>
          <w:rFonts w:cs="Calibri"/>
        </w:rPr>
        <w:t xml:space="preserve">Policy makers </w:t>
      </w:r>
      <w:r w:rsidR="00255BB9" w:rsidRPr="00050A5B">
        <w:rPr>
          <w:rFonts w:cs="Calibri"/>
        </w:rPr>
        <w:t xml:space="preserve">and customers </w:t>
      </w:r>
      <w:r w:rsidRPr="00050A5B">
        <w:rPr>
          <w:rFonts w:cs="Calibri"/>
        </w:rPr>
        <w:t>expect power</w:t>
      </w:r>
      <w:r w:rsidR="00F26B1B" w:rsidRPr="00050A5B">
        <w:rPr>
          <w:rFonts w:cs="Calibri"/>
        </w:rPr>
        <w:t xml:space="preserve"> </w:t>
      </w:r>
      <w:r w:rsidRPr="00050A5B">
        <w:rPr>
          <w:rFonts w:cs="Calibri"/>
        </w:rPr>
        <w:t>systems to actively transition toward a greater reliance on</w:t>
      </w:r>
      <w:r w:rsidR="00255BB9" w:rsidRPr="00050A5B">
        <w:rPr>
          <w:rFonts w:cs="Calibri"/>
        </w:rPr>
        <w:t xml:space="preserve"> </w:t>
      </w:r>
      <w:r w:rsidRPr="00050A5B">
        <w:rPr>
          <w:rFonts w:cs="Calibri"/>
        </w:rPr>
        <w:t>renewable energy-based electricity generation.</w:t>
      </w:r>
      <w:r w:rsidR="00AF248F" w:rsidRPr="00050A5B">
        <w:rPr>
          <w:rFonts w:cs="Calibri"/>
        </w:rPr>
        <w:t xml:space="preserve"> </w:t>
      </w:r>
      <w:r w:rsidR="00156300" w:rsidRPr="00050A5B">
        <w:rPr>
          <w:rFonts w:cs="Calibri"/>
        </w:rPr>
        <w:t xml:space="preserve">At the same time, </w:t>
      </w:r>
      <w:r w:rsidR="00D90FC8" w:rsidRPr="00050A5B">
        <w:rPr>
          <w:rFonts w:cs="Calibri"/>
        </w:rPr>
        <w:t xml:space="preserve">recent </w:t>
      </w:r>
      <w:r w:rsidR="004D1892" w:rsidRPr="00050A5B">
        <w:rPr>
          <w:rFonts w:cs="Calibri"/>
        </w:rPr>
        <w:t xml:space="preserve">geopolitical conflict, </w:t>
      </w:r>
      <w:r w:rsidR="00066EF6" w:rsidRPr="00050A5B">
        <w:rPr>
          <w:rFonts w:cs="Calibri"/>
        </w:rPr>
        <w:t>cost-of-living pressures</w:t>
      </w:r>
      <w:r w:rsidR="004D1892" w:rsidRPr="00050A5B">
        <w:rPr>
          <w:rFonts w:cs="Calibri"/>
        </w:rPr>
        <w:t xml:space="preserve"> and energy price rises have </w:t>
      </w:r>
      <w:r w:rsidR="00A77B4A" w:rsidRPr="00050A5B">
        <w:rPr>
          <w:rFonts w:cs="Calibri"/>
        </w:rPr>
        <w:t>heighte</w:t>
      </w:r>
      <w:r w:rsidR="00D90FC8" w:rsidRPr="00050A5B">
        <w:rPr>
          <w:rFonts w:cs="Calibri"/>
        </w:rPr>
        <w:t>ned</w:t>
      </w:r>
      <w:r w:rsidR="00A77B4A" w:rsidRPr="00050A5B">
        <w:rPr>
          <w:rFonts w:cs="Calibri"/>
        </w:rPr>
        <w:t xml:space="preserve"> the</w:t>
      </w:r>
      <w:r w:rsidR="00F52C6E" w:rsidRPr="00050A5B">
        <w:rPr>
          <w:rFonts w:cs="Calibri"/>
        </w:rPr>
        <w:t xml:space="preserve"> debate in </w:t>
      </w:r>
      <w:r w:rsidR="00D90FC8" w:rsidRPr="00050A5B">
        <w:rPr>
          <w:rFonts w:cs="Calibri"/>
        </w:rPr>
        <w:t xml:space="preserve">various </w:t>
      </w:r>
      <w:r w:rsidR="00F52C6E" w:rsidRPr="00050A5B">
        <w:rPr>
          <w:rFonts w:cs="Calibri"/>
        </w:rPr>
        <w:t xml:space="preserve">parts of the world about the </w:t>
      </w:r>
      <w:r w:rsidR="0027706A" w:rsidRPr="00050A5B">
        <w:rPr>
          <w:rFonts w:cs="Calibri"/>
        </w:rPr>
        <w:t xml:space="preserve">perceived conflict between </w:t>
      </w:r>
      <w:r w:rsidR="00D90FC8" w:rsidRPr="00050A5B">
        <w:rPr>
          <w:rFonts w:cs="Calibri"/>
        </w:rPr>
        <w:t>a</w:t>
      </w:r>
      <w:r w:rsidR="00574057" w:rsidRPr="00050A5B">
        <w:rPr>
          <w:rFonts w:cs="Calibri"/>
        </w:rPr>
        <w:t xml:space="preserve">ffordability and decarbonisation. </w:t>
      </w:r>
    </w:p>
    <w:p w14:paraId="7F625408" w14:textId="09CF5F0A" w:rsidR="00785733" w:rsidRPr="00050A5B" w:rsidRDefault="00B95DE9" w:rsidP="008151B2">
      <w:pPr>
        <w:spacing w:line="288" w:lineRule="auto"/>
        <w:rPr>
          <w:lang w:eastAsia="en-US" w:bidi="ar-SA"/>
        </w:rPr>
      </w:pPr>
      <w:r w:rsidRPr="00050A5B">
        <w:rPr>
          <w:rFonts w:cs="Calibri"/>
        </w:rPr>
        <w:t xml:space="preserve">Customers </w:t>
      </w:r>
      <w:r w:rsidR="00724BAE" w:rsidRPr="00050A5B">
        <w:rPr>
          <w:rFonts w:cs="Calibri"/>
        </w:rPr>
        <w:t xml:space="preserve">broadly </w:t>
      </w:r>
      <w:r w:rsidR="000A3F78" w:rsidRPr="00050A5B">
        <w:rPr>
          <w:rFonts w:cs="Calibri"/>
        </w:rPr>
        <w:t>support</w:t>
      </w:r>
      <w:r w:rsidRPr="00050A5B">
        <w:rPr>
          <w:rFonts w:cs="Calibri"/>
        </w:rPr>
        <w:t xml:space="preserve"> </w:t>
      </w:r>
      <w:r w:rsidR="00724BAE" w:rsidRPr="00050A5B">
        <w:rPr>
          <w:rFonts w:cs="Calibri"/>
        </w:rPr>
        <w:t>the need</w:t>
      </w:r>
      <w:r w:rsidRPr="00050A5B">
        <w:rPr>
          <w:rFonts w:cs="Calibri"/>
        </w:rPr>
        <w:t xml:space="preserve"> for the power system to decarbonise and are motivated to adapt their energy use accordingly</w:t>
      </w:r>
      <w:r w:rsidR="000A3F78" w:rsidRPr="00050A5B">
        <w:rPr>
          <w:rFonts w:cs="Calibri"/>
        </w:rPr>
        <w:t xml:space="preserve">, particularly where </w:t>
      </w:r>
      <w:r w:rsidR="0068299C" w:rsidRPr="00050A5B">
        <w:rPr>
          <w:rFonts w:cs="Calibri"/>
        </w:rPr>
        <w:t>financial benefits accrue</w:t>
      </w:r>
      <w:r w:rsidRPr="00050A5B">
        <w:rPr>
          <w:rFonts w:cs="Calibri"/>
        </w:rPr>
        <w:t xml:space="preserve">. As such, enabling customers to conveniently choose to procure their electricity from sustainable and affordable sources </w:t>
      </w:r>
      <w:r w:rsidR="001A518B" w:rsidRPr="00050A5B">
        <w:rPr>
          <w:rFonts w:cs="Calibri"/>
        </w:rPr>
        <w:t>is</w:t>
      </w:r>
      <w:r w:rsidRPr="00050A5B">
        <w:rPr>
          <w:rFonts w:cs="Calibri"/>
        </w:rPr>
        <w:t xml:space="preserve"> a common theme in the literature</w:t>
      </w:r>
      <w:r w:rsidR="001A518B" w:rsidRPr="00050A5B">
        <w:rPr>
          <w:rFonts w:cs="Calibri"/>
        </w:rPr>
        <w:t>, as is e</w:t>
      </w:r>
      <w:r w:rsidRPr="00050A5B">
        <w:rPr>
          <w:rFonts w:cs="Calibri"/>
        </w:rPr>
        <w:t>nergy efficiency</w:t>
      </w:r>
      <w:r w:rsidR="001A518B" w:rsidRPr="00050A5B">
        <w:rPr>
          <w:rFonts w:cs="Calibri"/>
        </w:rPr>
        <w:t xml:space="preserve"> and</w:t>
      </w:r>
      <w:r w:rsidRPr="00050A5B">
        <w:rPr>
          <w:rFonts w:cs="Calibri"/>
        </w:rPr>
        <w:t xml:space="preserve"> energy productivity</w:t>
      </w:r>
      <w:r w:rsidR="001A518B" w:rsidRPr="00050A5B">
        <w:rPr>
          <w:rFonts w:cs="Calibri"/>
        </w:rPr>
        <w:t xml:space="preserve">. </w:t>
      </w:r>
      <w:r w:rsidR="005E527D" w:rsidRPr="00050A5B">
        <w:rPr>
          <w:rFonts w:cs="Calibri"/>
        </w:rPr>
        <w:t xml:space="preserve">Further, a sizeable </w:t>
      </w:r>
      <w:r w:rsidR="00785733" w:rsidRPr="00050A5B">
        <w:rPr>
          <w:rFonts w:cs="Calibri"/>
        </w:rPr>
        <w:t>proportion of</w:t>
      </w:r>
      <w:r w:rsidR="005E527D" w:rsidRPr="00050A5B">
        <w:rPr>
          <w:rFonts w:cs="Calibri"/>
        </w:rPr>
        <w:t xml:space="preserve"> </w:t>
      </w:r>
      <w:r w:rsidR="00785733" w:rsidRPr="00050A5B">
        <w:rPr>
          <w:rFonts w:cs="Calibri"/>
        </w:rPr>
        <w:t>customers have or will invest in their own on-site renewable</w:t>
      </w:r>
      <w:r w:rsidR="005E527D" w:rsidRPr="00050A5B">
        <w:rPr>
          <w:rFonts w:cs="Calibri"/>
        </w:rPr>
        <w:t xml:space="preserve"> </w:t>
      </w:r>
      <w:r w:rsidR="00785733" w:rsidRPr="00050A5B">
        <w:rPr>
          <w:rFonts w:cs="Calibri"/>
        </w:rPr>
        <w:t xml:space="preserve">energy resources in the form of </w:t>
      </w:r>
      <w:r w:rsidR="005E527D" w:rsidRPr="00050A5B">
        <w:rPr>
          <w:rFonts w:cs="Calibri"/>
        </w:rPr>
        <w:t>rooftop solar</w:t>
      </w:r>
      <w:r w:rsidR="00B701E6" w:rsidRPr="00050A5B">
        <w:rPr>
          <w:rFonts w:cs="Calibri"/>
        </w:rPr>
        <w:t xml:space="preserve"> which </w:t>
      </w:r>
      <w:r w:rsidR="008151B2" w:rsidRPr="00050A5B">
        <w:rPr>
          <w:rFonts w:cs="Calibri"/>
        </w:rPr>
        <w:t xml:space="preserve">simultaneously </w:t>
      </w:r>
      <w:r w:rsidR="00785733" w:rsidRPr="00050A5B">
        <w:rPr>
          <w:rFonts w:cs="Calibri"/>
        </w:rPr>
        <w:t>achieves their</w:t>
      </w:r>
      <w:r w:rsidR="008151B2" w:rsidRPr="00050A5B">
        <w:rPr>
          <w:rFonts w:cs="Calibri"/>
        </w:rPr>
        <w:t xml:space="preserve"> highest </w:t>
      </w:r>
      <w:r w:rsidR="00785733" w:rsidRPr="00050A5B">
        <w:rPr>
          <w:rFonts w:cs="Calibri"/>
        </w:rPr>
        <w:t>reported objective of reducing electricity costs while</w:t>
      </w:r>
      <w:r w:rsidR="008151B2" w:rsidRPr="00050A5B">
        <w:rPr>
          <w:rFonts w:cs="Calibri"/>
        </w:rPr>
        <w:t xml:space="preserve"> </w:t>
      </w:r>
      <w:r w:rsidR="00785733" w:rsidRPr="00050A5B">
        <w:rPr>
          <w:rFonts w:cs="Calibri"/>
        </w:rPr>
        <w:t xml:space="preserve">also allowing them to </w:t>
      </w:r>
      <w:r w:rsidR="008151B2" w:rsidRPr="00050A5B">
        <w:rPr>
          <w:rFonts w:cs="Calibri"/>
        </w:rPr>
        <w:t>contribute to a more s</w:t>
      </w:r>
      <w:r w:rsidR="00785733" w:rsidRPr="00050A5B">
        <w:rPr>
          <w:rFonts w:cs="Calibri"/>
        </w:rPr>
        <w:t>ustainable power system</w:t>
      </w:r>
      <w:r w:rsidR="00C5514A">
        <w:rPr>
          <w:rFonts w:cs="Calibri"/>
        </w:rPr>
        <w:t>.</w:t>
      </w:r>
    </w:p>
    <w:p w14:paraId="15F4D17B" w14:textId="3CDFD691" w:rsidR="00B95DE9" w:rsidRPr="00050A5B" w:rsidRDefault="003A0A99" w:rsidP="00B95DE9">
      <w:pPr>
        <w:spacing w:line="288" w:lineRule="auto"/>
        <w:rPr>
          <w:rFonts w:cs="Calibri"/>
        </w:rPr>
      </w:pPr>
      <w:r w:rsidRPr="00050A5B">
        <w:rPr>
          <w:rFonts w:cs="Calibri"/>
          <w:noProof/>
        </w:rPr>
        <mc:AlternateContent>
          <mc:Choice Requires="wps">
            <w:drawing>
              <wp:anchor distT="45720" distB="45720" distL="114300" distR="114300" simplePos="0" relativeHeight="251658245" behindDoc="0" locked="0" layoutInCell="1" allowOverlap="1" wp14:anchorId="19169A67" wp14:editId="30EBDD42">
                <wp:simplePos x="0" y="0"/>
                <wp:positionH relativeFrom="margin">
                  <wp:align>right</wp:align>
                </wp:positionH>
                <wp:positionV relativeFrom="paragraph">
                  <wp:posOffset>935990</wp:posOffset>
                </wp:positionV>
                <wp:extent cx="5201920" cy="3340100"/>
                <wp:effectExtent l="0" t="0" r="1778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3340100"/>
                        </a:xfrm>
                        <a:prstGeom prst="rect">
                          <a:avLst/>
                        </a:prstGeom>
                        <a:solidFill>
                          <a:srgbClr val="013C4C"/>
                        </a:solidFill>
                        <a:ln w="9525">
                          <a:solidFill>
                            <a:srgbClr val="000000"/>
                          </a:solidFill>
                          <a:miter lim="800000"/>
                          <a:headEnd/>
                          <a:tailEnd/>
                        </a:ln>
                      </wps:spPr>
                      <wps:txbx>
                        <w:txbxContent>
                          <w:p w14:paraId="07D35572" w14:textId="4FAD5C92" w:rsidR="003A0A99" w:rsidRPr="00CA317F" w:rsidRDefault="003A0A99" w:rsidP="003A0A99">
                            <w:pPr>
                              <w:ind w:left="142" w:right="93"/>
                              <w:rPr>
                                <w:i/>
                                <w:iCs/>
                                <w:sz w:val="20"/>
                                <w:szCs w:val="24"/>
                              </w:rPr>
                            </w:pPr>
                            <w:r w:rsidRPr="00CA317F">
                              <w:rPr>
                                <w:i/>
                                <w:iCs/>
                                <w:sz w:val="20"/>
                                <w:szCs w:val="24"/>
                              </w:rPr>
                              <w:t>Many of us do</w:t>
                            </w:r>
                            <w:r w:rsidR="008B5C1D">
                              <w:rPr>
                                <w:i/>
                                <w:iCs/>
                                <w:sz w:val="20"/>
                                <w:szCs w:val="24"/>
                              </w:rPr>
                              <w:t xml:space="preserve"> not</w:t>
                            </w:r>
                            <w:r w:rsidRPr="00CA317F">
                              <w:rPr>
                                <w:i/>
                                <w:iCs/>
                                <w:sz w:val="20"/>
                                <w:szCs w:val="24"/>
                              </w:rPr>
                              <w:t xml:space="preserve"> know what meeting Australia’s 2030 decarbonisation targets means for us, or what we need to do because we haven’t been ‘told straight’ what the plan is. An overarching narrative, with the aim of bringing us all together under a unifying vision, is sorely needed from governments and industry. This needs to happen soon because in the absence of a cohesive story, we’re all facing a deluge of misinformation that’s costing many people money as well as their goodwill.</w:t>
                            </w:r>
                          </w:p>
                          <w:p w14:paraId="51819F8D" w14:textId="250D426F" w:rsidR="003A0A99" w:rsidRDefault="003A0A99" w:rsidP="003A0A99">
                            <w:pPr>
                              <w:jc w:val="right"/>
                              <w:rPr>
                                <w:sz w:val="16"/>
                                <w:szCs w:val="20"/>
                              </w:rPr>
                            </w:pPr>
                            <w:hyperlink w:anchor="Ref_ECA_Three_Year_Plan_25_28" w:history="1">
                              <w:r w:rsidRPr="009A25AF">
                                <w:rPr>
                                  <w:rStyle w:val="Hyperlink"/>
                                  <w:sz w:val="16"/>
                                  <w:szCs w:val="20"/>
                                </w:rPr>
                                <w:t>Energy Consumers Australia - Three Year Plan 2025–2028, 2025</w:t>
                              </w:r>
                            </w:hyperlink>
                          </w:p>
                          <w:p w14:paraId="74D2B358" w14:textId="77777777" w:rsidR="003A0A99" w:rsidRDefault="003A0A99" w:rsidP="003A0A99">
                            <w:pPr>
                              <w:ind w:left="142" w:right="93"/>
                              <w:rPr>
                                <w:i/>
                                <w:sz w:val="20"/>
                                <w:szCs w:val="24"/>
                              </w:rPr>
                            </w:pPr>
                            <w:r w:rsidRPr="00C90AB7">
                              <w:rPr>
                                <w:i/>
                                <w:sz w:val="20"/>
                                <w:szCs w:val="24"/>
                              </w:rPr>
                              <w:t>Demand-side actions – such as energy efficiency and demand flexibility – are essential to achieving emissions reduction targets and can save billions of dollars in energy bills and investment through right-sizing investment in new infrastructure. Current governance arrangements fail to seize these opportunities, needlessly locking us into higher costs and emissions.</w:t>
                            </w:r>
                          </w:p>
                          <w:p w14:paraId="52372FFA" w14:textId="11A083C8" w:rsidR="003A0A99" w:rsidRPr="003A0A99" w:rsidRDefault="003A0A99" w:rsidP="003A0A99">
                            <w:pPr>
                              <w:ind w:left="426"/>
                              <w:jc w:val="right"/>
                              <w:rPr>
                                <w:sz w:val="16"/>
                                <w:szCs w:val="20"/>
                              </w:rPr>
                            </w:pPr>
                            <w:hyperlink w:anchor="Ref_8_3_ACOSS_et_al_Demanding_Better__24" w:history="1">
                              <w:r w:rsidRPr="00D1138C">
                                <w:rPr>
                                  <w:rStyle w:val="Hyperlink"/>
                                  <w:sz w:val="16"/>
                                  <w:szCs w:val="20"/>
                                </w:rPr>
                                <w:t>ACOSS, AiG, EEC and Property Council of Australia - Demanding Better: A Reform Agenda for Harnessing the Power and Flexibility of Demand Side Energy Resources, December 2024</w:t>
                              </w:r>
                            </w:hyperlink>
                          </w:p>
                          <w:p w14:paraId="2A387126" w14:textId="77777777" w:rsidR="003A0A99" w:rsidRPr="00C90AB7" w:rsidRDefault="003A0A99" w:rsidP="003A0A99">
                            <w:pPr>
                              <w:ind w:left="142" w:right="93"/>
                              <w:rPr>
                                <w:i/>
                                <w:sz w:val="20"/>
                                <w:szCs w:val="24"/>
                              </w:rPr>
                            </w:pPr>
                          </w:p>
                          <w:p w14:paraId="525984C9" w14:textId="77777777" w:rsidR="003A0A99" w:rsidRPr="0084617F" w:rsidRDefault="003A0A99" w:rsidP="003A0A99">
                            <w:pPr>
                              <w:jc w:val="right"/>
                              <w:rPr>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69A67" id="_x0000_s1029" type="#_x0000_t202" style="position:absolute;margin-left:358.4pt;margin-top:73.7pt;width:409.6pt;height:263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" fillcolor="#013c4c">
                <v:textbox>
                  <w:txbxContent>
                    <w:p w14:paraId="07D35572" w14:textId="4FAD5C92" w:rsidR="003A0A99" w:rsidRPr="00CA317F" w:rsidRDefault="003A0A99" w:rsidP="003A0A99">
                      <w:pPr>
                        <w:ind w:left="142" w:right="93"/>
                        <w:rPr>
                          <w:i/>
                          <w:iCs/>
                          <w:sz w:val="20"/>
                          <w:szCs w:val="24"/>
                        </w:rPr>
                      </w:pPr>
                      <w:r w:rsidRPr="00CA317F">
                        <w:rPr>
                          <w:i/>
                          <w:iCs/>
                          <w:sz w:val="20"/>
                          <w:szCs w:val="24"/>
                        </w:rPr>
                        <w:t>Many of us do</w:t>
                      </w:r>
                      <w:r w:rsidR="008B5C1D">
                        <w:rPr>
                          <w:i/>
                          <w:iCs/>
                          <w:sz w:val="20"/>
                          <w:szCs w:val="24"/>
                        </w:rPr>
                        <w:t xml:space="preserve"> not</w:t>
                      </w:r>
                      <w:r w:rsidRPr="00CA317F">
                        <w:rPr>
                          <w:i/>
                          <w:iCs/>
                          <w:sz w:val="20"/>
                          <w:szCs w:val="24"/>
                        </w:rPr>
                        <w:t xml:space="preserve"> know what meeting Australia’s 2030 decarbonisation targets means for us, or what we need to do because we haven’t been ‘told straight’ what the plan is. An overarching narrative, with the aim of bringing us all together under a unifying vision, is sorely needed from governments and industry. This needs to happen soon because in the absence of a cohesive story, we’re all facing a deluge of misinformation that’s costing many people money as well as their goodwill.</w:t>
                      </w:r>
                    </w:p>
                    <w:p w14:paraId="51819F8D" w14:textId="250D426F" w:rsidR="003A0A99" w:rsidRDefault="003A0A99" w:rsidP="003A0A99">
                      <w:pPr>
                        <w:jc w:val="right"/>
                        <w:rPr>
                          <w:sz w:val="16"/>
                          <w:szCs w:val="20"/>
                        </w:rPr>
                      </w:pPr>
                      <w:hyperlink w:anchor="Ref_ECA_Three_Year_Plan_25_28" w:history="1">
                        <w:r w:rsidRPr="009A25AF">
                          <w:rPr>
                            <w:rStyle w:val="Hyperlink"/>
                            <w:sz w:val="16"/>
                            <w:szCs w:val="20"/>
                          </w:rPr>
                          <w:t>Energy Consumers Australia - Three Year Plan 2025–2028, 2025</w:t>
                        </w:r>
                      </w:hyperlink>
                    </w:p>
                    <w:p w14:paraId="74D2B358" w14:textId="77777777" w:rsidR="003A0A99" w:rsidRDefault="003A0A99" w:rsidP="003A0A99">
                      <w:pPr>
                        <w:ind w:left="142" w:right="93"/>
                        <w:rPr>
                          <w:i/>
                          <w:sz w:val="20"/>
                          <w:szCs w:val="24"/>
                        </w:rPr>
                      </w:pPr>
                      <w:r w:rsidRPr="00C90AB7">
                        <w:rPr>
                          <w:i/>
                          <w:sz w:val="20"/>
                          <w:szCs w:val="24"/>
                        </w:rPr>
                        <w:t>Demand-side actions – such as energy efficiency and demand flexibility – are essential to achieving emissions reduction targets and can save billions of dollars in energy bills and investment through right-sizing investment in new infrastructure. Current governance arrangements fail to seize these opportunities, needlessly locking us into higher costs and emissions.</w:t>
                      </w:r>
                    </w:p>
                    <w:p w14:paraId="52372FFA" w14:textId="11A083C8" w:rsidR="003A0A99" w:rsidRPr="003A0A99" w:rsidRDefault="003A0A99" w:rsidP="003A0A99">
                      <w:pPr>
                        <w:ind w:left="426"/>
                        <w:jc w:val="right"/>
                        <w:rPr>
                          <w:sz w:val="16"/>
                          <w:szCs w:val="20"/>
                        </w:rPr>
                      </w:pPr>
                      <w:hyperlink w:anchor="Ref_8_3_ACOSS_et_al_Demanding_Better__24" w:history="1">
                        <w:r w:rsidRPr="00D1138C">
                          <w:rPr>
                            <w:rStyle w:val="Hyperlink"/>
                            <w:sz w:val="16"/>
                            <w:szCs w:val="20"/>
                          </w:rPr>
                          <w:t>ACOSS, AiG, EEC and Property Council of Australia - Demanding Better: A Reform Agenda for Harnessing the Power and Flexibility of Demand Side Energy Resources, December 2024</w:t>
                        </w:r>
                      </w:hyperlink>
                    </w:p>
                    <w:p w14:paraId="2A387126" w14:textId="77777777" w:rsidR="003A0A99" w:rsidRPr="00C90AB7" w:rsidRDefault="003A0A99" w:rsidP="003A0A99">
                      <w:pPr>
                        <w:ind w:left="142" w:right="93"/>
                        <w:rPr>
                          <w:i/>
                          <w:sz w:val="20"/>
                          <w:szCs w:val="24"/>
                        </w:rPr>
                      </w:pPr>
                    </w:p>
                    <w:p w14:paraId="525984C9" w14:textId="77777777" w:rsidR="003A0A99" w:rsidRPr="0084617F" w:rsidRDefault="003A0A99" w:rsidP="003A0A99">
                      <w:pPr>
                        <w:jc w:val="right"/>
                        <w:rPr>
                          <w:sz w:val="16"/>
                          <w:szCs w:val="20"/>
                        </w:rPr>
                      </w:pPr>
                    </w:p>
                  </w:txbxContent>
                </v:textbox>
                <w10:wrap type="square" anchorx="margin"/>
              </v:shape>
            </w:pict>
          </mc:Fallback>
        </mc:AlternateContent>
      </w:r>
      <w:r w:rsidR="008151B2" w:rsidRPr="00050A5B">
        <w:rPr>
          <w:rFonts w:cs="Calibri"/>
        </w:rPr>
        <w:t>Additional themes that emerge from the literature ar</w:t>
      </w:r>
      <w:r w:rsidR="009A651F" w:rsidRPr="00050A5B">
        <w:rPr>
          <w:rFonts w:cs="Calibri"/>
        </w:rPr>
        <w:t xml:space="preserve">e the need </w:t>
      </w:r>
      <w:r w:rsidR="0021028C" w:rsidRPr="00050A5B">
        <w:rPr>
          <w:rFonts w:cs="Calibri"/>
        </w:rPr>
        <w:t>for</w:t>
      </w:r>
      <w:r w:rsidR="00B95DE9" w:rsidRPr="00050A5B">
        <w:rPr>
          <w:rFonts w:cs="Calibri"/>
        </w:rPr>
        <w:t xml:space="preserve"> environmentally responsible </w:t>
      </w:r>
      <w:r w:rsidR="0021028C" w:rsidRPr="00050A5B">
        <w:rPr>
          <w:rFonts w:cs="Calibri"/>
        </w:rPr>
        <w:t xml:space="preserve">construction </w:t>
      </w:r>
      <w:r w:rsidR="00EE17B9" w:rsidRPr="00050A5B">
        <w:rPr>
          <w:rFonts w:cs="Calibri"/>
        </w:rPr>
        <w:t xml:space="preserve">(and </w:t>
      </w:r>
      <w:r w:rsidR="00B95DE9" w:rsidRPr="00050A5B">
        <w:rPr>
          <w:rFonts w:cs="Calibri"/>
        </w:rPr>
        <w:t>decommissioning</w:t>
      </w:r>
      <w:r w:rsidR="00EE17B9" w:rsidRPr="00050A5B">
        <w:rPr>
          <w:rFonts w:cs="Calibri"/>
        </w:rPr>
        <w:t>)</w:t>
      </w:r>
      <w:r w:rsidR="00B95DE9" w:rsidRPr="00050A5B">
        <w:rPr>
          <w:rFonts w:cs="Calibri"/>
        </w:rPr>
        <w:t xml:space="preserve"> of energy infrastructure and components</w:t>
      </w:r>
      <w:r w:rsidR="00243BE9" w:rsidRPr="00050A5B">
        <w:rPr>
          <w:rFonts w:cs="Calibri"/>
        </w:rPr>
        <w:t xml:space="preserve">, and the </w:t>
      </w:r>
      <w:r w:rsidR="00004059" w:rsidRPr="00050A5B">
        <w:rPr>
          <w:rFonts w:cs="Calibri"/>
        </w:rPr>
        <w:t>customer expectation for</w:t>
      </w:r>
      <w:r w:rsidR="00B95DE9" w:rsidRPr="00050A5B">
        <w:rPr>
          <w:rFonts w:cs="Calibri"/>
        </w:rPr>
        <w:t xml:space="preserve"> clear, transparent, and accountable reporting on the environmental impact of their own choices and those of their providers. </w:t>
      </w:r>
    </w:p>
    <w:p w14:paraId="7CB0CB45" w14:textId="7E405359" w:rsidR="00B54119" w:rsidRPr="00050A5B" w:rsidRDefault="00B54119">
      <w:pPr>
        <w:spacing w:before="0" w:after="160" w:line="259" w:lineRule="auto"/>
        <w:rPr>
          <w:rFonts w:ascii="PP Mori SemiBold" w:eastAsiaTheme="majorEastAsia" w:hAnsi="PP Mori SemiBold" w:cstheme="majorBidi"/>
          <w:color w:val="002C38" w:themeColor="accent1" w:themeShade="BF"/>
          <w:sz w:val="26"/>
          <w:szCs w:val="33"/>
          <w:lang w:eastAsia="en-US" w:bidi="ar-SA"/>
        </w:rPr>
      </w:pPr>
    </w:p>
    <w:p w14:paraId="07CA8168" w14:textId="5C73FF57" w:rsidR="00706727" w:rsidRPr="00050A5B" w:rsidRDefault="00706727" w:rsidP="00706727">
      <w:pPr>
        <w:pStyle w:val="Heading2"/>
        <w:rPr>
          <w:lang w:eastAsia="en-US" w:bidi="ar-SA"/>
        </w:rPr>
      </w:pPr>
      <w:bookmarkStart w:id="43" w:name="_Toc205536757"/>
      <w:r w:rsidRPr="00050A5B">
        <w:rPr>
          <w:caps/>
          <w:lang w:eastAsia="en-US" w:bidi="ar-SA"/>
        </w:rPr>
        <w:t>Equitable</w:t>
      </w:r>
      <w:r w:rsidRPr="00050A5B">
        <w:rPr>
          <w:lang w:eastAsia="en-US" w:bidi="ar-SA"/>
        </w:rPr>
        <w:t>: Broad accessibility of benefits and the fair sharing of costs</w:t>
      </w:r>
      <w:bookmarkEnd w:id="43"/>
    </w:p>
    <w:p w14:paraId="304C7769" w14:textId="045B1F75" w:rsidR="00987A74" w:rsidRPr="00050A5B" w:rsidRDefault="00987A74" w:rsidP="00987A74">
      <w:pPr>
        <w:spacing w:line="288" w:lineRule="auto"/>
        <w:rPr>
          <w:rFonts w:cs="Calibri"/>
        </w:rPr>
      </w:pPr>
      <w:r w:rsidRPr="00050A5B">
        <w:rPr>
          <w:rFonts w:cs="Calibri"/>
        </w:rPr>
        <w:t xml:space="preserve">Ensuring equitable outcomes in a rapidly changing power system presented as another key priority for customer advocates. Several sources identified the need to ensure the benefits of a future modernised power system are distributed fairly across all customers, such that those with limited access to new energy products and services do not incur a disproportionate share of the costs of operating that system. Fit-for-purpose consumer protections featured in the literature as an important mechanism to ensure those participants in the power system with limited access are not disadvantaged. </w:t>
      </w:r>
      <w:r w:rsidR="000767E7" w:rsidRPr="00050A5B">
        <w:rPr>
          <w:rFonts w:cs="Calibri"/>
        </w:rPr>
        <w:t>This includes</w:t>
      </w:r>
      <w:r w:rsidR="00D029AB" w:rsidRPr="00050A5B">
        <w:rPr>
          <w:rFonts w:cs="Calibri"/>
        </w:rPr>
        <w:t xml:space="preserve"> shielding consumers from undue complexity and decision fatigue, particularly for those without the resources or desire to actively manage energy decisions across multiple time horizons</w:t>
      </w:r>
      <w:r w:rsidR="00AE3D7F" w:rsidRPr="00050A5B">
        <w:rPr>
          <w:rFonts w:cs="Calibri"/>
        </w:rPr>
        <w:t>.</w:t>
      </w:r>
      <w:r w:rsidR="00CB4126" w:rsidRPr="00050A5B">
        <w:rPr>
          <w:rFonts w:cs="Calibri"/>
        </w:rPr>
        <w:t xml:space="preserve"> </w:t>
      </w:r>
    </w:p>
    <w:p w14:paraId="008DC90C" w14:textId="02C2F9E7" w:rsidR="00987A74" w:rsidRPr="00050A5B" w:rsidRDefault="00933FD0" w:rsidP="00987A74">
      <w:pPr>
        <w:spacing w:line="288" w:lineRule="auto"/>
        <w:rPr>
          <w:rFonts w:cs="Calibri"/>
        </w:rPr>
      </w:pPr>
      <w:r w:rsidRPr="00050A5B">
        <w:rPr>
          <w:rFonts w:cs="Calibri"/>
          <w:noProof/>
        </w:rPr>
        <mc:AlternateContent>
          <mc:Choice Requires="wps">
            <w:drawing>
              <wp:anchor distT="45720" distB="45720" distL="114300" distR="114300" simplePos="0" relativeHeight="251658246" behindDoc="0" locked="0" layoutInCell="1" allowOverlap="1" wp14:anchorId="62E84640" wp14:editId="2C687B65">
                <wp:simplePos x="0" y="0"/>
                <wp:positionH relativeFrom="margin">
                  <wp:posOffset>-12700</wp:posOffset>
                </wp:positionH>
                <wp:positionV relativeFrom="paragraph">
                  <wp:posOffset>1268095</wp:posOffset>
                </wp:positionV>
                <wp:extent cx="5201920" cy="2647950"/>
                <wp:effectExtent l="0" t="0" r="17780" b="19050"/>
                <wp:wrapSquare wrapText="bothSides"/>
                <wp:docPr id="787270511" name="Text Box 787270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2647950"/>
                        </a:xfrm>
                        <a:prstGeom prst="rect">
                          <a:avLst/>
                        </a:prstGeom>
                        <a:solidFill>
                          <a:srgbClr val="013C4C"/>
                        </a:solidFill>
                        <a:ln w="9525">
                          <a:solidFill>
                            <a:srgbClr val="000000"/>
                          </a:solidFill>
                          <a:miter lim="800000"/>
                          <a:headEnd/>
                          <a:tailEnd/>
                        </a:ln>
                      </wps:spPr>
                      <wps:txbx>
                        <w:txbxContent>
                          <w:p w14:paraId="6B66730C" w14:textId="1750860C" w:rsidR="00F31753" w:rsidRPr="00CA317F" w:rsidRDefault="00F31753" w:rsidP="00F31753">
                            <w:pPr>
                              <w:ind w:left="142"/>
                              <w:rPr>
                                <w:i/>
                                <w:sz w:val="20"/>
                                <w:szCs w:val="24"/>
                              </w:rPr>
                            </w:pPr>
                            <w:r w:rsidRPr="00CA317F">
                              <w:rPr>
                                <w:i/>
                                <w:sz w:val="20"/>
                                <w:szCs w:val="24"/>
                              </w:rPr>
                              <w:t>Consumers expect fairness… they expect government to distribute benefits and burdens fairly – not equally – across the community. They do</w:t>
                            </w:r>
                            <w:r w:rsidR="00B4065F">
                              <w:rPr>
                                <w:i/>
                                <w:sz w:val="20"/>
                                <w:szCs w:val="24"/>
                              </w:rPr>
                              <w:t xml:space="preserve"> not</w:t>
                            </w:r>
                            <w:r w:rsidRPr="00CA317F">
                              <w:rPr>
                                <w:i/>
                                <w:sz w:val="20"/>
                                <w:szCs w:val="24"/>
                              </w:rPr>
                              <w:t xml:space="preserve"> want to pay more than their fair share, but do</w:t>
                            </w:r>
                            <w:r w:rsidR="00B4065F">
                              <w:rPr>
                                <w:i/>
                                <w:sz w:val="20"/>
                                <w:szCs w:val="24"/>
                              </w:rPr>
                              <w:t xml:space="preserve"> not</w:t>
                            </w:r>
                            <w:r w:rsidRPr="00CA317F">
                              <w:rPr>
                                <w:i/>
                                <w:sz w:val="20"/>
                                <w:szCs w:val="24"/>
                              </w:rPr>
                              <w:t xml:space="preserve"> want vulnerable people left behind. Most would change their behaviour if compensation was fair, and benefits are transparent.</w:t>
                            </w:r>
                          </w:p>
                          <w:p w14:paraId="54588AFB" w14:textId="5C8140DA" w:rsidR="00F31753" w:rsidRDefault="00F31753" w:rsidP="00F31753">
                            <w:pPr>
                              <w:jc w:val="right"/>
                            </w:pPr>
                            <w:hyperlink w:anchor="Ref_8_4_ECA_POWERUP_CON_Voices_24" w:history="1">
                              <w:r w:rsidRPr="006321E5">
                                <w:rPr>
                                  <w:rStyle w:val="Hyperlink"/>
                                  <w:sz w:val="16"/>
                                  <w:szCs w:val="24"/>
                                </w:rPr>
                                <w:t>Energy Consumers Australia, PowerUp: Consumer Voices in the Energy Transition, Jul. 2024</w:t>
                              </w:r>
                            </w:hyperlink>
                          </w:p>
                          <w:p w14:paraId="63D8ABE7" w14:textId="77777777" w:rsidR="00F31753" w:rsidRPr="00CA317F" w:rsidRDefault="00F31753" w:rsidP="00F31753">
                            <w:pPr>
                              <w:ind w:left="142"/>
                              <w:rPr>
                                <w:i/>
                                <w:sz w:val="20"/>
                                <w:szCs w:val="24"/>
                              </w:rPr>
                            </w:pPr>
                            <w:r w:rsidRPr="00CA317F">
                              <w:rPr>
                                <w:i/>
                                <w:sz w:val="20"/>
                                <w:szCs w:val="24"/>
                              </w:rPr>
                              <w:t>If EVs demand a significant capital upgrade to the distribution network or an extensive roll-out of charging stations, should those costs be recovered from all consumers or only from the owners of EVs?</w:t>
                            </w:r>
                          </w:p>
                          <w:p w14:paraId="0A47AC44" w14:textId="51F653B0" w:rsidR="00F31753" w:rsidRDefault="00F31753" w:rsidP="00F31753">
                            <w:pPr>
                              <w:ind w:firstLine="284"/>
                              <w:jc w:val="right"/>
                              <w:rPr>
                                <w:sz w:val="16"/>
                                <w:szCs w:val="24"/>
                              </w:rPr>
                            </w:pPr>
                            <w:hyperlink w:anchor="Ref_8_4_What_if_the_Cons_En_Mkt_24" w:history="1">
                              <w:r w:rsidRPr="001A7C0B">
                                <w:rPr>
                                  <w:rStyle w:val="Hyperlink"/>
                                  <w:sz w:val="16"/>
                                  <w:szCs w:val="24"/>
                                </w:rPr>
                                <w:t>R. Ben-David, What if the Consumer Energy Market Were Based on Reality Rather Than Assumptions?, Monash Business School, Monash University, Melbourne, Australia, Jul. 2024</w:t>
                              </w:r>
                            </w:hyperlink>
                          </w:p>
                          <w:p w14:paraId="7AA85D07" w14:textId="77777777" w:rsidR="00F31753" w:rsidRPr="00CA317F" w:rsidRDefault="00F31753" w:rsidP="00F31753">
                            <w:pPr>
                              <w:ind w:left="142"/>
                              <w:rPr>
                                <w:i/>
                                <w:sz w:val="20"/>
                                <w:szCs w:val="24"/>
                              </w:rPr>
                            </w:pPr>
                            <w:r w:rsidRPr="007B6057">
                              <w:rPr>
                                <w:i/>
                                <w:sz w:val="20"/>
                                <w:szCs w:val="24"/>
                              </w:rPr>
                              <w:t>We shouldn't have a system where only those lucky enough to afford the best or newest reap the benefits.</w:t>
                            </w:r>
                          </w:p>
                          <w:p w14:paraId="2805DBD1" w14:textId="77777777" w:rsidR="00F31753" w:rsidRDefault="00F31753" w:rsidP="00F31753">
                            <w:pPr>
                              <w:ind w:firstLine="142"/>
                              <w:jc w:val="right"/>
                              <w:rPr>
                                <w:sz w:val="16"/>
                                <w:szCs w:val="24"/>
                              </w:rPr>
                            </w:pPr>
                            <w:r w:rsidRPr="00634C1E">
                              <w:rPr>
                                <w:sz w:val="16"/>
                                <w:szCs w:val="24"/>
                              </w:rPr>
                              <w:t>Energy Consumers Australia</w:t>
                            </w:r>
                            <w:r>
                              <w:rPr>
                                <w:sz w:val="16"/>
                                <w:szCs w:val="24"/>
                              </w:rPr>
                              <w:t xml:space="preserve"> -</w:t>
                            </w:r>
                            <w:r w:rsidRPr="00634C1E">
                              <w:rPr>
                                <w:sz w:val="16"/>
                                <w:szCs w:val="24"/>
                              </w:rPr>
                              <w:t xml:space="preserve"> PowerUp: Consumer Voices in the Energy Transition, Jul</w:t>
                            </w:r>
                            <w:r>
                              <w:rPr>
                                <w:sz w:val="16"/>
                                <w:szCs w:val="24"/>
                              </w:rPr>
                              <w:t>y</w:t>
                            </w:r>
                            <w:r w:rsidRPr="00634C1E">
                              <w:rPr>
                                <w:sz w:val="16"/>
                                <w:szCs w:val="24"/>
                              </w:rPr>
                              <w:t xml:space="preserve"> 2024</w:t>
                            </w:r>
                          </w:p>
                          <w:p w14:paraId="03CEA796" w14:textId="77777777" w:rsidR="00F31753" w:rsidRDefault="00F31753" w:rsidP="00F31753">
                            <w:pPr>
                              <w:ind w:firstLine="142"/>
                              <w:jc w:val="right"/>
                              <w:rPr>
                                <w:sz w:val="16"/>
                                <w:szCs w:val="24"/>
                              </w:rPr>
                            </w:pPr>
                          </w:p>
                          <w:p w14:paraId="29FFE3FC" w14:textId="77777777" w:rsidR="00F31753" w:rsidRDefault="00F31753" w:rsidP="00F31753">
                            <w:pPr>
                              <w:ind w:firstLine="142"/>
                              <w:jc w:val="right"/>
                              <w:rPr>
                                <w:sz w:val="16"/>
                                <w:szCs w:val="24"/>
                              </w:rPr>
                            </w:pPr>
                          </w:p>
                          <w:p w14:paraId="58DA00C1" w14:textId="77777777" w:rsidR="00F31753" w:rsidRPr="00AC0E4F" w:rsidRDefault="00F31753" w:rsidP="00F31753">
                            <w:pPr>
                              <w:ind w:firstLine="142"/>
                              <w:jc w:val="right"/>
                              <w:rPr>
                                <w:sz w:val="1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84640" id="Text Box 787270511" o:spid="_x0000_s1030" type="#_x0000_t202" style="position:absolute;margin-left:-1pt;margin-top:99.85pt;width:409.6pt;height:20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" fillcolor="#013c4c">
                <v:textbox>
                  <w:txbxContent>
                    <w:p w14:paraId="6B66730C" w14:textId="1750860C" w:rsidR="00F31753" w:rsidRPr="00CA317F" w:rsidRDefault="00F31753" w:rsidP="00F31753">
                      <w:pPr>
                        <w:ind w:left="142"/>
                        <w:rPr>
                          <w:i/>
                          <w:sz w:val="20"/>
                          <w:szCs w:val="24"/>
                        </w:rPr>
                      </w:pPr>
                      <w:r w:rsidRPr="00CA317F">
                        <w:rPr>
                          <w:i/>
                          <w:sz w:val="20"/>
                          <w:szCs w:val="24"/>
                        </w:rPr>
                        <w:t>Consumers expect fairness… they expect government to distribute benefits and burdens fairly – not equally – across the community. They do</w:t>
                      </w:r>
                      <w:r w:rsidR="00B4065F">
                        <w:rPr>
                          <w:i/>
                          <w:sz w:val="20"/>
                          <w:szCs w:val="24"/>
                        </w:rPr>
                        <w:t xml:space="preserve"> not</w:t>
                      </w:r>
                      <w:r w:rsidRPr="00CA317F">
                        <w:rPr>
                          <w:i/>
                          <w:sz w:val="20"/>
                          <w:szCs w:val="24"/>
                        </w:rPr>
                        <w:t xml:space="preserve"> want to pay more than their fair share, but do</w:t>
                      </w:r>
                      <w:r w:rsidR="00B4065F">
                        <w:rPr>
                          <w:i/>
                          <w:sz w:val="20"/>
                          <w:szCs w:val="24"/>
                        </w:rPr>
                        <w:t xml:space="preserve"> not</w:t>
                      </w:r>
                      <w:r w:rsidRPr="00CA317F">
                        <w:rPr>
                          <w:i/>
                          <w:sz w:val="20"/>
                          <w:szCs w:val="24"/>
                        </w:rPr>
                        <w:t xml:space="preserve"> want vulnerable people left behind. Most would change their behaviour if compensation was fair, and benefits are transparent.</w:t>
                      </w:r>
                    </w:p>
                    <w:p w14:paraId="54588AFB" w14:textId="5C8140DA" w:rsidR="00F31753" w:rsidRDefault="00F31753" w:rsidP="00F31753">
                      <w:pPr>
                        <w:jc w:val="right"/>
                      </w:pPr>
                      <w:hyperlink w:anchor="Ref_8_4_ECA_POWERUP_CON_Voices_24" w:history="1">
                        <w:r w:rsidRPr="006321E5">
                          <w:rPr>
                            <w:rStyle w:val="Hyperlink"/>
                            <w:sz w:val="16"/>
                            <w:szCs w:val="24"/>
                          </w:rPr>
                          <w:t>Energy Consumers Australia, PowerUp: Consumer Voices in the Energy Transition, Jul. 2024</w:t>
                        </w:r>
                      </w:hyperlink>
                    </w:p>
                    <w:p w14:paraId="63D8ABE7" w14:textId="77777777" w:rsidR="00F31753" w:rsidRPr="00CA317F" w:rsidRDefault="00F31753" w:rsidP="00F31753">
                      <w:pPr>
                        <w:ind w:left="142"/>
                        <w:rPr>
                          <w:i/>
                          <w:sz w:val="20"/>
                          <w:szCs w:val="24"/>
                        </w:rPr>
                      </w:pPr>
                      <w:r w:rsidRPr="00CA317F">
                        <w:rPr>
                          <w:i/>
                          <w:sz w:val="20"/>
                          <w:szCs w:val="24"/>
                        </w:rPr>
                        <w:t>If EVs demand a significant capital upgrade to the distribution network or an extensive roll-out of charging stations, should those costs be recovered from all consumers or only from the owners of EVs?</w:t>
                      </w:r>
                    </w:p>
                    <w:p w14:paraId="0A47AC44" w14:textId="51F653B0" w:rsidR="00F31753" w:rsidRDefault="00F31753" w:rsidP="00F31753">
                      <w:pPr>
                        <w:ind w:firstLine="284"/>
                        <w:jc w:val="right"/>
                        <w:rPr>
                          <w:sz w:val="16"/>
                          <w:szCs w:val="24"/>
                        </w:rPr>
                      </w:pPr>
                      <w:hyperlink w:anchor="Ref_8_4_What_if_the_Cons_En_Mkt_24" w:history="1">
                        <w:r w:rsidRPr="001A7C0B">
                          <w:rPr>
                            <w:rStyle w:val="Hyperlink"/>
                            <w:sz w:val="16"/>
                            <w:szCs w:val="24"/>
                          </w:rPr>
                          <w:t>R. Ben-David, What if the Consumer Energy Market Were Based on Reality Rather Than Assumptions?, Monash Business School, Monash University, Melbourne, Australia, Jul. 2024</w:t>
                        </w:r>
                      </w:hyperlink>
                    </w:p>
                    <w:p w14:paraId="7AA85D07" w14:textId="77777777" w:rsidR="00F31753" w:rsidRPr="00CA317F" w:rsidRDefault="00F31753" w:rsidP="00F31753">
                      <w:pPr>
                        <w:ind w:left="142"/>
                        <w:rPr>
                          <w:i/>
                          <w:sz w:val="20"/>
                          <w:szCs w:val="24"/>
                        </w:rPr>
                      </w:pPr>
                      <w:r w:rsidRPr="007B6057">
                        <w:rPr>
                          <w:i/>
                          <w:sz w:val="20"/>
                          <w:szCs w:val="24"/>
                        </w:rPr>
                        <w:t>We shouldn't have a system where only those lucky enough to afford the best or newest reap the benefits.</w:t>
                      </w:r>
                    </w:p>
                    <w:p w14:paraId="2805DBD1" w14:textId="77777777" w:rsidR="00F31753" w:rsidRDefault="00F31753" w:rsidP="00F31753">
                      <w:pPr>
                        <w:ind w:firstLine="142"/>
                        <w:jc w:val="right"/>
                        <w:rPr>
                          <w:sz w:val="16"/>
                          <w:szCs w:val="24"/>
                        </w:rPr>
                      </w:pPr>
                      <w:r w:rsidRPr="00634C1E">
                        <w:rPr>
                          <w:sz w:val="16"/>
                          <w:szCs w:val="24"/>
                        </w:rPr>
                        <w:t>Energy Consumers Australia</w:t>
                      </w:r>
                      <w:r>
                        <w:rPr>
                          <w:sz w:val="16"/>
                          <w:szCs w:val="24"/>
                        </w:rPr>
                        <w:t xml:space="preserve"> -</w:t>
                      </w:r>
                      <w:r w:rsidRPr="00634C1E">
                        <w:rPr>
                          <w:sz w:val="16"/>
                          <w:szCs w:val="24"/>
                        </w:rPr>
                        <w:t xml:space="preserve"> PowerUp: Consumer Voices in the Energy Transition, Jul</w:t>
                      </w:r>
                      <w:r>
                        <w:rPr>
                          <w:sz w:val="16"/>
                          <w:szCs w:val="24"/>
                        </w:rPr>
                        <w:t>y</w:t>
                      </w:r>
                      <w:r w:rsidRPr="00634C1E">
                        <w:rPr>
                          <w:sz w:val="16"/>
                          <w:szCs w:val="24"/>
                        </w:rPr>
                        <w:t xml:space="preserve"> 2024</w:t>
                      </w:r>
                    </w:p>
                    <w:p w14:paraId="03CEA796" w14:textId="77777777" w:rsidR="00F31753" w:rsidRDefault="00F31753" w:rsidP="00F31753">
                      <w:pPr>
                        <w:ind w:firstLine="142"/>
                        <w:jc w:val="right"/>
                        <w:rPr>
                          <w:sz w:val="16"/>
                          <w:szCs w:val="24"/>
                        </w:rPr>
                      </w:pPr>
                    </w:p>
                    <w:p w14:paraId="29FFE3FC" w14:textId="77777777" w:rsidR="00F31753" w:rsidRDefault="00F31753" w:rsidP="00F31753">
                      <w:pPr>
                        <w:ind w:firstLine="142"/>
                        <w:jc w:val="right"/>
                        <w:rPr>
                          <w:sz w:val="16"/>
                          <w:szCs w:val="24"/>
                        </w:rPr>
                      </w:pPr>
                    </w:p>
                    <w:p w14:paraId="58DA00C1" w14:textId="77777777" w:rsidR="00F31753" w:rsidRPr="00AC0E4F" w:rsidRDefault="00F31753" w:rsidP="00F31753">
                      <w:pPr>
                        <w:ind w:firstLine="142"/>
                        <w:jc w:val="right"/>
                        <w:rPr>
                          <w:sz w:val="16"/>
                          <w:szCs w:val="24"/>
                        </w:rPr>
                      </w:pPr>
                    </w:p>
                  </w:txbxContent>
                </v:textbox>
                <w10:wrap type="square" anchorx="margin"/>
              </v:shape>
            </w:pict>
          </mc:Fallback>
        </mc:AlternateContent>
      </w:r>
      <w:r w:rsidR="00987A74" w:rsidRPr="00050A5B">
        <w:rPr>
          <w:rFonts w:cs="Calibri"/>
        </w:rPr>
        <w:t>Another emerging challenge identified is minimising complexity and providing relevant information on offerings in a clear and concise manner. As the customer base diversifies, and energy products and services proliferate, it is important that all customers, regardless of their experience or knowledge, have easy and simple information and fair access to platforms and product/service offerings most suited to their circumstances. This may include personalised and accessible quantitative data to inform decision making.</w:t>
      </w:r>
    </w:p>
    <w:p w14:paraId="4C631FFD" w14:textId="77777777" w:rsidR="00DF75B7" w:rsidRPr="00050A5B" w:rsidRDefault="00DF75B7">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sidRPr="00050A5B">
        <w:rPr>
          <w:lang w:eastAsia="en-US" w:bidi="ar-SA"/>
        </w:rPr>
        <w:br w:type="page"/>
      </w:r>
    </w:p>
    <w:p w14:paraId="7ED328CD" w14:textId="16761DD5" w:rsidR="00706727" w:rsidRPr="00050A5B" w:rsidRDefault="00706727" w:rsidP="00706727">
      <w:pPr>
        <w:pStyle w:val="Heading2"/>
        <w:rPr>
          <w:lang w:eastAsia="en-US" w:bidi="ar-SA"/>
        </w:rPr>
      </w:pPr>
      <w:bookmarkStart w:id="44" w:name="_Toc205536758"/>
      <w:r w:rsidRPr="00050A5B">
        <w:rPr>
          <w:caps/>
          <w:lang w:eastAsia="en-US" w:bidi="ar-SA"/>
        </w:rPr>
        <w:t>Empowering</w:t>
      </w:r>
      <w:r w:rsidRPr="00050A5B">
        <w:rPr>
          <w:lang w:eastAsia="en-US" w:bidi="ar-SA"/>
        </w:rPr>
        <w:t>: Advances customer and community agency, optionality, and customisation</w:t>
      </w:r>
      <w:bookmarkEnd w:id="44"/>
      <w:r w:rsidRPr="00050A5B">
        <w:rPr>
          <w:lang w:eastAsia="en-US" w:bidi="ar-SA"/>
        </w:rPr>
        <w:t xml:space="preserve"> </w:t>
      </w:r>
    </w:p>
    <w:p w14:paraId="7D1EA24A" w14:textId="143980A5" w:rsidR="00A22E45" w:rsidRPr="00050A5B" w:rsidRDefault="00CE4840" w:rsidP="008C3E3F">
      <w:pPr>
        <w:spacing w:before="120" w:after="120" w:line="288" w:lineRule="auto"/>
        <w:rPr>
          <w:rFonts w:cs="Calibri"/>
        </w:rPr>
      </w:pPr>
      <w:r w:rsidRPr="00050A5B">
        <w:rPr>
          <w:rFonts w:cs="Calibri"/>
        </w:rPr>
        <w:t>As</w:t>
      </w:r>
      <w:r w:rsidR="00A22E45" w:rsidRPr="00050A5B">
        <w:rPr>
          <w:rFonts w:cs="Calibri"/>
        </w:rPr>
        <w:t xml:space="preserve"> power system</w:t>
      </w:r>
      <w:r w:rsidRPr="00050A5B">
        <w:rPr>
          <w:rFonts w:cs="Calibri"/>
        </w:rPr>
        <w:t>s</w:t>
      </w:r>
      <w:r w:rsidR="00A22E45" w:rsidRPr="00050A5B">
        <w:rPr>
          <w:rFonts w:cs="Calibri"/>
        </w:rPr>
        <w:t xml:space="preserve"> evolve and customers diversify in their preferences and priorities, facilitating customer and community agency will be a key challenge, opportunity and priority. The design of new energy products and services and emerging technologies will need to carefully consider how they can empower customers to make informed choices, while at the same time </w:t>
      </w:r>
      <w:r w:rsidR="00377DAB" w:rsidRPr="00050A5B">
        <w:rPr>
          <w:rFonts w:cs="Calibri"/>
        </w:rPr>
        <w:t xml:space="preserve">does </w:t>
      </w:r>
      <w:r w:rsidR="00A22E45" w:rsidRPr="00050A5B">
        <w:rPr>
          <w:rFonts w:cs="Calibri"/>
        </w:rPr>
        <w:t xml:space="preserve">not overwhelm them with micro-decisions that impact their lifestyle or business operations. This will require human-centred design and continuous feedback from their customer base as has been demonstrated by other sectors. </w:t>
      </w:r>
    </w:p>
    <w:p w14:paraId="1B44E3E6" w14:textId="77777777" w:rsidR="00A22E45" w:rsidRPr="00050A5B" w:rsidRDefault="00A22E45" w:rsidP="008C3E3F">
      <w:pPr>
        <w:spacing w:before="120" w:after="120" w:line="288" w:lineRule="auto"/>
        <w:rPr>
          <w:rFonts w:cs="Calibri"/>
        </w:rPr>
      </w:pPr>
      <w:r w:rsidRPr="00050A5B">
        <w:rPr>
          <w:rFonts w:cs="Calibri"/>
        </w:rPr>
        <w:t>It was also noted across various sources that empowerment includes:</w:t>
      </w:r>
      <w:r w:rsidRPr="00050A5B">
        <w:rPr>
          <w:rFonts w:cs="Calibri"/>
          <w:noProof/>
        </w:rPr>
        <w:t xml:space="preserve"> </w:t>
      </w:r>
    </w:p>
    <w:p w14:paraId="3CE7C180" w14:textId="50C006C9" w:rsidR="00A22E45" w:rsidRPr="00050A5B" w:rsidRDefault="00A22E45" w:rsidP="003F223E">
      <w:pPr>
        <w:pStyle w:val="ListParagraph"/>
        <w:numPr>
          <w:ilvl w:val="0"/>
          <w:numId w:val="21"/>
        </w:numPr>
        <w:spacing w:line="288" w:lineRule="auto"/>
        <w:ind w:left="709"/>
        <w:rPr>
          <w:rFonts w:cs="Calibri"/>
        </w:rPr>
      </w:pPr>
      <w:r w:rsidRPr="00050A5B">
        <w:rPr>
          <w:rFonts w:cs="Calibri"/>
        </w:rPr>
        <w:t>Simple and intuitive platforms and user-interfaces for interacting with energy products and services, including presentation of key data for decision making</w:t>
      </w:r>
    </w:p>
    <w:p w14:paraId="21F72843" w14:textId="7956764B" w:rsidR="00A22E45" w:rsidRPr="00050A5B" w:rsidRDefault="00A22E45" w:rsidP="003F223E">
      <w:pPr>
        <w:pStyle w:val="ListParagraph"/>
        <w:numPr>
          <w:ilvl w:val="0"/>
          <w:numId w:val="21"/>
        </w:numPr>
        <w:spacing w:line="288" w:lineRule="auto"/>
        <w:ind w:left="709"/>
        <w:rPr>
          <w:rFonts w:cs="Calibri"/>
        </w:rPr>
      </w:pPr>
      <w:r w:rsidRPr="00050A5B">
        <w:rPr>
          <w:rFonts w:cs="Calibri"/>
        </w:rPr>
        <w:t>The ability to configure technologies, products and services to align with user and household preferences, routines and expectations</w:t>
      </w:r>
    </w:p>
    <w:p w14:paraId="21D0673C" w14:textId="5835A113" w:rsidR="00A22E45" w:rsidRPr="00050A5B" w:rsidRDefault="00A22E45" w:rsidP="003F223E">
      <w:pPr>
        <w:pStyle w:val="ListParagraph"/>
        <w:numPr>
          <w:ilvl w:val="0"/>
          <w:numId w:val="21"/>
        </w:numPr>
        <w:spacing w:line="288" w:lineRule="auto"/>
        <w:ind w:left="709"/>
        <w:rPr>
          <w:rFonts w:cs="Calibri"/>
        </w:rPr>
      </w:pPr>
      <w:r w:rsidRPr="00050A5B">
        <w:rPr>
          <w:rFonts w:cs="Calibri"/>
        </w:rPr>
        <w:t>Enabling customers to easily compare offerings across competing providers and platforms</w:t>
      </w:r>
      <w:r w:rsidR="00C8604F">
        <w:rPr>
          <w:rFonts w:cs="Calibri"/>
        </w:rPr>
        <w:t>,</w:t>
      </w:r>
      <w:r w:rsidRPr="00050A5B">
        <w:rPr>
          <w:rFonts w:cs="Calibri"/>
        </w:rPr>
        <w:t xml:space="preserve"> and</w:t>
      </w:r>
    </w:p>
    <w:p w14:paraId="53153AEB" w14:textId="747E248F" w:rsidR="00A22E45" w:rsidRPr="00050A5B" w:rsidRDefault="00A22E45" w:rsidP="003F223E">
      <w:pPr>
        <w:pStyle w:val="ListParagraph"/>
        <w:numPr>
          <w:ilvl w:val="0"/>
          <w:numId w:val="21"/>
        </w:numPr>
        <w:spacing w:line="288" w:lineRule="auto"/>
        <w:ind w:left="709"/>
        <w:rPr>
          <w:rFonts w:cs="Calibri"/>
        </w:rPr>
      </w:pPr>
      <w:r w:rsidRPr="00050A5B">
        <w:rPr>
          <w:rFonts w:cs="Calibri"/>
        </w:rPr>
        <w:t xml:space="preserve">To retain simple no-frills arrangements should customers choose to do so. </w:t>
      </w:r>
    </w:p>
    <w:p w14:paraId="70822634" w14:textId="5D03DD15" w:rsidR="00A22E45" w:rsidRPr="00050A5B" w:rsidRDefault="008C3E3F" w:rsidP="008C3E3F">
      <w:pPr>
        <w:spacing w:before="120" w:after="120" w:line="288" w:lineRule="auto"/>
        <w:rPr>
          <w:rFonts w:cs="Calibri"/>
        </w:rPr>
      </w:pPr>
      <w:r w:rsidRPr="00050A5B">
        <w:rPr>
          <w:rFonts w:cs="Calibri"/>
          <w:noProof/>
        </w:rPr>
        <mc:AlternateContent>
          <mc:Choice Requires="wps">
            <w:drawing>
              <wp:anchor distT="45720" distB="45720" distL="114300" distR="114300" simplePos="0" relativeHeight="251658248" behindDoc="0" locked="0" layoutInCell="1" allowOverlap="1" wp14:anchorId="587CEB39" wp14:editId="11309AC2">
                <wp:simplePos x="0" y="0"/>
                <wp:positionH relativeFrom="margin">
                  <wp:posOffset>29210</wp:posOffset>
                </wp:positionH>
                <wp:positionV relativeFrom="paragraph">
                  <wp:posOffset>1426845</wp:posOffset>
                </wp:positionV>
                <wp:extent cx="5208905" cy="2590800"/>
                <wp:effectExtent l="0" t="0" r="10795" b="19050"/>
                <wp:wrapSquare wrapText="bothSides"/>
                <wp:docPr id="1634282844" name="Text Box 163428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2590800"/>
                        </a:xfrm>
                        <a:prstGeom prst="rect">
                          <a:avLst/>
                        </a:prstGeom>
                        <a:solidFill>
                          <a:srgbClr val="013C4C"/>
                        </a:solidFill>
                        <a:ln w="9525">
                          <a:solidFill>
                            <a:srgbClr val="000000"/>
                          </a:solidFill>
                          <a:miter lim="800000"/>
                          <a:headEnd/>
                          <a:tailEnd/>
                        </a:ln>
                      </wps:spPr>
                      <wps:txbx>
                        <w:txbxContent>
                          <w:p w14:paraId="6C474B6C" w14:textId="77777777" w:rsidR="008C3E3F" w:rsidRPr="00CA317F" w:rsidRDefault="008C3E3F" w:rsidP="008C3E3F">
                            <w:pPr>
                              <w:spacing w:before="120"/>
                              <w:ind w:left="142"/>
                              <w:rPr>
                                <w:i/>
                                <w:sz w:val="20"/>
                                <w:szCs w:val="24"/>
                              </w:rPr>
                            </w:pPr>
                            <w:r w:rsidRPr="00CA317F">
                              <w:rPr>
                                <w:i/>
                                <w:sz w:val="20"/>
                                <w:szCs w:val="24"/>
                              </w:rPr>
                              <w:t xml:space="preserve">With a policy focus on households and small businesses, Australia could turbocharge the energy transition and show the rest of the world the way out of the climate crisis. </w:t>
                            </w:r>
                          </w:p>
                          <w:p w14:paraId="06256779" w14:textId="5050397B" w:rsidR="008C3E3F" w:rsidRPr="00AC0E4F" w:rsidRDefault="008C3E3F" w:rsidP="008C3E3F">
                            <w:pPr>
                              <w:pBdr>
                                <w:bottom w:val="single" w:sz="6" w:space="1" w:color="auto"/>
                              </w:pBdr>
                              <w:jc w:val="right"/>
                              <w:rPr>
                                <w:sz w:val="16"/>
                                <w:szCs w:val="24"/>
                              </w:rPr>
                            </w:pPr>
                            <w:hyperlink w:anchor="Ref_8_5_Develop_Policy_for_Australi_24" w:history="1">
                              <w:r w:rsidRPr="00CA0D63">
                                <w:rPr>
                                  <w:rStyle w:val="Hyperlink"/>
                                  <w:sz w:val="16"/>
                                  <w:szCs w:val="24"/>
                                </w:rPr>
                                <w:t>V. L. McLeod, Developing Policy for Australia’s Clean Energy Transition Using a Systems Thinking Approach: Consumer and Distributed Energy Resource Integration Case Study, RACE for 2030, Jul. 2024</w:t>
                              </w:r>
                            </w:hyperlink>
                            <w:r>
                              <w:rPr>
                                <w:sz w:val="16"/>
                                <w:szCs w:val="24"/>
                              </w:rPr>
                              <w:br/>
                            </w:r>
                          </w:p>
                          <w:p w14:paraId="63FF3C89" w14:textId="77777777" w:rsidR="008C3E3F" w:rsidRPr="00CA317F" w:rsidRDefault="008C3E3F" w:rsidP="008C3E3F">
                            <w:pPr>
                              <w:ind w:left="142"/>
                              <w:rPr>
                                <w:i/>
                                <w:sz w:val="20"/>
                                <w:szCs w:val="24"/>
                              </w:rPr>
                            </w:pPr>
                            <w:r w:rsidRPr="00CA317F">
                              <w:rPr>
                                <w:i/>
                                <w:sz w:val="20"/>
                                <w:szCs w:val="24"/>
                              </w:rPr>
                              <w:t>Herein lies the central dilemma for economic regulation during the energy transition. If customers have not successfully navigated a market constructed around one decision variable, how can they be expected to navigate a labyrinthine market involving all the decision variables…?</w:t>
                            </w:r>
                          </w:p>
                          <w:p w14:paraId="51C23AB8" w14:textId="05512CDE" w:rsidR="008C3E3F" w:rsidRDefault="008C3E3F" w:rsidP="008C3E3F">
                            <w:pPr>
                              <w:jc w:val="right"/>
                              <w:rPr>
                                <w:sz w:val="16"/>
                                <w:szCs w:val="24"/>
                              </w:rPr>
                            </w:pPr>
                            <w:hyperlink w:anchor="Ref_8_5_Minimising_Consumer_Harm_22" w:history="1">
                              <w:r w:rsidRPr="00583569">
                                <w:rPr>
                                  <w:rStyle w:val="Hyperlink"/>
                                  <w:sz w:val="16"/>
                                  <w:szCs w:val="24"/>
                                </w:rPr>
                                <w:t>R. Ben-David, Minimising Consumer Harm for a Successful Energy Transition, Presentation to IPART’s 30th Anniversary Conference, Monash University, Nov. 17, 2022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CEB39" id="Text Box 1634282844" o:spid="_x0000_s1031" type="#_x0000_t202" style="position:absolute;margin-left:2.3pt;margin-top:112.35pt;width:410.15pt;height:20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" fillcolor="#013c4c">
                <v:textbox>
                  <w:txbxContent>
                    <w:p w14:paraId="6C474B6C" w14:textId="77777777" w:rsidR="008C3E3F" w:rsidRPr="00CA317F" w:rsidRDefault="008C3E3F" w:rsidP="008C3E3F">
                      <w:pPr>
                        <w:spacing w:before="120"/>
                        <w:ind w:left="142"/>
                        <w:rPr>
                          <w:i/>
                          <w:sz w:val="20"/>
                          <w:szCs w:val="24"/>
                        </w:rPr>
                      </w:pPr>
                      <w:r w:rsidRPr="00CA317F">
                        <w:rPr>
                          <w:i/>
                          <w:sz w:val="20"/>
                          <w:szCs w:val="24"/>
                        </w:rPr>
                        <w:t xml:space="preserve">With a policy focus on households and small businesses, Australia could turbocharge the energy transition and show the rest of the world the way out of the climate crisis. </w:t>
                      </w:r>
                    </w:p>
                    <w:p w14:paraId="06256779" w14:textId="5050397B" w:rsidR="008C3E3F" w:rsidRPr="00AC0E4F" w:rsidRDefault="008C3E3F" w:rsidP="008C3E3F">
                      <w:pPr>
                        <w:pBdr>
                          <w:bottom w:val="single" w:sz="6" w:space="1" w:color="auto"/>
                        </w:pBdr>
                        <w:jc w:val="right"/>
                        <w:rPr>
                          <w:sz w:val="16"/>
                          <w:szCs w:val="24"/>
                        </w:rPr>
                      </w:pPr>
                      <w:hyperlink w:anchor="Ref_8_5_Develop_Policy_for_Australi_24" w:history="1">
                        <w:r w:rsidRPr="00CA0D63">
                          <w:rPr>
                            <w:rStyle w:val="Hyperlink"/>
                            <w:sz w:val="16"/>
                            <w:szCs w:val="24"/>
                          </w:rPr>
                          <w:t>V. L. McLeod, Developing Policy for Australia’s Clean Energy Transition Using a Systems Thinking Approach: Consumer and Distributed Energy Resource Integration Case Study, RACE for 2030, Jul. 2024</w:t>
                        </w:r>
                      </w:hyperlink>
                      <w:r>
                        <w:rPr>
                          <w:sz w:val="16"/>
                          <w:szCs w:val="24"/>
                        </w:rPr>
                        <w:br/>
                      </w:r>
                    </w:p>
                    <w:p w14:paraId="63FF3C89" w14:textId="77777777" w:rsidR="008C3E3F" w:rsidRPr="00CA317F" w:rsidRDefault="008C3E3F" w:rsidP="008C3E3F">
                      <w:pPr>
                        <w:ind w:left="142"/>
                        <w:rPr>
                          <w:i/>
                          <w:sz w:val="20"/>
                          <w:szCs w:val="24"/>
                        </w:rPr>
                      </w:pPr>
                      <w:r w:rsidRPr="00CA317F">
                        <w:rPr>
                          <w:i/>
                          <w:sz w:val="20"/>
                          <w:szCs w:val="24"/>
                        </w:rPr>
                        <w:t>Herein lies the central dilemma for economic regulation during the energy transition. If customers have not successfully navigated a market constructed around one decision variable, how can they be expected to navigate a labyrinthine market involving all the decision variables…?</w:t>
                      </w:r>
                    </w:p>
                    <w:p w14:paraId="51C23AB8" w14:textId="05512CDE" w:rsidR="008C3E3F" w:rsidRDefault="008C3E3F" w:rsidP="008C3E3F">
                      <w:pPr>
                        <w:jc w:val="right"/>
                        <w:rPr>
                          <w:sz w:val="16"/>
                          <w:szCs w:val="24"/>
                        </w:rPr>
                      </w:pPr>
                      <w:hyperlink w:anchor="Ref_8_5_Minimising_Consumer_Harm_22" w:history="1">
                        <w:r w:rsidRPr="00583569">
                          <w:rPr>
                            <w:rStyle w:val="Hyperlink"/>
                            <w:sz w:val="16"/>
                            <w:szCs w:val="24"/>
                          </w:rPr>
                          <w:t>R. Ben-David, Minimising Consumer Harm for a Successful Energy Transition, Presentation to IPART’s 30th Anniversary Conference, Monash University, Nov. 17, 2022</w:t>
                        </w:r>
                      </w:hyperlink>
                    </w:p>
                  </w:txbxContent>
                </v:textbox>
                <w10:wrap type="square" anchorx="margin"/>
              </v:shape>
            </w:pict>
          </mc:Fallback>
        </mc:AlternateContent>
      </w:r>
      <w:r w:rsidR="00A22E45" w:rsidRPr="00050A5B">
        <w:rPr>
          <w:rFonts w:cs="Calibri"/>
        </w:rPr>
        <w:t xml:space="preserve">Similarly, sources suggested that communities will also have </w:t>
      </w:r>
      <w:proofErr w:type="gramStart"/>
      <w:r w:rsidR="00A22E45" w:rsidRPr="00050A5B">
        <w:rPr>
          <w:rFonts w:cs="Calibri"/>
        </w:rPr>
        <w:t>increasing</w:t>
      </w:r>
      <w:proofErr w:type="gramEnd"/>
      <w:r w:rsidR="00A22E45" w:rsidRPr="00050A5B">
        <w:rPr>
          <w:rFonts w:cs="Calibri"/>
        </w:rPr>
        <w:t xml:space="preserve"> optionality for meeting their energy needs, such as community batteries, virtual power plants, co-located small-scale generation and storage facilities, but will require the regulatory environment and policy settings to enable such solutions. </w:t>
      </w:r>
      <w:r w:rsidR="005901A3" w:rsidRPr="00050A5B">
        <w:rPr>
          <w:rFonts w:cs="Calibri"/>
        </w:rPr>
        <w:t>T</w:t>
      </w:r>
      <w:r w:rsidR="00A22E45" w:rsidRPr="00050A5B">
        <w:rPr>
          <w:rFonts w:cs="Calibri"/>
        </w:rPr>
        <w:t xml:space="preserve">he literature </w:t>
      </w:r>
      <w:r w:rsidR="005901A3" w:rsidRPr="00050A5B">
        <w:rPr>
          <w:rFonts w:cs="Calibri"/>
        </w:rPr>
        <w:t>also</w:t>
      </w:r>
      <w:r w:rsidR="00A22E45" w:rsidRPr="00050A5B">
        <w:rPr>
          <w:rFonts w:cs="Calibri"/>
        </w:rPr>
        <w:t xml:space="preserve"> observed that advancing customer agency will require all stakeholders, including government bodies, businesses, and individuals</w:t>
      </w:r>
      <w:r w:rsidR="00B41DDF">
        <w:rPr>
          <w:rFonts w:cs="Calibri"/>
        </w:rPr>
        <w:t>,</w:t>
      </w:r>
      <w:r w:rsidR="00A22E45" w:rsidRPr="00050A5B">
        <w:rPr>
          <w:rFonts w:cs="Calibri"/>
        </w:rPr>
        <w:t xml:space="preserve"> to have an agreed and coherent understanding of what customer agency and empowerment </w:t>
      </w:r>
      <w:r w:rsidR="00B41DDF">
        <w:rPr>
          <w:rFonts w:cs="Calibri"/>
        </w:rPr>
        <w:t>are</w:t>
      </w:r>
      <w:r w:rsidR="00A22E45" w:rsidRPr="00050A5B">
        <w:rPr>
          <w:rFonts w:cs="Calibri"/>
        </w:rPr>
        <w:t>, and to embed that in relevant policy and regulation.</w:t>
      </w:r>
    </w:p>
    <w:p w14:paraId="05D13F41" w14:textId="258E0B73" w:rsidR="00706727" w:rsidRPr="00050A5B" w:rsidRDefault="00706727" w:rsidP="00706727">
      <w:pPr>
        <w:pStyle w:val="Heading2"/>
        <w:rPr>
          <w:lang w:eastAsia="en-US" w:bidi="ar-SA"/>
        </w:rPr>
      </w:pPr>
      <w:bookmarkStart w:id="45" w:name="_Toc205536759"/>
      <w:r w:rsidRPr="00050A5B">
        <w:rPr>
          <w:caps/>
          <w:lang w:eastAsia="en-US" w:bidi="ar-SA"/>
        </w:rPr>
        <w:t>Expandable</w:t>
      </w:r>
      <w:r w:rsidRPr="00050A5B">
        <w:rPr>
          <w:lang w:eastAsia="en-US" w:bidi="ar-SA"/>
        </w:rPr>
        <w:t>: Enables electrification of transport, building services and industrial processes</w:t>
      </w:r>
      <w:bookmarkEnd w:id="45"/>
    </w:p>
    <w:p w14:paraId="76AAEB11" w14:textId="6605705F" w:rsidR="007B05A0" w:rsidRPr="00127002" w:rsidRDefault="00825E77" w:rsidP="00534F96">
      <w:pPr>
        <w:spacing w:before="180" w:after="180" w:line="288" w:lineRule="auto"/>
        <w:rPr>
          <w:rFonts w:cs="Calibri"/>
        </w:rPr>
      </w:pPr>
      <w:r w:rsidRPr="00050A5B">
        <w:rPr>
          <w:rFonts w:cs="Calibri"/>
        </w:rPr>
        <w:t xml:space="preserve">With the </w:t>
      </w:r>
      <w:r w:rsidR="00FF60EC" w:rsidRPr="00050A5B">
        <w:rPr>
          <w:rFonts w:cs="Calibri"/>
        </w:rPr>
        <w:t xml:space="preserve">current and projected scale of </w:t>
      </w:r>
      <w:r w:rsidR="0034279B" w:rsidRPr="00050A5B">
        <w:rPr>
          <w:rFonts w:cs="Calibri"/>
        </w:rPr>
        <w:t>new energy technology deployment and the</w:t>
      </w:r>
      <w:r w:rsidR="00FF60EC" w:rsidRPr="00050A5B">
        <w:rPr>
          <w:rFonts w:cs="Calibri"/>
        </w:rPr>
        <w:t xml:space="preserve"> electrification</w:t>
      </w:r>
      <w:r w:rsidR="00E10F42" w:rsidRPr="00050A5B">
        <w:rPr>
          <w:rFonts w:cs="Calibri"/>
        </w:rPr>
        <w:t xml:space="preserve"> of transport and </w:t>
      </w:r>
      <w:r w:rsidR="001C3875" w:rsidRPr="00050A5B">
        <w:rPr>
          <w:rFonts w:cs="Calibri"/>
        </w:rPr>
        <w:t xml:space="preserve">industrial processes </w:t>
      </w:r>
      <w:r w:rsidRPr="00050A5B">
        <w:rPr>
          <w:rFonts w:cs="Calibri"/>
        </w:rPr>
        <w:t xml:space="preserve">in Australia, an expandable power system is critical. </w:t>
      </w:r>
      <w:r w:rsidR="00FA4F55" w:rsidRPr="00127002">
        <w:rPr>
          <w:rFonts w:cs="Calibri"/>
        </w:rPr>
        <w:t>Expandability in this context refers to the power system’s capacity to accommodate significant increases in electricity demand arising from the electrification of sectors traditionally reliant on fossil fuels, including transport, buildings, and industrial processes.</w:t>
      </w:r>
    </w:p>
    <w:p w14:paraId="2D39CB7C" w14:textId="6DF71523" w:rsidR="00825E77" w:rsidRPr="00050A5B" w:rsidRDefault="0047564C" w:rsidP="00253EC2">
      <w:pPr>
        <w:spacing w:line="288" w:lineRule="auto"/>
        <w:rPr>
          <w:rFonts w:cs="Calibri"/>
        </w:rPr>
      </w:pPr>
      <w:r w:rsidRPr="00050A5B">
        <w:rPr>
          <w:rFonts w:cs="Calibri"/>
          <w:noProof/>
        </w:rPr>
        <mc:AlternateContent>
          <mc:Choice Requires="wps">
            <w:drawing>
              <wp:anchor distT="45720" distB="45720" distL="114300" distR="114300" simplePos="0" relativeHeight="251658247" behindDoc="0" locked="0" layoutInCell="1" allowOverlap="1" wp14:anchorId="52A3E706" wp14:editId="18546FF1">
                <wp:simplePos x="0" y="0"/>
                <wp:positionH relativeFrom="margin">
                  <wp:align>left</wp:align>
                </wp:positionH>
                <wp:positionV relativeFrom="paragraph">
                  <wp:posOffset>1046480</wp:posOffset>
                </wp:positionV>
                <wp:extent cx="5334000" cy="3429000"/>
                <wp:effectExtent l="0" t="0" r="19050" b="19050"/>
                <wp:wrapNone/>
                <wp:docPr id="1572033533" name="Text Box 1572033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0"/>
                        </a:xfrm>
                        <a:prstGeom prst="rect">
                          <a:avLst/>
                        </a:prstGeom>
                        <a:solidFill>
                          <a:srgbClr val="013C4C"/>
                        </a:solidFill>
                        <a:ln w="9525">
                          <a:solidFill>
                            <a:srgbClr val="000000"/>
                          </a:solidFill>
                          <a:miter lim="800000"/>
                          <a:headEnd/>
                          <a:tailEnd/>
                        </a:ln>
                      </wps:spPr>
                      <wps:txbx>
                        <w:txbxContent>
                          <w:p w14:paraId="2298CB94" w14:textId="77777777" w:rsidR="00F31753" w:rsidRDefault="00F31753" w:rsidP="00F31753">
                            <w:pPr>
                              <w:spacing w:before="120" w:after="0"/>
                              <w:ind w:left="284"/>
                              <w:rPr>
                                <w:sz w:val="16"/>
                                <w:szCs w:val="20"/>
                              </w:rPr>
                            </w:pPr>
                            <w:r w:rsidRPr="00CA317F">
                              <w:rPr>
                                <w:i/>
                                <w:iCs/>
                                <w:sz w:val="20"/>
                                <w:szCs w:val="24"/>
                              </w:rPr>
                              <w:t xml:space="preserve">Technical standards for hardware enable informed and competitive consumer choice to more interoperable and easily accessible product and services options. </w:t>
                            </w:r>
                            <w:r w:rsidRPr="00CA317F">
                              <w:rPr>
                                <w:i/>
                                <w:iCs/>
                                <w:sz w:val="20"/>
                                <w:szCs w:val="24"/>
                              </w:rPr>
                              <w:br/>
                            </w:r>
                          </w:p>
                          <w:p w14:paraId="5AC6AC61" w14:textId="29B3B366" w:rsidR="00F31753" w:rsidRDefault="00F31753" w:rsidP="00716153">
                            <w:pPr>
                              <w:spacing w:before="0" w:after="0"/>
                              <w:ind w:left="284"/>
                              <w:jc w:val="right"/>
                              <w:rPr>
                                <w:sz w:val="16"/>
                                <w:szCs w:val="20"/>
                              </w:rPr>
                            </w:pPr>
                            <w:hyperlink w:anchor="Ref_8_6_Social_License_for_DER_20" w:history="1">
                              <w:r w:rsidRPr="00033615">
                                <w:rPr>
                                  <w:rStyle w:val="Hyperlink"/>
                                  <w:sz w:val="16"/>
                                  <w:szCs w:val="20"/>
                                </w:rPr>
                                <w:t>Energy Consumers Australia - Social License for DER Control FINAL v2.0, December 2020</w:t>
                              </w:r>
                            </w:hyperlink>
                          </w:p>
                          <w:p w14:paraId="12CFE73F" w14:textId="77777777" w:rsidR="00F31753" w:rsidRDefault="00F31753" w:rsidP="00716153">
                            <w:pPr>
                              <w:spacing w:before="0" w:after="0"/>
                              <w:ind w:left="284"/>
                              <w:jc w:val="right"/>
                              <w:rPr>
                                <w:sz w:val="16"/>
                                <w:szCs w:val="20"/>
                              </w:rPr>
                            </w:pPr>
                          </w:p>
                          <w:p w14:paraId="4CE725D7" w14:textId="77777777" w:rsidR="00F31753" w:rsidRPr="00534F96" w:rsidRDefault="00F31753" w:rsidP="00716153">
                            <w:pPr>
                              <w:spacing w:before="0" w:after="0"/>
                              <w:ind w:left="284"/>
                              <w:jc w:val="right"/>
                              <w:rPr>
                                <w:sz w:val="8"/>
                                <w:szCs w:val="12"/>
                              </w:rPr>
                            </w:pPr>
                          </w:p>
                          <w:p w14:paraId="5AA38DA8" w14:textId="77777777" w:rsidR="00F31753" w:rsidRDefault="00F31753" w:rsidP="00716153">
                            <w:pPr>
                              <w:spacing w:before="0" w:after="0"/>
                              <w:ind w:left="284"/>
                              <w:rPr>
                                <w:i/>
                                <w:iCs/>
                                <w:sz w:val="20"/>
                                <w:szCs w:val="24"/>
                              </w:rPr>
                            </w:pPr>
                            <w:r w:rsidRPr="00234EDB">
                              <w:rPr>
                                <w:i/>
                                <w:iCs/>
                                <w:sz w:val="20"/>
                                <w:szCs w:val="24"/>
                              </w:rPr>
                              <w:t>While the challenge of integrating DERs is currently driving up the cost of transforming the electricity grid, with proper policy design and implementation, they can also be an economic solution.</w:t>
                            </w:r>
                          </w:p>
                          <w:p w14:paraId="4F7E5D17" w14:textId="77777777" w:rsidR="00F31753" w:rsidRPr="00234EDB" w:rsidRDefault="00F31753" w:rsidP="00716153">
                            <w:pPr>
                              <w:spacing w:before="0" w:after="0"/>
                              <w:ind w:left="284"/>
                              <w:rPr>
                                <w:i/>
                                <w:iCs/>
                                <w:sz w:val="20"/>
                                <w:szCs w:val="24"/>
                              </w:rPr>
                            </w:pPr>
                          </w:p>
                          <w:p w14:paraId="3DC62D3F" w14:textId="02E10605" w:rsidR="00F31753" w:rsidRDefault="00F31753" w:rsidP="00716153">
                            <w:pPr>
                              <w:spacing w:before="0" w:after="0"/>
                              <w:ind w:left="284"/>
                              <w:jc w:val="right"/>
                              <w:rPr>
                                <w:sz w:val="16"/>
                                <w:szCs w:val="20"/>
                              </w:rPr>
                            </w:pPr>
                            <w:hyperlink w:anchor="Ref_8_6_Developing_Policy_for_Aus_24" w:history="1">
                              <w:r w:rsidRPr="0026519C">
                                <w:rPr>
                                  <w:rStyle w:val="Hyperlink"/>
                                  <w:sz w:val="16"/>
                                  <w:szCs w:val="20"/>
                                </w:rPr>
                                <w:t>RACE for 2030 - Developing Policy for Australia’s Clean Energy Transition Using a Systems Thinking Approach: Consumer and Distributed Energy Resource Integration Case Study, July 2024</w:t>
                              </w:r>
                            </w:hyperlink>
                          </w:p>
                          <w:p w14:paraId="76C2A752" w14:textId="77777777" w:rsidR="00F31753" w:rsidRDefault="00F31753" w:rsidP="00716153">
                            <w:pPr>
                              <w:spacing w:before="0" w:after="0"/>
                              <w:ind w:left="284"/>
                              <w:jc w:val="right"/>
                              <w:rPr>
                                <w:sz w:val="16"/>
                                <w:szCs w:val="20"/>
                              </w:rPr>
                            </w:pPr>
                          </w:p>
                          <w:p w14:paraId="2499E209" w14:textId="77777777" w:rsidR="00F31753" w:rsidRPr="00534F96" w:rsidRDefault="00F31753" w:rsidP="00716153">
                            <w:pPr>
                              <w:spacing w:before="0" w:after="0"/>
                              <w:ind w:left="284"/>
                              <w:jc w:val="right"/>
                              <w:rPr>
                                <w:sz w:val="10"/>
                                <w:szCs w:val="14"/>
                              </w:rPr>
                            </w:pPr>
                          </w:p>
                          <w:p w14:paraId="3E8146D1" w14:textId="77777777" w:rsidR="00F31753" w:rsidRPr="008444DC" w:rsidRDefault="00F31753" w:rsidP="00716153">
                            <w:pPr>
                              <w:spacing w:before="0" w:after="0"/>
                              <w:ind w:left="284"/>
                              <w:rPr>
                                <w:i/>
                                <w:iCs/>
                                <w:sz w:val="20"/>
                                <w:szCs w:val="24"/>
                              </w:rPr>
                            </w:pPr>
                            <w:r w:rsidRPr="008444DC">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008687B6" w14:textId="77777777" w:rsidR="00F31753" w:rsidRDefault="00F31753" w:rsidP="00716153">
                            <w:pPr>
                              <w:spacing w:before="0" w:after="0"/>
                              <w:ind w:left="284"/>
                              <w:jc w:val="right"/>
                              <w:rPr>
                                <w:sz w:val="16"/>
                                <w:szCs w:val="20"/>
                              </w:rPr>
                            </w:pPr>
                          </w:p>
                          <w:p w14:paraId="2CC1C90C" w14:textId="4DE6EAC7" w:rsidR="00F31753" w:rsidRPr="003A0A99" w:rsidRDefault="00F31753" w:rsidP="00F31753">
                            <w:pPr>
                              <w:spacing w:before="0"/>
                              <w:ind w:left="425"/>
                              <w:jc w:val="right"/>
                              <w:rPr>
                                <w:sz w:val="16"/>
                                <w:szCs w:val="20"/>
                              </w:rPr>
                            </w:pPr>
                            <w:hyperlink w:anchor="Ref_8_6_Demanding_Better_A_Reform_24" w:history="1">
                              <w:r w:rsidRPr="000B00A3">
                                <w:rPr>
                                  <w:rStyle w:val="Hyperlink"/>
                                  <w:sz w:val="16"/>
                                  <w:szCs w:val="20"/>
                                </w:rPr>
                                <w:t>ACOSS, AiG, EEC and Property Council of Australia - Demanding Better: A Reform Agenda for Harnessing the Power and Flexibility of Demand Side Energy Resources, December 2024</w:t>
                              </w:r>
                            </w:hyperlink>
                          </w:p>
                          <w:p w14:paraId="4411050B" w14:textId="226C388A" w:rsidR="00F31753" w:rsidRDefault="00F31753" w:rsidP="00F31753">
                            <w:pPr>
                              <w:pBdr>
                                <w:bottom w:val="single" w:sz="6" w:space="0" w:color="auto"/>
                              </w:pBdr>
                              <w:spacing w:before="0" w:after="0"/>
                              <w:ind w:left="284"/>
                              <w:jc w:val="right"/>
                              <w:rPr>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3E706" id="Text Box 1572033533" o:spid="_x0000_s1032" type="#_x0000_t202" style="position:absolute;margin-left:0;margin-top:82.4pt;width:420pt;height:270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" fillcolor="#013c4c">
                <v:textbox>
                  <w:txbxContent>
                    <w:p w14:paraId="2298CB94" w14:textId="77777777" w:rsidR="00F31753" w:rsidRDefault="00F31753" w:rsidP="00F31753">
                      <w:pPr>
                        <w:spacing w:before="120" w:after="0"/>
                        <w:ind w:left="284"/>
                        <w:rPr>
                          <w:sz w:val="16"/>
                          <w:szCs w:val="20"/>
                        </w:rPr>
                      </w:pPr>
                      <w:r w:rsidRPr="00CA317F">
                        <w:rPr>
                          <w:i/>
                          <w:iCs/>
                          <w:sz w:val="20"/>
                          <w:szCs w:val="24"/>
                        </w:rPr>
                        <w:t xml:space="preserve">Technical standards for hardware enable informed and competitive consumer choice to more interoperable and easily accessible product and services options. </w:t>
                      </w:r>
                      <w:r w:rsidRPr="00CA317F">
                        <w:rPr>
                          <w:i/>
                          <w:iCs/>
                          <w:sz w:val="20"/>
                          <w:szCs w:val="24"/>
                        </w:rPr>
                        <w:br/>
                      </w:r>
                    </w:p>
                    <w:p w14:paraId="5AC6AC61" w14:textId="29B3B366" w:rsidR="00F31753" w:rsidRDefault="00F31753" w:rsidP="00716153">
                      <w:pPr>
                        <w:spacing w:before="0" w:after="0"/>
                        <w:ind w:left="284"/>
                        <w:jc w:val="right"/>
                        <w:rPr>
                          <w:sz w:val="16"/>
                          <w:szCs w:val="20"/>
                        </w:rPr>
                      </w:pPr>
                      <w:hyperlink w:anchor="Ref_8_6_Social_License_for_DER_20" w:history="1">
                        <w:r w:rsidRPr="00033615">
                          <w:rPr>
                            <w:rStyle w:val="Hyperlink"/>
                            <w:sz w:val="16"/>
                            <w:szCs w:val="20"/>
                          </w:rPr>
                          <w:t>Energy Consumers Australia - Social License for DER Control FINAL v2.0, December 2020</w:t>
                        </w:r>
                      </w:hyperlink>
                    </w:p>
                    <w:p w14:paraId="12CFE73F" w14:textId="77777777" w:rsidR="00F31753" w:rsidRDefault="00F31753" w:rsidP="00716153">
                      <w:pPr>
                        <w:spacing w:before="0" w:after="0"/>
                        <w:ind w:left="284"/>
                        <w:jc w:val="right"/>
                        <w:rPr>
                          <w:sz w:val="16"/>
                          <w:szCs w:val="20"/>
                        </w:rPr>
                      </w:pPr>
                    </w:p>
                    <w:p w14:paraId="4CE725D7" w14:textId="77777777" w:rsidR="00F31753" w:rsidRPr="00534F96" w:rsidRDefault="00F31753" w:rsidP="00716153">
                      <w:pPr>
                        <w:spacing w:before="0" w:after="0"/>
                        <w:ind w:left="284"/>
                        <w:jc w:val="right"/>
                        <w:rPr>
                          <w:sz w:val="8"/>
                          <w:szCs w:val="12"/>
                        </w:rPr>
                      </w:pPr>
                    </w:p>
                    <w:p w14:paraId="5AA38DA8" w14:textId="77777777" w:rsidR="00F31753" w:rsidRDefault="00F31753" w:rsidP="00716153">
                      <w:pPr>
                        <w:spacing w:before="0" w:after="0"/>
                        <w:ind w:left="284"/>
                        <w:rPr>
                          <w:i/>
                          <w:iCs/>
                          <w:sz w:val="20"/>
                          <w:szCs w:val="24"/>
                        </w:rPr>
                      </w:pPr>
                      <w:r w:rsidRPr="00234EDB">
                        <w:rPr>
                          <w:i/>
                          <w:iCs/>
                          <w:sz w:val="20"/>
                          <w:szCs w:val="24"/>
                        </w:rPr>
                        <w:t>While the challenge of integrating DERs is currently driving up the cost of transforming the electricity grid, with proper policy design and implementation, they can also be an economic solution.</w:t>
                      </w:r>
                    </w:p>
                    <w:p w14:paraId="4F7E5D17" w14:textId="77777777" w:rsidR="00F31753" w:rsidRPr="00234EDB" w:rsidRDefault="00F31753" w:rsidP="00716153">
                      <w:pPr>
                        <w:spacing w:before="0" w:after="0"/>
                        <w:ind w:left="284"/>
                        <w:rPr>
                          <w:i/>
                          <w:iCs/>
                          <w:sz w:val="20"/>
                          <w:szCs w:val="24"/>
                        </w:rPr>
                      </w:pPr>
                    </w:p>
                    <w:p w14:paraId="3DC62D3F" w14:textId="02E10605" w:rsidR="00F31753" w:rsidRDefault="00F31753" w:rsidP="00716153">
                      <w:pPr>
                        <w:spacing w:before="0" w:after="0"/>
                        <w:ind w:left="284"/>
                        <w:jc w:val="right"/>
                        <w:rPr>
                          <w:sz w:val="16"/>
                          <w:szCs w:val="20"/>
                        </w:rPr>
                      </w:pPr>
                      <w:hyperlink w:anchor="Ref_8_6_Developing_Policy_for_Aus_24" w:history="1">
                        <w:r w:rsidRPr="0026519C">
                          <w:rPr>
                            <w:rStyle w:val="Hyperlink"/>
                            <w:sz w:val="16"/>
                            <w:szCs w:val="20"/>
                          </w:rPr>
                          <w:t>RACE for 2030 - Developing Policy for Australia’s Clean Energy Transition Using a Systems Thinking Approach: Consumer and Distributed Energy Resource Integration Case Study, July 2024</w:t>
                        </w:r>
                      </w:hyperlink>
                    </w:p>
                    <w:p w14:paraId="76C2A752" w14:textId="77777777" w:rsidR="00F31753" w:rsidRDefault="00F31753" w:rsidP="00716153">
                      <w:pPr>
                        <w:spacing w:before="0" w:after="0"/>
                        <w:ind w:left="284"/>
                        <w:jc w:val="right"/>
                        <w:rPr>
                          <w:sz w:val="16"/>
                          <w:szCs w:val="20"/>
                        </w:rPr>
                      </w:pPr>
                    </w:p>
                    <w:p w14:paraId="2499E209" w14:textId="77777777" w:rsidR="00F31753" w:rsidRPr="00534F96" w:rsidRDefault="00F31753" w:rsidP="00716153">
                      <w:pPr>
                        <w:spacing w:before="0" w:after="0"/>
                        <w:ind w:left="284"/>
                        <w:jc w:val="right"/>
                        <w:rPr>
                          <w:sz w:val="10"/>
                          <w:szCs w:val="14"/>
                        </w:rPr>
                      </w:pPr>
                    </w:p>
                    <w:p w14:paraId="3E8146D1" w14:textId="77777777" w:rsidR="00F31753" w:rsidRPr="008444DC" w:rsidRDefault="00F31753" w:rsidP="00716153">
                      <w:pPr>
                        <w:spacing w:before="0" w:after="0"/>
                        <w:ind w:left="284"/>
                        <w:rPr>
                          <w:i/>
                          <w:iCs/>
                          <w:sz w:val="20"/>
                          <w:szCs w:val="24"/>
                        </w:rPr>
                      </w:pPr>
                      <w:r w:rsidRPr="008444DC">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008687B6" w14:textId="77777777" w:rsidR="00F31753" w:rsidRDefault="00F31753" w:rsidP="00716153">
                      <w:pPr>
                        <w:spacing w:before="0" w:after="0"/>
                        <w:ind w:left="284"/>
                        <w:jc w:val="right"/>
                        <w:rPr>
                          <w:sz w:val="16"/>
                          <w:szCs w:val="20"/>
                        </w:rPr>
                      </w:pPr>
                    </w:p>
                    <w:p w14:paraId="2CC1C90C" w14:textId="4DE6EAC7" w:rsidR="00F31753" w:rsidRPr="003A0A99" w:rsidRDefault="00F31753" w:rsidP="00F31753">
                      <w:pPr>
                        <w:spacing w:before="0"/>
                        <w:ind w:left="425"/>
                        <w:jc w:val="right"/>
                        <w:rPr>
                          <w:sz w:val="16"/>
                          <w:szCs w:val="20"/>
                        </w:rPr>
                      </w:pPr>
                      <w:hyperlink w:anchor="Ref_8_6_Demanding_Better_A_Reform_24" w:history="1">
                        <w:r w:rsidRPr="000B00A3">
                          <w:rPr>
                            <w:rStyle w:val="Hyperlink"/>
                            <w:sz w:val="16"/>
                            <w:szCs w:val="20"/>
                          </w:rPr>
                          <w:t>ACOSS, AiG, EEC and Property Council of Australia - Demanding Better: A Reform Agenda for Harnessing the Power and Flexibility of Demand Side Energy Resources, December 2024</w:t>
                        </w:r>
                      </w:hyperlink>
                    </w:p>
                    <w:p w14:paraId="4411050B" w14:textId="226C388A" w:rsidR="00F31753" w:rsidRDefault="00F31753" w:rsidP="00F31753">
                      <w:pPr>
                        <w:pBdr>
                          <w:bottom w:val="single" w:sz="6" w:space="0" w:color="auto"/>
                        </w:pBdr>
                        <w:spacing w:before="0" w:after="0"/>
                        <w:ind w:left="284"/>
                        <w:jc w:val="right"/>
                        <w:rPr>
                          <w:sz w:val="16"/>
                          <w:szCs w:val="20"/>
                        </w:rPr>
                      </w:pPr>
                    </w:p>
                  </w:txbxContent>
                </v:textbox>
                <w10:wrap anchorx="margin"/>
              </v:shape>
            </w:pict>
          </mc:Fallback>
        </mc:AlternateContent>
      </w:r>
      <w:r w:rsidR="00825E77" w:rsidRPr="00050A5B">
        <w:rPr>
          <w:rFonts w:cs="Calibri"/>
        </w:rPr>
        <w:t xml:space="preserve">The literature affirmed that efficient supply-side investment in utility-scale generation, transmission and storage will be required to meet this objective. However, sources also identified the need to promote load flexibility for supply and demand balancing with much larger penetrations of VRE, supported by the strategic integration of energy storage across all levels of the power system and to moderate utility scale investment and avoid over-build. </w:t>
      </w:r>
    </w:p>
    <w:p w14:paraId="5CA6B70A" w14:textId="252094BE" w:rsidR="0047564C" w:rsidRDefault="0047564C" w:rsidP="00080096">
      <w:pPr>
        <w:spacing w:line="288" w:lineRule="auto"/>
        <w:rPr>
          <w:rFonts w:cs="Calibri"/>
        </w:rPr>
      </w:pPr>
    </w:p>
    <w:p w14:paraId="1CF60378" w14:textId="08D68D8B" w:rsidR="0047564C" w:rsidRDefault="0047564C" w:rsidP="00080096">
      <w:pPr>
        <w:spacing w:line="288" w:lineRule="auto"/>
        <w:rPr>
          <w:rFonts w:cs="Calibri"/>
        </w:rPr>
      </w:pPr>
    </w:p>
    <w:p w14:paraId="1F7FBBD7" w14:textId="30A3A8D7" w:rsidR="0047564C" w:rsidRDefault="0047564C" w:rsidP="00080096">
      <w:pPr>
        <w:spacing w:line="288" w:lineRule="auto"/>
        <w:rPr>
          <w:rFonts w:cs="Calibri"/>
        </w:rPr>
      </w:pPr>
    </w:p>
    <w:p w14:paraId="18E8C2F0" w14:textId="77777777" w:rsidR="0047564C" w:rsidRDefault="0047564C" w:rsidP="00080096">
      <w:pPr>
        <w:spacing w:line="288" w:lineRule="auto"/>
        <w:rPr>
          <w:rFonts w:cs="Calibri"/>
        </w:rPr>
      </w:pPr>
    </w:p>
    <w:p w14:paraId="5C5D3926" w14:textId="77777777" w:rsidR="0047564C" w:rsidRDefault="0047564C" w:rsidP="00080096">
      <w:pPr>
        <w:spacing w:line="288" w:lineRule="auto"/>
        <w:rPr>
          <w:rFonts w:cs="Calibri"/>
        </w:rPr>
      </w:pPr>
    </w:p>
    <w:p w14:paraId="11E47EF1" w14:textId="77777777" w:rsidR="0047564C" w:rsidRDefault="0047564C" w:rsidP="00080096">
      <w:pPr>
        <w:spacing w:line="288" w:lineRule="auto"/>
        <w:rPr>
          <w:rFonts w:cs="Calibri"/>
        </w:rPr>
      </w:pPr>
    </w:p>
    <w:p w14:paraId="7CE31AB1" w14:textId="77777777" w:rsidR="0047564C" w:rsidRDefault="0047564C" w:rsidP="00080096">
      <w:pPr>
        <w:spacing w:line="288" w:lineRule="auto"/>
        <w:rPr>
          <w:rFonts w:cs="Calibri"/>
        </w:rPr>
      </w:pPr>
    </w:p>
    <w:p w14:paraId="72CA96A9" w14:textId="77777777" w:rsidR="0047564C" w:rsidRDefault="0047564C" w:rsidP="00080096">
      <w:pPr>
        <w:spacing w:line="288" w:lineRule="auto"/>
        <w:rPr>
          <w:rFonts w:cs="Calibri"/>
        </w:rPr>
      </w:pPr>
    </w:p>
    <w:p w14:paraId="450D024C" w14:textId="77777777" w:rsidR="0047564C" w:rsidRDefault="0047564C" w:rsidP="00080096">
      <w:pPr>
        <w:spacing w:line="288" w:lineRule="auto"/>
        <w:rPr>
          <w:rFonts w:cs="Calibri"/>
        </w:rPr>
      </w:pPr>
    </w:p>
    <w:p w14:paraId="5A09FB33" w14:textId="77777777" w:rsidR="0047564C" w:rsidRDefault="0047564C" w:rsidP="00080096">
      <w:pPr>
        <w:spacing w:line="288" w:lineRule="auto"/>
        <w:rPr>
          <w:rFonts w:cs="Calibri"/>
        </w:rPr>
      </w:pPr>
    </w:p>
    <w:p w14:paraId="106317B1" w14:textId="1F1DEC96" w:rsidR="00080096" w:rsidRDefault="00080096" w:rsidP="00080096">
      <w:pPr>
        <w:spacing w:line="288" w:lineRule="auto"/>
        <w:rPr>
          <w:rFonts w:cs="Calibri"/>
        </w:rPr>
      </w:pPr>
      <w:r w:rsidRPr="00050A5B">
        <w:rPr>
          <w:rFonts w:cs="Calibri"/>
        </w:rPr>
        <w:t>In parallel, sources asserted the need for customer and industry facing energy product and service offerings and platforms to mutually benefit consumers and the operation of the power system. The literature pointed to managed EV charging as an example of an opportunity to enhance the orderly expansion of the power system through temporal and spatial load diversification</w:t>
      </w:r>
      <w:r>
        <w:rPr>
          <w:rFonts w:cs="Calibri"/>
        </w:rPr>
        <w:t xml:space="preserve">, on the condition that </w:t>
      </w:r>
      <w:r w:rsidRPr="00050A5B">
        <w:rPr>
          <w:rFonts w:cs="Calibri"/>
        </w:rPr>
        <w:t xml:space="preserve">offerings mutually benefit customers and the operation of the power system. </w:t>
      </w:r>
    </w:p>
    <w:p w14:paraId="59A2DE65" w14:textId="77777777" w:rsidR="00080096" w:rsidRDefault="00080096" w:rsidP="00080096">
      <w:pPr>
        <w:spacing w:line="288" w:lineRule="auto"/>
        <w:rPr>
          <w:rFonts w:cs="Calibri"/>
        </w:rPr>
      </w:pPr>
      <w:r w:rsidRPr="00050A5B">
        <w:rPr>
          <w:rFonts w:cs="Calibri"/>
        </w:rPr>
        <w:t xml:space="preserve">Other factors influencing expandability in the literature </w:t>
      </w:r>
      <w:proofErr w:type="gramStart"/>
      <w:r>
        <w:rPr>
          <w:rFonts w:cs="Calibri"/>
        </w:rPr>
        <w:t>include:</w:t>
      </w:r>
      <w:proofErr w:type="gramEnd"/>
      <w:r w:rsidRPr="00050A5B">
        <w:rPr>
          <w:rFonts w:cs="Calibri"/>
        </w:rPr>
        <w:t xml:space="preserve"> operational scalability, data and communications infrastructure (and cyber security), and new and improved consumer-based appliances and other products with integrated energy management such as time-shifting load.</w:t>
      </w:r>
      <w:r>
        <w:rPr>
          <w:rFonts w:cs="Calibri"/>
        </w:rPr>
        <w:t xml:space="preserve"> </w:t>
      </w:r>
    </w:p>
    <w:p w14:paraId="583AA441" w14:textId="77777777" w:rsidR="00080096" w:rsidRDefault="00080096" w:rsidP="00080096">
      <w:pPr>
        <w:spacing w:line="288" w:lineRule="auto"/>
        <w:rPr>
          <w:rFonts w:cs="Calibri"/>
        </w:rPr>
      </w:pPr>
      <w:r w:rsidRPr="00127002">
        <w:rPr>
          <w:rFonts w:cs="Calibri"/>
        </w:rPr>
        <w:t xml:space="preserve">These elements support the electrification of buildings and industrial processes by enabling intelligent control, optimisation, and integration of new, </w:t>
      </w:r>
      <w:proofErr w:type="gramStart"/>
      <w:r w:rsidRPr="00127002">
        <w:rPr>
          <w:rFonts w:cs="Calibri"/>
        </w:rPr>
        <w:t>high-demand</w:t>
      </w:r>
      <w:proofErr w:type="gramEnd"/>
      <w:r w:rsidRPr="00127002">
        <w:rPr>
          <w:rFonts w:cs="Calibri"/>
        </w:rPr>
        <w:t xml:space="preserve"> loads into a significantly expanded grid environment.</w:t>
      </w:r>
    </w:p>
    <w:p w14:paraId="0473A392" w14:textId="7A573EED" w:rsidR="0047564C" w:rsidRDefault="0047564C">
      <w:pPr>
        <w:spacing w:before="0" w:after="160" w:line="259" w:lineRule="auto"/>
        <w:rPr>
          <w:rFonts w:ascii="PP Mori SemiBold" w:eastAsiaTheme="majorEastAsia" w:hAnsi="PP Mori SemiBold" w:cstheme="majorBidi"/>
          <w:caps/>
          <w:color w:val="002C38" w:themeColor="accent1" w:themeShade="BF"/>
          <w:sz w:val="26"/>
          <w:szCs w:val="33"/>
          <w:lang w:eastAsia="en-US" w:bidi="ar-SA"/>
        </w:rPr>
      </w:pPr>
      <w:r>
        <w:rPr>
          <w:rFonts w:ascii="PP Mori SemiBold" w:eastAsiaTheme="majorEastAsia" w:hAnsi="PP Mori SemiBold" w:cstheme="majorBidi"/>
          <w:caps/>
          <w:color w:val="002C38" w:themeColor="accent1" w:themeShade="BF"/>
          <w:sz w:val="26"/>
          <w:szCs w:val="33"/>
          <w:lang w:eastAsia="en-US" w:bidi="ar-SA"/>
        </w:rPr>
        <w:br w:type="page"/>
      </w:r>
    </w:p>
    <w:p w14:paraId="477460FA" w14:textId="37BBF7FB" w:rsidR="00706727" w:rsidRPr="00050A5B" w:rsidRDefault="0091048B" w:rsidP="00706727">
      <w:pPr>
        <w:pStyle w:val="Heading2"/>
        <w:rPr>
          <w:lang w:eastAsia="en-US" w:bidi="ar-SA"/>
        </w:rPr>
      </w:pPr>
      <w:bookmarkStart w:id="46" w:name="_Toc205536760"/>
      <w:r>
        <w:rPr>
          <w:caps/>
          <w:lang w:eastAsia="en-US" w:bidi="ar-SA"/>
        </w:rPr>
        <w:t>A</w:t>
      </w:r>
      <w:r w:rsidR="00706727" w:rsidRPr="00050A5B">
        <w:rPr>
          <w:caps/>
          <w:lang w:eastAsia="en-US" w:bidi="ar-SA"/>
        </w:rPr>
        <w:t>daptable</w:t>
      </w:r>
      <w:r w:rsidR="00706727" w:rsidRPr="00050A5B">
        <w:rPr>
          <w:lang w:eastAsia="en-US" w:bidi="ar-SA"/>
        </w:rPr>
        <w:t>: Flexible and adaptive to change, including technological, regulatory and business model innovation</w:t>
      </w:r>
      <w:bookmarkEnd w:id="46"/>
    </w:p>
    <w:p w14:paraId="538B9669" w14:textId="76134DAE" w:rsidR="005464AA" w:rsidRPr="00127002" w:rsidRDefault="00C72518" w:rsidP="00731DA3">
      <w:pPr>
        <w:spacing w:line="288" w:lineRule="auto"/>
        <w:rPr>
          <w:rFonts w:cs="Calibri"/>
        </w:rPr>
      </w:pPr>
      <w:r w:rsidRPr="00127002">
        <w:rPr>
          <w:rFonts w:cs="Calibri"/>
        </w:rPr>
        <w:t>Adaptability in the power system refers to its capacity to respond to and accommodate change across multiple dimensions</w:t>
      </w:r>
      <w:r w:rsidR="00197685" w:rsidRPr="00127002">
        <w:rPr>
          <w:rFonts w:cs="Calibri"/>
        </w:rPr>
        <w:t>, without compromising system performance, security, or customer outcomes</w:t>
      </w:r>
      <w:r w:rsidR="00E25A5D" w:rsidRPr="00127002">
        <w:rPr>
          <w:rFonts w:cs="Calibri"/>
        </w:rPr>
        <w:t xml:space="preserve">. These dimensions include time itself, </w:t>
      </w:r>
      <w:r w:rsidR="00197685" w:rsidRPr="00127002">
        <w:rPr>
          <w:rFonts w:cs="Calibri"/>
        </w:rPr>
        <w:t xml:space="preserve">emergency/unplanned scenarios, </w:t>
      </w:r>
      <w:r w:rsidRPr="00127002">
        <w:rPr>
          <w:rFonts w:cs="Calibri"/>
        </w:rPr>
        <w:t>technological advancements, shifts in regulatory frameworks, and evolving business models.</w:t>
      </w:r>
      <w:r w:rsidRPr="00C72518">
        <w:rPr>
          <w:rFonts w:cs="Calibri"/>
        </w:rPr>
        <w:t xml:space="preserve"> </w:t>
      </w:r>
    </w:p>
    <w:p w14:paraId="40FF27B6" w14:textId="05258C8F" w:rsidR="00081DD2" w:rsidRPr="00050A5B" w:rsidRDefault="00731DA3" w:rsidP="00731DA3">
      <w:pPr>
        <w:spacing w:line="288" w:lineRule="auto"/>
        <w:rPr>
          <w:rFonts w:cs="Calibri"/>
        </w:rPr>
      </w:pPr>
      <w:r w:rsidRPr="00050A5B">
        <w:rPr>
          <w:rFonts w:cs="Calibri"/>
        </w:rPr>
        <w:t>The literature reflected on the necessity of effective regulation, standards and policies that promote a highly interoperable and coordinated power system</w:t>
      </w:r>
      <w:r w:rsidR="00D42E79">
        <w:rPr>
          <w:rFonts w:cs="Calibri"/>
        </w:rPr>
        <w:t xml:space="preserve">. This power system should be adaptable to </w:t>
      </w:r>
      <w:r w:rsidRPr="00050A5B">
        <w:rPr>
          <w:rFonts w:cs="Calibri"/>
        </w:rPr>
        <w:t xml:space="preserve">simultaneously accommodate a diverse range of business models, products, platforms and services while maintaining the security and stability of the system. </w:t>
      </w:r>
      <w:r w:rsidR="008C35F7">
        <w:rPr>
          <w:rFonts w:cs="Calibri"/>
        </w:rPr>
        <w:t xml:space="preserve">From this, customers will be enabled </w:t>
      </w:r>
      <w:r w:rsidRPr="00050A5B">
        <w:rPr>
          <w:rFonts w:cs="Calibri"/>
        </w:rPr>
        <w:t>to adopt new and innovative energy products and services offerings and new technologies as they emerge</w:t>
      </w:r>
      <w:r w:rsidR="00B17C3A" w:rsidRPr="00050A5B">
        <w:rPr>
          <w:rFonts w:cs="Calibri"/>
        </w:rPr>
        <w:t>.</w:t>
      </w:r>
      <w:r w:rsidR="002723DD" w:rsidRPr="00050A5B">
        <w:rPr>
          <w:rFonts w:cs="Calibri"/>
        </w:rPr>
        <w:t xml:space="preserve"> This will be coupled with</w:t>
      </w:r>
      <w:r w:rsidRPr="00050A5B">
        <w:rPr>
          <w:rFonts w:cs="Calibri"/>
        </w:rPr>
        <w:t xml:space="preserve"> </w:t>
      </w:r>
      <w:r w:rsidR="002723DD" w:rsidRPr="00050A5B">
        <w:rPr>
          <w:rFonts w:cs="Calibri"/>
        </w:rPr>
        <w:t>i</w:t>
      </w:r>
      <w:r w:rsidR="009651F6" w:rsidRPr="00050A5B">
        <w:rPr>
          <w:rFonts w:cs="Calibri"/>
        </w:rPr>
        <w:t xml:space="preserve">mproved coordination across previously siloed </w:t>
      </w:r>
      <w:r w:rsidR="00F21C19" w:rsidRPr="00050A5B">
        <w:rPr>
          <w:rFonts w:cs="Calibri"/>
        </w:rPr>
        <w:t>regulatory domains</w:t>
      </w:r>
      <w:r w:rsidR="002723DD" w:rsidRPr="00050A5B">
        <w:rPr>
          <w:rFonts w:cs="Calibri"/>
        </w:rPr>
        <w:t xml:space="preserve">, which </w:t>
      </w:r>
      <w:r w:rsidR="009651F6" w:rsidRPr="00050A5B">
        <w:rPr>
          <w:rFonts w:cs="Calibri"/>
        </w:rPr>
        <w:t xml:space="preserve">will </w:t>
      </w:r>
      <w:r w:rsidR="00C74513" w:rsidRPr="00050A5B">
        <w:rPr>
          <w:rFonts w:cs="Calibri"/>
        </w:rPr>
        <w:t>shortlist this range of offerings</w:t>
      </w:r>
      <w:r w:rsidR="008A6D21" w:rsidRPr="00050A5B">
        <w:rPr>
          <w:rFonts w:cs="Calibri"/>
        </w:rPr>
        <w:t xml:space="preserve"> down to a navigable breadth </w:t>
      </w:r>
      <w:r w:rsidR="00D67FDE" w:rsidRPr="00050A5B">
        <w:rPr>
          <w:rFonts w:cs="Calibri"/>
        </w:rPr>
        <w:t xml:space="preserve">for </w:t>
      </w:r>
      <w:r w:rsidR="009651F6" w:rsidRPr="00050A5B">
        <w:rPr>
          <w:rFonts w:cs="Calibri"/>
        </w:rPr>
        <w:t>customers</w:t>
      </w:r>
      <w:r w:rsidR="00843F48" w:rsidRPr="00050A5B">
        <w:rPr>
          <w:rFonts w:cs="Calibri"/>
        </w:rPr>
        <w:t>.</w:t>
      </w:r>
    </w:p>
    <w:p w14:paraId="3EF3C301" w14:textId="6C080583" w:rsidR="007109D6" w:rsidRDefault="00731DA3" w:rsidP="00731DA3">
      <w:pPr>
        <w:spacing w:line="288" w:lineRule="auto"/>
        <w:rPr>
          <w:rFonts w:cs="Calibri"/>
        </w:rPr>
      </w:pPr>
      <w:r w:rsidRPr="00050A5B">
        <w:rPr>
          <w:rFonts w:cs="Calibri"/>
        </w:rPr>
        <w:t xml:space="preserve">In addition, enabling customer churn through an adaptable system will support customer-centred business model and product innovation through competition. Sources also noted ‘least regrets’ decisions that enable the power system to be resilient to broad range of plausible futures </w:t>
      </w:r>
      <w:r w:rsidR="00912D08">
        <w:rPr>
          <w:rFonts w:cs="Calibri"/>
        </w:rPr>
        <w:t>can reduce</w:t>
      </w:r>
      <w:r w:rsidRPr="00050A5B">
        <w:rPr>
          <w:rFonts w:cs="Calibri"/>
        </w:rPr>
        <w:t xml:space="preserve"> the risk of stranded assets and other costs involved with the transition. Similarly, staged implementation of reforms to the power system that consider the long-term effects on optionality for customers was recommended.</w:t>
      </w:r>
      <w:r w:rsidR="00B24F6E" w:rsidRPr="00050A5B">
        <w:t xml:space="preserve"> </w:t>
      </w:r>
      <w:r w:rsidR="0061181E" w:rsidRPr="00050A5B">
        <w:t xml:space="preserve">This was </w:t>
      </w:r>
      <w:r w:rsidR="00A52C17" w:rsidRPr="00050A5B">
        <w:t>reinforced by suggestions that s</w:t>
      </w:r>
      <w:r w:rsidR="00B24F6E" w:rsidRPr="00050A5B">
        <w:rPr>
          <w:rFonts w:cs="Calibri"/>
        </w:rPr>
        <w:t>taged implementation of reforms</w:t>
      </w:r>
      <w:r w:rsidR="00A52C17" w:rsidRPr="00050A5B">
        <w:rPr>
          <w:rFonts w:cs="Calibri"/>
        </w:rPr>
        <w:t xml:space="preserve"> could be </w:t>
      </w:r>
      <w:r w:rsidR="00B24F6E" w:rsidRPr="00050A5B">
        <w:rPr>
          <w:rFonts w:cs="Calibri"/>
        </w:rPr>
        <w:t>supported by modular, place-based initiatives such as Local Renewable Energy Zones (LREZs)</w:t>
      </w:r>
      <w:r w:rsidR="00A57F1A" w:rsidRPr="00050A5B">
        <w:rPr>
          <w:rFonts w:cs="Calibri"/>
        </w:rPr>
        <w:t xml:space="preserve">. </w:t>
      </w:r>
    </w:p>
    <w:p w14:paraId="563105FC" w14:textId="0B687B23" w:rsidR="00731DA3" w:rsidRPr="00050A5B" w:rsidRDefault="00A57F1A" w:rsidP="00731DA3">
      <w:pPr>
        <w:spacing w:line="288" w:lineRule="auto"/>
        <w:rPr>
          <w:rFonts w:cs="Calibri"/>
        </w:rPr>
      </w:pPr>
      <w:r w:rsidRPr="00050A5B">
        <w:rPr>
          <w:rFonts w:cs="Calibri"/>
        </w:rPr>
        <w:t>Initiative</w:t>
      </w:r>
      <w:r w:rsidR="00461992" w:rsidRPr="00050A5B">
        <w:rPr>
          <w:rFonts w:cs="Calibri"/>
        </w:rPr>
        <w:t>s</w:t>
      </w:r>
      <w:r w:rsidRPr="00050A5B">
        <w:rPr>
          <w:rFonts w:cs="Calibri"/>
        </w:rPr>
        <w:t xml:space="preserve"> such as </w:t>
      </w:r>
      <w:r w:rsidR="00461992" w:rsidRPr="00050A5B">
        <w:rPr>
          <w:rFonts w:cs="Calibri"/>
        </w:rPr>
        <w:t>these</w:t>
      </w:r>
      <w:r w:rsidRPr="00050A5B">
        <w:rPr>
          <w:rFonts w:cs="Calibri"/>
        </w:rPr>
        <w:t xml:space="preserve"> could </w:t>
      </w:r>
      <w:r w:rsidR="00B24F6E" w:rsidRPr="00050A5B">
        <w:rPr>
          <w:rFonts w:cs="Calibri"/>
        </w:rPr>
        <w:t xml:space="preserve">allow for targeted </w:t>
      </w:r>
      <w:r w:rsidR="00994C5A" w:rsidRPr="00050A5B">
        <w:rPr>
          <w:rFonts w:cs="Calibri"/>
        </w:rPr>
        <w:t xml:space="preserve">and transparent </w:t>
      </w:r>
      <w:r w:rsidR="00B24F6E" w:rsidRPr="00050A5B">
        <w:rPr>
          <w:rFonts w:cs="Calibri"/>
        </w:rPr>
        <w:t xml:space="preserve">experimentation without holding broader reform hostage to </w:t>
      </w:r>
      <w:r w:rsidR="00E65A77" w:rsidRPr="00050A5B">
        <w:rPr>
          <w:rFonts w:cs="Calibri"/>
        </w:rPr>
        <w:t xml:space="preserve">single points of </w:t>
      </w:r>
      <w:r w:rsidR="00573E3F" w:rsidRPr="00050A5B">
        <w:rPr>
          <w:rFonts w:cs="Calibri"/>
        </w:rPr>
        <w:t>contention</w:t>
      </w:r>
      <w:r w:rsidR="00843F48" w:rsidRPr="00050A5B">
        <w:rPr>
          <w:rFonts w:cs="Calibri"/>
        </w:rPr>
        <w:t>.</w:t>
      </w:r>
    </w:p>
    <w:p w14:paraId="0A574342" w14:textId="5C75424B" w:rsidR="00731DA3" w:rsidRPr="00050A5B" w:rsidRDefault="008D7E71" w:rsidP="00731DA3">
      <w:pPr>
        <w:spacing w:line="288" w:lineRule="auto"/>
        <w:rPr>
          <w:rFonts w:cs="Calibri"/>
        </w:rPr>
      </w:pPr>
      <w:r w:rsidRPr="00050A5B">
        <w:rPr>
          <w:rFonts w:cs="Calibri"/>
          <w:noProof/>
        </w:rPr>
        <mc:AlternateContent>
          <mc:Choice Requires="wps">
            <w:drawing>
              <wp:anchor distT="45720" distB="45720" distL="114300" distR="114300" simplePos="0" relativeHeight="251658242" behindDoc="0" locked="0" layoutInCell="1" allowOverlap="1" wp14:anchorId="1FA0B4DD" wp14:editId="32EEDAD3">
                <wp:simplePos x="0" y="0"/>
                <wp:positionH relativeFrom="margin">
                  <wp:align>left</wp:align>
                </wp:positionH>
                <wp:positionV relativeFrom="paragraph">
                  <wp:posOffset>4445</wp:posOffset>
                </wp:positionV>
                <wp:extent cx="5359400" cy="2787650"/>
                <wp:effectExtent l="0" t="0" r="12700" b="12700"/>
                <wp:wrapNone/>
                <wp:docPr id="735101176" name="Text Box 73510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787650"/>
                        </a:xfrm>
                        <a:prstGeom prst="rect">
                          <a:avLst/>
                        </a:prstGeom>
                        <a:solidFill>
                          <a:srgbClr val="013C4C"/>
                        </a:solidFill>
                        <a:ln w="9525">
                          <a:solidFill>
                            <a:srgbClr val="000000"/>
                          </a:solidFill>
                          <a:miter lim="800000"/>
                          <a:headEnd/>
                          <a:tailEnd/>
                        </a:ln>
                      </wps:spPr>
                      <wps:txbx>
                        <w:txbxContent>
                          <w:p w14:paraId="3C719B5B" w14:textId="77777777" w:rsidR="009F6F77" w:rsidRPr="00A379C4" w:rsidRDefault="009F6F77" w:rsidP="00A379C4">
                            <w:pPr>
                              <w:spacing w:before="120" w:after="0"/>
                              <w:ind w:left="142"/>
                              <w:rPr>
                                <w:i/>
                                <w:sz w:val="20"/>
                                <w:szCs w:val="24"/>
                              </w:rPr>
                            </w:pPr>
                            <w:r w:rsidRPr="00A379C4">
                              <w:rPr>
                                <w:i/>
                                <w:sz w:val="20"/>
                                <w:szCs w:val="24"/>
                              </w:rPr>
                              <w:t>Consumers need the big picture. The participants wanted a clear roadmap of the transition that they can understand – timelines, end goals, their role and when/where they will see benefits for their households and communities.</w:t>
                            </w:r>
                          </w:p>
                          <w:p w14:paraId="6D61B4E4" w14:textId="33DCD391" w:rsidR="009F6F77" w:rsidRDefault="009F6F77" w:rsidP="00A379C4">
                            <w:pPr>
                              <w:pBdr>
                                <w:bottom w:val="single" w:sz="6" w:space="1" w:color="auto"/>
                              </w:pBdr>
                              <w:jc w:val="right"/>
                            </w:pPr>
                            <w:hyperlink w:anchor="Ref_8_7_PowerUp_Consumer_Voices_24" w:history="1">
                              <w:r w:rsidRPr="000C4450">
                                <w:rPr>
                                  <w:rStyle w:val="Hyperlink"/>
                                  <w:sz w:val="16"/>
                                  <w:szCs w:val="24"/>
                                </w:rPr>
                                <w:t>Energy Consumers Australia - PowerUp: Consumer Voices in the Energy Transition, July 2024</w:t>
                              </w:r>
                            </w:hyperlink>
                            <w:r>
                              <w:br/>
                            </w:r>
                          </w:p>
                          <w:p w14:paraId="58658FEE" w14:textId="77777777" w:rsidR="009F6F77" w:rsidRPr="00A379C4" w:rsidRDefault="009F6F77" w:rsidP="00A379C4">
                            <w:pPr>
                              <w:spacing w:before="120" w:after="0"/>
                              <w:ind w:left="142"/>
                              <w:rPr>
                                <w:i/>
                                <w:sz w:val="20"/>
                                <w:szCs w:val="24"/>
                              </w:rPr>
                            </w:pPr>
                            <w:r w:rsidRPr="00A379C4">
                              <w:rPr>
                                <w:i/>
                                <w:sz w:val="20"/>
                                <w:szCs w:val="24"/>
                              </w:rPr>
                              <w:t>All reforms must not be held up by the most contentious single issues. Proposals should be modular and, with triaging of proposals agreed, action should be taken to deliver agreed modules, rather than waiting for the complete set of proposals being agreed where significant dependencies and trade-offs are not present.</w:t>
                            </w:r>
                          </w:p>
                          <w:p w14:paraId="4B4F761A" w14:textId="415A1A0A" w:rsidR="009F6F77" w:rsidRPr="002321F1" w:rsidRDefault="009F6F77" w:rsidP="00A379C4">
                            <w:pPr>
                              <w:jc w:val="right"/>
                              <w:rPr>
                                <w:sz w:val="16"/>
                                <w:szCs w:val="24"/>
                              </w:rPr>
                            </w:pPr>
                            <w:hyperlink w:anchor="Ref_8_7_Addressing_Waste_and_Ineff_24" w:history="1">
                              <w:r w:rsidRPr="007E71B6">
                                <w:rPr>
                                  <w:rStyle w:val="Hyperlink"/>
                                  <w:sz w:val="16"/>
                                  <w:szCs w:val="24"/>
                                </w:rPr>
                                <w:t>Utility Week (E. Brown, M. Frerk, R. Hey, L. Sandys, S. Steer, and A. Whitehead) - Addressing Waste and Inefficiencies: Delivering Customer, Cost, Carbon and Connections Dividends, 2024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0B4DD" id="Text Box 735101176" o:spid="_x0000_s1033" type="#_x0000_t202" style="position:absolute;margin-left:0;margin-top:.35pt;width:422pt;height:219.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" fillcolor="#013c4c">
                <v:textbox>
                  <w:txbxContent>
                    <w:p w14:paraId="3C719B5B" w14:textId="77777777" w:rsidR="009F6F77" w:rsidRPr="00A379C4" w:rsidRDefault="009F6F77" w:rsidP="00A379C4">
                      <w:pPr>
                        <w:spacing w:before="120" w:after="0"/>
                        <w:ind w:left="142"/>
                        <w:rPr>
                          <w:i/>
                          <w:sz w:val="20"/>
                          <w:szCs w:val="24"/>
                        </w:rPr>
                      </w:pPr>
                      <w:r w:rsidRPr="00A379C4">
                        <w:rPr>
                          <w:i/>
                          <w:sz w:val="20"/>
                          <w:szCs w:val="24"/>
                        </w:rPr>
                        <w:t>Consumers need the big picture. The participants wanted a clear roadmap of the transition that they can understand – timelines, end goals, their role and when/where they will see benefits for their households and communities.</w:t>
                      </w:r>
                    </w:p>
                    <w:p w14:paraId="6D61B4E4" w14:textId="33DCD391" w:rsidR="009F6F77" w:rsidRDefault="009F6F77" w:rsidP="00A379C4">
                      <w:pPr>
                        <w:pBdr>
                          <w:bottom w:val="single" w:sz="6" w:space="1" w:color="auto"/>
                        </w:pBdr>
                        <w:jc w:val="right"/>
                      </w:pPr>
                      <w:hyperlink w:anchor="Ref_8_7_PowerUp_Consumer_Voices_24" w:history="1">
                        <w:r w:rsidRPr="000C4450">
                          <w:rPr>
                            <w:rStyle w:val="Hyperlink"/>
                            <w:sz w:val="16"/>
                            <w:szCs w:val="24"/>
                          </w:rPr>
                          <w:t>Energy Consumers Australia - PowerUp: Consumer Voices in the Energy Transition, July 2024</w:t>
                        </w:r>
                      </w:hyperlink>
                      <w:r>
                        <w:br/>
                      </w:r>
                    </w:p>
                    <w:p w14:paraId="58658FEE" w14:textId="77777777" w:rsidR="009F6F77" w:rsidRPr="00A379C4" w:rsidRDefault="009F6F77" w:rsidP="00A379C4">
                      <w:pPr>
                        <w:spacing w:before="120" w:after="0"/>
                        <w:ind w:left="142"/>
                        <w:rPr>
                          <w:i/>
                          <w:sz w:val="20"/>
                          <w:szCs w:val="24"/>
                        </w:rPr>
                      </w:pPr>
                      <w:r w:rsidRPr="00A379C4">
                        <w:rPr>
                          <w:i/>
                          <w:sz w:val="20"/>
                          <w:szCs w:val="24"/>
                        </w:rPr>
                        <w:t>All reforms must not be held up by the most contentious single issues. Proposals should be modular and, with triaging of proposals agreed, action should be taken to deliver agreed modules, rather than waiting for the complete set of proposals being agreed where significant dependencies and trade-offs are not present.</w:t>
                      </w:r>
                    </w:p>
                    <w:p w14:paraId="4B4F761A" w14:textId="415A1A0A" w:rsidR="009F6F77" w:rsidRPr="002321F1" w:rsidRDefault="009F6F77" w:rsidP="00A379C4">
                      <w:pPr>
                        <w:jc w:val="right"/>
                        <w:rPr>
                          <w:sz w:val="16"/>
                          <w:szCs w:val="24"/>
                        </w:rPr>
                      </w:pPr>
                      <w:hyperlink w:anchor="Ref_8_7_Addressing_Waste_and_Ineff_24" w:history="1">
                        <w:r w:rsidRPr="007E71B6">
                          <w:rPr>
                            <w:rStyle w:val="Hyperlink"/>
                            <w:sz w:val="16"/>
                            <w:szCs w:val="24"/>
                          </w:rPr>
                          <w:t>Utility Week (E. Brown, M. Frerk, R. Hey, L. Sandys, S. Steer, and A. Whitehead) - Addressing Waste and Inefficiencies: Delivering Customer, Cost, Carbon and Connections Dividends, 2024</w:t>
                        </w:r>
                      </w:hyperlink>
                    </w:p>
                  </w:txbxContent>
                </v:textbox>
                <w10:wrap anchorx="margin"/>
              </v:shape>
            </w:pict>
          </mc:Fallback>
        </mc:AlternateContent>
      </w:r>
    </w:p>
    <w:p w14:paraId="3AC81AE1" w14:textId="77777777" w:rsidR="008D7E71" w:rsidRDefault="008D7E71">
      <w:pPr>
        <w:spacing w:before="0" w:after="160" w:line="259" w:lineRule="auto"/>
        <w:rPr>
          <w:rFonts w:ascii="PP Mori SemiBold" w:eastAsiaTheme="majorEastAsia" w:hAnsi="PP Mori SemiBold" w:cstheme="majorBidi"/>
          <w:caps/>
          <w:color w:val="002C38" w:themeColor="accent1" w:themeShade="BF"/>
          <w:sz w:val="26"/>
          <w:szCs w:val="33"/>
          <w:lang w:eastAsia="en-US" w:bidi="ar-SA"/>
        </w:rPr>
      </w:pPr>
      <w:r>
        <w:rPr>
          <w:caps/>
          <w:lang w:eastAsia="en-US" w:bidi="ar-SA"/>
        </w:rPr>
        <w:br w:type="page"/>
      </w:r>
    </w:p>
    <w:p w14:paraId="56B931C8" w14:textId="62EBCA3E" w:rsidR="00706727" w:rsidRPr="00050A5B" w:rsidRDefault="00706727" w:rsidP="00706727">
      <w:pPr>
        <w:pStyle w:val="Heading2"/>
        <w:rPr>
          <w:lang w:eastAsia="en-US" w:bidi="ar-SA"/>
        </w:rPr>
      </w:pPr>
      <w:bookmarkStart w:id="47" w:name="_Toc205536761"/>
      <w:r w:rsidRPr="00050A5B">
        <w:rPr>
          <w:caps/>
          <w:lang w:eastAsia="en-US" w:bidi="ar-SA"/>
        </w:rPr>
        <w:t>Beneficial</w:t>
      </w:r>
      <w:r w:rsidRPr="00050A5B">
        <w:rPr>
          <w:lang w:eastAsia="en-US" w:bidi="ar-SA"/>
        </w:rPr>
        <w:t>: Socially trusted, public good/benefits, commercially investable and financeable.</w:t>
      </w:r>
      <w:bookmarkEnd w:id="47"/>
    </w:p>
    <w:p w14:paraId="25A8A542" w14:textId="3E53938A" w:rsidR="00E64127" w:rsidRPr="00050A5B" w:rsidRDefault="004B62DB" w:rsidP="00E64127">
      <w:pPr>
        <w:spacing w:line="288" w:lineRule="auto"/>
        <w:rPr>
          <w:rFonts w:cs="Calibri"/>
        </w:rPr>
      </w:pPr>
      <w:r w:rsidRPr="00050A5B">
        <w:rPr>
          <w:rFonts w:cs="Calibri"/>
        </w:rPr>
        <w:t xml:space="preserve">As power systems transform from hundreds of merchant resources to millions of </w:t>
      </w:r>
      <w:proofErr w:type="gramStart"/>
      <w:r w:rsidR="00FE565A" w:rsidRPr="00050A5B">
        <w:rPr>
          <w:rFonts w:cs="Calibri"/>
        </w:rPr>
        <w:t>merchant</w:t>
      </w:r>
      <w:proofErr w:type="gramEnd"/>
      <w:r w:rsidR="00FE565A" w:rsidRPr="00050A5B">
        <w:rPr>
          <w:rFonts w:cs="Calibri"/>
        </w:rPr>
        <w:t xml:space="preserve"> </w:t>
      </w:r>
      <w:r w:rsidR="00E64127" w:rsidRPr="00050A5B">
        <w:rPr>
          <w:rFonts w:cs="Calibri"/>
        </w:rPr>
        <w:t xml:space="preserve">and privately owned </w:t>
      </w:r>
      <w:r w:rsidR="00FE565A" w:rsidRPr="00050A5B">
        <w:rPr>
          <w:rFonts w:cs="Calibri"/>
        </w:rPr>
        <w:t xml:space="preserve">resources, </w:t>
      </w:r>
      <w:r w:rsidR="006F3621" w:rsidRPr="00050A5B">
        <w:rPr>
          <w:rFonts w:cs="Calibri"/>
        </w:rPr>
        <w:t xml:space="preserve">beneficial opportunities for participation </w:t>
      </w:r>
      <w:r w:rsidR="007029CD" w:rsidRPr="00050A5B">
        <w:rPr>
          <w:rFonts w:cs="Calibri"/>
        </w:rPr>
        <w:t xml:space="preserve">and </w:t>
      </w:r>
      <w:r w:rsidR="00F223A2" w:rsidRPr="00050A5B">
        <w:rPr>
          <w:rFonts w:cs="Calibri"/>
        </w:rPr>
        <w:t>third-party</w:t>
      </w:r>
      <w:r w:rsidR="007029CD" w:rsidRPr="00050A5B">
        <w:rPr>
          <w:rFonts w:cs="Calibri"/>
        </w:rPr>
        <w:t xml:space="preserve"> orchestration </w:t>
      </w:r>
      <w:r w:rsidR="003D676C" w:rsidRPr="00050A5B">
        <w:rPr>
          <w:rFonts w:cs="Calibri"/>
        </w:rPr>
        <w:t xml:space="preserve">are </w:t>
      </w:r>
      <w:r w:rsidR="00963906" w:rsidRPr="00050A5B">
        <w:rPr>
          <w:rFonts w:cs="Calibri"/>
        </w:rPr>
        <w:t>widely recognised as key to</w:t>
      </w:r>
      <w:r w:rsidR="00E64127" w:rsidRPr="00050A5B">
        <w:rPr>
          <w:rFonts w:cs="Calibri"/>
        </w:rPr>
        <w:t xml:space="preserve"> modern power </w:t>
      </w:r>
      <w:r w:rsidR="00CE4840" w:rsidRPr="00050A5B">
        <w:rPr>
          <w:rFonts w:cs="Calibri"/>
        </w:rPr>
        <w:t>system</w:t>
      </w:r>
      <w:r w:rsidR="00073428" w:rsidRPr="00050A5B">
        <w:rPr>
          <w:rFonts w:cs="Calibri"/>
        </w:rPr>
        <w:t>s</w:t>
      </w:r>
      <w:r w:rsidR="00CE4840" w:rsidRPr="00050A5B">
        <w:rPr>
          <w:rFonts w:cs="Calibri"/>
        </w:rPr>
        <w:t>.</w:t>
      </w:r>
      <w:r w:rsidR="00E64127" w:rsidRPr="00050A5B">
        <w:rPr>
          <w:rFonts w:cs="Calibri"/>
        </w:rPr>
        <w:t xml:space="preserve"> However, the literature emphasised that without social licence for control of privately owned assets, participation in such programs will be reduced, and potential cost-saving benefits to the system forgone. Specifically, customer-facing actors such as aggregators and retailers will need to manage concerns around loss of control, data security, privacy, and disruption to daily routines to be granted the social licence to operate these assets. </w:t>
      </w:r>
    </w:p>
    <w:p w14:paraId="729488FE" w14:textId="4E9EEFC8" w:rsidR="00CE4840" w:rsidRPr="00050A5B" w:rsidRDefault="0033011F" w:rsidP="00CE4840">
      <w:pPr>
        <w:spacing w:line="288" w:lineRule="auto"/>
        <w:rPr>
          <w:rFonts w:cs="Calibri"/>
        </w:rPr>
      </w:pPr>
      <w:r w:rsidRPr="00050A5B">
        <w:rPr>
          <w:rFonts w:cstheme="majorBidi"/>
          <w:noProof/>
          <w:sz w:val="26"/>
        </w:rPr>
        <mc:AlternateContent>
          <mc:Choice Requires="wps">
            <w:drawing>
              <wp:anchor distT="45720" distB="45720" distL="114300" distR="114300" simplePos="0" relativeHeight="251658243" behindDoc="0" locked="0" layoutInCell="1" allowOverlap="1" wp14:anchorId="01A7D303" wp14:editId="513CF3BD">
                <wp:simplePos x="0" y="0"/>
                <wp:positionH relativeFrom="margin">
                  <wp:align>right</wp:align>
                </wp:positionH>
                <wp:positionV relativeFrom="paragraph">
                  <wp:posOffset>1551940</wp:posOffset>
                </wp:positionV>
                <wp:extent cx="5162550" cy="3498850"/>
                <wp:effectExtent l="0" t="0" r="1905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498850"/>
                        </a:xfrm>
                        <a:prstGeom prst="rect">
                          <a:avLst/>
                        </a:prstGeom>
                        <a:solidFill>
                          <a:srgbClr val="013C4C"/>
                        </a:solidFill>
                        <a:ln w="9525">
                          <a:solidFill>
                            <a:srgbClr val="000000"/>
                          </a:solidFill>
                          <a:miter lim="800000"/>
                          <a:headEnd/>
                          <a:tailEnd/>
                        </a:ln>
                      </wps:spPr>
                      <wps:txbx>
                        <w:txbxContent>
                          <w:p w14:paraId="45212BF6" w14:textId="77777777" w:rsidR="00CE4840" w:rsidRPr="00A379C4" w:rsidRDefault="00CE4840" w:rsidP="00CE4840">
                            <w:pPr>
                              <w:spacing w:before="120" w:after="0"/>
                              <w:ind w:left="142"/>
                              <w:rPr>
                                <w:i/>
                                <w:iCs/>
                                <w:sz w:val="20"/>
                                <w:szCs w:val="24"/>
                              </w:rPr>
                            </w:pPr>
                            <w:r w:rsidRPr="00A379C4">
                              <w:rPr>
                                <w:i/>
                                <w:iCs/>
                                <w:sz w:val="20"/>
                                <w:szCs w:val="24"/>
                              </w:rPr>
                              <w:t>Exposing consumers to risks they are not well-equipped to understand endangers their confidence in the system of markets and regulation that places them in that situation. In the decades ahead, such actions will imperil their confidence in the energy transition.</w:t>
                            </w:r>
                          </w:p>
                          <w:p w14:paraId="24A05156" w14:textId="0712D2A4" w:rsidR="00CE4840" w:rsidRDefault="00CE4840" w:rsidP="00CE4840">
                            <w:pPr>
                              <w:pBdr>
                                <w:bottom w:val="single" w:sz="6" w:space="1" w:color="auto"/>
                              </w:pBdr>
                              <w:jc w:val="right"/>
                              <w:rPr>
                                <w:sz w:val="16"/>
                                <w:szCs w:val="20"/>
                              </w:rPr>
                            </w:pPr>
                            <w:hyperlink w:anchor="Ref_8_8_Minimising_Consumer_Harm_22" w:history="1">
                              <w:r w:rsidRPr="0011441F">
                                <w:rPr>
                                  <w:rStyle w:val="Hyperlink"/>
                                  <w:sz w:val="16"/>
                                  <w:szCs w:val="20"/>
                                </w:rPr>
                                <w:t>R. Ben-David, Minimising Consumer Harm for a Successful Energy Transition, Presentation to IPART’s 30th Anniversary Conference, Monash University, Nov. 17, 2022</w:t>
                              </w:r>
                            </w:hyperlink>
                            <w:r>
                              <w:rPr>
                                <w:sz w:val="16"/>
                                <w:szCs w:val="20"/>
                              </w:rPr>
                              <w:br/>
                            </w:r>
                          </w:p>
                          <w:p w14:paraId="355D2955" w14:textId="370ACBB0" w:rsidR="00CE4840" w:rsidRDefault="00CE4840" w:rsidP="00CE4840">
                            <w:pPr>
                              <w:spacing w:before="0" w:after="0"/>
                              <w:ind w:left="142"/>
                              <w:rPr>
                                <w:i/>
                                <w:iCs/>
                                <w:sz w:val="20"/>
                                <w:szCs w:val="24"/>
                              </w:rPr>
                            </w:pPr>
                            <w:r w:rsidRPr="00986AE7">
                              <w:rPr>
                                <w:i/>
                                <w:iCs/>
                                <w:sz w:val="20"/>
                                <w:szCs w:val="24"/>
                              </w:rPr>
                              <w:t>Consumers will have much more skin in the game and will be looking for returns. That’s right, returns. Let’s just say over the next 10 – 15 years that five million Australian households each spend around $50,000 on a combination of things like buying an EV, adding batteries or rooftop solar and changing over from gas appliances to electric ones. That’s actually a pretty conservative estimate. But it’s no small thing. All of those households doing that represents a $250 billion investment in assets underpinning the future energy system.</w:t>
                            </w:r>
                          </w:p>
                          <w:p w14:paraId="6FFD60E6" w14:textId="797A5B9A" w:rsidR="00CE4840" w:rsidRDefault="001C3067" w:rsidP="003861B1">
                            <w:pPr>
                              <w:jc w:val="right"/>
                            </w:pPr>
                            <w:hyperlink w:anchor="Ref_8_8_Consumers_are_investors_too_24" w:history="1">
                              <w:r w:rsidRPr="006F77BB">
                                <w:rPr>
                                  <w:rStyle w:val="Hyperlink"/>
                                  <w:rFonts w:eastAsia="DengXian" w:cs="Aptos"/>
                                  <w:kern w:val="0"/>
                                  <w:sz w:val="16"/>
                                  <w:szCs w:val="16"/>
                                  <w14:ligatures w14:val="none"/>
                                </w:rPr>
                                <w:t>Energy Consumers Australia</w:t>
                              </w:r>
                              <w:r w:rsidR="00C842D9" w:rsidRPr="006F77BB">
                                <w:rPr>
                                  <w:rStyle w:val="Hyperlink"/>
                                  <w:rFonts w:eastAsia="DengXian" w:cs="Aptos"/>
                                  <w:kern w:val="0"/>
                                  <w:sz w:val="16"/>
                                  <w:szCs w:val="16"/>
                                  <w14:ligatures w14:val="none"/>
                                </w:rPr>
                                <w:t xml:space="preserve"> (Gavin Dufty) -</w:t>
                              </w:r>
                              <w:r w:rsidRPr="006F77BB">
                                <w:rPr>
                                  <w:rStyle w:val="Hyperlink"/>
                                  <w:rFonts w:eastAsia="DengXian" w:cs="Aptos"/>
                                  <w:kern w:val="0"/>
                                  <w:sz w:val="16"/>
                                  <w:szCs w:val="16"/>
                                  <w14:ligatures w14:val="none"/>
                                </w:rPr>
                                <w:t xml:space="preserve"> Consumers are investors too – where’s their return?, Mar</w:t>
                              </w:r>
                              <w:r w:rsidR="003861B1" w:rsidRPr="006F77BB">
                                <w:rPr>
                                  <w:rStyle w:val="Hyperlink"/>
                                  <w:rFonts w:eastAsia="DengXian" w:cs="Aptos"/>
                                  <w:kern w:val="0"/>
                                  <w:sz w:val="16"/>
                                  <w:szCs w:val="16"/>
                                  <w14:ligatures w14:val="none"/>
                                </w:rPr>
                                <w:t>ch</w:t>
                              </w:r>
                              <w:r w:rsidRPr="006F77BB">
                                <w:rPr>
                                  <w:rStyle w:val="Hyperlink"/>
                                  <w:rFonts w:eastAsia="DengXian" w:cs="Aptos"/>
                                  <w:kern w:val="0"/>
                                  <w:sz w:val="16"/>
                                  <w:szCs w:val="16"/>
                                  <w14:ligatures w14:val="none"/>
                                </w:rPr>
                                <w:t xml:space="preserve"> </w:t>
                              </w:r>
                              <w:r w:rsidR="003861B1" w:rsidRPr="006F77BB">
                                <w:rPr>
                                  <w:rStyle w:val="Hyperlink"/>
                                  <w:rFonts w:eastAsia="DengXian" w:cs="Aptos"/>
                                  <w:kern w:val="0"/>
                                  <w:sz w:val="16"/>
                                  <w:szCs w:val="16"/>
                                  <w14:ligatures w14:val="none"/>
                                </w:rPr>
                                <w:t>2</w:t>
                              </w:r>
                              <w:r w:rsidRPr="006F77BB">
                                <w:rPr>
                                  <w:rStyle w:val="Hyperlink"/>
                                  <w:rFonts w:eastAsia="DengXian" w:cs="Aptos"/>
                                  <w:kern w:val="0"/>
                                  <w:sz w:val="16"/>
                                  <w:szCs w:val="16"/>
                                  <w14:ligatures w14:val="none"/>
                                </w:rPr>
                                <w:t>024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7D303" id="Text Box 4" o:spid="_x0000_s1034" type="#_x0000_t202" style="position:absolute;margin-left:355.3pt;margin-top:122.2pt;width:406.5pt;height:275.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" fillcolor="#013c4c">
                <v:textbox>
                  <w:txbxContent>
                    <w:p w14:paraId="45212BF6" w14:textId="77777777" w:rsidR="00CE4840" w:rsidRPr="00A379C4" w:rsidRDefault="00CE4840" w:rsidP="00CE4840">
                      <w:pPr>
                        <w:spacing w:before="120" w:after="0"/>
                        <w:ind w:left="142"/>
                        <w:rPr>
                          <w:i/>
                          <w:iCs/>
                          <w:sz w:val="20"/>
                          <w:szCs w:val="24"/>
                        </w:rPr>
                      </w:pPr>
                      <w:r w:rsidRPr="00A379C4">
                        <w:rPr>
                          <w:i/>
                          <w:iCs/>
                          <w:sz w:val="20"/>
                          <w:szCs w:val="24"/>
                        </w:rPr>
                        <w:t>Exposing consumers to risks they are not well-equipped to understand endangers their confidence in the system of markets and regulation that places them in that situation. In the decades ahead, such actions will imperil their confidence in the energy transition.</w:t>
                      </w:r>
                    </w:p>
                    <w:p w14:paraId="24A05156" w14:textId="0712D2A4" w:rsidR="00CE4840" w:rsidRDefault="00CE4840" w:rsidP="00CE4840">
                      <w:pPr>
                        <w:pBdr>
                          <w:bottom w:val="single" w:sz="6" w:space="1" w:color="auto"/>
                        </w:pBdr>
                        <w:jc w:val="right"/>
                        <w:rPr>
                          <w:sz w:val="16"/>
                          <w:szCs w:val="20"/>
                        </w:rPr>
                      </w:pPr>
                      <w:hyperlink w:anchor="Ref_8_8_Minimising_Consumer_Harm_22" w:history="1">
                        <w:r w:rsidRPr="0011441F">
                          <w:rPr>
                            <w:rStyle w:val="Hyperlink"/>
                            <w:sz w:val="16"/>
                            <w:szCs w:val="20"/>
                          </w:rPr>
                          <w:t>R. Ben-David, Minimising Consumer Harm for a Successful Energy Transition, Presentation to IPART’s 30th Anniversary Conference, Monash University, Nov. 17, 2022</w:t>
                        </w:r>
                      </w:hyperlink>
                      <w:r>
                        <w:rPr>
                          <w:sz w:val="16"/>
                          <w:szCs w:val="20"/>
                        </w:rPr>
                        <w:br/>
                      </w:r>
                    </w:p>
                    <w:p w14:paraId="355D2955" w14:textId="370ACBB0" w:rsidR="00CE4840" w:rsidRDefault="00CE4840" w:rsidP="00CE4840">
                      <w:pPr>
                        <w:spacing w:before="0" w:after="0"/>
                        <w:ind w:left="142"/>
                        <w:rPr>
                          <w:i/>
                          <w:iCs/>
                          <w:sz w:val="20"/>
                          <w:szCs w:val="24"/>
                        </w:rPr>
                      </w:pPr>
                      <w:r w:rsidRPr="00986AE7">
                        <w:rPr>
                          <w:i/>
                          <w:iCs/>
                          <w:sz w:val="20"/>
                          <w:szCs w:val="24"/>
                        </w:rPr>
                        <w:t>Consumers will have much more skin in the game and will be looking for returns. That’s right, returns. Let’s just say over the next 10 – 15 years that five million Australian households each spend around $50,000 on a combination of things like buying an EV, adding batteries or rooftop solar and changing over from gas appliances to electric ones. That’s actually a pretty conservative estimate. But it’s no small thing. All of those households doing that represents a $250 billion investment in assets underpinning the future energy system.</w:t>
                      </w:r>
                    </w:p>
                    <w:p w14:paraId="6FFD60E6" w14:textId="797A5B9A" w:rsidR="00CE4840" w:rsidRDefault="001C3067" w:rsidP="003861B1">
                      <w:pPr>
                        <w:jc w:val="right"/>
                      </w:pPr>
                      <w:hyperlink w:anchor="Ref_8_8_Consumers_are_investors_too_24" w:history="1">
                        <w:r w:rsidRPr="006F77BB">
                          <w:rPr>
                            <w:rStyle w:val="Hyperlink"/>
                            <w:rFonts w:eastAsia="DengXian" w:cs="Aptos"/>
                            <w:kern w:val="0"/>
                            <w:sz w:val="16"/>
                            <w:szCs w:val="16"/>
                            <w14:ligatures w14:val="none"/>
                          </w:rPr>
                          <w:t>Energy Consumers Australia</w:t>
                        </w:r>
                        <w:r w:rsidR="00C842D9" w:rsidRPr="006F77BB">
                          <w:rPr>
                            <w:rStyle w:val="Hyperlink"/>
                            <w:rFonts w:eastAsia="DengXian" w:cs="Aptos"/>
                            <w:kern w:val="0"/>
                            <w:sz w:val="16"/>
                            <w:szCs w:val="16"/>
                            <w14:ligatures w14:val="none"/>
                          </w:rPr>
                          <w:t xml:space="preserve"> (Gavin Dufty) -</w:t>
                        </w:r>
                        <w:r w:rsidRPr="006F77BB">
                          <w:rPr>
                            <w:rStyle w:val="Hyperlink"/>
                            <w:rFonts w:eastAsia="DengXian" w:cs="Aptos"/>
                            <w:kern w:val="0"/>
                            <w:sz w:val="16"/>
                            <w:szCs w:val="16"/>
                            <w14:ligatures w14:val="none"/>
                          </w:rPr>
                          <w:t xml:space="preserve"> Consumers are investors too – where’s their return?, Mar</w:t>
                        </w:r>
                        <w:r w:rsidR="003861B1" w:rsidRPr="006F77BB">
                          <w:rPr>
                            <w:rStyle w:val="Hyperlink"/>
                            <w:rFonts w:eastAsia="DengXian" w:cs="Aptos"/>
                            <w:kern w:val="0"/>
                            <w:sz w:val="16"/>
                            <w:szCs w:val="16"/>
                            <w14:ligatures w14:val="none"/>
                          </w:rPr>
                          <w:t>ch</w:t>
                        </w:r>
                        <w:r w:rsidRPr="006F77BB">
                          <w:rPr>
                            <w:rStyle w:val="Hyperlink"/>
                            <w:rFonts w:eastAsia="DengXian" w:cs="Aptos"/>
                            <w:kern w:val="0"/>
                            <w:sz w:val="16"/>
                            <w:szCs w:val="16"/>
                            <w14:ligatures w14:val="none"/>
                          </w:rPr>
                          <w:t xml:space="preserve"> </w:t>
                        </w:r>
                        <w:r w:rsidR="003861B1" w:rsidRPr="006F77BB">
                          <w:rPr>
                            <w:rStyle w:val="Hyperlink"/>
                            <w:rFonts w:eastAsia="DengXian" w:cs="Aptos"/>
                            <w:kern w:val="0"/>
                            <w:sz w:val="16"/>
                            <w:szCs w:val="16"/>
                            <w14:ligatures w14:val="none"/>
                          </w:rPr>
                          <w:t>2</w:t>
                        </w:r>
                        <w:r w:rsidRPr="006F77BB">
                          <w:rPr>
                            <w:rStyle w:val="Hyperlink"/>
                            <w:rFonts w:eastAsia="DengXian" w:cs="Aptos"/>
                            <w:kern w:val="0"/>
                            <w:sz w:val="16"/>
                            <w:szCs w:val="16"/>
                            <w14:ligatures w14:val="none"/>
                          </w:rPr>
                          <w:t>024</w:t>
                        </w:r>
                      </w:hyperlink>
                    </w:p>
                  </w:txbxContent>
                </v:textbox>
                <w10:wrap type="square" anchorx="margin"/>
              </v:shape>
            </w:pict>
          </mc:Fallback>
        </mc:AlternateContent>
      </w:r>
      <w:r w:rsidR="008D0A04" w:rsidRPr="00050A5B">
        <w:rPr>
          <w:rFonts w:cs="Calibri"/>
        </w:rPr>
        <w:t>All parties will need to build trust by emphasising customer agency in the design of their platforms and systems and in their engagement with customers. Promoting and educating customers on the societal good that comes from enrolling their assets in programs that support the efficient operation of the power system will also be important. Finally, sources concluded that the degree to which customer voice, concerns, and lived experience are reflected in customer facing product and service offerings will be the degree to which social licen</w:t>
      </w:r>
      <w:r w:rsidR="00704C94">
        <w:rPr>
          <w:rFonts w:cs="Calibri"/>
        </w:rPr>
        <w:t>c</w:t>
      </w:r>
      <w:r w:rsidR="008D0A04" w:rsidRPr="00050A5B">
        <w:rPr>
          <w:rFonts w:cs="Calibri"/>
        </w:rPr>
        <w:t>e is obtained, which will in turn impact the success of such programs.</w:t>
      </w:r>
    </w:p>
    <w:p w14:paraId="354E5A33" w14:textId="200D8B94" w:rsidR="008433E5" w:rsidRDefault="008433E5">
      <w:pPr>
        <w:spacing w:before="0" w:after="160" w:line="259" w:lineRule="auto"/>
        <w:rPr>
          <w:rFonts w:cs="Calibri"/>
        </w:rPr>
      </w:pPr>
    </w:p>
    <w:p w14:paraId="2467D100" w14:textId="77777777" w:rsidR="008D5FF4" w:rsidRDefault="008D5FF4">
      <w:pPr>
        <w:spacing w:before="0" w:after="160" w:line="259" w:lineRule="auto"/>
        <w:rPr>
          <w:rFonts w:cs="Calibri"/>
        </w:rPr>
      </w:pPr>
    </w:p>
    <w:p w14:paraId="1B346E08" w14:textId="3AC33169" w:rsidR="00EA03C1" w:rsidRPr="00050A5B" w:rsidRDefault="004734C5" w:rsidP="00EA03C1">
      <w:pPr>
        <w:pStyle w:val="Heading1"/>
        <w:rPr>
          <w:lang w:eastAsia="en-US" w:bidi="ar-SA"/>
        </w:rPr>
      </w:pPr>
      <w:bookmarkStart w:id="48" w:name="_Toc205536762"/>
      <w:bookmarkStart w:id="49" w:name="Ch_4"/>
      <w:r w:rsidRPr="00050A5B">
        <w:rPr>
          <w:lang w:eastAsia="en-US" w:bidi="ar-SA"/>
        </w:rPr>
        <w:t>T</w:t>
      </w:r>
      <w:r w:rsidR="00BE04DA" w:rsidRPr="00050A5B">
        <w:rPr>
          <w:lang w:eastAsia="en-US" w:bidi="ar-SA"/>
        </w:rPr>
        <w:t>rust</w:t>
      </w:r>
      <w:r w:rsidR="004157EF" w:rsidRPr="00050A5B">
        <w:rPr>
          <w:lang w:eastAsia="en-US" w:bidi="ar-SA"/>
        </w:rPr>
        <w:t xml:space="preserve"> &amp; </w:t>
      </w:r>
      <w:r w:rsidR="00BE04DA" w:rsidRPr="00050A5B">
        <w:rPr>
          <w:lang w:eastAsia="en-US" w:bidi="ar-SA"/>
        </w:rPr>
        <w:t>Social Licen</w:t>
      </w:r>
      <w:r w:rsidR="00487004">
        <w:rPr>
          <w:lang w:eastAsia="en-US" w:bidi="ar-SA"/>
        </w:rPr>
        <w:t>c</w:t>
      </w:r>
      <w:r w:rsidR="00BE04DA" w:rsidRPr="00050A5B">
        <w:rPr>
          <w:lang w:eastAsia="en-US" w:bidi="ar-SA"/>
        </w:rPr>
        <w:t>e</w:t>
      </w:r>
      <w:r w:rsidR="004157EF" w:rsidRPr="00050A5B">
        <w:rPr>
          <w:lang w:eastAsia="en-US" w:bidi="ar-SA"/>
        </w:rPr>
        <w:t>: The relat</w:t>
      </w:r>
      <w:r w:rsidR="00725454" w:rsidRPr="00050A5B">
        <w:rPr>
          <w:lang w:eastAsia="en-US" w:bidi="ar-SA"/>
        </w:rPr>
        <w:t>ionship with the e</w:t>
      </w:r>
      <w:r w:rsidR="00B04838" w:rsidRPr="00050A5B">
        <w:rPr>
          <w:lang w:eastAsia="en-US" w:bidi="ar-SA"/>
        </w:rPr>
        <w:t xml:space="preserve">ight </w:t>
      </w:r>
      <w:r w:rsidR="00725454" w:rsidRPr="00050A5B">
        <w:rPr>
          <w:lang w:eastAsia="en-US" w:bidi="ar-SA"/>
        </w:rPr>
        <w:t>o</w:t>
      </w:r>
      <w:r w:rsidR="00B04838" w:rsidRPr="00050A5B">
        <w:rPr>
          <w:lang w:eastAsia="en-US" w:bidi="ar-SA"/>
        </w:rPr>
        <w:t>bjectives</w:t>
      </w:r>
      <w:bookmarkEnd w:id="48"/>
    </w:p>
    <w:bookmarkEnd w:id="49"/>
    <w:p w14:paraId="2F6AB521" w14:textId="40545D3E" w:rsidR="00425380" w:rsidRPr="008D7E71" w:rsidRDefault="00425380" w:rsidP="00425380">
      <w:pPr>
        <w:rPr>
          <w:lang w:eastAsia="en-US" w:bidi="ar-SA"/>
        </w:rPr>
      </w:pPr>
      <w:r w:rsidRPr="008D7E71">
        <w:rPr>
          <w:lang w:eastAsia="en-US" w:bidi="ar-SA"/>
        </w:rPr>
        <w:t>Building and maintaining trust and social licence is foundational to achieving all eight Customer and Societal Objectives. As the energy transition accelerates, households are increasingly expected to participate in more complex systems of energy production, management, and trade. However, consumers do not automatically offer trust to new systems</w:t>
      </w:r>
      <w:r w:rsidR="00C375E5" w:rsidRPr="008D7E71">
        <w:rPr>
          <w:lang w:eastAsia="en-US" w:bidi="ar-SA"/>
        </w:rPr>
        <w:t>, actors</w:t>
      </w:r>
      <w:r w:rsidRPr="008D7E71">
        <w:rPr>
          <w:lang w:eastAsia="en-US" w:bidi="ar-SA"/>
        </w:rPr>
        <w:t xml:space="preserve"> or </w:t>
      </w:r>
      <w:r w:rsidR="00BA3094" w:rsidRPr="008D7E71">
        <w:rPr>
          <w:lang w:eastAsia="en-US" w:bidi="ar-SA"/>
        </w:rPr>
        <w:t>mechanisms</w:t>
      </w:r>
      <w:r w:rsidR="00111264" w:rsidRPr="008D7E71">
        <w:rPr>
          <w:lang w:eastAsia="en-US" w:bidi="ar-SA"/>
        </w:rPr>
        <w:t xml:space="preserve"> </w:t>
      </w:r>
      <w:r w:rsidR="00A456DE" w:rsidRPr="008D7E71">
        <w:rPr>
          <w:lang w:eastAsia="en-US" w:bidi="ar-SA"/>
        </w:rPr>
        <w:t>that facilitate that</w:t>
      </w:r>
      <w:r w:rsidR="00111264" w:rsidRPr="008D7E71">
        <w:rPr>
          <w:lang w:eastAsia="en-US" w:bidi="ar-SA"/>
        </w:rPr>
        <w:t xml:space="preserve"> </w:t>
      </w:r>
      <w:r w:rsidR="00BA3094" w:rsidRPr="008D7E71">
        <w:rPr>
          <w:lang w:eastAsia="en-US" w:bidi="ar-SA"/>
        </w:rPr>
        <w:t>participation</w:t>
      </w:r>
      <w:r w:rsidRPr="008D7E71">
        <w:rPr>
          <w:lang w:eastAsia="en-US" w:bidi="ar-SA"/>
        </w:rPr>
        <w:t xml:space="preserve">. Further, their ongoing trust is easily eroded by the perception that the ‘system’ is not aligned with their interests or that participation involves too much friction or complexity. </w:t>
      </w:r>
    </w:p>
    <w:p w14:paraId="5F5A6C67" w14:textId="2388ADE8" w:rsidR="006F20AB" w:rsidRPr="008D7E71" w:rsidRDefault="006F20AB" w:rsidP="006F20AB">
      <w:pPr>
        <w:rPr>
          <w:lang w:eastAsia="en-US" w:bidi="ar-SA"/>
        </w:rPr>
      </w:pPr>
      <w:r w:rsidRPr="008D7E71">
        <w:rPr>
          <w:lang w:eastAsia="en-US" w:bidi="ar-SA"/>
        </w:rPr>
        <w:t xml:space="preserve">Trust is earned through transparency, fairness, simplicity, and </w:t>
      </w:r>
      <w:r w:rsidR="00A60236" w:rsidRPr="008D7E71">
        <w:rPr>
          <w:lang w:eastAsia="en-US" w:bidi="ar-SA"/>
        </w:rPr>
        <w:t>demonstrable</w:t>
      </w:r>
      <w:r w:rsidRPr="008D7E71">
        <w:rPr>
          <w:lang w:eastAsia="en-US" w:bidi="ar-SA"/>
        </w:rPr>
        <w:t xml:space="preserve"> good faith. It is shaped not only by system behaviour but also by the degree of meaningful agency consumers feel they have. A growing paradox </w:t>
      </w:r>
      <w:proofErr w:type="gramStart"/>
      <w:r w:rsidRPr="008D7E71">
        <w:rPr>
          <w:lang w:eastAsia="en-US" w:bidi="ar-SA"/>
        </w:rPr>
        <w:t>emerges:</w:t>
      </w:r>
      <w:proofErr w:type="gramEnd"/>
      <w:r w:rsidRPr="008D7E71">
        <w:rPr>
          <w:lang w:eastAsia="en-US" w:bidi="ar-SA"/>
        </w:rPr>
        <w:t xml:space="preserve"> while </w:t>
      </w:r>
      <w:r w:rsidR="00325B93" w:rsidRPr="008D7E71">
        <w:rPr>
          <w:lang w:eastAsia="en-US" w:bidi="ar-SA"/>
        </w:rPr>
        <w:t xml:space="preserve">enhancing </w:t>
      </w:r>
      <w:r w:rsidRPr="008D7E71">
        <w:rPr>
          <w:lang w:eastAsia="en-US" w:bidi="ar-SA"/>
        </w:rPr>
        <w:t xml:space="preserve">agency is often promoted as a pathway to </w:t>
      </w:r>
      <w:r w:rsidR="002351EC" w:rsidRPr="008D7E71">
        <w:rPr>
          <w:lang w:eastAsia="en-US" w:bidi="ar-SA"/>
        </w:rPr>
        <w:t>beneficial customer engagement</w:t>
      </w:r>
      <w:r w:rsidRPr="008D7E71">
        <w:rPr>
          <w:lang w:eastAsia="en-US" w:bidi="ar-SA"/>
        </w:rPr>
        <w:t>, if not well supported, it can create complexity, decision fatigue, and a sense of burden—undermining the very trust it seeks to build.</w:t>
      </w:r>
    </w:p>
    <w:p w14:paraId="5AA920C1" w14:textId="0F373D66" w:rsidR="006F20AB" w:rsidRPr="008D7E71" w:rsidRDefault="006F20AB" w:rsidP="006F20AB">
      <w:pPr>
        <w:rPr>
          <w:lang w:eastAsia="en-US" w:bidi="ar-SA"/>
        </w:rPr>
      </w:pPr>
      <w:r w:rsidRPr="008D7E71">
        <w:rPr>
          <w:lang w:eastAsia="en-US" w:bidi="ar-SA"/>
        </w:rPr>
        <w:t xml:space="preserve">Social licence, in turn, is not simply about willingness to </w:t>
      </w:r>
      <w:r w:rsidR="0057003E" w:rsidRPr="008D7E71">
        <w:rPr>
          <w:lang w:eastAsia="en-US" w:bidi="ar-SA"/>
        </w:rPr>
        <w:t xml:space="preserve">invest in CER or </w:t>
      </w:r>
      <w:r w:rsidRPr="008D7E71">
        <w:rPr>
          <w:lang w:eastAsia="en-US" w:bidi="ar-SA"/>
        </w:rPr>
        <w:t>participate in flexible demand</w:t>
      </w:r>
      <w:r w:rsidR="0057003E" w:rsidRPr="008D7E71">
        <w:rPr>
          <w:lang w:eastAsia="en-US" w:bidi="ar-SA"/>
        </w:rPr>
        <w:t xml:space="preserve"> programs </w:t>
      </w:r>
      <w:r w:rsidRPr="008D7E71">
        <w:rPr>
          <w:lang w:eastAsia="en-US" w:bidi="ar-SA"/>
        </w:rPr>
        <w:t xml:space="preserve">—it is about confidence that </w:t>
      </w:r>
      <w:r w:rsidR="0057003E" w:rsidRPr="008D7E71">
        <w:rPr>
          <w:lang w:eastAsia="en-US" w:bidi="ar-SA"/>
        </w:rPr>
        <w:t>such engagement</w:t>
      </w:r>
      <w:r w:rsidRPr="008D7E71">
        <w:rPr>
          <w:lang w:eastAsia="en-US" w:bidi="ar-SA"/>
        </w:rPr>
        <w:t xml:space="preserve"> will be safe, fair, and beneficial. For example, consumer discomfort around energy data—especially concerns </w:t>
      </w:r>
      <w:r w:rsidR="00F81AAD" w:rsidRPr="008D7E71">
        <w:rPr>
          <w:lang w:eastAsia="en-US" w:bidi="ar-SA"/>
        </w:rPr>
        <w:t xml:space="preserve">around profit-motivated </w:t>
      </w:r>
      <w:r w:rsidRPr="008D7E71">
        <w:rPr>
          <w:lang w:eastAsia="en-US" w:bidi="ar-SA"/>
        </w:rPr>
        <w:t>third-party control or algorithmic misuse—has reduced willingness to enrol in grid services. Without robust protections, consent mechanisms, and accountability, trust falters.</w:t>
      </w:r>
    </w:p>
    <w:p w14:paraId="19EBDD76" w14:textId="137FC23B" w:rsidR="006F20AB" w:rsidRPr="008D7E71" w:rsidRDefault="006F20AB" w:rsidP="006F20AB">
      <w:pPr>
        <w:rPr>
          <w:lang w:eastAsia="en-US" w:bidi="ar-SA"/>
        </w:rPr>
      </w:pPr>
      <w:r w:rsidRPr="008D7E71">
        <w:rPr>
          <w:lang w:eastAsia="en-US" w:bidi="ar-SA"/>
        </w:rPr>
        <w:t>The implications are significant. Where it is absent or undermined, key transition tools such as demand flexibility and orchestration risk failure.</w:t>
      </w:r>
    </w:p>
    <w:p w14:paraId="5614CBA2" w14:textId="0769B05E" w:rsidR="006F20AB" w:rsidRPr="008D7E71" w:rsidRDefault="006F20AB" w:rsidP="006F20AB">
      <w:pPr>
        <w:rPr>
          <w:lang w:eastAsia="en-US" w:bidi="ar-SA"/>
        </w:rPr>
      </w:pPr>
      <w:r w:rsidRPr="008D7E71">
        <w:rPr>
          <w:lang w:eastAsia="en-US" w:bidi="ar-SA"/>
        </w:rPr>
        <w:t xml:space="preserve">Importantly, trust must also be cultivated at the </w:t>
      </w:r>
      <w:r w:rsidR="00EE2C1C" w:rsidRPr="008D7E71">
        <w:rPr>
          <w:lang w:eastAsia="en-US" w:bidi="ar-SA"/>
        </w:rPr>
        <w:t>whole-</w:t>
      </w:r>
      <w:r w:rsidRPr="008D7E71">
        <w:rPr>
          <w:lang w:eastAsia="en-US" w:bidi="ar-SA"/>
        </w:rPr>
        <w:t>system level</w:t>
      </w:r>
      <w:r w:rsidR="00DC3056" w:rsidRPr="008D7E71">
        <w:rPr>
          <w:lang w:eastAsia="en-US" w:bidi="ar-SA"/>
        </w:rPr>
        <w:t>, not just with customer-facing service providers</w:t>
      </w:r>
      <w:r w:rsidRPr="008D7E71">
        <w:rPr>
          <w:lang w:eastAsia="en-US" w:bidi="ar-SA"/>
        </w:rPr>
        <w:t>. A consistent theme across the literature is the lack of a clear, cohesive national narrative for the transition. In the absence of leadership, transparency, and unified direction, misinformation takes root and legitimacy erodes. The public increasingly expects government—not just industry—to provide clarity, coordination, and confidence.</w:t>
      </w:r>
    </w:p>
    <w:p w14:paraId="6045B315" w14:textId="099A6671" w:rsidR="006F20AB" w:rsidRPr="008D7E71" w:rsidRDefault="006F20AB" w:rsidP="006F20AB">
      <w:pPr>
        <w:rPr>
          <w:lang w:eastAsia="en-US" w:bidi="ar-SA"/>
        </w:rPr>
      </w:pPr>
      <w:r w:rsidRPr="008D7E71">
        <w:rPr>
          <w:lang w:eastAsia="en-US" w:bidi="ar-SA"/>
        </w:rPr>
        <w:t xml:space="preserve">Ultimately, trust and social licence are not peripheral—they are the pre-conditions upon which successful system reform depends. </w:t>
      </w:r>
      <w:r w:rsidR="00754EA6" w:rsidRPr="008D7E71">
        <w:rPr>
          <w:lang w:eastAsia="en-US" w:bidi="ar-SA"/>
        </w:rPr>
        <w:t>Trust is the currency of participation</w:t>
      </w:r>
      <w:r w:rsidR="002512E7" w:rsidRPr="008D7E71">
        <w:rPr>
          <w:lang w:eastAsia="en-US" w:bidi="ar-SA"/>
        </w:rPr>
        <w:t xml:space="preserve"> - w</w:t>
      </w:r>
      <w:r w:rsidR="00754EA6" w:rsidRPr="008D7E71">
        <w:rPr>
          <w:lang w:eastAsia="en-US" w:bidi="ar-SA"/>
        </w:rPr>
        <w:t>here trust is present</w:t>
      </w:r>
      <w:r w:rsidR="002512E7" w:rsidRPr="008D7E71">
        <w:rPr>
          <w:lang w:eastAsia="en-US" w:bidi="ar-SA"/>
        </w:rPr>
        <w:t xml:space="preserve">, </w:t>
      </w:r>
      <w:r w:rsidR="00754EA6" w:rsidRPr="008D7E71">
        <w:rPr>
          <w:lang w:eastAsia="en-US" w:bidi="ar-SA"/>
        </w:rPr>
        <w:t>supported by clear choices, guidance, and reciprocity</w:t>
      </w:r>
      <w:r w:rsidR="002512E7" w:rsidRPr="008D7E71">
        <w:rPr>
          <w:lang w:eastAsia="en-US" w:bidi="ar-SA"/>
        </w:rPr>
        <w:t xml:space="preserve">, </w:t>
      </w:r>
      <w:r w:rsidR="00444014" w:rsidRPr="008D7E71">
        <w:rPr>
          <w:lang w:eastAsia="en-US" w:bidi="ar-SA"/>
        </w:rPr>
        <w:t>participation and engagement increases</w:t>
      </w:r>
      <w:r w:rsidR="00754EA6" w:rsidRPr="008D7E71">
        <w:rPr>
          <w:lang w:eastAsia="en-US" w:bidi="ar-SA"/>
        </w:rPr>
        <w:t xml:space="preserve">. </w:t>
      </w:r>
      <w:r w:rsidR="00444014" w:rsidRPr="008D7E71">
        <w:rPr>
          <w:lang w:eastAsia="en-US" w:bidi="ar-SA"/>
        </w:rPr>
        <w:t>In this context, a</w:t>
      </w:r>
      <w:r w:rsidR="00754EA6" w:rsidRPr="008D7E71">
        <w:rPr>
          <w:lang w:eastAsia="en-US" w:bidi="ar-SA"/>
        </w:rPr>
        <w:t>ll eight</w:t>
      </w:r>
      <w:r w:rsidRPr="008D7E71">
        <w:rPr>
          <w:lang w:eastAsia="en-US" w:bidi="ar-SA"/>
        </w:rPr>
        <w:t xml:space="preserve"> objective</w:t>
      </w:r>
      <w:r w:rsidR="00754EA6" w:rsidRPr="008D7E71">
        <w:rPr>
          <w:lang w:eastAsia="en-US" w:bidi="ar-SA"/>
        </w:rPr>
        <w:t xml:space="preserve">s in this report are </w:t>
      </w:r>
      <w:r w:rsidRPr="008D7E71">
        <w:rPr>
          <w:lang w:eastAsia="en-US" w:bidi="ar-SA"/>
        </w:rPr>
        <w:t xml:space="preserve">shaped </w:t>
      </w:r>
      <w:r w:rsidR="00754EA6" w:rsidRPr="008D7E71">
        <w:rPr>
          <w:lang w:eastAsia="en-US" w:bidi="ar-SA"/>
        </w:rPr>
        <w:t>to varying degrees by the issue of trust</w:t>
      </w:r>
      <w:r w:rsidR="008220D3" w:rsidRPr="008D7E71">
        <w:rPr>
          <w:lang w:eastAsia="en-US" w:bidi="ar-SA"/>
        </w:rPr>
        <w:t xml:space="preserve"> and social license</w:t>
      </w:r>
      <w:r w:rsidR="002C104F" w:rsidRPr="008D7E71">
        <w:rPr>
          <w:lang w:eastAsia="en-US" w:bidi="ar-SA"/>
        </w:rPr>
        <w:t>. To highlight just two examples</w:t>
      </w:r>
      <w:r w:rsidRPr="008D7E71">
        <w:rPr>
          <w:lang w:eastAsia="en-US" w:bidi="ar-SA"/>
        </w:rPr>
        <w:t>:</w:t>
      </w:r>
    </w:p>
    <w:p w14:paraId="6B2CDE4B" w14:textId="16EE0F8E" w:rsidR="006F20AB" w:rsidRPr="008D7E71" w:rsidRDefault="006F20AB" w:rsidP="003F223E">
      <w:pPr>
        <w:pStyle w:val="ListParagraph"/>
        <w:numPr>
          <w:ilvl w:val="0"/>
          <w:numId w:val="25"/>
        </w:numPr>
        <w:rPr>
          <w:lang w:eastAsia="en-US" w:bidi="ar-SA"/>
        </w:rPr>
      </w:pPr>
      <w:r w:rsidRPr="008D7E71">
        <w:rPr>
          <w:lang w:eastAsia="en-US" w:bidi="ar-SA"/>
        </w:rPr>
        <w:t xml:space="preserve">A dependable energy system requires not just resilience, but public confidence in </w:t>
      </w:r>
      <w:r w:rsidR="00CB18D2" w:rsidRPr="008D7E71">
        <w:rPr>
          <w:lang w:eastAsia="en-US" w:bidi="ar-SA"/>
        </w:rPr>
        <w:t xml:space="preserve">the institutions who </w:t>
      </w:r>
      <w:r w:rsidR="00136B98" w:rsidRPr="008D7E71">
        <w:rPr>
          <w:lang w:eastAsia="en-US" w:bidi="ar-SA"/>
        </w:rPr>
        <w:t xml:space="preserve">determine </w:t>
      </w:r>
      <w:r w:rsidR="00907634" w:rsidRPr="008D7E71">
        <w:rPr>
          <w:lang w:eastAsia="en-US" w:bidi="ar-SA"/>
        </w:rPr>
        <w:t xml:space="preserve">where and how that resilience is </w:t>
      </w:r>
      <w:r w:rsidR="00527DEC" w:rsidRPr="008D7E71">
        <w:rPr>
          <w:lang w:eastAsia="en-US" w:bidi="ar-SA"/>
        </w:rPr>
        <w:t>facilitated</w:t>
      </w:r>
      <w:r w:rsidRPr="008D7E71">
        <w:rPr>
          <w:lang w:eastAsia="en-US" w:bidi="ar-SA"/>
        </w:rPr>
        <w:t>.</w:t>
      </w:r>
    </w:p>
    <w:p w14:paraId="73B3092D" w14:textId="77777777" w:rsidR="006F20AB" w:rsidRPr="008D7E71" w:rsidRDefault="006F20AB" w:rsidP="003F223E">
      <w:pPr>
        <w:pStyle w:val="ListParagraph"/>
        <w:numPr>
          <w:ilvl w:val="0"/>
          <w:numId w:val="25"/>
        </w:numPr>
        <w:rPr>
          <w:lang w:eastAsia="en-US" w:bidi="ar-SA"/>
        </w:rPr>
      </w:pPr>
      <w:r w:rsidRPr="008D7E71">
        <w:rPr>
          <w:lang w:eastAsia="en-US" w:bidi="ar-SA"/>
        </w:rPr>
        <w:t>Affordability depends not only on prices, but on perceived fairness and value.</w:t>
      </w:r>
    </w:p>
    <w:p w14:paraId="3A5C25E5" w14:textId="579C5E53" w:rsidR="00E2371B" w:rsidRDefault="006F20AB" w:rsidP="00902EB9">
      <w:pPr>
        <w:rPr>
          <w:rFonts w:ascii="PP Mori SemiBold" w:eastAsiaTheme="majorEastAsia" w:hAnsi="PP Mori SemiBold" w:cstheme="majorBidi"/>
          <w:color w:val="013C4C" w:themeColor="text1"/>
          <w:sz w:val="32"/>
          <w:szCs w:val="40"/>
          <w:lang w:eastAsia="en-US" w:bidi="ar-SA"/>
        </w:rPr>
      </w:pPr>
      <w:r w:rsidRPr="008D7E71">
        <w:rPr>
          <w:lang w:eastAsia="en-US" w:bidi="ar-SA"/>
        </w:rPr>
        <w:t>Where consumers feel exploited, confused, or left behind, trust collapses—and with it, the foundation for a successful energy transition.</w:t>
      </w:r>
    </w:p>
    <w:p w14:paraId="4580F2C6" w14:textId="77777777" w:rsidR="00902EB9" w:rsidRDefault="00902EB9">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375FBAED" w14:textId="4DDDE741" w:rsidR="00706727" w:rsidRPr="00050A5B" w:rsidRDefault="00935261" w:rsidP="00706727">
      <w:pPr>
        <w:pStyle w:val="Heading1"/>
        <w:rPr>
          <w:lang w:eastAsia="en-US" w:bidi="ar-SA"/>
        </w:rPr>
      </w:pPr>
      <w:bookmarkStart w:id="50" w:name="_Toc205536763"/>
      <w:bookmarkStart w:id="51" w:name="Ch_5"/>
      <w:r w:rsidRPr="00050A5B">
        <w:rPr>
          <w:lang w:eastAsia="en-US" w:bidi="ar-SA"/>
        </w:rPr>
        <w:t>Future System Design</w:t>
      </w:r>
      <w:r w:rsidR="00706727" w:rsidRPr="00050A5B">
        <w:rPr>
          <w:lang w:eastAsia="en-US" w:bidi="ar-SA"/>
        </w:rPr>
        <w:t xml:space="preserve">: </w:t>
      </w:r>
      <w:r w:rsidR="00B91D6C" w:rsidRPr="00050A5B">
        <w:rPr>
          <w:lang w:eastAsia="en-US" w:bidi="ar-SA"/>
        </w:rPr>
        <w:t>I</w:t>
      </w:r>
      <w:r w:rsidR="00725454" w:rsidRPr="00050A5B">
        <w:rPr>
          <w:lang w:eastAsia="en-US" w:bidi="ar-SA"/>
        </w:rPr>
        <w:t>nform</w:t>
      </w:r>
      <w:r w:rsidR="00B91D6C" w:rsidRPr="00050A5B">
        <w:rPr>
          <w:lang w:eastAsia="en-US" w:bidi="ar-SA"/>
        </w:rPr>
        <w:t xml:space="preserve">ing </w:t>
      </w:r>
      <w:r w:rsidR="004B121C" w:rsidRPr="00050A5B">
        <w:rPr>
          <w:lang w:eastAsia="en-US" w:bidi="ar-SA"/>
        </w:rPr>
        <w:t xml:space="preserve">better </w:t>
      </w:r>
      <w:r w:rsidR="00706727" w:rsidRPr="00050A5B">
        <w:rPr>
          <w:lang w:eastAsia="en-US" w:bidi="ar-SA"/>
        </w:rPr>
        <w:t>trade-off choices</w:t>
      </w:r>
      <w:bookmarkEnd w:id="50"/>
    </w:p>
    <w:bookmarkEnd w:id="51"/>
    <w:p w14:paraId="3F0DA4B5" w14:textId="49252FE6" w:rsidR="00AC53B8" w:rsidRPr="008D7E71" w:rsidRDefault="00B34F95" w:rsidP="002B3E60">
      <w:pPr>
        <w:spacing w:before="180" w:after="180" w:line="288" w:lineRule="auto"/>
        <w:rPr>
          <w:rFonts w:cs="Calibri"/>
          <w:szCs w:val="18"/>
        </w:rPr>
      </w:pPr>
      <w:r w:rsidRPr="008D7E71">
        <w:rPr>
          <w:rFonts w:cs="Calibri"/>
          <w:szCs w:val="18"/>
        </w:rPr>
        <w:t xml:space="preserve">Australia’ energy transition </w:t>
      </w:r>
      <w:r w:rsidR="007E7EF1" w:rsidRPr="008D7E71">
        <w:rPr>
          <w:rFonts w:cs="Calibri"/>
          <w:szCs w:val="18"/>
        </w:rPr>
        <w:t xml:space="preserve">will </w:t>
      </w:r>
      <w:r w:rsidR="00C525F8" w:rsidRPr="008D7E71">
        <w:rPr>
          <w:rFonts w:cs="Calibri"/>
          <w:szCs w:val="18"/>
        </w:rPr>
        <w:t xml:space="preserve">necessarily involve </w:t>
      </w:r>
      <w:r w:rsidR="0025099B" w:rsidRPr="008D7E71">
        <w:rPr>
          <w:rFonts w:cs="Calibri"/>
          <w:szCs w:val="18"/>
        </w:rPr>
        <w:t xml:space="preserve">a myriad of trade-off </w:t>
      </w:r>
      <w:r w:rsidR="004446F0" w:rsidRPr="008D7E71">
        <w:rPr>
          <w:rFonts w:cs="Calibri"/>
          <w:szCs w:val="18"/>
        </w:rPr>
        <w:t>decisions</w:t>
      </w:r>
      <w:r w:rsidR="00C300B1" w:rsidRPr="008D7E71">
        <w:rPr>
          <w:rFonts w:cs="Calibri"/>
          <w:szCs w:val="18"/>
        </w:rPr>
        <w:t xml:space="preserve"> across technical</w:t>
      </w:r>
      <w:r w:rsidR="00F254BA" w:rsidRPr="008D7E71">
        <w:rPr>
          <w:rFonts w:cs="Calibri"/>
          <w:szCs w:val="18"/>
        </w:rPr>
        <w:t>,</w:t>
      </w:r>
      <w:r w:rsidR="00C87DF9" w:rsidRPr="008D7E71">
        <w:rPr>
          <w:rFonts w:cs="Calibri"/>
          <w:szCs w:val="18"/>
        </w:rPr>
        <w:t xml:space="preserve"> regulatory</w:t>
      </w:r>
      <w:r w:rsidR="007B7D35" w:rsidRPr="008D7E71">
        <w:rPr>
          <w:rFonts w:cs="Calibri"/>
          <w:szCs w:val="18"/>
        </w:rPr>
        <w:t xml:space="preserve">, </w:t>
      </w:r>
      <w:r w:rsidR="00356035" w:rsidRPr="008D7E71">
        <w:rPr>
          <w:rFonts w:cs="Calibri"/>
          <w:szCs w:val="18"/>
        </w:rPr>
        <w:t>economic</w:t>
      </w:r>
      <w:r w:rsidR="00194FCD" w:rsidRPr="008D7E71">
        <w:rPr>
          <w:rFonts w:cs="Calibri"/>
          <w:szCs w:val="18"/>
        </w:rPr>
        <w:t xml:space="preserve"> and </w:t>
      </w:r>
      <w:r w:rsidR="003367DB" w:rsidRPr="008D7E71">
        <w:rPr>
          <w:rFonts w:cs="Calibri"/>
          <w:szCs w:val="18"/>
        </w:rPr>
        <w:t>societal</w:t>
      </w:r>
      <w:r w:rsidR="00194FCD" w:rsidRPr="008D7E71">
        <w:rPr>
          <w:rFonts w:cs="Calibri"/>
          <w:szCs w:val="18"/>
        </w:rPr>
        <w:t xml:space="preserve"> domains. </w:t>
      </w:r>
      <w:r w:rsidR="00306C0B" w:rsidRPr="008D7E71">
        <w:rPr>
          <w:rFonts w:cs="Calibri"/>
          <w:szCs w:val="18"/>
        </w:rPr>
        <w:t>I</w:t>
      </w:r>
      <w:r w:rsidR="00F30F36" w:rsidRPr="008D7E71">
        <w:rPr>
          <w:rFonts w:cs="Calibri"/>
          <w:szCs w:val="18"/>
        </w:rPr>
        <w:t xml:space="preserve">ndustry </w:t>
      </w:r>
      <w:r w:rsidR="005959C7" w:rsidRPr="008D7E71">
        <w:rPr>
          <w:rFonts w:cs="Calibri"/>
          <w:szCs w:val="18"/>
        </w:rPr>
        <w:t xml:space="preserve">engagement with trade-off choices </w:t>
      </w:r>
      <w:r w:rsidR="00480BC8" w:rsidRPr="008D7E71">
        <w:rPr>
          <w:rFonts w:cs="Calibri"/>
          <w:szCs w:val="18"/>
        </w:rPr>
        <w:t xml:space="preserve">has </w:t>
      </w:r>
      <w:r w:rsidR="0028553F" w:rsidRPr="008D7E71">
        <w:rPr>
          <w:rFonts w:cs="Calibri"/>
          <w:szCs w:val="18"/>
        </w:rPr>
        <w:t>typically</w:t>
      </w:r>
      <w:r w:rsidR="00794209" w:rsidRPr="008D7E71">
        <w:rPr>
          <w:rFonts w:cs="Calibri"/>
          <w:szCs w:val="18"/>
        </w:rPr>
        <w:t xml:space="preserve"> been </w:t>
      </w:r>
      <w:r w:rsidR="0028553F" w:rsidRPr="008D7E71">
        <w:rPr>
          <w:rFonts w:cs="Calibri"/>
          <w:szCs w:val="18"/>
        </w:rPr>
        <w:t>contained within the former</w:t>
      </w:r>
      <w:r w:rsidR="00BB31FD" w:rsidRPr="008D7E71">
        <w:rPr>
          <w:rFonts w:cs="Calibri"/>
          <w:szCs w:val="18"/>
        </w:rPr>
        <w:t xml:space="preserve"> three domains, and less so </w:t>
      </w:r>
      <w:r w:rsidR="00791864" w:rsidRPr="008D7E71">
        <w:rPr>
          <w:rFonts w:cs="Calibri"/>
          <w:szCs w:val="18"/>
        </w:rPr>
        <w:t xml:space="preserve">within the societal domain. </w:t>
      </w:r>
      <w:r w:rsidR="0094190A" w:rsidRPr="008D7E71">
        <w:rPr>
          <w:rFonts w:cs="Calibri"/>
          <w:szCs w:val="18"/>
        </w:rPr>
        <w:t xml:space="preserve">This </w:t>
      </w:r>
      <w:r w:rsidR="00AE0CC5" w:rsidRPr="008D7E71">
        <w:rPr>
          <w:rFonts w:cs="Calibri"/>
          <w:szCs w:val="18"/>
        </w:rPr>
        <w:t xml:space="preserve">is </w:t>
      </w:r>
      <w:r w:rsidR="004D69B1" w:rsidRPr="008D7E71">
        <w:rPr>
          <w:rFonts w:cs="Calibri"/>
          <w:szCs w:val="18"/>
        </w:rPr>
        <w:t xml:space="preserve">understandable given </w:t>
      </w:r>
      <w:r w:rsidR="0094190A" w:rsidRPr="008D7E71">
        <w:rPr>
          <w:rFonts w:cs="Calibri"/>
          <w:szCs w:val="18"/>
        </w:rPr>
        <w:t xml:space="preserve">the </w:t>
      </w:r>
      <w:r w:rsidR="00DB439B" w:rsidRPr="008D7E71">
        <w:rPr>
          <w:rFonts w:cs="Calibri"/>
          <w:szCs w:val="18"/>
        </w:rPr>
        <w:t>difficulty of</w:t>
      </w:r>
      <w:r w:rsidR="0048632F" w:rsidRPr="008D7E71">
        <w:rPr>
          <w:rFonts w:cs="Calibri"/>
          <w:szCs w:val="18"/>
        </w:rPr>
        <w:t xml:space="preserve"> </w:t>
      </w:r>
      <w:r w:rsidR="00760938" w:rsidRPr="008D7E71">
        <w:rPr>
          <w:rFonts w:cs="Calibri"/>
          <w:szCs w:val="18"/>
        </w:rPr>
        <w:t>evaluating</w:t>
      </w:r>
      <w:r w:rsidR="007127C3" w:rsidRPr="008D7E71">
        <w:rPr>
          <w:rFonts w:cs="Calibri"/>
          <w:szCs w:val="18"/>
        </w:rPr>
        <w:t xml:space="preserve"> </w:t>
      </w:r>
      <w:r w:rsidR="0080793F" w:rsidRPr="008D7E71">
        <w:rPr>
          <w:rFonts w:cs="Calibri"/>
          <w:szCs w:val="18"/>
        </w:rPr>
        <w:t>system</w:t>
      </w:r>
      <w:r w:rsidR="008374B3" w:rsidRPr="008D7E71">
        <w:rPr>
          <w:rFonts w:cs="Calibri"/>
          <w:szCs w:val="18"/>
        </w:rPr>
        <w:t xml:space="preserve"> and component-</w:t>
      </w:r>
      <w:r w:rsidR="0080793F" w:rsidRPr="008D7E71">
        <w:rPr>
          <w:rFonts w:cs="Calibri"/>
          <w:szCs w:val="18"/>
        </w:rPr>
        <w:t xml:space="preserve">level </w:t>
      </w:r>
      <w:r w:rsidR="008F564D" w:rsidRPr="008D7E71">
        <w:rPr>
          <w:rFonts w:cs="Calibri"/>
          <w:szCs w:val="18"/>
        </w:rPr>
        <w:t xml:space="preserve">design choices </w:t>
      </w:r>
      <w:r w:rsidR="00645B11" w:rsidRPr="008D7E71">
        <w:rPr>
          <w:rFonts w:cs="Calibri"/>
          <w:szCs w:val="18"/>
        </w:rPr>
        <w:t xml:space="preserve">against </w:t>
      </w:r>
      <w:r w:rsidR="005C2139" w:rsidRPr="008D7E71">
        <w:rPr>
          <w:rFonts w:cs="Calibri"/>
          <w:szCs w:val="18"/>
        </w:rPr>
        <w:t xml:space="preserve">customer and societal </w:t>
      </w:r>
      <w:r w:rsidR="00645B11" w:rsidRPr="008D7E71">
        <w:rPr>
          <w:rFonts w:cs="Calibri"/>
          <w:szCs w:val="18"/>
        </w:rPr>
        <w:t xml:space="preserve">objectives </w:t>
      </w:r>
      <w:r w:rsidR="00DB439B" w:rsidRPr="008D7E71">
        <w:rPr>
          <w:rFonts w:cs="Calibri"/>
          <w:szCs w:val="18"/>
        </w:rPr>
        <w:t>in a defensible way</w:t>
      </w:r>
      <w:r w:rsidR="00616BCC" w:rsidRPr="008D7E71">
        <w:rPr>
          <w:rFonts w:cs="Calibri"/>
          <w:szCs w:val="18"/>
        </w:rPr>
        <w:t xml:space="preserve">. </w:t>
      </w:r>
      <w:r w:rsidR="0005496A" w:rsidRPr="008D7E71">
        <w:rPr>
          <w:rFonts w:cs="Calibri"/>
          <w:szCs w:val="18"/>
        </w:rPr>
        <w:t>To address this</w:t>
      </w:r>
      <w:r w:rsidR="004841C1" w:rsidRPr="008D7E71">
        <w:rPr>
          <w:rFonts w:cs="Calibri"/>
          <w:szCs w:val="18"/>
        </w:rPr>
        <w:t>,</w:t>
      </w:r>
      <w:r w:rsidR="006A020B" w:rsidRPr="008D7E71">
        <w:rPr>
          <w:rFonts w:cs="Calibri"/>
          <w:szCs w:val="18"/>
        </w:rPr>
        <w:t xml:space="preserve"> the power system architecture discipline</w:t>
      </w:r>
      <w:r w:rsidR="0005496A" w:rsidRPr="008D7E71">
        <w:rPr>
          <w:rFonts w:cs="Calibri"/>
          <w:szCs w:val="18"/>
        </w:rPr>
        <w:t xml:space="preserve"> provides </w:t>
      </w:r>
      <w:r w:rsidR="00FB14FE" w:rsidRPr="008D7E71">
        <w:rPr>
          <w:rFonts w:cs="Calibri"/>
          <w:szCs w:val="18"/>
        </w:rPr>
        <w:t>a</w:t>
      </w:r>
      <w:r w:rsidR="00227E04" w:rsidRPr="008D7E71">
        <w:rPr>
          <w:rFonts w:cs="Calibri"/>
          <w:szCs w:val="18"/>
        </w:rPr>
        <w:t xml:space="preserve"> </w:t>
      </w:r>
      <w:r w:rsidR="0070739D" w:rsidRPr="008D7E71">
        <w:rPr>
          <w:rFonts w:cs="Calibri"/>
          <w:szCs w:val="18"/>
        </w:rPr>
        <w:t xml:space="preserve">helpful </w:t>
      </w:r>
      <w:r w:rsidR="0019772C" w:rsidRPr="008D7E71">
        <w:rPr>
          <w:rFonts w:cs="Calibri"/>
          <w:szCs w:val="18"/>
        </w:rPr>
        <w:t>distinction</w:t>
      </w:r>
      <w:r w:rsidR="007C5BAD" w:rsidRPr="008D7E71">
        <w:rPr>
          <w:rFonts w:cs="Calibri"/>
          <w:szCs w:val="18"/>
        </w:rPr>
        <w:t xml:space="preserve"> </w:t>
      </w:r>
      <w:r w:rsidR="00DB439B" w:rsidRPr="008D7E71">
        <w:rPr>
          <w:rFonts w:cs="Calibri"/>
          <w:szCs w:val="18"/>
        </w:rPr>
        <w:t xml:space="preserve">between system </w:t>
      </w:r>
      <w:r w:rsidR="00E92F69" w:rsidRPr="008D7E71">
        <w:rPr>
          <w:rFonts w:cs="Calibri"/>
          <w:szCs w:val="18"/>
        </w:rPr>
        <w:t xml:space="preserve">properties and system </w:t>
      </w:r>
      <w:r w:rsidR="00DB439B" w:rsidRPr="008D7E71">
        <w:rPr>
          <w:rFonts w:cs="Calibri"/>
          <w:szCs w:val="18"/>
        </w:rPr>
        <w:t>qualities</w:t>
      </w:r>
      <w:r w:rsidR="00AC53B8" w:rsidRPr="008D7E71">
        <w:rPr>
          <w:rFonts w:cs="Calibri"/>
          <w:szCs w:val="18"/>
        </w:rPr>
        <w:t xml:space="preserve">: </w:t>
      </w:r>
    </w:p>
    <w:p w14:paraId="449A3028" w14:textId="6EA80E2A" w:rsidR="00911DB7" w:rsidRPr="008D7E71" w:rsidRDefault="00911DB7" w:rsidP="004C4BE0">
      <w:pPr>
        <w:pStyle w:val="ListParagraph"/>
        <w:numPr>
          <w:ilvl w:val="0"/>
          <w:numId w:val="31"/>
        </w:numPr>
        <w:spacing w:before="180" w:after="180" w:line="288" w:lineRule="auto"/>
        <w:rPr>
          <w:rFonts w:cs="Calibri"/>
          <w:szCs w:val="18"/>
        </w:rPr>
      </w:pPr>
      <w:r w:rsidRPr="008D7E71">
        <w:rPr>
          <w:rFonts w:ascii="PP Mori SemiBold" w:hAnsi="PP Mori SemiBold" w:cs="Calibri"/>
          <w:szCs w:val="18"/>
        </w:rPr>
        <w:t>Qualities</w:t>
      </w:r>
      <w:r w:rsidRPr="008D7E71">
        <w:rPr>
          <w:rFonts w:cs="Calibri"/>
          <w:szCs w:val="18"/>
        </w:rPr>
        <w:t xml:space="preserve"> are system-level outcomes that </w:t>
      </w:r>
      <w:r w:rsidR="00520FA4" w:rsidRPr="008D7E71">
        <w:rPr>
          <w:rFonts w:cs="Calibri"/>
          <w:szCs w:val="18"/>
        </w:rPr>
        <w:t>emerge</w:t>
      </w:r>
      <w:r w:rsidRPr="008D7E71">
        <w:rPr>
          <w:rFonts w:cs="Calibri"/>
          <w:szCs w:val="18"/>
        </w:rPr>
        <w:t xml:space="preserve"> from the interaction of system properties. Examples include</w:t>
      </w:r>
      <w:r w:rsidR="0064095E" w:rsidRPr="008D7E71">
        <w:rPr>
          <w:rFonts w:cs="Calibri"/>
          <w:szCs w:val="18"/>
        </w:rPr>
        <w:t xml:space="preserve"> </w:t>
      </w:r>
      <w:r w:rsidR="00B368D0" w:rsidRPr="008D7E71">
        <w:rPr>
          <w:rFonts w:cs="Calibri"/>
          <w:szCs w:val="18"/>
        </w:rPr>
        <w:t>reliable</w:t>
      </w:r>
      <w:r w:rsidR="0064095E" w:rsidRPr="008D7E71">
        <w:rPr>
          <w:rFonts w:cs="Calibri"/>
          <w:szCs w:val="18"/>
        </w:rPr>
        <w:t xml:space="preserve">, safe, </w:t>
      </w:r>
      <w:r w:rsidR="003C7943" w:rsidRPr="008D7E71">
        <w:rPr>
          <w:rFonts w:cs="Calibri"/>
          <w:szCs w:val="18"/>
        </w:rPr>
        <w:t>sustainable</w:t>
      </w:r>
      <w:r w:rsidR="0064095E" w:rsidRPr="008D7E71">
        <w:rPr>
          <w:rFonts w:cs="Calibri"/>
          <w:szCs w:val="18"/>
        </w:rPr>
        <w:t xml:space="preserve">, </w:t>
      </w:r>
      <w:r w:rsidR="00231E75" w:rsidRPr="008D7E71">
        <w:rPr>
          <w:rFonts w:cs="Calibri"/>
          <w:szCs w:val="18"/>
        </w:rPr>
        <w:t xml:space="preserve">and </w:t>
      </w:r>
      <w:r w:rsidR="0064095E" w:rsidRPr="008D7E71">
        <w:rPr>
          <w:rFonts w:cs="Calibri"/>
          <w:szCs w:val="18"/>
        </w:rPr>
        <w:t>flexib</w:t>
      </w:r>
      <w:r w:rsidR="003C7943" w:rsidRPr="008D7E71">
        <w:rPr>
          <w:rFonts w:cs="Calibri"/>
          <w:szCs w:val="18"/>
        </w:rPr>
        <w:t>le</w:t>
      </w:r>
      <w:r w:rsidR="0064095E" w:rsidRPr="008D7E71">
        <w:rPr>
          <w:rFonts w:cs="Calibri"/>
          <w:szCs w:val="18"/>
        </w:rPr>
        <w:t>.</w:t>
      </w:r>
      <w:r w:rsidR="00231E75" w:rsidRPr="008D7E71">
        <w:rPr>
          <w:rFonts w:cs="Calibri"/>
          <w:szCs w:val="18"/>
        </w:rPr>
        <w:t xml:space="preserve"> They are </w:t>
      </w:r>
      <w:r w:rsidR="00540A81" w:rsidRPr="008D7E71">
        <w:rPr>
          <w:rFonts w:cs="Calibri"/>
          <w:szCs w:val="18"/>
        </w:rPr>
        <w:t xml:space="preserve">derived from </w:t>
      </w:r>
      <w:r w:rsidR="001738B7" w:rsidRPr="008D7E71">
        <w:rPr>
          <w:rFonts w:cs="Calibri"/>
          <w:szCs w:val="18"/>
        </w:rPr>
        <w:t>objectives</w:t>
      </w:r>
      <w:r w:rsidR="00555DC2" w:rsidRPr="008D7E71">
        <w:rPr>
          <w:rFonts w:cs="Calibri"/>
          <w:szCs w:val="18"/>
        </w:rPr>
        <w:t xml:space="preserve"> such as the eight customer and societal objectives identified in this report</w:t>
      </w:r>
      <w:r w:rsidR="00677D11" w:rsidRPr="008D7E71">
        <w:rPr>
          <w:rFonts w:cs="Calibri"/>
          <w:szCs w:val="18"/>
        </w:rPr>
        <w:t xml:space="preserve">. A single quality may map to several objectives. They </w:t>
      </w:r>
      <w:r w:rsidR="00111CCE" w:rsidRPr="008D7E71">
        <w:rPr>
          <w:rFonts w:cs="Calibri"/>
          <w:szCs w:val="18"/>
        </w:rPr>
        <w:t>describe</w:t>
      </w:r>
      <w:r w:rsidR="0064095E" w:rsidRPr="008D7E71">
        <w:rPr>
          <w:rFonts w:cs="Calibri"/>
          <w:szCs w:val="18"/>
        </w:rPr>
        <w:t xml:space="preserve"> </w:t>
      </w:r>
      <w:r w:rsidRPr="008D7E71">
        <w:rPr>
          <w:rFonts w:cs="Calibri"/>
          <w:szCs w:val="18"/>
        </w:rPr>
        <w:t>observable characteristics from the perspective of end-users of the system</w:t>
      </w:r>
      <w:r w:rsidR="0064095E" w:rsidRPr="008D7E71">
        <w:rPr>
          <w:rFonts w:cs="Calibri"/>
          <w:szCs w:val="18"/>
        </w:rPr>
        <w:t>.</w:t>
      </w:r>
    </w:p>
    <w:p w14:paraId="5B3973F2" w14:textId="219A5971" w:rsidR="00AC53B8" w:rsidRPr="008D7E71" w:rsidRDefault="00AC53B8" w:rsidP="003F223E">
      <w:pPr>
        <w:pStyle w:val="ListParagraph"/>
        <w:numPr>
          <w:ilvl w:val="0"/>
          <w:numId w:val="26"/>
        </w:numPr>
        <w:spacing w:before="180" w:after="180" w:line="288" w:lineRule="auto"/>
        <w:rPr>
          <w:rFonts w:cs="Calibri"/>
          <w:szCs w:val="18"/>
        </w:rPr>
      </w:pPr>
      <w:r w:rsidRPr="008D7E71">
        <w:rPr>
          <w:rFonts w:ascii="PP Mori SemiBold" w:hAnsi="PP Mori SemiBold" w:cs="Calibri"/>
          <w:szCs w:val="18"/>
        </w:rPr>
        <w:t>Properties</w:t>
      </w:r>
      <w:r w:rsidRPr="008D7E71">
        <w:rPr>
          <w:rFonts w:cs="Calibri"/>
          <w:szCs w:val="18"/>
        </w:rPr>
        <w:t xml:space="preserve"> </w:t>
      </w:r>
      <w:r w:rsidR="00520FA4" w:rsidRPr="008D7E71">
        <w:rPr>
          <w:rFonts w:cs="Calibri"/>
          <w:szCs w:val="18"/>
        </w:rPr>
        <w:t>arise</w:t>
      </w:r>
      <w:r w:rsidR="004C7102" w:rsidRPr="008D7E71">
        <w:rPr>
          <w:rFonts w:cs="Calibri"/>
          <w:szCs w:val="18"/>
        </w:rPr>
        <w:t xml:space="preserve"> from</w:t>
      </w:r>
      <w:r w:rsidRPr="008D7E71">
        <w:rPr>
          <w:rFonts w:cs="Calibri"/>
          <w:szCs w:val="18"/>
        </w:rPr>
        <w:t xml:space="preserve"> structural </w:t>
      </w:r>
      <w:r w:rsidR="00633832" w:rsidRPr="008D7E71">
        <w:rPr>
          <w:rFonts w:cs="Calibri"/>
          <w:szCs w:val="18"/>
        </w:rPr>
        <w:t>and component</w:t>
      </w:r>
      <w:r w:rsidRPr="008D7E71">
        <w:rPr>
          <w:rFonts w:cs="Calibri"/>
          <w:szCs w:val="18"/>
        </w:rPr>
        <w:t xml:space="preserve"> choices</w:t>
      </w:r>
      <w:r w:rsidR="003F6B22" w:rsidRPr="008D7E71">
        <w:rPr>
          <w:rFonts w:cs="Calibri"/>
          <w:szCs w:val="18"/>
        </w:rPr>
        <w:t xml:space="preserve"> </w:t>
      </w:r>
      <w:r w:rsidR="007C3419" w:rsidRPr="008D7E71">
        <w:rPr>
          <w:rFonts w:cs="Calibri"/>
          <w:szCs w:val="18"/>
        </w:rPr>
        <w:t xml:space="preserve">that together </w:t>
      </w:r>
      <w:r w:rsidR="004108D8" w:rsidRPr="008D7E71">
        <w:rPr>
          <w:rFonts w:cs="Calibri"/>
          <w:szCs w:val="18"/>
        </w:rPr>
        <w:t>yield</w:t>
      </w:r>
      <w:r w:rsidR="007C3419" w:rsidRPr="008D7E71">
        <w:rPr>
          <w:rFonts w:cs="Calibri"/>
          <w:szCs w:val="18"/>
        </w:rPr>
        <w:t xml:space="preserve"> </w:t>
      </w:r>
      <w:r w:rsidR="004D046F" w:rsidRPr="008D7E71">
        <w:rPr>
          <w:rFonts w:cs="Calibri"/>
          <w:szCs w:val="18"/>
        </w:rPr>
        <w:t xml:space="preserve">system qualities. Examples include: </w:t>
      </w:r>
    </w:p>
    <w:p w14:paraId="1D90CEF1" w14:textId="32F4A3CF"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Degree of decentralisation (e.g., distributed vs. central control)</w:t>
      </w:r>
    </w:p>
    <w:p w14:paraId="277C3962" w14:textId="2E28B2C7"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Openness (e.g., ability for third parties to access system data)</w:t>
      </w:r>
    </w:p>
    <w:p w14:paraId="470CB27E" w14:textId="7F91BE17"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Modularity (e.g., separable system components)</w:t>
      </w:r>
    </w:p>
    <w:p w14:paraId="54C27069" w14:textId="30FD1900"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 xml:space="preserve">Layering (e.g., </w:t>
      </w:r>
      <w:r w:rsidR="00B56148" w:rsidRPr="008D7E71">
        <w:rPr>
          <w:rFonts w:cs="Calibri"/>
          <w:szCs w:val="18"/>
        </w:rPr>
        <w:t>autonomy</w:t>
      </w:r>
      <w:r w:rsidR="00B972E8" w:rsidRPr="008D7E71">
        <w:rPr>
          <w:rFonts w:cs="Calibri"/>
          <w:szCs w:val="18"/>
        </w:rPr>
        <w:t xml:space="preserve"> </w:t>
      </w:r>
      <w:r w:rsidR="00B56148" w:rsidRPr="008D7E71">
        <w:rPr>
          <w:rFonts w:cs="Calibri"/>
          <w:szCs w:val="18"/>
        </w:rPr>
        <w:t>within operating zones</w:t>
      </w:r>
      <w:r w:rsidRPr="008D7E71">
        <w:rPr>
          <w:rFonts w:cs="Calibri"/>
          <w:szCs w:val="18"/>
        </w:rPr>
        <w:t>)</w:t>
      </w:r>
    </w:p>
    <w:p w14:paraId="1F0DB9E3" w14:textId="693EFA74" w:rsidR="00505D52" w:rsidRDefault="00911DB7" w:rsidP="00911DB7">
      <w:pPr>
        <w:pStyle w:val="ListParagraph"/>
        <w:numPr>
          <w:ilvl w:val="0"/>
          <w:numId w:val="0"/>
        </w:numPr>
        <w:spacing w:before="180" w:after="180" w:line="288" w:lineRule="auto"/>
        <w:ind w:left="720"/>
        <w:rPr>
          <w:rFonts w:cs="Calibri"/>
          <w:szCs w:val="18"/>
        </w:rPr>
      </w:pPr>
      <w:r w:rsidRPr="008D7E71">
        <w:rPr>
          <w:rFonts w:cs="Calibri"/>
          <w:szCs w:val="18"/>
        </w:rPr>
        <w:t xml:space="preserve">Properties </w:t>
      </w:r>
      <w:r w:rsidR="00CF0511" w:rsidRPr="008D7E71">
        <w:rPr>
          <w:rFonts w:cs="Calibri"/>
          <w:szCs w:val="18"/>
        </w:rPr>
        <w:t>describe</w:t>
      </w:r>
      <w:r w:rsidRPr="008D7E71">
        <w:rPr>
          <w:rFonts w:cs="Calibri"/>
          <w:szCs w:val="18"/>
        </w:rPr>
        <w:t xml:space="preserve"> characteristics from the perspective of </w:t>
      </w:r>
      <w:r w:rsidR="00B564C2" w:rsidRPr="008D7E71">
        <w:rPr>
          <w:rFonts w:cs="Calibri"/>
          <w:szCs w:val="18"/>
        </w:rPr>
        <w:t>operators and solution developers.</w:t>
      </w:r>
      <w:r w:rsidR="00B564C2">
        <w:rPr>
          <w:rFonts w:cs="Calibri"/>
          <w:szCs w:val="18"/>
        </w:rPr>
        <w:t xml:space="preserve"> </w:t>
      </w:r>
    </w:p>
    <w:p w14:paraId="360D5EFC" w14:textId="3CB62682" w:rsidR="004C4BE0" w:rsidRPr="008D7E71" w:rsidRDefault="004948C7" w:rsidP="004C4BE0">
      <w:pPr>
        <w:spacing w:before="180" w:after="180" w:line="288" w:lineRule="auto"/>
        <w:rPr>
          <w:rFonts w:cs="Calibri"/>
          <w:szCs w:val="18"/>
        </w:rPr>
      </w:pPr>
      <w:r w:rsidRPr="008D7E71">
        <w:rPr>
          <w:rFonts w:cs="Calibri"/>
          <w:szCs w:val="18"/>
        </w:rPr>
        <w:t xml:space="preserve">Mapping system qualities to properties allows system architects to </w:t>
      </w:r>
      <w:r w:rsidR="004F75B5" w:rsidRPr="008D7E71">
        <w:rPr>
          <w:rFonts w:cs="Calibri"/>
          <w:szCs w:val="18"/>
        </w:rPr>
        <w:t xml:space="preserve">make explicit and traceable the relationships between structural interventions and </w:t>
      </w:r>
      <w:r w:rsidR="002D7EAD" w:rsidRPr="008D7E71">
        <w:rPr>
          <w:rFonts w:cs="Calibri"/>
          <w:szCs w:val="18"/>
        </w:rPr>
        <w:t>system objectives</w:t>
      </w:r>
      <w:r w:rsidR="00572849" w:rsidRPr="008D7E71">
        <w:rPr>
          <w:rFonts w:cs="Calibri"/>
          <w:szCs w:val="18"/>
        </w:rPr>
        <w:t xml:space="preserve">, as shown in </w:t>
      </w:r>
      <w:r w:rsidR="00572849" w:rsidRPr="008D7E71">
        <w:rPr>
          <w:rFonts w:cs="Calibri"/>
          <w:szCs w:val="18"/>
        </w:rPr>
        <w:fldChar w:fldCharType="begin"/>
      </w:r>
      <w:r w:rsidR="00572849" w:rsidRPr="008D7E71">
        <w:rPr>
          <w:rFonts w:cs="Calibri"/>
          <w:szCs w:val="18"/>
        </w:rPr>
        <w:instrText xml:space="preserve"> REF _Ref203739531 \h  \* MERGEFORMAT </w:instrText>
      </w:r>
      <w:r w:rsidR="00572849" w:rsidRPr="008D7E71">
        <w:rPr>
          <w:rFonts w:cs="Calibri"/>
          <w:szCs w:val="18"/>
        </w:rPr>
      </w:r>
      <w:r w:rsidR="00572849" w:rsidRPr="008D7E71">
        <w:rPr>
          <w:rFonts w:cs="Calibri"/>
          <w:szCs w:val="18"/>
        </w:rPr>
        <w:fldChar w:fldCharType="separate"/>
      </w:r>
      <w:r w:rsidR="00B170DF" w:rsidRPr="008D7E71">
        <w:t xml:space="preserve">Figure </w:t>
      </w:r>
      <w:r w:rsidR="00B170DF">
        <w:rPr>
          <w:noProof/>
        </w:rPr>
        <w:t>6</w:t>
      </w:r>
      <w:r w:rsidR="00572849" w:rsidRPr="008D7E71">
        <w:rPr>
          <w:rFonts w:cs="Calibri"/>
          <w:szCs w:val="18"/>
        </w:rPr>
        <w:fldChar w:fldCharType="end"/>
      </w:r>
      <w:r w:rsidR="00572849" w:rsidRPr="008D7E71">
        <w:rPr>
          <w:rFonts w:cs="Calibri"/>
          <w:szCs w:val="18"/>
        </w:rPr>
        <w:t xml:space="preserve"> and implicit in </w:t>
      </w:r>
      <w:r w:rsidR="00572849" w:rsidRPr="008D7E71">
        <w:rPr>
          <w:rFonts w:cs="Calibri"/>
          <w:szCs w:val="18"/>
        </w:rPr>
        <w:fldChar w:fldCharType="begin"/>
      </w:r>
      <w:r w:rsidR="00572849" w:rsidRPr="008D7E71">
        <w:rPr>
          <w:rFonts w:cs="Calibri"/>
          <w:szCs w:val="18"/>
        </w:rPr>
        <w:instrText xml:space="preserve"> REF _Ref203983040 \h  \* MERGEFORMAT </w:instrText>
      </w:r>
      <w:r w:rsidR="00572849" w:rsidRPr="008D7E71">
        <w:rPr>
          <w:rFonts w:cs="Calibri"/>
          <w:szCs w:val="18"/>
        </w:rPr>
      </w:r>
      <w:r w:rsidR="00572849" w:rsidRPr="008D7E71">
        <w:rPr>
          <w:rFonts w:cs="Calibri"/>
          <w:szCs w:val="18"/>
        </w:rPr>
        <w:fldChar w:fldCharType="separate"/>
      </w:r>
      <w:r w:rsidR="00B170DF" w:rsidRPr="003D0C95">
        <w:t xml:space="preserve">Figure </w:t>
      </w:r>
      <w:r w:rsidR="00B170DF">
        <w:rPr>
          <w:noProof/>
        </w:rPr>
        <w:t>1</w:t>
      </w:r>
      <w:r w:rsidR="00572849" w:rsidRPr="008D7E71">
        <w:rPr>
          <w:rFonts w:cs="Calibri"/>
          <w:szCs w:val="18"/>
        </w:rPr>
        <w:fldChar w:fldCharType="end"/>
      </w:r>
      <w:r w:rsidR="00572849" w:rsidRPr="008D7E71">
        <w:rPr>
          <w:rFonts w:cs="Calibri"/>
          <w:szCs w:val="18"/>
        </w:rPr>
        <w:t>.</w:t>
      </w:r>
      <w:r w:rsidR="001814E6" w:rsidRPr="008D7E71">
        <w:rPr>
          <w:rFonts w:cs="Calibri"/>
          <w:szCs w:val="18"/>
        </w:rPr>
        <w:t xml:space="preserve"> The strength of correlation between </w:t>
      </w:r>
      <w:r w:rsidR="00EA5FBC" w:rsidRPr="008D7E71">
        <w:rPr>
          <w:rFonts w:cs="Calibri"/>
          <w:szCs w:val="18"/>
        </w:rPr>
        <w:t xml:space="preserve">the two is a measure of how well </w:t>
      </w:r>
      <w:r w:rsidR="00E36D87" w:rsidRPr="008D7E71">
        <w:rPr>
          <w:rFonts w:cs="Calibri"/>
          <w:szCs w:val="18"/>
        </w:rPr>
        <w:t>proposed architectural features meet the essential human-centred ‘first principles’ requirements for power systems.</w:t>
      </w:r>
      <w:r w:rsidR="00611A72" w:rsidRPr="008D7E71">
        <w:rPr>
          <w:rFonts w:cs="Calibri"/>
          <w:szCs w:val="18"/>
        </w:rPr>
        <w:t xml:space="preserve"> </w:t>
      </w:r>
    </w:p>
    <w:p w14:paraId="7503B129" w14:textId="77777777" w:rsidR="00E36D87" w:rsidRPr="008D7E71" w:rsidRDefault="004C4BE0" w:rsidP="002B3E60">
      <w:pPr>
        <w:spacing w:before="180" w:after="180" w:line="288" w:lineRule="auto"/>
        <w:rPr>
          <w:rFonts w:cs="Calibri"/>
          <w:szCs w:val="18"/>
        </w:rPr>
      </w:pPr>
      <w:r w:rsidRPr="008D7E71">
        <w:rPr>
          <w:rFonts w:cs="Calibri"/>
          <w:noProof/>
          <w:szCs w:val="18"/>
        </w:rPr>
        <w:drawing>
          <wp:inline distT="0" distB="0" distL="0" distR="0" wp14:anchorId="2ADE29CB" wp14:editId="656503DC">
            <wp:extent cx="5219700" cy="980440"/>
            <wp:effectExtent l="0" t="0" r="0" b="0"/>
            <wp:docPr id="543089054" name="Picture 20"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9054" name="Picture 20" descr="A blue square with whit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980440"/>
                    </a:xfrm>
                    <a:prstGeom prst="rect">
                      <a:avLst/>
                    </a:prstGeom>
                    <a:noFill/>
                  </pic:spPr>
                </pic:pic>
              </a:graphicData>
            </a:graphic>
          </wp:inline>
        </w:drawing>
      </w:r>
    </w:p>
    <w:p w14:paraId="7170BCD1" w14:textId="316B1DCB" w:rsidR="00E36D87" w:rsidRPr="008D7E71" w:rsidRDefault="00E36D87" w:rsidP="00E36D87">
      <w:pPr>
        <w:pStyle w:val="Caption"/>
        <w:rPr>
          <w:rFonts w:eastAsia="DengXian"/>
          <w:kern w:val="24"/>
          <w:szCs w:val="18"/>
          <w:lang w:eastAsia="en-AU"/>
        </w:rPr>
      </w:pPr>
      <w:bookmarkStart w:id="52" w:name="_Ref203739531"/>
      <w:bookmarkStart w:id="53" w:name="_Toc204156268"/>
      <w:r w:rsidRPr="008D7E71">
        <w:t xml:space="preserve">Figure </w:t>
      </w:r>
      <w:fldSimple w:instr=" SEQ Figure \* ARABIC ">
        <w:r w:rsidR="00B170DF">
          <w:rPr>
            <w:noProof/>
          </w:rPr>
          <w:t>6</w:t>
        </w:r>
      </w:fldSimple>
      <w:bookmarkEnd w:id="52"/>
      <w:r w:rsidRPr="008D7E71">
        <w:t>: Mapping of objectives through the structural and component choices.</w:t>
      </w:r>
      <w:bookmarkEnd w:id="53"/>
    </w:p>
    <w:p w14:paraId="12D33B8B" w14:textId="7B4E3B1F" w:rsidR="005E1D38" w:rsidRPr="008D7E71" w:rsidRDefault="000C3691" w:rsidP="002B3E60">
      <w:pPr>
        <w:spacing w:before="180" w:after="180" w:line="288" w:lineRule="auto"/>
        <w:rPr>
          <w:rFonts w:cs="Calibri"/>
          <w:szCs w:val="18"/>
        </w:rPr>
      </w:pPr>
      <w:r w:rsidRPr="008D7E71">
        <w:rPr>
          <w:rFonts w:cs="Calibri"/>
          <w:szCs w:val="18"/>
        </w:rPr>
        <w:t xml:space="preserve">This </w:t>
      </w:r>
      <w:r w:rsidR="003A76A5" w:rsidRPr="008D7E71">
        <w:rPr>
          <w:rFonts w:cs="Calibri"/>
          <w:szCs w:val="18"/>
        </w:rPr>
        <w:t>quality-property</w:t>
      </w:r>
      <w:r w:rsidR="00E36D87" w:rsidRPr="008D7E71">
        <w:rPr>
          <w:rFonts w:cs="Calibri"/>
          <w:szCs w:val="18"/>
        </w:rPr>
        <w:t xml:space="preserve"> mapping</w:t>
      </w:r>
      <w:r w:rsidRPr="008D7E71">
        <w:rPr>
          <w:rFonts w:cs="Calibri"/>
          <w:szCs w:val="18"/>
        </w:rPr>
        <w:t xml:space="preserve"> is powerful because it decouples </w:t>
      </w:r>
      <w:r w:rsidR="009B2DC5" w:rsidRPr="008D7E71">
        <w:rPr>
          <w:rFonts w:cs="Calibri"/>
          <w:szCs w:val="18"/>
        </w:rPr>
        <w:t xml:space="preserve">future system </w:t>
      </w:r>
      <w:r w:rsidRPr="008D7E71">
        <w:rPr>
          <w:rFonts w:cs="Calibri"/>
          <w:szCs w:val="18"/>
        </w:rPr>
        <w:t xml:space="preserve">design decisions from </w:t>
      </w:r>
      <w:r w:rsidR="00E36D87" w:rsidRPr="008D7E71">
        <w:rPr>
          <w:rFonts w:cs="Calibri"/>
          <w:szCs w:val="18"/>
        </w:rPr>
        <w:t xml:space="preserve">only focusing on </w:t>
      </w:r>
      <w:r w:rsidR="005D07B7" w:rsidRPr="008D7E71">
        <w:rPr>
          <w:rFonts w:cs="Calibri"/>
          <w:szCs w:val="18"/>
        </w:rPr>
        <w:t xml:space="preserve">technical or </w:t>
      </w:r>
      <w:r w:rsidRPr="008D7E71">
        <w:rPr>
          <w:rFonts w:cs="Calibri"/>
          <w:szCs w:val="18"/>
        </w:rPr>
        <w:t xml:space="preserve">performance </w:t>
      </w:r>
      <w:proofErr w:type="gramStart"/>
      <w:r w:rsidRPr="008D7E71">
        <w:rPr>
          <w:rFonts w:cs="Calibri"/>
          <w:szCs w:val="18"/>
        </w:rPr>
        <w:t xml:space="preserve">objectives, </w:t>
      </w:r>
      <w:r w:rsidR="00E36D87" w:rsidRPr="008D7E71">
        <w:rPr>
          <w:rFonts w:cs="Calibri"/>
          <w:szCs w:val="18"/>
        </w:rPr>
        <w:t>and</w:t>
      </w:r>
      <w:proofErr w:type="gramEnd"/>
      <w:r w:rsidR="00E36D87" w:rsidRPr="008D7E71">
        <w:rPr>
          <w:rFonts w:cs="Calibri"/>
          <w:szCs w:val="18"/>
        </w:rPr>
        <w:t xml:space="preserve"> </w:t>
      </w:r>
      <w:r w:rsidRPr="008D7E71">
        <w:rPr>
          <w:rFonts w:cs="Calibri"/>
          <w:szCs w:val="18"/>
        </w:rPr>
        <w:t>allow</w:t>
      </w:r>
      <w:r w:rsidR="00E36D87" w:rsidRPr="008D7E71">
        <w:rPr>
          <w:rFonts w:cs="Calibri"/>
          <w:szCs w:val="18"/>
        </w:rPr>
        <w:t>s</w:t>
      </w:r>
      <w:r w:rsidRPr="008D7E71">
        <w:rPr>
          <w:rFonts w:cs="Calibri"/>
          <w:szCs w:val="18"/>
        </w:rPr>
        <w:t xml:space="preserve"> stakeholders to explore multiple architectural paths toward the same societal goals.</w:t>
      </w:r>
      <w:r w:rsidR="0050270D" w:rsidRPr="008D7E71">
        <w:rPr>
          <w:rFonts w:cs="Calibri"/>
          <w:szCs w:val="18"/>
        </w:rPr>
        <w:t xml:space="preserve"> </w:t>
      </w:r>
    </w:p>
    <w:p w14:paraId="3E37C934" w14:textId="4C9FF4E0" w:rsidR="000C3691" w:rsidRPr="008D7E71" w:rsidRDefault="0050270D" w:rsidP="002B3E60">
      <w:pPr>
        <w:spacing w:before="180" w:after="180" w:line="288" w:lineRule="auto"/>
        <w:rPr>
          <w:rFonts w:cs="Calibri"/>
          <w:szCs w:val="18"/>
        </w:rPr>
      </w:pPr>
      <w:r w:rsidRPr="008D7E71">
        <w:rPr>
          <w:rFonts w:cs="Calibri"/>
          <w:szCs w:val="18"/>
        </w:rPr>
        <w:t xml:space="preserve">This </w:t>
      </w:r>
      <w:r w:rsidR="003F7367" w:rsidRPr="008D7E71">
        <w:rPr>
          <w:rFonts w:cs="Calibri"/>
          <w:szCs w:val="18"/>
        </w:rPr>
        <w:t>helps inform trade-off decisions by</w:t>
      </w:r>
      <w:r w:rsidR="00A23C1F" w:rsidRPr="008D7E71">
        <w:rPr>
          <w:rFonts w:cs="Calibri"/>
          <w:szCs w:val="18"/>
        </w:rPr>
        <w:t>:</w:t>
      </w:r>
    </w:p>
    <w:p w14:paraId="2DF66F4C" w14:textId="0F3EE204" w:rsidR="00A31BA7" w:rsidRPr="008D7E71" w:rsidRDefault="0009095F" w:rsidP="003F223E">
      <w:pPr>
        <w:pStyle w:val="ListParagraph"/>
        <w:numPr>
          <w:ilvl w:val="0"/>
          <w:numId w:val="27"/>
        </w:numPr>
        <w:spacing w:before="180" w:after="180" w:line="288" w:lineRule="auto"/>
        <w:rPr>
          <w:rFonts w:ascii="PP Mori SemiBold" w:hAnsi="PP Mori SemiBold" w:cs="Calibri"/>
          <w:szCs w:val="18"/>
        </w:rPr>
      </w:pPr>
      <w:r w:rsidRPr="008D7E71">
        <w:rPr>
          <w:rFonts w:ascii="PP Mori SemiBold" w:hAnsi="PP Mori SemiBold" w:cs="Calibri"/>
          <w:szCs w:val="18"/>
        </w:rPr>
        <w:t xml:space="preserve">Allowing </w:t>
      </w:r>
      <w:r w:rsidR="00A31BA7" w:rsidRPr="008D7E71">
        <w:rPr>
          <w:rFonts w:ascii="PP Mori SemiBold" w:hAnsi="PP Mori SemiBold" w:cs="Calibri"/>
          <w:szCs w:val="18"/>
        </w:rPr>
        <w:t>Structured Evaluation of Alternatives</w:t>
      </w:r>
    </w:p>
    <w:p w14:paraId="62187BFE" w14:textId="7F1A911C" w:rsidR="00A31BA7" w:rsidRPr="008D7E71" w:rsidRDefault="00A31BA7" w:rsidP="00A31BA7">
      <w:pPr>
        <w:spacing w:before="180" w:after="180" w:line="288" w:lineRule="auto"/>
        <w:ind w:left="360"/>
        <w:rPr>
          <w:rFonts w:cs="Calibri"/>
          <w:szCs w:val="18"/>
        </w:rPr>
      </w:pPr>
      <w:r w:rsidRPr="008D7E71">
        <w:rPr>
          <w:rFonts w:cs="Calibri"/>
          <w:szCs w:val="18"/>
        </w:rPr>
        <w:t xml:space="preserve">The architectural discipline </w:t>
      </w:r>
      <w:r w:rsidR="00E62E60" w:rsidRPr="008D7E71">
        <w:rPr>
          <w:rFonts w:cs="Calibri"/>
          <w:szCs w:val="18"/>
        </w:rPr>
        <w:t>enhances</w:t>
      </w:r>
      <w:r w:rsidRPr="008D7E71">
        <w:rPr>
          <w:rFonts w:cs="Calibri"/>
          <w:szCs w:val="18"/>
        </w:rPr>
        <w:t xml:space="preserve"> clarity about what can and cannot be achieved from a given configuration. For example, if a system needs to be </w:t>
      </w:r>
      <w:r w:rsidR="00B10852" w:rsidRPr="008D7E71">
        <w:rPr>
          <w:rFonts w:cs="Calibri"/>
          <w:szCs w:val="18"/>
        </w:rPr>
        <w:t>resilient</w:t>
      </w:r>
      <w:r w:rsidRPr="008D7E71">
        <w:rPr>
          <w:rFonts w:cs="Calibri"/>
          <w:szCs w:val="18"/>
        </w:rPr>
        <w:t xml:space="preserve"> (a quality</w:t>
      </w:r>
      <w:r w:rsidR="004F7647" w:rsidRPr="008D7E71">
        <w:rPr>
          <w:rFonts w:cs="Calibri"/>
          <w:szCs w:val="18"/>
        </w:rPr>
        <w:t xml:space="preserve"> </w:t>
      </w:r>
      <w:r w:rsidR="00AD7059" w:rsidRPr="008D7E71">
        <w:rPr>
          <w:rFonts w:cs="Calibri"/>
          <w:szCs w:val="18"/>
        </w:rPr>
        <w:t>derived from</w:t>
      </w:r>
      <w:r w:rsidR="004B7A74" w:rsidRPr="008D7E71">
        <w:rPr>
          <w:rFonts w:cs="Calibri"/>
          <w:szCs w:val="18"/>
        </w:rPr>
        <w:t xml:space="preserve"> the objective of</w:t>
      </w:r>
      <w:r w:rsidR="00D37970" w:rsidRPr="008D7E71">
        <w:rPr>
          <w:rFonts w:cs="Calibri"/>
          <w:szCs w:val="18"/>
        </w:rPr>
        <w:t xml:space="preserve"> </w:t>
      </w:r>
      <w:r w:rsidR="006E526E" w:rsidRPr="008D7E71">
        <w:rPr>
          <w:rFonts w:cs="Calibri"/>
          <w:szCs w:val="18"/>
        </w:rPr>
        <w:t>dependable</w:t>
      </w:r>
      <w:r w:rsidRPr="008D7E71">
        <w:rPr>
          <w:rFonts w:cs="Calibri"/>
          <w:szCs w:val="18"/>
        </w:rPr>
        <w:t>), architecture helps determine which combinations of properties (e.g., decentralisation</w:t>
      </w:r>
      <w:r w:rsidR="0009095F" w:rsidRPr="008D7E71">
        <w:rPr>
          <w:rFonts w:cs="Calibri"/>
          <w:szCs w:val="18"/>
        </w:rPr>
        <w:t>,</w:t>
      </w:r>
      <w:r w:rsidRPr="008D7E71">
        <w:rPr>
          <w:rFonts w:cs="Calibri"/>
          <w:szCs w:val="18"/>
        </w:rPr>
        <w:t xml:space="preserve"> modular control</w:t>
      </w:r>
      <w:r w:rsidR="0009095F" w:rsidRPr="008D7E71">
        <w:rPr>
          <w:rFonts w:cs="Calibri"/>
          <w:szCs w:val="18"/>
        </w:rPr>
        <w:t xml:space="preserve">, </w:t>
      </w:r>
      <w:r w:rsidRPr="008D7E71">
        <w:rPr>
          <w:rFonts w:cs="Calibri"/>
          <w:szCs w:val="18"/>
        </w:rPr>
        <w:t>redundancy) are more likely to produce that outcome—without overbuilding.</w:t>
      </w:r>
    </w:p>
    <w:p w14:paraId="6978F203" w14:textId="194D7B22" w:rsidR="00A31BA7" w:rsidRPr="008D7E71" w:rsidRDefault="00A31BA7" w:rsidP="003F223E">
      <w:pPr>
        <w:pStyle w:val="ListParagraph"/>
        <w:numPr>
          <w:ilvl w:val="0"/>
          <w:numId w:val="27"/>
        </w:numPr>
        <w:spacing w:before="180" w:after="180" w:line="288" w:lineRule="auto"/>
        <w:rPr>
          <w:rFonts w:ascii="PP Mori SemiBold" w:hAnsi="PP Mori SemiBold" w:cs="Calibri"/>
          <w:szCs w:val="18"/>
        </w:rPr>
      </w:pPr>
      <w:r w:rsidRPr="008D7E71">
        <w:rPr>
          <w:rFonts w:ascii="PP Mori SemiBold" w:hAnsi="PP Mori SemiBold" w:cs="Calibri"/>
          <w:szCs w:val="18"/>
        </w:rPr>
        <w:t>Avoiding Unintended Consequences</w:t>
      </w:r>
    </w:p>
    <w:p w14:paraId="5FE95E7D" w14:textId="021EA4D9" w:rsidR="00A31BA7" w:rsidRPr="008D7E71" w:rsidRDefault="00A31BA7" w:rsidP="00A31BA7">
      <w:pPr>
        <w:spacing w:before="180" w:after="180" w:line="288" w:lineRule="auto"/>
        <w:ind w:left="360"/>
        <w:rPr>
          <w:rFonts w:cs="Calibri"/>
          <w:szCs w:val="18"/>
        </w:rPr>
      </w:pPr>
      <w:r w:rsidRPr="008D7E71">
        <w:rPr>
          <w:rFonts w:cs="Calibri"/>
          <w:szCs w:val="18"/>
        </w:rPr>
        <w:t>By making explicit which qualities depend on which structural properties, the architectur</w:t>
      </w:r>
      <w:r w:rsidR="00D82D5A" w:rsidRPr="008D7E71">
        <w:rPr>
          <w:rFonts w:cs="Calibri"/>
          <w:szCs w:val="18"/>
        </w:rPr>
        <w:t>al</w:t>
      </w:r>
      <w:r w:rsidRPr="008D7E71">
        <w:rPr>
          <w:rFonts w:cs="Calibri"/>
          <w:szCs w:val="18"/>
        </w:rPr>
        <w:t xml:space="preserve"> approach helps avoid poor trade-offs. For instance, improving "visibility" (a quality) might seem like a good idea, but achieving it by centralising all telemetry could reduce </w:t>
      </w:r>
      <w:r w:rsidR="00E262A2" w:rsidRPr="008D7E71">
        <w:rPr>
          <w:rFonts w:cs="Calibri"/>
          <w:szCs w:val="18"/>
        </w:rPr>
        <w:t>expandability</w:t>
      </w:r>
      <w:r w:rsidRPr="008D7E71">
        <w:rPr>
          <w:rFonts w:cs="Calibri"/>
          <w:szCs w:val="18"/>
        </w:rPr>
        <w:t xml:space="preserve"> and adaptability (other qualities), especially as </w:t>
      </w:r>
      <w:r w:rsidR="00F33B3D" w:rsidRPr="008D7E71">
        <w:rPr>
          <w:rFonts w:cs="Calibri"/>
          <w:szCs w:val="18"/>
        </w:rPr>
        <w:t>CER/</w:t>
      </w:r>
      <w:r w:rsidRPr="008D7E71">
        <w:rPr>
          <w:rFonts w:cs="Calibri"/>
          <w:szCs w:val="18"/>
        </w:rPr>
        <w:t>DER grow</w:t>
      </w:r>
      <w:r w:rsidR="00F33B3D" w:rsidRPr="008D7E71">
        <w:rPr>
          <w:rFonts w:cs="Calibri"/>
          <w:szCs w:val="18"/>
        </w:rPr>
        <w:t>s</w:t>
      </w:r>
      <w:r w:rsidRPr="008D7E71">
        <w:rPr>
          <w:rFonts w:cs="Calibri"/>
          <w:szCs w:val="18"/>
        </w:rPr>
        <w:t>.</w:t>
      </w:r>
    </w:p>
    <w:p w14:paraId="644ACA02" w14:textId="5EAA7376" w:rsidR="00A31BA7" w:rsidRPr="008D7E71" w:rsidRDefault="00A31BA7" w:rsidP="003F223E">
      <w:pPr>
        <w:pStyle w:val="ListParagraph"/>
        <w:numPr>
          <w:ilvl w:val="0"/>
          <w:numId w:val="27"/>
        </w:numPr>
        <w:spacing w:before="180" w:after="180" w:line="288" w:lineRule="auto"/>
        <w:rPr>
          <w:rFonts w:ascii="PP Mori SemiBold" w:hAnsi="PP Mori SemiBold" w:cs="Calibri"/>
          <w:szCs w:val="18"/>
        </w:rPr>
      </w:pPr>
      <w:r w:rsidRPr="008D7E71">
        <w:rPr>
          <w:rFonts w:ascii="PP Mori SemiBold" w:hAnsi="PP Mori SemiBold" w:cs="Calibri"/>
          <w:szCs w:val="18"/>
        </w:rPr>
        <w:t>Societal Preference Mapping</w:t>
      </w:r>
    </w:p>
    <w:p w14:paraId="5175D46F" w14:textId="2434A950" w:rsidR="00A31BA7" w:rsidRPr="008D7E71" w:rsidRDefault="00A31BA7" w:rsidP="00A31BA7">
      <w:pPr>
        <w:spacing w:before="180" w:after="180" w:line="288" w:lineRule="auto"/>
        <w:ind w:left="360"/>
        <w:rPr>
          <w:rFonts w:cs="Calibri"/>
          <w:szCs w:val="18"/>
        </w:rPr>
      </w:pPr>
      <w:r w:rsidRPr="008D7E71">
        <w:rPr>
          <w:rFonts w:cs="Calibri"/>
          <w:szCs w:val="18"/>
        </w:rPr>
        <w:t>Architectural thinking enables the alignment of societal values with technical configurations. For example, if communities value autonomy and privacy, then a centralised optimisation model—even if technically efficient—may be rejected unless the architecture allows for local autonomy while preserving overall system coordination (via layering, interoperability, and modularity).</w:t>
      </w:r>
    </w:p>
    <w:p w14:paraId="5799CCCA" w14:textId="267B7631" w:rsidR="00927BA8" w:rsidRPr="007D5415" w:rsidRDefault="00757A36" w:rsidP="00D35B51">
      <w:pPr>
        <w:spacing w:before="180" w:after="180" w:line="288" w:lineRule="auto"/>
        <w:rPr>
          <w:rFonts w:cs="Calibri"/>
          <w:szCs w:val="18"/>
        </w:rPr>
      </w:pPr>
      <w:r w:rsidRPr="008D7E71">
        <w:rPr>
          <w:rFonts w:cs="Calibri"/>
          <w:szCs w:val="18"/>
        </w:rPr>
        <w:t>In the context of this work, such considerations are</w:t>
      </w:r>
      <w:r w:rsidR="0082470E" w:rsidRPr="008D7E71">
        <w:rPr>
          <w:rFonts w:cs="Calibri"/>
          <w:szCs w:val="18"/>
        </w:rPr>
        <w:t xml:space="preserve"> germane to structural discussions in </w:t>
      </w:r>
      <w:r w:rsidR="00811AE3" w:rsidRPr="008D7E71">
        <w:rPr>
          <w:rFonts w:cs="Calibri"/>
          <w:szCs w:val="18"/>
        </w:rPr>
        <w:t>Report 4 (Distribution System Operator Models) and Report 5 (Transmission-Distribution Coordination)</w:t>
      </w:r>
      <w:r w:rsidR="008814B2" w:rsidRPr="008D7E71">
        <w:rPr>
          <w:rFonts w:cs="Calibri"/>
          <w:szCs w:val="18"/>
        </w:rPr>
        <w:t>.</w:t>
      </w:r>
      <w:r w:rsidR="0012563D" w:rsidRPr="008D7E71">
        <w:rPr>
          <w:rFonts w:cs="Calibri"/>
          <w:szCs w:val="18"/>
        </w:rPr>
        <w:t xml:space="preserve"> Importantly, </w:t>
      </w:r>
      <w:r w:rsidR="00BA069D" w:rsidRPr="008D7E71">
        <w:rPr>
          <w:rFonts w:cs="Calibri"/>
          <w:szCs w:val="18"/>
        </w:rPr>
        <w:t xml:space="preserve">as shown in </w:t>
      </w:r>
      <w:r w:rsidR="00BA069D" w:rsidRPr="008D7E71">
        <w:rPr>
          <w:rFonts w:cs="Calibri"/>
          <w:szCs w:val="18"/>
        </w:rPr>
        <w:fldChar w:fldCharType="begin"/>
      </w:r>
      <w:r w:rsidR="00BA069D" w:rsidRPr="008D7E71">
        <w:rPr>
          <w:rFonts w:cs="Calibri"/>
          <w:szCs w:val="18"/>
        </w:rPr>
        <w:instrText xml:space="preserve"> REF _Ref203739261 \h </w:instrText>
      </w:r>
      <w:r w:rsidR="0024205F" w:rsidRPr="008D7E71">
        <w:rPr>
          <w:rFonts w:cs="Calibri"/>
          <w:szCs w:val="18"/>
        </w:rPr>
        <w:instrText xml:space="preserve"> \* MERGEFORMAT </w:instrText>
      </w:r>
      <w:r w:rsidR="00BA069D" w:rsidRPr="008D7E71">
        <w:rPr>
          <w:rFonts w:cs="Calibri"/>
          <w:szCs w:val="18"/>
        </w:rPr>
      </w:r>
      <w:r w:rsidR="00BA069D" w:rsidRPr="008D7E71">
        <w:rPr>
          <w:rFonts w:cs="Calibri"/>
          <w:szCs w:val="18"/>
        </w:rPr>
        <w:fldChar w:fldCharType="separate"/>
      </w:r>
      <w:r w:rsidR="00B170DF" w:rsidRPr="008D7E71">
        <w:t xml:space="preserve">Figure </w:t>
      </w:r>
      <w:r w:rsidR="00B170DF">
        <w:rPr>
          <w:noProof/>
        </w:rPr>
        <w:t>7</w:t>
      </w:r>
      <w:r w:rsidR="00BA069D" w:rsidRPr="008D7E71">
        <w:rPr>
          <w:rFonts w:cs="Calibri"/>
          <w:szCs w:val="18"/>
        </w:rPr>
        <w:fldChar w:fldCharType="end"/>
      </w:r>
      <w:r w:rsidR="00BA069D" w:rsidRPr="008D7E71">
        <w:rPr>
          <w:rFonts w:cs="Calibri"/>
          <w:szCs w:val="18"/>
        </w:rPr>
        <w:t xml:space="preserve">, </w:t>
      </w:r>
      <w:r w:rsidR="008D50C8" w:rsidRPr="008D7E71">
        <w:rPr>
          <w:rFonts w:cs="Calibri"/>
          <w:szCs w:val="18"/>
        </w:rPr>
        <w:t>this</w:t>
      </w:r>
      <w:r w:rsidR="00656C56" w:rsidRPr="008D7E71">
        <w:rPr>
          <w:rFonts w:cs="Calibri"/>
          <w:szCs w:val="18"/>
        </w:rPr>
        <w:t xml:space="preserve"> process </w:t>
      </w:r>
      <w:r w:rsidR="004E2733" w:rsidRPr="008D7E71">
        <w:rPr>
          <w:rFonts w:cs="Calibri"/>
          <w:szCs w:val="18"/>
        </w:rPr>
        <w:t xml:space="preserve">is iterative and </w:t>
      </w:r>
      <w:r w:rsidR="0082470E" w:rsidRPr="008D7E71">
        <w:rPr>
          <w:rFonts w:cs="Calibri"/>
          <w:szCs w:val="18"/>
        </w:rPr>
        <w:t xml:space="preserve">should </w:t>
      </w:r>
      <w:r w:rsidR="00656C56" w:rsidRPr="008D7E71">
        <w:rPr>
          <w:rFonts w:cs="Calibri"/>
          <w:szCs w:val="18"/>
        </w:rPr>
        <w:t xml:space="preserve">consider existing </w:t>
      </w:r>
      <w:r w:rsidR="003231C4" w:rsidRPr="008D7E71">
        <w:rPr>
          <w:rFonts w:cs="Calibri"/>
          <w:szCs w:val="18"/>
        </w:rPr>
        <w:t xml:space="preserve">technical and other </w:t>
      </w:r>
      <w:r w:rsidR="005A3BC7" w:rsidRPr="008D7E71">
        <w:rPr>
          <w:rFonts w:cs="Calibri"/>
          <w:szCs w:val="18"/>
        </w:rPr>
        <w:t>constraints</w:t>
      </w:r>
      <w:r w:rsidR="003231C4" w:rsidRPr="008D7E71">
        <w:rPr>
          <w:rFonts w:cs="Calibri"/>
          <w:szCs w:val="18"/>
        </w:rPr>
        <w:t>.</w:t>
      </w:r>
      <w:r w:rsidR="003231C4" w:rsidRPr="007D5415">
        <w:rPr>
          <w:rFonts w:cs="Calibri"/>
          <w:szCs w:val="18"/>
        </w:rPr>
        <w:t xml:space="preserve"> </w:t>
      </w:r>
    </w:p>
    <w:p w14:paraId="55AC33A4" w14:textId="6534723C" w:rsidR="00CF1F4B" w:rsidRPr="007D5415" w:rsidRDefault="00CF1F4B" w:rsidP="00D35B51">
      <w:pPr>
        <w:spacing w:before="180" w:after="180" w:line="288" w:lineRule="auto"/>
        <w:rPr>
          <w:rFonts w:cs="Calibri"/>
          <w:szCs w:val="18"/>
        </w:rPr>
      </w:pPr>
    </w:p>
    <w:p w14:paraId="39C13C13" w14:textId="64111B94" w:rsidR="00DA3BEB" w:rsidRPr="0024205F" w:rsidRDefault="00DA3BEB" w:rsidP="00A31BA7">
      <w:pPr>
        <w:spacing w:before="180" w:after="180" w:line="288" w:lineRule="auto"/>
        <w:ind w:left="360"/>
        <w:rPr>
          <w:rFonts w:cs="Calibri"/>
          <w:szCs w:val="18"/>
          <w:highlight w:val="cyan"/>
        </w:rPr>
      </w:pPr>
    </w:p>
    <w:p w14:paraId="5FD8FEED" w14:textId="77777777" w:rsidR="00A140B9" w:rsidRPr="008D7E71" w:rsidRDefault="00FD05C2" w:rsidP="008305C8">
      <w:pPr>
        <w:pStyle w:val="NormalWeb"/>
        <w:keepNext/>
        <w:jc w:val="center"/>
      </w:pPr>
      <w:r w:rsidRPr="008D7E71">
        <w:rPr>
          <w:noProof/>
        </w:rPr>
        <w:drawing>
          <wp:inline distT="0" distB="0" distL="0" distR="0" wp14:anchorId="35BD3A71" wp14:editId="2E18B33F">
            <wp:extent cx="4013976" cy="5156838"/>
            <wp:effectExtent l="0" t="0" r="5715" b="5715"/>
            <wp:docPr id="1413196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96095" name="Picture 2"/>
                    <pic:cNvPicPr>
                      <a:picLocks noChangeAspect="1" noChangeArrowheads="1"/>
                    </pic:cNvPicPr>
                  </pic:nvPicPr>
                  <pic:blipFill>
                    <a:blip r:embed="rId27">
                      <a:extLst>
                        <a:ext uri="{96DAC541-7B7A-43D3-8B79-37D633B846F1}">
                          <asvg:svgBlip xmlns:asvg="http://schemas.microsoft.com/office/drawing/2016/SVG/main" r:embed="rId28"/>
                        </a:ext>
                      </a:extLst>
                    </a:blip>
                    <a:srcRect l="52" r="52"/>
                    <a:stretch>
                      <a:fillRect/>
                    </a:stretch>
                  </pic:blipFill>
                  <pic:spPr bwMode="auto">
                    <a:xfrm>
                      <a:off x="0" y="0"/>
                      <a:ext cx="4013976" cy="5156838"/>
                    </a:xfrm>
                    <a:prstGeom prst="rect">
                      <a:avLst/>
                    </a:prstGeom>
                    <a:extLst>
                      <a:ext uri="{53640926-AAD7-44D8-BBD7-CCE9431645EC}">
                        <a14:shadowObscured xmlns:a14="http://schemas.microsoft.com/office/drawing/2010/main"/>
                      </a:ext>
                    </a:extLst>
                  </pic:spPr>
                </pic:pic>
              </a:graphicData>
            </a:graphic>
          </wp:inline>
        </w:drawing>
      </w:r>
    </w:p>
    <w:p w14:paraId="1559EBF1" w14:textId="45B3D32D" w:rsidR="00FD05C2" w:rsidRPr="008D7E71" w:rsidRDefault="00A140B9" w:rsidP="008305C8">
      <w:pPr>
        <w:pStyle w:val="Caption"/>
        <w:rPr>
          <w:rFonts w:ascii="Times New Roman" w:hAnsi="Times New Roman"/>
          <w:sz w:val="24"/>
        </w:rPr>
      </w:pPr>
      <w:bookmarkStart w:id="54" w:name="_Ref203739261"/>
      <w:bookmarkStart w:id="55" w:name="_Toc204156269"/>
      <w:r w:rsidRPr="008D7E71">
        <w:t xml:space="preserve">Figure </w:t>
      </w:r>
      <w:fldSimple w:instr=" SEQ Figure \* ARABIC ">
        <w:r w:rsidR="00B170DF">
          <w:rPr>
            <w:noProof/>
          </w:rPr>
          <w:t>7</w:t>
        </w:r>
      </w:fldSimple>
      <w:bookmarkEnd w:id="54"/>
      <w:r w:rsidRPr="008D7E71">
        <w:t xml:space="preserve"> - Tracing System Qualities</w:t>
      </w:r>
      <w:r w:rsidRPr="008D7E71">
        <w:rPr>
          <w:noProof/>
        </w:rPr>
        <w:t xml:space="preserve"> to Properties to Components</w:t>
      </w:r>
      <w:bookmarkEnd w:id="55"/>
    </w:p>
    <w:p w14:paraId="7993AA1E" w14:textId="77777777" w:rsidR="003242BE" w:rsidRPr="008D7E71" w:rsidRDefault="003242BE" w:rsidP="00073423">
      <w:pPr>
        <w:spacing w:before="120" w:after="0"/>
        <w:ind w:left="142"/>
        <w:rPr>
          <w:rFonts w:ascii="PP Mori SemiBold" w:hAnsi="PP Mori SemiBold"/>
          <w:sz w:val="24"/>
          <w:szCs w:val="32"/>
        </w:rPr>
      </w:pPr>
    </w:p>
    <w:p w14:paraId="4B84F998" w14:textId="37B36E1A" w:rsidR="00073423" w:rsidRPr="008D7E71" w:rsidRDefault="00073423" w:rsidP="00147655">
      <w:pPr>
        <w:spacing w:before="120" w:after="0"/>
        <w:rPr>
          <w:rFonts w:ascii="PP Mori SemiBold" w:hAnsi="PP Mori SemiBold"/>
          <w:sz w:val="24"/>
          <w:szCs w:val="32"/>
        </w:rPr>
      </w:pPr>
      <w:r w:rsidRPr="008D7E71">
        <w:rPr>
          <w:rFonts w:ascii="PP Mori SemiBold" w:hAnsi="PP Mori SemiBold"/>
          <w:sz w:val="24"/>
          <w:szCs w:val="32"/>
        </w:rPr>
        <w:t>Case Study: “Power of Choice” Reforms</w:t>
      </w:r>
    </w:p>
    <w:p w14:paraId="70ED0A3E" w14:textId="64F7EDB4" w:rsidR="001D27FE" w:rsidRPr="008D7E71" w:rsidRDefault="00073423" w:rsidP="00CB1868">
      <w:pPr>
        <w:spacing w:before="180" w:after="180" w:line="288" w:lineRule="auto"/>
        <w:rPr>
          <w:szCs w:val="22"/>
        </w:rPr>
      </w:pPr>
      <w:r w:rsidRPr="008D7E71">
        <w:rPr>
          <w:szCs w:val="22"/>
        </w:rPr>
        <w:t xml:space="preserve">The </w:t>
      </w:r>
      <w:r w:rsidRPr="008D7E71">
        <w:rPr>
          <w:rFonts w:cs="Calibri"/>
          <w:szCs w:val="18"/>
        </w:rPr>
        <w:t>Power of Choice (PoC)</w:t>
      </w:r>
      <w:r w:rsidRPr="008D7E71">
        <w:rPr>
          <w:szCs w:val="22"/>
        </w:rPr>
        <w:t xml:space="preserve"> reforms aimed to empower consumers through competitive metering arrangements. </w:t>
      </w:r>
      <w:r w:rsidR="00C3509D" w:rsidRPr="008D7E71">
        <w:rPr>
          <w:szCs w:val="22"/>
        </w:rPr>
        <w:t xml:space="preserve">These </w:t>
      </w:r>
      <w:r w:rsidR="00BA0BA3" w:rsidRPr="008D7E71">
        <w:rPr>
          <w:szCs w:val="22"/>
        </w:rPr>
        <w:t>policy formulations were align</w:t>
      </w:r>
      <w:r w:rsidR="00193C9F" w:rsidRPr="008D7E71">
        <w:rPr>
          <w:szCs w:val="22"/>
        </w:rPr>
        <w:t>ed</w:t>
      </w:r>
      <w:r w:rsidR="00BA0BA3" w:rsidRPr="008D7E71">
        <w:rPr>
          <w:szCs w:val="22"/>
        </w:rPr>
        <w:t xml:space="preserve"> with </w:t>
      </w:r>
      <w:r w:rsidR="009B0E5D" w:rsidRPr="008D7E71">
        <w:rPr>
          <w:szCs w:val="22"/>
        </w:rPr>
        <w:t xml:space="preserve">customer and societal </w:t>
      </w:r>
      <w:r w:rsidR="00B55920" w:rsidRPr="008D7E71">
        <w:rPr>
          <w:szCs w:val="22"/>
        </w:rPr>
        <w:t>preferences</w:t>
      </w:r>
      <w:r w:rsidR="006E3EBA" w:rsidRPr="008D7E71">
        <w:rPr>
          <w:szCs w:val="22"/>
        </w:rPr>
        <w:t xml:space="preserve"> (qualities)</w:t>
      </w:r>
      <w:r w:rsidR="00193C9F" w:rsidRPr="008D7E71">
        <w:rPr>
          <w:szCs w:val="22"/>
        </w:rPr>
        <w:t xml:space="preserve"> and implemented by</w:t>
      </w:r>
      <w:r w:rsidR="00425AC5" w:rsidRPr="008D7E71">
        <w:rPr>
          <w:szCs w:val="22"/>
        </w:rPr>
        <w:t xml:space="preserve"> structural interventions</w:t>
      </w:r>
      <w:r w:rsidR="00C102EF" w:rsidRPr="008D7E71">
        <w:rPr>
          <w:szCs w:val="22"/>
        </w:rPr>
        <w:t xml:space="preserve"> (properties)</w:t>
      </w:r>
      <w:r w:rsidR="006C42D6" w:rsidRPr="008D7E71">
        <w:rPr>
          <w:szCs w:val="22"/>
        </w:rPr>
        <w:t>. H</w:t>
      </w:r>
      <w:r w:rsidRPr="008D7E71">
        <w:rPr>
          <w:rFonts w:cs="Calibri"/>
          <w:szCs w:val="18"/>
        </w:rPr>
        <w:t xml:space="preserve">owever, </w:t>
      </w:r>
      <w:r w:rsidR="003F223E" w:rsidRPr="008D7E71">
        <w:rPr>
          <w:rFonts w:cs="Calibri"/>
          <w:szCs w:val="18"/>
        </w:rPr>
        <w:t>many would argue that</w:t>
      </w:r>
      <w:r w:rsidR="003F223E" w:rsidRPr="008D7E71">
        <w:rPr>
          <w:szCs w:val="22"/>
        </w:rPr>
        <w:t xml:space="preserve"> </w:t>
      </w:r>
      <w:r w:rsidRPr="008D7E71">
        <w:rPr>
          <w:szCs w:val="22"/>
        </w:rPr>
        <w:t xml:space="preserve">the reforms encountered several key failings, many of which can be traced back to </w:t>
      </w:r>
      <w:r w:rsidR="00C102EF" w:rsidRPr="008D7E71">
        <w:rPr>
          <w:szCs w:val="22"/>
        </w:rPr>
        <w:t>not properly understanding</w:t>
      </w:r>
      <w:r w:rsidR="00794F39" w:rsidRPr="008D7E71">
        <w:rPr>
          <w:szCs w:val="22"/>
        </w:rPr>
        <w:t xml:space="preserve"> </w:t>
      </w:r>
      <w:r w:rsidR="00A60419" w:rsidRPr="008D7E71">
        <w:rPr>
          <w:szCs w:val="22"/>
        </w:rPr>
        <w:t xml:space="preserve">cascading effects of </w:t>
      </w:r>
      <w:r w:rsidR="0080546C" w:rsidRPr="008D7E71">
        <w:rPr>
          <w:szCs w:val="22"/>
        </w:rPr>
        <w:t xml:space="preserve">quality and interrelated property </w:t>
      </w:r>
      <w:r w:rsidRPr="008D7E71">
        <w:rPr>
          <w:szCs w:val="22"/>
        </w:rPr>
        <w:t xml:space="preserve">trade-off decisions </w:t>
      </w:r>
      <w:r w:rsidR="0080546C" w:rsidRPr="008D7E71">
        <w:rPr>
          <w:szCs w:val="22"/>
        </w:rPr>
        <w:t>due to in</w:t>
      </w:r>
      <w:r w:rsidRPr="008D7E71">
        <w:rPr>
          <w:szCs w:val="22"/>
        </w:rPr>
        <w:t>adequate architectural foresight.</w:t>
      </w:r>
      <w:r w:rsidR="00093BBC" w:rsidRPr="008D7E71">
        <w:rPr>
          <w:szCs w:val="22"/>
        </w:rPr>
        <w:t xml:space="preserve"> </w:t>
      </w:r>
      <w:r w:rsidR="00134488" w:rsidRPr="008D7E71">
        <w:rPr>
          <w:szCs w:val="22"/>
        </w:rPr>
        <w:t xml:space="preserve">The following </w:t>
      </w:r>
      <w:r w:rsidR="00A14A12" w:rsidRPr="008D7E71">
        <w:rPr>
          <w:szCs w:val="22"/>
        </w:rPr>
        <w:t>table identifies</w:t>
      </w:r>
      <w:r w:rsidR="00134488" w:rsidRPr="008D7E71">
        <w:rPr>
          <w:szCs w:val="22"/>
        </w:rPr>
        <w:t xml:space="preserve"> </w:t>
      </w:r>
      <w:r w:rsidR="00093BBC" w:rsidRPr="008D7E71">
        <w:rPr>
          <w:szCs w:val="22"/>
        </w:rPr>
        <w:t xml:space="preserve">key structural </w:t>
      </w:r>
      <w:r w:rsidR="00A14A12" w:rsidRPr="008D7E71">
        <w:rPr>
          <w:szCs w:val="22"/>
        </w:rPr>
        <w:t xml:space="preserve">interventions </w:t>
      </w:r>
      <w:r w:rsidR="00460964" w:rsidRPr="008D7E71">
        <w:rPr>
          <w:szCs w:val="22"/>
        </w:rPr>
        <w:t xml:space="preserve">from </w:t>
      </w:r>
      <w:r w:rsidR="00D95BE9" w:rsidRPr="008D7E71">
        <w:rPr>
          <w:szCs w:val="22"/>
        </w:rPr>
        <w:t>the PoC reforms</w:t>
      </w:r>
      <w:r w:rsidR="00D0391D" w:rsidRPr="008D7E71">
        <w:rPr>
          <w:szCs w:val="22"/>
        </w:rPr>
        <w:t xml:space="preserve"> (properties), an assessment of </w:t>
      </w:r>
      <w:r w:rsidR="00927905" w:rsidRPr="008D7E71">
        <w:rPr>
          <w:szCs w:val="22"/>
        </w:rPr>
        <w:t>the</w:t>
      </w:r>
      <w:r w:rsidR="008E0878" w:rsidRPr="008D7E71">
        <w:rPr>
          <w:szCs w:val="22"/>
        </w:rPr>
        <w:t xml:space="preserve"> likely </w:t>
      </w:r>
      <w:r w:rsidR="00927905" w:rsidRPr="008D7E71">
        <w:rPr>
          <w:szCs w:val="22"/>
        </w:rPr>
        <w:t xml:space="preserve">desired qualities, </w:t>
      </w:r>
      <w:r w:rsidR="00E5724E" w:rsidRPr="008D7E71">
        <w:rPr>
          <w:szCs w:val="22"/>
        </w:rPr>
        <w:t>and the results of the trade-off</w:t>
      </w:r>
      <w:r w:rsidR="00AC0AD9" w:rsidRPr="008D7E71">
        <w:rPr>
          <w:szCs w:val="22"/>
        </w:rPr>
        <w:t>s</w:t>
      </w:r>
      <w:r w:rsidR="00E5724E" w:rsidRPr="008D7E71">
        <w:rPr>
          <w:szCs w:val="22"/>
        </w:rPr>
        <w:t xml:space="preserve"> </w:t>
      </w:r>
      <w:r w:rsidR="00AC0AD9" w:rsidRPr="008D7E71">
        <w:rPr>
          <w:szCs w:val="22"/>
        </w:rPr>
        <w:t xml:space="preserve">associated with these </w:t>
      </w:r>
      <w:r w:rsidR="00E5724E" w:rsidRPr="008D7E71">
        <w:rPr>
          <w:szCs w:val="22"/>
        </w:rPr>
        <w:t>decisions</w:t>
      </w:r>
      <w:r w:rsidR="00B26C0D" w:rsidRPr="008D7E71">
        <w:rPr>
          <w:szCs w:val="22"/>
        </w:rPr>
        <w:t>.</w:t>
      </w:r>
      <w:r w:rsidR="00460964" w:rsidRPr="008D7E71">
        <w:rPr>
          <w:szCs w:val="22"/>
        </w:rPr>
        <w:t xml:space="preserve"> </w:t>
      </w:r>
      <w:r w:rsidR="008422B9" w:rsidRPr="008D7E71">
        <w:rPr>
          <w:szCs w:val="22"/>
        </w:rPr>
        <w:t xml:space="preserve">It is </w:t>
      </w:r>
      <w:r w:rsidR="00D72C84" w:rsidRPr="008D7E71">
        <w:rPr>
          <w:szCs w:val="22"/>
        </w:rPr>
        <w:t>provide</w:t>
      </w:r>
      <w:r w:rsidR="00626A3A" w:rsidRPr="008D7E71">
        <w:rPr>
          <w:szCs w:val="22"/>
        </w:rPr>
        <w:t>d as</w:t>
      </w:r>
      <w:r w:rsidR="00D72C84" w:rsidRPr="008D7E71">
        <w:rPr>
          <w:szCs w:val="22"/>
        </w:rPr>
        <w:t xml:space="preserve"> an illustrative example </w:t>
      </w:r>
      <w:r w:rsidR="005C1A3F" w:rsidRPr="008D7E71">
        <w:rPr>
          <w:szCs w:val="22"/>
        </w:rPr>
        <w:t xml:space="preserve">of the relationship between </w:t>
      </w:r>
      <w:r w:rsidR="00A264D5" w:rsidRPr="008D7E71">
        <w:rPr>
          <w:szCs w:val="22"/>
        </w:rPr>
        <w:t xml:space="preserve">system qualities, properties and structural interventions, </w:t>
      </w:r>
      <w:r w:rsidR="00CA1808" w:rsidRPr="008D7E71">
        <w:rPr>
          <w:szCs w:val="22"/>
        </w:rPr>
        <w:t xml:space="preserve">and not as an exhaustive critique </w:t>
      </w:r>
      <w:r w:rsidR="009419D8" w:rsidRPr="008D7E71">
        <w:rPr>
          <w:szCs w:val="22"/>
        </w:rPr>
        <w:t xml:space="preserve">of historical </w:t>
      </w:r>
      <w:r w:rsidR="00A82CA3" w:rsidRPr="008D7E71">
        <w:rPr>
          <w:szCs w:val="22"/>
        </w:rPr>
        <w:t>decision</w:t>
      </w:r>
      <w:r w:rsidR="009419D8" w:rsidRPr="008D7E71">
        <w:rPr>
          <w:szCs w:val="22"/>
        </w:rPr>
        <w:t>s</w:t>
      </w:r>
      <w:r w:rsidR="00A82CA3" w:rsidRPr="008D7E71">
        <w:rPr>
          <w:szCs w:val="22"/>
        </w:rPr>
        <w:t>.</w:t>
      </w:r>
    </w:p>
    <w:tbl>
      <w:tblPr>
        <w:tblStyle w:val="PlainTable1"/>
        <w:tblW w:w="8500" w:type="dxa"/>
        <w:tblLayout w:type="fixed"/>
        <w:tblCellMar>
          <w:top w:w="85" w:type="dxa"/>
          <w:bottom w:w="85" w:type="dxa"/>
        </w:tblCellMar>
        <w:tblLook w:val="0420" w:firstRow="1" w:lastRow="0" w:firstColumn="0" w:lastColumn="0" w:noHBand="0" w:noVBand="1"/>
      </w:tblPr>
      <w:tblGrid>
        <w:gridCol w:w="1319"/>
        <w:gridCol w:w="1370"/>
        <w:gridCol w:w="1701"/>
        <w:gridCol w:w="1275"/>
        <w:gridCol w:w="2835"/>
      </w:tblGrid>
      <w:tr w:rsidR="00A14A12" w:rsidRPr="008D7E71" w14:paraId="01936937" w14:textId="77777777" w:rsidTr="00817226">
        <w:trPr>
          <w:cnfStyle w:val="100000000000" w:firstRow="1" w:lastRow="0" w:firstColumn="0" w:lastColumn="0" w:oddVBand="0" w:evenVBand="0" w:oddHBand="0" w:evenHBand="0" w:firstRowFirstColumn="0" w:firstRowLastColumn="0" w:lastRowFirstColumn="0" w:lastRowLastColumn="0"/>
        </w:trPr>
        <w:tc>
          <w:tcPr>
            <w:tcW w:w="1319" w:type="dxa"/>
            <w:shd w:val="clear" w:color="auto" w:fill="013C4C" w:themeFill="text1"/>
          </w:tcPr>
          <w:p w14:paraId="1DEFD63C" w14:textId="5FD0AFC3" w:rsidR="00A14A12" w:rsidRPr="008D7E71" w:rsidRDefault="00A14A12" w:rsidP="00A14A12">
            <w:pPr>
              <w:spacing w:before="0" w:after="0"/>
              <w:rPr>
                <w:rFonts w:ascii="PP Mori SemiBold" w:hAnsi="PP Mori SemiBold"/>
                <w:sz w:val="16"/>
                <w:szCs w:val="24"/>
              </w:rPr>
            </w:pPr>
            <w:r w:rsidRPr="008D7E71">
              <w:rPr>
                <w:rFonts w:ascii="PP Mori SemiBold" w:hAnsi="PP Mori SemiBold"/>
                <w:sz w:val="16"/>
                <w:szCs w:val="24"/>
              </w:rPr>
              <w:t>Structural Intervention</w:t>
            </w:r>
          </w:p>
        </w:tc>
        <w:tc>
          <w:tcPr>
            <w:tcW w:w="1370" w:type="dxa"/>
            <w:shd w:val="clear" w:color="auto" w:fill="013C4C" w:themeFill="text1"/>
          </w:tcPr>
          <w:p w14:paraId="56EC595E" w14:textId="12D140F7" w:rsidR="00A14A12" w:rsidRPr="008D7E71" w:rsidRDefault="003B237E" w:rsidP="00A14A12">
            <w:pPr>
              <w:spacing w:before="0" w:after="0"/>
              <w:rPr>
                <w:rFonts w:ascii="PP Mori SemiBold" w:hAnsi="PP Mori SemiBold"/>
                <w:sz w:val="16"/>
                <w:szCs w:val="24"/>
              </w:rPr>
            </w:pPr>
            <w:r w:rsidRPr="008D7E71">
              <w:rPr>
                <w:rFonts w:ascii="PP Mori SemiBold" w:hAnsi="PP Mori SemiBold"/>
                <w:sz w:val="16"/>
                <w:szCs w:val="24"/>
              </w:rPr>
              <w:t>Desired</w:t>
            </w:r>
            <w:r w:rsidR="00A14A12" w:rsidRPr="008D7E71">
              <w:rPr>
                <w:rFonts w:ascii="PP Mori SemiBold" w:hAnsi="PP Mori SemiBold"/>
                <w:sz w:val="16"/>
                <w:szCs w:val="24"/>
              </w:rPr>
              <w:t xml:space="preserve"> System Qualities</w:t>
            </w:r>
          </w:p>
        </w:tc>
        <w:tc>
          <w:tcPr>
            <w:tcW w:w="1701" w:type="dxa"/>
            <w:shd w:val="clear" w:color="auto" w:fill="013C4C" w:themeFill="text1"/>
          </w:tcPr>
          <w:p w14:paraId="442D4F7A" w14:textId="0D1172C4" w:rsidR="00A14A12" w:rsidRPr="008D7E71" w:rsidRDefault="00A14A12" w:rsidP="00A14A12">
            <w:pPr>
              <w:spacing w:before="0" w:after="0"/>
              <w:rPr>
                <w:rFonts w:ascii="PP Mori SemiBold" w:hAnsi="PP Mori SemiBold"/>
                <w:sz w:val="16"/>
                <w:szCs w:val="24"/>
              </w:rPr>
            </w:pPr>
            <w:r w:rsidRPr="008D7E71">
              <w:rPr>
                <w:rFonts w:ascii="PP Mori SemiBold" w:hAnsi="PP Mori SemiBold"/>
                <w:sz w:val="16"/>
                <w:szCs w:val="24"/>
              </w:rPr>
              <w:t>Trade-off Decision</w:t>
            </w:r>
          </w:p>
        </w:tc>
        <w:tc>
          <w:tcPr>
            <w:tcW w:w="1275" w:type="dxa"/>
            <w:shd w:val="clear" w:color="auto" w:fill="013C4C" w:themeFill="text1"/>
          </w:tcPr>
          <w:p w14:paraId="5F9D3669" w14:textId="37529E86" w:rsidR="00A14A12" w:rsidRPr="008D7E71" w:rsidRDefault="00A14A12" w:rsidP="00A14A12">
            <w:pPr>
              <w:spacing w:before="0" w:after="0"/>
              <w:rPr>
                <w:rFonts w:ascii="PP Mori SemiBold" w:hAnsi="PP Mori SemiBold"/>
                <w:sz w:val="16"/>
                <w:szCs w:val="24"/>
              </w:rPr>
            </w:pPr>
            <w:r w:rsidRPr="008D7E71">
              <w:rPr>
                <w:rFonts w:ascii="PP Mori SemiBold" w:hAnsi="PP Mori SemiBold"/>
                <w:sz w:val="16"/>
                <w:szCs w:val="24"/>
              </w:rPr>
              <w:t>De-prioritised Qualities</w:t>
            </w:r>
          </w:p>
        </w:tc>
        <w:tc>
          <w:tcPr>
            <w:tcW w:w="2835" w:type="dxa"/>
            <w:shd w:val="clear" w:color="auto" w:fill="013C4C" w:themeFill="text1"/>
          </w:tcPr>
          <w:p w14:paraId="194EDD7B" w14:textId="7A92C231" w:rsidR="00A14A12" w:rsidRPr="008D7E71" w:rsidRDefault="007B1BBB" w:rsidP="00A14A12">
            <w:pPr>
              <w:spacing w:before="0" w:after="0"/>
              <w:rPr>
                <w:rFonts w:ascii="PP Mori SemiBold" w:hAnsi="PP Mori SemiBold"/>
                <w:sz w:val="16"/>
                <w:szCs w:val="24"/>
              </w:rPr>
            </w:pPr>
            <w:r w:rsidRPr="008D7E71">
              <w:rPr>
                <w:rFonts w:ascii="PP Mori SemiBold" w:hAnsi="PP Mori SemiBold"/>
                <w:sz w:val="16"/>
                <w:szCs w:val="24"/>
              </w:rPr>
              <w:t xml:space="preserve">Detrimental </w:t>
            </w:r>
            <w:r w:rsidR="00A14A12" w:rsidRPr="008D7E71">
              <w:rPr>
                <w:rFonts w:ascii="PP Mori SemiBold" w:hAnsi="PP Mori SemiBold"/>
                <w:sz w:val="16"/>
                <w:szCs w:val="24"/>
              </w:rPr>
              <w:t>Implications</w:t>
            </w:r>
            <w:r w:rsidR="00494024" w:rsidRPr="008D7E71">
              <w:rPr>
                <w:rFonts w:ascii="PP Mori SemiBold" w:hAnsi="PP Mori SemiBold"/>
                <w:sz w:val="16"/>
                <w:szCs w:val="24"/>
              </w:rPr>
              <w:t xml:space="preserve"> for System Properties</w:t>
            </w:r>
          </w:p>
        </w:tc>
      </w:tr>
      <w:tr w:rsidR="00817226" w:rsidRPr="008D7E71" w14:paraId="37B55064" w14:textId="77777777" w:rsidTr="00817226">
        <w:trPr>
          <w:cnfStyle w:val="000000100000" w:firstRow="0" w:lastRow="0" w:firstColumn="0" w:lastColumn="0" w:oddVBand="0" w:evenVBand="0" w:oddHBand="1" w:evenHBand="0" w:firstRowFirstColumn="0" w:firstRowLastColumn="0" w:lastRowFirstColumn="0" w:lastRowLastColumn="0"/>
        </w:trPr>
        <w:tc>
          <w:tcPr>
            <w:tcW w:w="1319" w:type="dxa"/>
          </w:tcPr>
          <w:p w14:paraId="5D793FA7" w14:textId="63F3AED1" w:rsidR="00A14A12" w:rsidRPr="008D7E71" w:rsidRDefault="00A14A12" w:rsidP="00A14A12">
            <w:pPr>
              <w:spacing w:before="0" w:after="0"/>
              <w:rPr>
                <w:sz w:val="16"/>
                <w:szCs w:val="24"/>
              </w:rPr>
            </w:pPr>
            <w:r w:rsidRPr="008D7E71">
              <w:rPr>
                <w:sz w:val="16"/>
                <w:szCs w:val="24"/>
              </w:rPr>
              <w:t>Retailer control over metering</w:t>
            </w:r>
          </w:p>
        </w:tc>
        <w:tc>
          <w:tcPr>
            <w:tcW w:w="1370" w:type="dxa"/>
          </w:tcPr>
          <w:p w14:paraId="33A58818" w14:textId="75C6B0CD" w:rsidR="00A14A12" w:rsidRPr="008D7E71" w:rsidRDefault="00C66417" w:rsidP="00A14A12">
            <w:pPr>
              <w:spacing w:before="0" w:after="0"/>
              <w:rPr>
                <w:sz w:val="16"/>
                <w:szCs w:val="24"/>
              </w:rPr>
            </w:pPr>
            <w:r w:rsidRPr="008D7E71">
              <w:rPr>
                <w:sz w:val="16"/>
                <w:szCs w:val="24"/>
              </w:rPr>
              <w:t>Customi</w:t>
            </w:r>
            <w:r w:rsidR="00C729A5" w:rsidRPr="008D7E71">
              <w:rPr>
                <w:sz w:val="16"/>
                <w:szCs w:val="24"/>
              </w:rPr>
              <w:t>s</w:t>
            </w:r>
            <w:r w:rsidRPr="008D7E71">
              <w:rPr>
                <w:sz w:val="16"/>
                <w:szCs w:val="24"/>
              </w:rPr>
              <w:t>ab</w:t>
            </w:r>
            <w:r w:rsidR="00C729A5" w:rsidRPr="008D7E71">
              <w:rPr>
                <w:sz w:val="16"/>
                <w:szCs w:val="24"/>
              </w:rPr>
              <w:t>le</w:t>
            </w:r>
            <w:r w:rsidRPr="008D7E71">
              <w:rPr>
                <w:sz w:val="16"/>
                <w:szCs w:val="24"/>
              </w:rPr>
              <w:t>, Flexib</w:t>
            </w:r>
            <w:r w:rsidR="00C729A5" w:rsidRPr="008D7E71">
              <w:rPr>
                <w:sz w:val="16"/>
                <w:szCs w:val="24"/>
              </w:rPr>
              <w:t>le</w:t>
            </w:r>
            <w:r w:rsidRPr="008D7E71">
              <w:rPr>
                <w:sz w:val="16"/>
                <w:szCs w:val="24"/>
              </w:rPr>
              <w:t xml:space="preserve">, </w:t>
            </w:r>
            <w:r w:rsidR="00C729A5" w:rsidRPr="008D7E71">
              <w:rPr>
                <w:sz w:val="16"/>
                <w:szCs w:val="24"/>
              </w:rPr>
              <w:t>Useable</w:t>
            </w:r>
          </w:p>
        </w:tc>
        <w:tc>
          <w:tcPr>
            <w:tcW w:w="1701" w:type="dxa"/>
          </w:tcPr>
          <w:p w14:paraId="7062C9FF" w14:textId="5BE6C2F2" w:rsidR="00A14A12" w:rsidRPr="008D7E71" w:rsidRDefault="00A14A12" w:rsidP="00A14A12">
            <w:pPr>
              <w:spacing w:before="0" w:after="0"/>
              <w:rPr>
                <w:sz w:val="16"/>
                <w:szCs w:val="24"/>
              </w:rPr>
            </w:pPr>
            <w:r w:rsidRPr="008D7E71">
              <w:rPr>
                <w:sz w:val="16"/>
                <w:szCs w:val="24"/>
              </w:rPr>
              <w:t>Prioritise market competition (retailers controlling metering) over systemic integration of metering data</w:t>
            </w:r>
          </w:p>
        </w:tc>
        <w:tc>
          <w:tcPr>
            <w:tcW w:w="1275" w:type="dxa"/>
          </w:tcPr>
          <w:p w14:paraId="52AB418D" w14:textId="62125464" w:rsidR="00A14A12" w:rsidRPr="008D7E71" w:rsidRDefault="00C729A5" w:rsidP="00A14A12">
            <w:pPr>
              <w:spacing w:before="0" w:after="0"/>
              <w:rPr>
                <w:sz w:val="16"/>
                <w:szCs w:val="24"/>
              </w:rPr>
            </w:pPr>
            <w:r w:rsidRPr="008D7E71">
              <w:rPr>
                <w:sz w:val="16"/>
                <w:szCs w:val="24"/>
              </w:rPr>
              <w:t>Secure, Scalable</w:t>
            </w:r>
          </w:p>
        </w:tc>
        <w:tc>
          <w:tcPr>
            <w:tcW w:w="2835" w:type="dxa"/>
          </w:tcPr>
          <w:p w14:paraId="18EC2E34" w14:textId="0E078CA5" w:rsidR="00A14A12" w:rsidRPr="008D7E71" w:rsidRDefault="00A14A12" w:rsidP="00A14A12">
            <w:pPr>
              <w:spacing w:before="0" w:after="0"/>
              <w:rPr>
                <w:sz w:val="16"/>
                <w:szCs w:val="24"/>
              </w:rPr>
            </w:pPr>
            <w:r w:rsidRPr="008D7E71">
              <w:rPr>
                <w:sz w:val="16"/>
                <w:szCs w:val="24"/>
              </w:rPr>
              <w:t>Metering data became siloed, access was inconsistent, DNSPs lacked reliable, timely visibility into low-voltage networks—undermining operational efficiency and CER integration, leading to fragmented Responsibility &amp; Compromised Operational Coordination</w:t>
            </w:r>
          </w:p>
        </w:tc>
      </w:tr>
      <w:tr w:rsidR="00A14A12" w:rsidRPr="008D7E71" w14:paraId="04D8DABB" w14:textId="77777777" w:rsidTr="00817226">
        <w:tc>
          <w:tcPr>
            <w:tcW w:w="1319" w:type="dxa"/>
          </w:tcPr>
          <w:p w14:paraId="319B8682" w14:textId="130514E4" w:rsidR="00A14A12" w:rsidRPr="008D7E71" w:rsidRDefault="00A14A12" w:rsidP="00A14A12">
            <w:pPr>
              <w:spacing w:before="0" w:after="0"/>
              <w:rPr>
                <w:sz w:val="16"/>
                <w:szCs w:val="24"/>
              </w:rPr>
            </w:pPr>
            <w:r w:rsidRPr="008D7E71">
              <w:rPr>
                <w:sz w:val="16"/>
                <w:szCs w:val="24"/>
              </w:rPr>
              <w:t xml:space="preserve">Quarantined </w:t>
            </w:r>
            <w:r w:rsidR="005A4CFA" w:rsidRPr="008D7E71">
              <w:rPr>
                <w:sz w:val="16"/>
                <w:szCs w:val="24"/>
              </w:rPr>
              <w:t xml:space="preserve">meter </w:t>
            </w:r>
            <w:r w:rsidRPr="008D7E71">
              <w:rPr>
                <w:sz w:val="16"/>
                <w:szCs w:val="24"/>
              </w:rPr>
              <w:t>data</w:t>
            </w:r>
          </w:p>
        </w:tc>
        <w:tc>
          <w:tcPr>
            <w:tcW w:w="1370" w:type="dxa"/>
          </w:tcPr>
          <w:p w14:paraId="5ED191D7" w14:textId="7525B7B2" w:rsidR="00A14A12" w:rsidRPr="008D7E71" w:rsidRDefault="00F24FE5" w:rsidP="00A14A12">
            <w:pPr>
              <w:spacing w:before="0" w:after="0"/>
              <w:rPr>
                <w:sz w:val="16"/>
                <w:szCs w:val="24"/>
              </w:rPr>
            </w:pPr>
            <w:r w:rsidRPr="008D7E71">
              <w:rPr>
                <w:sz w:val="16"/>
                <w:szCs w:val="24"/>
              </w:rPr>
              <w:t>Customisable</w:t>
            </w:r>
            <w:r w:rsidR="00A14A12" w:rsidRPr="008D7E71">
              <w:rPr>
                <w:sz w:val="16"/>
                <w:szCs w:val="24"/>
              </w:rPr>
              <w:t xml:space="preserve">, </w:t>
            </w:r>
            <w:r w:rsidR="00A6503C" w:rsidRPr="008D7E71">
              <w:rPr>
                <w:sz w:val="16"/>
                <w:szCs w:val="24"/>
              </w:rPr>
              <w:t>Useable</w:t>
            </w:r>
          </w:p>
        </w:tc>
        <w:tc>
          <w:tcPr>
            <w:tcW w:w="1701" w:type="dxa"/>
          </w:tcPr>
          <w:p w14:paraId="28D4C1CB" w14:textId="2722F87D" w:rsidR="00A14A12" w:rsidRPr="008D7E71" w:rsidRDefault="005A4CFA" w:rsidP="00A14A12">
            <w:pPr>
              <w:spacing w:before="0" w:after="0"/>
              <w:rPr>
                <w:sz w:val="16"/>
                <w:szCs w:val="24"/>
              </w:rPr>
            </w:pPr>
            <w:r w:rsidRPr="008D7E71">
              <w:rPr>
                <w:sz w:val="16"/>
                <w:szCs w:val="24"/>
              </w:rPr>
              <w:t>S</w:t>
            </w:r>
            <w:r w:rsidR="00A14A12" w:rsidRPr="008D7E71">
              <w:rPr>
                <w:sz w:val="16"/>
                <w:szCs w:val="24"/>
              </w:rPr>
              <w:t>mart meters primarily serve consumer billing and retail functions, not system operations</w:t>
            </w:r>
          </w:p>
        </w:tc>
        <w:tc>
          <w:tcPr>
            <w:tcW w:w="1275" w:type="dxa"/>
          </w:tcPr>
          <w:p w14:paraId="3B9CF64F" w14:textId="31EEDF85" w:rsidR="00A14A12" w:rsidRPr="008D7E71" w:rsidRDefault="00F03F0F" w:rsidP="00A14A12">
            <w:pPr>
              <w:spacing w:before="0" w:after="0"/>
              <w:rPr>
                <w:sz w:val="16"/>
                <w:szCs w:val="24"/>
              </w:rPr>
            </w:pPr>
            <w:r w:rsidRPr="008D7E71">
              <w:rPr>
                <w:sz w:val="16"/>
                <w:szCs w:val="24"/>
              </w:rPr>
              <w:t>Reliable</w:t>
            </w:r>
            <w:r w:rsidR="00961657" w:rsidRPr="008D7E71">
              <w:rPr>
                <w:sz w:val="16"/>
                <w:szCs w:val="24"/>
              </w:rPr>
              <w:t xml:space="preserve">, </w:t>
            </w:r>
            <w:r w:rsidR="007D531D" w:rsidRPr="008D7E71">
              <w:rPr>
                <w:sz w:val="16"/>
                <w:szCs w:val="24"/>
              </w:rPr>
              <w:t>Safe</w:t>
            </w:r>
          </w:p>
        </w:tc>
        <w:tc>
          <w:tcPr>
            <w:tcW w:w="2835" w:type="dxa"/>
          </w:tcPr>
          <w:p w14:paraId="051B56AD" w14:textId="71C55D66" w:rsidR="00A14A12" w:rsidRPr="008D7E71" w:rsidRDefault="00A14A12" w:rsidP="00A14A12">
            <w:pPr>
              <w:spacing w:before="0" w:after="0"/>
              <w:rPr>
                <w:sz w:val="16"/>
                <w:szCs w:val="24"/>
              </w:rPr>
            </w:pPr>
            <w:r w:rsidRPr="008D7E71">
              <w:rPr>
                <w:sz w:val="16"/>
                <w:szCs w:val="24"/>
              </w:rPr>
              <w:t>Meter design and rollout neglected telemetry standards (e.g. real-time voltage data), making them inadequate for grid visibility or dynamic hosting capacity management</w:t>
            </w:r>
          </w:p>
        </w:tc>
      </w:tr>
      <w:tr w:rsidR="00817226" w:rsidRPr="008D7E71" w14:paraId="3D973CD7" w14:textId="77777777" w:rsidTr="00817226">
        <w:trPr>
          <w:cnfStyle w:val="000000100000" w:firstRow="0" w:lastRow="0" w:firstColumn="0" w:lastColumn="0" w:oddVBand="0" w:evenVBand="0" w:oddHBand="1" w:evenHBand="0" w:firstRowFirstColumn="0" w:firstRowLastColumn="0" w:lastRowFirstColumn="0" w:lastRowLastColumn="0"/>
        </w:trPr>
        <w:tc>
          <w:tcPr>
            <w:tcW w:w="1319" w:type="dxa"/>
          </w:tcPr>
          <w:p w14:paraId="1CDC56EB" w14:textId="7AE87741" w:rsidR="00A14A12" w:rsidRPr="008D7E71" w:rsidRDefault="00A14A12" w:rsidP="00A14A12">
            <w:pPr>
              <w:spacing w:before="0" w:after="0"/>
              <w:rPr>
                <w:sz w:val="16"/>
                <w:szCs w:val="24"/>
              </w:rPr>
            </w:pPr>
            <w:r w:rsidRPr="008D7E71">
              <w:rPr>
                <w:sz w:val="16"/>
                <w:szCs w:val="24"/>
              </w:rPr>
              <w:t>Market-led Roll-out</w:t>
            </w:r>
            <w:r w:rsidR="00416316" w:rsidRPr="008D7E71">
              <w:rPr>
                <w:sz w:val="16"/>
                <w:szCs w:val="24"/>
              </w:rPr>
              <w:t xml:space="preserve"> and Placement</w:t>
            </w:r>
          </w:p>
        </w:tc>
        <w:tc>
          <w:tcPr>
            <w:tcW w:w="1370" w:type="dxa"/>
          </w:tcPr>
          <w:p w14:paraId="6C9307A9" w14:textId="7C353005" w:rsidR="00A14A12" w:rsidRPr="008D7E71" w:rsidRDefault="00A96CC9" w:rsidP="00A14A12">
            <w:pPr>
              <w:spacing w:before="0" w:after="0"/>
              <w:rPr>
                <w:sz w:val="16"/>
                <w:szCs w:val="24"/>
              </w:rPr>
            </w:pPr>
            <w:r w:rsidRPr="008D7E71">
              <w:rPr>
                <w:sz w:val="16"/>
                <w:szCs w:val="24"/>
              </w:rPr>
              <w:t>Deployable</w:t>
            </w:r>
            <w:r w:rsidR="00A14A12" w:rsidRPr="008D7E71">
              <w:rPr>
                <w:sz w:val="16"/>
                <w:szCs w:val="24"/>
              </w:rPr>
              <w:t xml:space="preserve">, </w:t>
            </w:r>
            <w:r w:rsidR="00707158" w:rsidRPr="008D7E71">
              <w:rPr>
                <w:sz w:val="16"/>
                <w:szCs w:val="24"/>
              </w:rPr>
              <w:t>Fair</w:t>
            </w:r>
          </w:p>
        </w:tc>
        <w:tc>
          <w:tcPr>
            <w:tcW w:w="1701" w:type="dxa"/>
          </w:tcPr>
          <w:p w14:paraId="5F99D873" w14:textId="7C23C788" w:rsidR="00A14A12" w:rsidRPr="008D7E71" w:rsidRDefault="007933ED" w:rsidP="00A14A12">
            <w:pPr>
              <w:spacing w:before="0" w:after="0"/>
              <w:rPr>
                <w:sz w:val="16"/>
                <w:szCs w:val="24"/>
              </w:rPr>
            </w:pPr>
            <w:r w:rsidRPr="008D7E71">
              <w:rPr>
                <w:sz w:val="16"/>
                <w:szCs w:val="24"/>
              </w:rPr>
              <w:t>M</w:t>
            </w:r>
            <w:r w:rsidR="00A14A12" w:rsidRPr="008D7E71">
              <w:rPr>
                <w:sz w:val="16"/>
                <w:szCs w:val="24"/>
              </w:rPr>
              <w:t>arket-led rollout (retail-driven) rather than a coordinated, universal deployment</w:t>
            </w:r>
          </w:p>
        </w:tc>
        <w:tc>
          <w:tcPr>
            <w:tcW w:w="1275" w:type="dxa"/>
          </w:tcPr>
          <w:p w14:paraId="75679859" w14:textId="22CCBADB" w:rsidR="00A14A12" w:rsidRPr="008D7E71" w:rsidRDefault="00181980" w:rsidP="00A14A12">
            <w:pPr>
              <w:spacing w:before="0" w:after="0"/>
              <w:rPr>
                <w:sz w:val="16"/>
                <w:szCs w:val="24"/>
              </w:rPr>
            </w:pPr>
            <w:r w:rsidRPr="008D7E71">
              <w:rPr>
                <w:sz w:val="16"/>
                <w:szCs w:val="24"/>
              </w:rPr>
              <w:t>Efficient</w:t>
            </w:r>
            <w:r w:rsidR="007B1350" w:rsidRPr="008D7E71">
              <w:rPr>
                <w:sz w:val="16"/>
                <w:szCs w:val="24"/>
              </w:rPr>
              <w:t xml:space="preserve">, </w:t>
            </w:r>
            <w:r w:rsidR="002C65ED" w:rsidRPr="008D7E71">
              <w:rPr>
                <w:sz w:val="16"/>
                <w:szCs w:val="24"/>
              </w:rPr>
              <w:t>Scalable</w:t>
            </w:r>
          </w:p>
        </w:tc>
        <w:tc>
          <w:tcPr>
            <w:tcW w:w="2835" w:type="dxa"/>
          </w:tcPr>
          <w:p w14:paraId="2C11AFEF" w14:textId="1996687F" w:rsidR="00A14A12" w:rsidRPr="008D7E71" w:rsidRDefault="00A14A12" w:rsidP="00A14A12">
            <w:pPr>
              <w:spacing w:before="0" w:after="0"/>
              <w:rPr>
                <w:sz w:val="16"/>
                <w:szCs w:val="24"/>
              </w:rPr>
            </w:pPr>
            <w:r w:rsidRPr="008D7E71">
              <w:rPr>
                <w:sz w:val="16"/>
                <w:szCs w:val="24"/>
              </w:rPr>
              <w:t xml:space="preserve">Deployment lagged, especially in areas of low commercial return, </w:t>
            </w:r>
            <w:r w:rsidR="009C3A80" w:rsidRPr="008D7E71">
              <w:rPr>
                <w:sz w:val="16"/>
                <w:szCs w:val="24"/>
              </w:rPr>
              <w:t>data</w:t>
            </w:r>
            <w:r w:rsidR="00383A38" w:rsidRPr="008D7E71">
              <w:rPr>
                <w:sz w:val="16"/>
                <w:szCs w:val="24"/>
              </w:rPr>
              <w:t xml:space="preserve"> </w:t>
            </w:r>
            <w:r w:rsidR="004D1A76" w:rsidRPr="008D7E71">
              <w:rPr>
                <w:sz w:val="16"/>
                <w:szCs w:val="24"/>
              </w:rPr>
              <w:t xml:space="preserve">on </w:t>
            </w:r>
            <w:r w:rsidR="00383A38" w:rsidRPr="008D7E71">
              <w:rPr>
                <w:sz w:val="16"/>
                <w:szCs w:val="24"/>
              </w:rPr>
              <w:t xml:space="preserve">constrained </w:t>
            </w:r>
            <w:r w:rsidR="006D06BE" w:rsidRPr="008D7E71">
              <w:rPr>
                <w:sz w:val="16"/>
                <w:szCs w:val="24"/>
              </w:rPr>
              <w:t>network segments unavailable</w:t>
            </w:r>
            <w:r w:rsidR="00416316" w:rsidRPr="008D7E71">
              <w:rPr>
                <w:sz w:val="16"/>
                <w:szCs w:val="24"/>
              </w:rPr>
              <w:t xml:space="preserve"> to DNSPs</w:t>
            </w:r>
          </w:p>
        </w:tc>
      </w:tr>
      <w:tr w:rsidR="00A14A12" w:rsidRPr="008D7E71" w14:paraId="1C3A7E95" w14:textId="77777777" w:rsidTr="00817226">
        <w:tc>
          <w:tcPr>
            <w:tcW w:w="1319" w:type="dxa"/>
          </w:tcPr>
          <w:p w14:paraId="340E9BD3" w14:textId="4A0BAA18" w:rsidR="00A14A12" w:rsidRPr="008D7E71" w:rsidRDefault="00A14A12" w:rsidP="00A14A12">
            <w:pPr>
              <w:spacing w:before="0" w:after="0"/>
              <w:rPr>
                <w:sz w:val="16"/>
                <w:szCs w:val="24"/>
              </w:rPr>
            </w:pPr>
            <w:r w:rsidRPr="008D7E71">
              <w:rPr>
                <w:sz w:val="16"/>
                <w:szCs w:val="24"/>
              </w:rPr>
              <w:t>Flexibility for Solution Developers</w:t>
            </w:r>
          </w:p>
        </w:tc>
        <w:tc>
          <w:tcPr>
            <w:tcW w:w="1370" w:type="dxa"/>
          </w:tcPr>
          <w:p w14:paraId="2C1A8A57" w14:textId="00985BA2" w:rsidR="00A14A12" w:rsidRPr="008D7E71" w:rsidRDefault="007D531D" w:rsidP="00A14A12">
            <w:pPr>
              <w:spacing w:before="0" w:after="0"/>
              <w:rPr>
                <w:sz w:val="16"/>
                <w:szCs w:val="24"/>
              </w:rPr>
            </w:pPr>
            <w:r w:rsidRPr="008D7E71">
              <w:rPr>
                <w:sz w:val="16"/>
                <w:szCs w:val="24"/>
              </w:rPr>
              <w:t>Flexible</w:t>
            </w:r>
            <w:r w:rsidR="00851D0D" w:rsidRPr="008D7E71">
              <w:rPr>
                <w:sz w:val="16"/>
                <w:szCs w:val="24"/>
              </w:rPr>
              <w:t>, Modular</w:t>
            </w:r>
          </w:p>
        </w:tc>
        <w:tc>
          <w:tcPr>
            <w:tcW w:w="1701" w:type="dxa"/>
          </w:tcPr>
          <w:p w14:paraId="1139FB08" w14:textId="7A2C4CE0" w:rsidR="00A14A12" w:rsidRPr="008D7E71" w:rsidRDefault="00A14A12" w:rsidP="00A14A12">
            <w:pPr>
              <w:spacing w:before="0" w:after="0"/>
              <w:rPr>
                <w:sz w:val="16"/>
                <w:szCs w:val="24"/>
              </w:rPr>
            </w:pPr>
            <w:r w:rsidRPr="008D7E71">
              <w:rPr>
                <w:sz w:val="16"/>
                <w:szCs w:val="24"/>
              </w:rPr>
              <w:t>Prioritised retail innovation and vendor freedom over open interoperability</w:t>
            </w:r>
          </w:p>
        </w:tc>
        <w:tc>
          <w:tcPr>
            <w:tcW w:w="1275" w:type="dxa"/>
          </w:tcPr>
          <w:p w14:paraId="190E73AF" w14:textId="10410513" w:rsidR="00A14A12" w:rsidRPr="008D7E71" w:rsidRDefault="00AC0DE6" w:rsidP="00A14A12">
            <w:pPr>
              <w:spacing w:before="0" w:after="0"/>
              <w:rPr>
                <w:sz w:val="16"/>
                <w:szCs w:val="24"/>
              </w:rPr>
            </w:pPr>
            <w:r w:rsidRPr="008D7E71">
              <w:rPr>
                <w:sz w:val="16"/>
                <w:szCs w:val="24"/>
              </w:rPr>
              <w:t>Scalable</w:t>
            </w:r>
            <w:r w:rsidR="002F030C" w:rsidRPr="008D7E71">
              <w:rPr>
                <w:sz w:val="16"/>
                <w:szCs w:val="24"/>
              </w:rPr>
              <w:t xml:space="preserve">, </w:t>
            </w:r>
            <w:r w:rsidR="00C54870" w:rsidRPr="008D7E71">
              <w:rPr>
                <w:sz w:val="16"/>
                <w:szCs w:val="24"/>
              </w:rPr>
              <w:t>Interoperable</w:t>
            </w:r>
            <w:r w:rsidR="0005675B" w:rsidRPr="008D7E71">
              <w:rPr>
                <w:sz w:val="16"/>
                <w:szCs w:val="24"/>
              </w:rPr>
              <w:t xml:space="preserve">, </w:t>
            </w:r>
          </w:p>
        </w:tc>
        <w:tc>
          <w:tcPr>
            <w:tcW w:w="2835" w:type="dxa"/>
          </w:tcPr>
          <w:p w14:paraId="78602A0F" w14:textId="1D852CA5" w:rsidR="00A14A12" w:rsidRPr="008D7E71" w:rsidRDefault="00A14A12" w:rsidP="00C57EB4">
            <w:pPr>
              <w:keepNext/>
              <w:spacing w:before="0" w:after="0"/>
              <w:rPr>
                <w:sz w:val="16"/>
                <w:szCs w:val="24"/>
              </w:rPr>
            </w:pPr>
            <w:r w:rsidRPr="008D7E71">
              <w:rPr>
                <w:sz w:val="16"/>
                <w:szCs w:val="24"/>
              </w:rPr>
              <w:t>Inconsistent data formats and protocols made it difficult to integrate meter data into broader digital energy infrastructure or support DNSP needs</w:t>
            </w:r>
          </w:p>
        </w:tc>
      </w:tr>
    </w:tbl>
    <w:p w14:paraId="1C26593D" w14:textId="2E7597AA" w:rsidR="00CB1868" w:rsidRPr="008D7E71" w:rsidRDefault="00C57EB4" w:rsidP="00C57EB4">
      <w:pPr>
        <w:pStyle w:val="Caption"/>
        <w:rPr>
          <w:rFonts w:cs="Calibri"/>
          <w:szCs w:val="18"/>
        </w:rPr>
      </w:pPr>
      <w:bookmarkStart w:id="56" w:name="_Toc204156270"/>
      <w:r w:rsidRPr="008D7E71">
        <w:t xml:space="preserve">Figure </w:t>
      </w:r>
      <w:fldSimple w:instr=" SEQ Figure \* ARABIC ">
        <w:r w:rsidR="00B170DF">
          <w:rPr>
            <w:noProof/>
          </w:rPr>
          <w:t>8</w:t>
        </w:r>
      </w:fldSimple>
      <w:r w:rsidRPr="008D7E71">
        <w:t xml:space="preserve"> - Example Mapping </w:t>
      </w:r>
      <w:r w:rsidRPr="008D7E71">
        <w:rPr>
          <w:noProof/>
        </w:rPr>
        <w:t>of Structural interventions to qualitites and properties</w:t>
      </w:r>
      <w:bookmarkEnd w:id="56"/>
    </w:p>
    <w:p w14:paraId="0BF5CC5D" w14:textId="22381D74" w:rsidR="00B004AB" w:rsidRPr="008D7E71" w:rsidRDefault="00DC6627" w:rsidP="00B004AB">
      <w:pPr>
        <w:spacing w:before="180" w:after="180" w:line="288" w:lineRule="auto"/>
        <w:rPr>
          <w:rFonts w:cs="Calibri"/>
          <w:szCs w:val="18"/>
        </w:rPr>
      </w:pPr>
      <w:r w:rsidRPr="008D7E71">
        <w:rPr>
          <w:rFonts w:cs="Calibri"/>
          <w:szCs w:val="18"/>
        </w:rPr>
        <w:t xml:space="preserve">In summary, </w:t>
      </w:r>
      <w:r w:rsidR="00F72942" w:rsidRPr="008D7E71">
        <w:rPr>
          <w:rFonts w:cs="Calibri"/>
          <w:szCs w:val="18"/>
        </w:rPr>
        <w:t xml:space="preserve">tracing structural interventions to </w:t>
      </w:r>
      <w:r w:rsidR="008814B2" w:rsidRPr="008D7E71">
        <w:rPr>
          <w:rFonts w:cs="Calibri"/>
          <w:szCs w:val="18"/>
        </w:rPr>
        <w:t xml:space="preserve">system-level objectives via </w:t>
      </w:r>
      <w:r w:rsidR="005F353B" w:rsidRPr="008D7E71">
        <w:rPr>
          <w:rFonts w:cs="Calibri"/>
          <w:szCs w:val="18"/>
        </w:rPr>
        <w:t>desired system qualities</w:t>
      </w:r>
      <w:r w:rsidR="00296058" w:rsidRPr="008D7E71">
        <w:rPr>
          <w:rFonts w:cs="Calibri"/>
          <w:szCs w:val="18"/>
        </w:rPr>
        <w:t xml:space="preserve"> </w:t>
      </w:r>
      <w:r w:rsidR="008814B2" w:rsidRPr="008D7E71">
        <w:rPr>
          <w:rFonts w:cs="Calibri"/>
          <w:szCs w:val="18"/>
        </w:rPr>
        <w:t xml:space="preserve">and properties </w:t>
      </w:r>
      <w:r w:rsidR="00296058" w:rsidRPr="008D7E71">
        <w:rPr>
          <w:rFonts w:cs="Calibri"/>
          <w:szCs w:val="18"/>
        </w:rPr>
        <w:t xml:space="preserve">provides a </w:t>
      </w:r>
      <w:r w:rsidR="00431481" w:rsidRPr="008D7E71">
        <w:rPr>
          <w:rFonts w:cs="Calibri"/>
          <w:szCs w:val="18"/>
        </w:rPr>
        <w:t xml:space="preserve">robust process for making informed trade-off decisions. </w:t>
      </w:r>
      <w:r w:rsidR="00DF486B" w:rsidRPr="008D7E71">
        <w:rPr>
          <w:rFonts w:cs="Calibri"/>
          <w:szCs w:val="18"/>
        </w:rPr>
        <w:t>An i</w:t>
      </w:r>
      <w:r w:rsidR="003E17D0" w:rsidRPr="008D7E71">
        <w:rPr>
          <w:rFonts w:cs="Calibri"/>
          <w:szCs w:val="18"/>
        </w:rPr>
        <w:t xml:space="preserve">nsufficient </w:t>
      </w:r>
      <w:r w:rsidR="00DF486B" w:rsidRPr="008D7E71">
        <w:rPr>
          <w:rFonts w:cs="Calibri"/>
          <w:szCs w:val="18"/>
        </w:rPr>
        <w:t xml:space="preserve">understanding of end-to-end </w:t>
      </w:r>
      <w:r w:rsidR="004A6363" w:rsidRPr="008D7E71">
        <w:rPr>
          <w:rFonts w:cs="Calibri"/>
          <w:szCs w:val="18"/>
        </w:rPr>
        <w:t xml:space="preserve">impacts </w:t>
      </w:r>
      <w:r w:rsidR="0046458C" w:rsidRPr="008D7E71">
        <w:rPr>
          <w:rFonts w:cs="Calibri"/>
          <w:szCs w:val="18"/>
        </w:rPr>
        <w:t xml:space="preserve">can lead to </w:t>
      </w:r>
      <w:r w:rsidR="00BF756D" w:rsidRPr="008D7E71">
        <w:rPr>
          <w:rFonts w:cs="Calibri"/>
          <w:szCs w:val="18"/>
        </w:rPr>
        <w:t xml:space="preserve">unintended consequences </w:t>
      </w:r>
      <w:r w:rsidR="00E26630" w:rsidRPr="008D7E71">
        <w:rPr>
          <w:rFonts w:cs="Calibri"/>
          <w:szCs w:val="18"/>
        </w:rPr>
        <w:t xml:space="preserve">that are detrimental at a system-level </w:t>
      </w:r>
      <w:r w:rsidR="00BF756D" w:rsidRPr="008D7E71">
        <w:rPr>
          <w:rFonts w:cs="Calibri"/>
          <w:szCs w:val="18"/>
        </w:rPr>
        <w:t xml:space="preserve">even where </w:t>
      </w:r>
      <w:r w:rsidR="005572E3" w:rsidRPr="008D7E71">
        <w:rPr>
          <w:rFonts w:cs="Calibri"/>
          <w:szCs w:val="18"/>
        </w:rPr>
        <w:t xml:space="preserve">structural interventions </w:t>
      </w:r>
      <w:r w:rsidR="00095E36" w:rsidRPr="008D7E71">
        <w:rPr>
          <w:rFonts w:cs="Calibri"/>
          <w:szCs w:val="18"/>
        </w:rPr>
        <w:t xml:space="preserve">are </w:t>
      </w:r>
      <w:r w:rsidR="00F35479" w:rsidRPr="008D7E71">
        <w:rPr>
          <w:rFonts w:cs="Calibri"/>
          <w:szCs w:val="18"/>
        </w:rPr>
        <w:t xml:space="preserve">well-intentioned </w:t>
      </w:r>
      <w:r w:rsidR="00E54D54" w:rsidRPr="008D7E71">
        <w:rPr>
          <w:rFonts w:cs="Calibri"/>
          <w:szCs w:val="18"/>
        </w:rPr>
        <w:t xml:space="preserve">and </w:t>
      </w:r>
      <w:r w:rsidR="00330EE1" w:rsidRPr="008D7E71">
        <w:rPr>
          <w:rFonts w:cs="Calibri"/>
          <w:szCs w:val="18"/>
        </w:rPr>
        <w:t xml:space="preserve">target desirable </w:t>
      </w:r>
      <w:r w:rsidR="00DC058C" w:rsidRPr="008D7E71">
        <w:rPr>
          <w:rFonts w:cs="Calibri"/>
          <w:szCs w:val="18"/>
        </w:rPr>
        <w:t>system qualities.</w:t>
      </w:r>
    </w:p>
    <w:p w14:paraId="1F2B1324" w14:textId="77777777" w:rsidR="00233D4A" w:rsidRPr="008D7E71" w:rsidRDefault="00233D4A">
      <w:pPr>
        <w:spacing w:before="0" w:after="160" w:line="259" w:lineRule="auto"/>
        <w:rPr>
          <w:rFonts w:ascii="PP Mori SemiBold" w:eastAsiaTheme="majorEastAsia" w:hAnsi="PP Mori SemiBold" w:cstheme="majorBidi"/>
          <w:color w:val="013C4C" w:themeColor="text1"/>
          <w:sz w:val="32"/>
          <w:szCs w:val="40"/>
          <w:lang w:eastAsia="en-US" w:bidi="ar-SA"/>
        </w:rPr>
      </w:pPr>
      <w:r w:rsidRPr="008D7E71">
        <w:rPr>
          <w:lang w:eastAsia="en-US" w:bidi="ar-SA"/>
        </w:rPr>
        <w:br w:type="page"/>
      </w:r>
    </w:p>
    <w:p w14:paraId="1525A635" w14:textId="1699BC27" w:rsidR="00706727" w:rsidRPr="008D7E71" w:rsidRDefault="00706727" w:rsidP="00706727">
      <w:pPr>
        <w:pStyle w:val="Heading1"/>
        <w:rPr>
          <w:lang w:eastAsia="en-US" w:bidi="ar-SA"/>
        </w:rPr>
      </w:pPr>
      <w:bookmarkStart w:id="57" w:name="_Toc205536764"/>
      <w:bookmarkStart w:id="58" w:name="Ch_6"/>
      <w:r w:rsidRPr="008D7E71">
        <w:rPr>
          <w:lang w:eastAsia="en-US" w:bidi="ar-SA"/>
        </w:rPr>
        <w:t>Conclusion</w:t>
      </w:r>
      <w:bookmarkEnd w:id="57"/>
      <w:r w:rsidRPr="008D7E71">
        <w:rPr>
          <w:lang w:eastAsia="en-US" w:bidi="ar-SA"/>
        </w:rPr>
        <w:t xml:space="preserve"> </w:t>
      </w:r>
    </w:p>
    <w:bookmarkEnd w:id="58"/>
    <w:p w14:paraId="07BCE3FD" w14:textId="77777777" w:rsidR="00FA29D0" w:rsidRPr="008D7E71" w:rsidRDefault="00FA29D0" w:rsidP="00FA29D0">
      <w:pPr>
        <w:rPr>
          <w:lang w:eastAsia="en-US" w:bidi="ar-SA"/>
        </w:rPr>
      </w:pPr>
      <w:r w:rsidRPr="008D7E71">
        <w:rPr>
          <w:lang w:eastAsia="en-US" w:bidi="ar-SA"/>
        </w:rPr>
        <w:t>The transformation of Australia’s power system is fundamentally a societal endeavour. It is being driven not solely by technological advancement or regulatory change, but by a decisive shift in customer expectations, social values, and the evolving role of communities within the energy system. This report articulates eight Future Customer and Societal Objectives—Dependable, Affordable, Sustainable, Equitable, Empowering, Expandable, Adaptable, and Beneficial—that collectively define the essential characteristics of a future power system that is fit for purpose.</w:t>
      </w:r>
    </w:p>
    <w:p w14:paraId="6275B9DC" w14:textId="12F6D230" w:rsidR="00FA29D0" w:rsidRPr="008D7E71" w:rsidRDefault="00FA29D0" w:rsidP="00FA29D0">
      <w:pPr>
        <w:rPr>
          <w:lang w:eastAsia="en-US" w:bidi="ar-SA"/>
        </w:rPr>
      </w:pPr>
      <w:r w:rsidRPr="008D7E71">
        <w:rPr>
          <w:lang w:eastAsia="en-US" w:bidi="ar-SA"/>
        </w:rPr>
        <w:t>These objectives emerge from the recognition that the power system exists to serve people. It is their expectations, preferences, and participation that</w:t>
      </w:r>
      <w:r w:rsidR="007851BB" w:rsidRPr="008D7E71">
        <w:rPr>
          <w:lang w:eastAsia="en-US" w:bidi="ar-SA"/>
        </w:rPr>
        <w:t xml:space="preserve"> should</w:t>
      </w:r>
      <w:r w:rsidRPr="008D7E71">
        <w:rPr>
          <w:lang w:eastAsia="en-US" w:bidi="ar-SA"/>
        </w:rPr>
        <w:t xml:space="preserve"> increasingly shape the contours of the system’s architecture. Households, businesses, and communities are no longer just consumers—they are investors, operators, and co-designers. Whether through rooftop solar, electric vehicles, or demand-side technologies, millions are making decisions that actively influence system performance and direction. In this context, the legitimacy of system decisions rests not only on engineering excellence or economic efficiency, but on social licence, transparency, and perceived fairness.</w:t>
      </w:r>
    </w:p>
    <w:p w14:paraId="0B78833C" w14:textId="7EF9636A" w:rsidR="00FA29D0" w:rsidRPr="008D7E71" w:rsidRDefault="00FA29D0" w:rsidP="00FA29D0">
      <w:pPr>
        <w:rPr>
          <w:lang w:eastAsia="en-US" w:bidi="ar-SA"/>
        </w:rPr>
      </w:pPr>
      <w:r w:rsidRPr="008D7E71">
        <w:rPr>
          <w:lang w:eastAsia="en-US" w:bidi="ar-SA"/>
        </w:rPr>
        <w:t xml:space="preserve">Importantly, the eight objectives are not discrete technical targets but interconnected </w:t>
      </w:r>
      <w:r w:rsidR="002B2547" w:rsidRPr="008D7E71">
        <w:rPr>
          <w:lang w:eastAsia="en-US" w:bidi="ar-SA"/>
        </w:rPr>
        <w:t xml:space="preserve">and interdependent </w:t>
      </w:r>
      <w:r w:rsidRPr="008D7E71">
        <w:rPr>
          <w:lang w:eastAsia="en-US" w:bidi="ar-SA"/>
        </w:rPr>
        <w:t xml:space="preserve">social outcomes. They reflect a multi-dimensional understanding of value—where affordability cannot come at the cost of trust, and where sustainability must be achieved alongside equity and </w:t>
      </w:r>
      <w:r w:rsidR="00DA2749" w:rsidRPr="008D7E71">
        <w:rPr>
          <w:lang w:eastAsia="en-US" w:bidi="ar-SA"/>
        </w:rPr>
        <w:t>expandability</w:t>
      </w:r>
      <w:r w:rsidRPr="008D7E71">
        <w:rPr>
          <w:lang w:eastAsia="en-US" w:bidi="ar-SA"/>
        </w:rPr>
        <w:t xml:space="preserve">. They also highlight the tension between expanding choice and the responsibility to protect vulnerable customers from complexity and disadvantage. Designing a power system that reconciles these competing pressures requires a new kind of systems thinking—one that </w:t>
      </w:r>
      <w:r w:rsidR="00641540" w:rsidRPr="008D7E71">
        <w:rPr>
          <w:lang w:eastAsia="en-US" w:bidi="ar-SA"/>
        </w:rPr>
        <w:t xml:space="preserve">rigorously </w:t>
      </w:r>
      <w:r w:rsidR="00591448" w:rsidRPr="008D7E71">
        <w:rPr>
          <w:lang w:eastAsia="en-US" w:bidi="ar-SA"/>
        </w:rPr>
        <w:t xml:space="preserve">traces structural interventions </w:t>
      </w:r>
      <w:r w:rsidR="0063374D" w:rsidRPr="008D7E71">
        <w:rPr>
          <w:lang w:eastAsia="en-US" w:bidi="ar-SA"/>
        </w:rPr>
        <w:t>back to outcomes</w:t>
      </w:r>
      <w:r w:rsidR="00A71779" w:rsidRPr="008D7E71">
        <w:rPr>
          <w:lang w:eastAsia="en-US" w:bidi="ar-SA"/>
        </w:rPr>
        <w:t xml:space="preserve"> </w:t>
      </w:r>
      <w:r w:rsidR="00C1123A" w:rsidRPr="008D7E71">
        <w:rPr>
          <w:lang w:eastAsia="en-US" w:bidi="ar-SA"/>
        </w:rPr>
        <w:t xml:space="preserve">aligned with </w:t>
      </w:r>
      <w:r w:rsidR="00631FCB" w:rsidRPr="008D7E71">
        <w:rPr>
          <w:lang w:eastAsia="en-US" w:bidi="ar-SA"/>
        </w:rPr>
        <w:t xml:space="preserve">diverse </w:t>
      </w:r>
      <w:r w:rsidR="006C3117" w:rsidRPr="008D7E71">
        <w:rPr>
          <w:lang w:eastAsia="en-US" w:bidi="ar-SA"/>
        </w:rPr>
        <w:t>customer</w:t>
      </w:r>
      <w:r w:rsidR="00660854" w:rsidRPr="008D7E71">
        <w:rPr>
          <w:lang w:eastAsia="en-US" w:bidi="ar-SA"/>
        </w:rPr>
        <w:t xml:space="preserve"> </w:t>
      </w:r>
      <w:r w:rsidR="006C3117" w:rsidRPr="008D7E71">
        <w:rPr>
          <w:lang w:eastAsia="en-US" w:bidi="ar-SA"/>
        </w:rPr>
        <w:t>and</w:t>
      </w:r>
      <w:r w:rsidR="00660854" w:rsidRPr="008D7E71">
        <w:rPr>
          <w:lang w:eastAsia="en-US" w:bidi="ar-SA"/>
        </w:rPr>
        <w:t xml:space="preserve"> with </w:t>
      </w:r>
      <w:r w:rsidR="006C3117" w:rsidRPr="008D7E71">
        <w:rPr>
          <w:lang w:eastAsia="en-US" w:bidi="ar-SA"/>
        </w:rPr>
        <w:t>societal preferences</w:t>
      </w:r>
      <w:r w:rsidRPr="008D7E71">
        <w:rPr>
          <w:lang w:eastAsia="en-US" w:bidi="ar-SA"/>
        </w:rPr>
        <w:t>.</w:t>
      </w:r>
    </w:p>
    <w:p w14:paraId="6007C8F2" w14:textId="77777777" w:rsidR="00FA29D0" w:rsidRPr="008D7E71" w:rsidRDefault="00FA29D0" w:rsidP="00FA29D0">
      <w:pPr>
        <w:rPr>
          <w:lang w:eastAsia="en-US" w:bidi="ar-SA"/>
        </w:rPr>
      </w:pPr>
      <w:r w:rsidRPr="008D7E71">
        <w:rPr>
          <w:lang w:eastAsia="en-US" w:bidi="ar-SA"/>
        </w:rPr>
        <w:t>Architectural tools and frameworks, as discussed throughout the report, offer a structured means of navigating these trade-offs. By distinguishing between structural system properties and emergent system qualities, stakeholders are better equipped to trace how design decisions impact customer outcomes. This approach enables alignment between policy, investment, and governance with the evolving priorities of society. It also allows for more resilient system pathways that preserve optionality, minimise lock-in, and support continuous adaptation.</w:t>
      </w:r>
    </w:p>
    <w:p w14:paraId="2D5C42D3" w14:textId="25517E30" w:rsidR="00FA29D0" w:rsidRPr="008D7E71" w:rsidRDefault="00FA29D0" w:rsidP="00FA29D0">
      <w:pPr>
        <w:rPr>
          <w:lang w:eastAsia="en-US" w:bidi="ar-SA"/>
        </w:rPr>
      </w:pPr>
      <w:r w:rsidRPr="008D7E71">
        <w:rPr>
          <w:lang w:eastAsia="en-US" w:bidi="ar-SA"/>
        </w:rPr>
        <w:t xml:space="preserve">Ultimately, the challenge is not just to build a power system that works, but one that is worthy of public trust, capable of delivering social benefit, and inclusive of the many futures Australians wish to shape. The objectives outlined in this report serve not as a checklist, but as a shared foundation from which </w:t>
      </w:r>
      <w:r w:rsidR="00136EE1" w:rsidRPr="008D7E71">
        <w:rPr>
          <w:lang w:eastAsia="en-US" w:bidi="ar-SA"/>
        </w:rPr>
        <w:t>system custodians</w:t>
      </w:r>
      <w:r w:rsidRPr="008D7E71">
        <w:rPr>
          <w:lang w:eastAsia="en-US" w:bidi="ar-SA"/>
        </w:rPr>
        <w:t xml:space="preserve"> can evaluate decisions, resolve tensions, and design a system transformation that is not only technically sound but socially anchored. </w:t>
      </w:r>
    </w:p>
    <w:p w14:paraId="312C4383" w14:textId="57EB0892" w:rsidR="0035321F" w:rsidRPr="00050A5B" w:rsidRDefault="0035321F">
      <w:pPr>
        <w:spacing w:before="0" w:after="160" w:line="259" w:lineRule="auto"/>
        <w:rPr>
          <w:rFonts w:ascii="PP Mori SemiBold" w:eastAsiaTheme="majorEastAsia" w:hAnsi="PP Mori SemiBold" w:cstheme="majorBidi"/>
          <w:color w:val="013C4C" w:themeColor="text1"/>
          <w:sz w:val="32"/>
          <w:szCs w:val="40"/>
          <w:lang w:eastAsia="en-US" w:bidi="ar-SA"/>
        </w:rPr>
      </w:pPr>
      <w:r w:rsidRPr="00050A5B">
        <w:rPr>
          <w:lang w:eastAsia="en-US" w:bidi="ar-SA"/>
        </w:rPr>
        <w:br w:type="page"/>
      </w:r>
    </w:p>
    <w:p w14:paraId="60660935" w14:textId="67C44D22" w:rsidR="00706727" w:rsidRDefault="00706727" w:rsidP="00706727">
      <w:pPr>
        <w:pStyle w:val="Heading1"/>
        <w:rPr>
          <w:lang w:eastAsia="en-US" w:bidi="ar-SA"/>
        </w:rPr>
      </w:pPr>
      <w:bookmarkStart w:id="59" w:name="_Toc205536765"/>
      <w:r w:rsidRPr="00050A5B">
        <w:rPr>
          <w:lang w:eastAsia="en-US" w:bidi="ar-SA"/>
        </w:rPr>
        <w:t>References</w:t>
      </w:r>
      <w:bookmarkEnd w:id="59"/>
      <w:r w:rsidRPr="00050A5B">
        <w:rPr>
          <w:lang w:eastAsia="en-US" w:bidi="ar-SA"/>
        </w:rPr>
        <w:t xml:space="preserve"> </w:t>
      </w:r>
    </w:p>
    <w:p w14:paraId="46BE22EC" w14:textId="350D6830" w:rsidR="00B65A9C" w:rsidRDefault="007A343A" w:rsidP="003F223E">
      <w:pPr>
        <w:pStyle w:val="ListParagraph"/>
        <w:numPr>
          <w:ilvl w:val="0"/>
          <w:numId w:val="13"/>
        </w:numPr>
        <w:rPr>
          <w:lang w:eastAsia="en-US" w:bidi="ar-SA"/>
        </w:rPr>
      </w:pPr>
      <w:r>
        <w:rPr>
          <w:lang w:eastAsia="en-US" w:bidi="ar-SA"/>
        </w:rPr>
        <w:t>World Energy Council</w:t>
      </w:r>
      <w:r w:rsidR="00E361CA">
        <w:rPr>
          <w:lang w:eastAsia="en-US" w:bidi="ar-SA"/>
        </w:rPr>
        <w:t xml:space="preserve">, </w:t>
      </w:r>
      <w:r w:rsidR="00E361CA">
        <w:rPr>
          <w:i/>
          <w:iCs/>
          <w:lang w:eastAsia="en-US" w:bidi="ar-SA"/>
        </w:rPr>
        <w:t>World E</w:t>
      </w:r>
      <w:r w:rsidR="00AB6652">
        <w:rPr>
          <w:i/>
          <w:iCs/>
          <w:lang w:eastAsia="en-US" w:bidi="ar-SA"/>
        </w:rPr>
        <w:t>n</w:t>
      </w:r>
      <w:r w:rsidR="00E361CA">
        <w:rPr>
          <w:i/>
          <w:iCs/>
          <w:lang w:eastAsia="en-US" w:bidi="ar-SA"/>
        </w:rPr>
        <w:t>ergy Trilemma Framework</w:t>
      </w:r>
      <w:r w:rsidR="00044310">
        <w:rPr>
          <w:i/>
          <w:iCs/>
          <w:lang w:eastAsia="en-US" w:bidi="ar-SA"/>
        </w:rPr>
        <w:t>,</w:t>
      </w:r>
      <w:r w:rsidR="00DC635B">
        <w:rPr>
          <w:i/>
          <w:iCs/>
          <w:lang w:eastAsia="en-US" w:bidi="ar-SA"/>
        </w:rPr>
        <w:t xml:space="preserve"> </w:t>
      </w:r>
      <w:r w:rsidR="00DC635B">
        <w:rPr>
          <w:lang w:eastAsia="en-US" w:bidi="ar-SA"/>
        </w:rPr>
        <w:t>2025. [Online</w:t>
      </w:r>
      <w:r w:rsidR="005B10E2">
        <w:rPr>
          <w:lang w:eastAsia="en-US" w:bidi="ar-SA"/>
        </w:rPr>
        <w:t xml:space="preserve">]. Available: </w:t>
      </w:r>
      <w:hyperlink r:id="rId29" w:history="1">
        <w:r w:rsidR="000B3C13" w:rsidRPr="000B3C13">
          <w:rPr>
            <w:rStyle w:val="Hyperlink"/>
            <w:lang w:eastAsia="en-US" w:bidi="ar-SA"/>
          </w:rPr>
          <w:t>World Energy Trilemma Index | World Energy Council</w:t>
        </w:r>
      </w:hyperlink>
    </w:p>
    <w:p w14:paraId="4520A2A2" w14:textId="4A7C2C84" w:rsidR="000B3C13" w:rsidRDefault="002854F8" w:rsidP="003F223E">
      <w:pPr>
        <w:pStyle w:val="ListParagraph"/>
        <w:numPr>
          <w:ilvl w:val="0"/>
          <w:numId w:val="13"/>
        </w:numPr>
        <w:rPr>
          <w:lang w:eastAsia="en-US" w:bidi="ar-SA"/>
        </w:rPr>
      </w:pPr>
      <w:r>
        <w:rPr>
          <w:lang w:eastAsia="en-US" w:bidi="ar-SA"/>
        </w:rPr>
        <w:t>CSIRO</w:t>
      </w:r>
      <w:r w:rsidR="00BB48FE">
        <w:rPr>
          <w:lang w:eastAsia="en-US" w:bidi="ar-SA"/>
        </w:rPr>
        <w:t xml:space="preserve">, </w:t>
      </w:r>
      <w:r w:rsidR="00BB48FE">
        <w:rPr>
          <w:i/>
          <w:iCs/>
          <w:lang w:eastAsia="en-US" w:bidi="ar-SA"/>
        </w:rPr>
        <w:t>The Energy Trilemma</w:t>
      </w:r>
      <w:r w:rsidR="00120253">
        <w:rPr>
          <w:i/>
          <w:iCs/>
          <w:lang w:eastAsia="en-US" w:bidi="ar-SA"/>
        </w:rPr>
        <w:t xml:space="preserve"> – What Matters the Most to </w:t>
      </w:r>
      <w:proofErr w:type="gramStart"/>
      <w:r w:rsidR="00120253">
        <w:rPr>
          <w:i/>
          <w:iCs/>
          <w:lang w:eastAsia="en-US" w:bidi="ar-SA"/>
        </w:rPr>
        <w:t>Consumers?</w:t>
      </w:r>
      <w:r w:rsidR="00577241">
        <w:rPr>
          <w:i/>
          <w:iCs/>
          <w:lang w:eastAsia="en-US" w:bidi="ar-SA"/>
        </w:rPr>
        <w:t>,</w:t>
      </w:r>
      <w:proofErr w:type="gramEnd"/>
      <w:r w:rsidR="00577241">
        <w:rPr>
          <w:i/>
          <w:iCs/>
          <w:lang w:eastAsia="en-US" w:bidi="ar-SA"/>
        </w:rPr>
        <w:t xml:space="preserve"> </w:t>
      </w:r>
      <w:r w:rsidR="00E44047">
        <w:rPr>
          <w:lang w:eastAsia="en-US" w:bidi="ar-SA"/>
        </w:rPr>
        <w:t>April 2019.</w:t>
      </w:r>
      <w:r w:rsidR="00044310">
        <w:rPr>
          <w:lang w:eastAsia="en-US" w:bidi="ar-SA"/>
        </w:rPr>
        <w:t xml:space="preserve"> [Online</w:t>
      </w:r>
      <w:r w:rsidR="00F070C7">
        <w:rPr>
          <w:lang w:eastAsia="en-US" w:bidi="ar-SA"/>
        </w:rPr>
        <w:t>]. Available</w:t>
      </w:r>
      <w:r w:rsidR="0085683E">
        <w:rPr>
          <w:lang w:eastAsia="en-US" w:bidi="ar-SA"/>
        </w:rPr>
        <w:t xml:space="preserve">: </w:t>
      </w:r>
      <w:hyperlink r:id="rId30" w:history="1">
        <w:r w:rsidR="00805F4A" w:rsidRPr="00805F4A">
          <w:rPr>
            <w:rStyle w:val="Hyperlink"/>
            <w:lang w:eastAsia="en-US" w:bidi="ar-SA"/>
          </w:rPr>
          <w:t>https://www.csiro.au/-/media/EF/Files/Energise-insights/Insight-40-Energy-Trilemma.pdf</w:t>
        </w:r>
      </w:hyperlink>
    </w:p>
    <w:p w14:paraId="5C75B63E" w14:textId="1E7816AE" w:rsidR="00805F4A" w:rsidRPr="00B65A9C" w:rsidRDefault="001D5C3A" w:rsidP="003F223E">
      <w:pPr>
        <w:pStyle w:val="ListParagraph"/>
        <w:numPr>
          <w:ilvl w:val="0"/>
          <w:numId w:val="13"/>
        </w:numPr>
        <w:rPr>
          <w:lang w:eastAsia="en-US" w:bidi="ar-SA"/>
        </w:rPr>
      </w:pPr>
      <w:r>
        <w:rPr>
          <w:lang w:eastAsia="en-US" w:bidi="ar-SA"/>
        </w:rPr>
        <w:t xml:space="preserve">B. </w:t>
      </w:r>
      <w:proofErr w:type="spellStart"/>
      <w:r>
        <w:rPr>
          <w:lang w:eastAsia="en-US" w:bidi="ar-SA"/>
        </w:rPr>
        <w:t>Mawhood</w:t>
      </w:r>
      <w:proofErr w:type="spellEnd"/>
      <w:r>
        <w:rPr>
          <w:lang w:eastAsia="en-US" w:bidi="ar-SA"/>
        </w:rPr>
        <w:t xml:space="preserve"> and N.</w:t>
      </w:r>
      <w:r w:rsidR="004B39B6">
        <w:rPr>
          <w:lang w:eastAsia="en-US" w:bidi="ar-SA"/>
        </w:rPr>
        <w:t xml:space="preserve"> Sutherland</w:t>
      </w:r>
      <w:r w:rsidR="00565A69">
        <w:rPr>
          <w:lang w:eastAsia="en-US" w:bidi="ar-SA"/>
        </w:rPr>
        <w:t xml:space="preserve">, </w:t>
      </w:r>
      <w:r w:rsidR="00565A69">
        <w:rPr>
          <w:i/>
          <w:iCs/>
          <w:lang w:eastAsia="en-US" w:bidi="ar-SA"/>
        </w:rPr>
        <w:t xml:space="preserve">Tackling the Energy Trilemma, </w:t>
      </w:r>
      <w:r w:rsidR="00F13065">
        <w:rPr>
          <w:lang w:eastAsia="en-US" w:bidi="ar-SA"/>
        </w:rPr>
        <w:t>House of Commons Library, UK Parliament</w:t>
      </w:r>
      <w:r w:rsidR="00CB2C6C">
        <w:rPr>
          <w:lang w:eastAsia="en-US" w:bidi="ar-SA"/>
        </w:rPr>
        <w:t>, March 2</w:t>
      </w:r>
      <w:r w:rsidR="00883E6A">
        <w:rPr>
          <w:lang w:eastAsia="en-US" w:bidi="ar-SA"/>
        </w:rPr>
        <w:t>023</w:t>
      </w:r>
      <w:r w:rsidR="00C70C05">
        <w:rPr>
          <w:lang w:eastAsia="en-US" w:bidi="ar-SA"/>
        </w:rPr>
        <w:t>. [Online}. Available</w:t>
      </w:r>
      <w:r w:rsidR="000453CB">
        <w:rPr>
          <w:lang w:eastAsia="en-US" w:bidi="ar-SA"/>
        </w:rPr>
        <w:t xml:space="preserve">: </w:t>
      </w:r>
      <w:hyperlink r:id="rId31" w:history="1">
        <w:r w:rsidR="000453CB" w:rsidRPr="000453CB">
          <w:rPr>
            <w:rStyle w:val="Hyperlink"/>
            <w:lang w:eastAsia="en-US" w:bidi="ar-SA"/>
          </w:rPr>
          <w:t>Tackling the energy trilemma - House of Commons Library</w:t>
        </w:r>
      </w:hyperlink>
    </w:p>
    <w:p w14:paraId="4E059767" w14:textId="7CA82C17" w:rsidR="00B54119" w:rsidRPr="00050A5B" w:rsidRDefault="001261A9" w:rsidP="00B54119">
      <w:pPr>
        <w:rPr>
          <w:i/>
          <w:iCs/>
          <w:sz w:val="16"/>
          <w:szCs w:val="24"/>
          <w:lang w:eastAsia="en-US" w:bidi="ar-SA"/>
        </w:rPr>
      </w:pPr>
      <w:r w:rsidRPr="00050A5B">
        <w:rPr>
          <w:i/>
          <w:iCs/>
          <w:sz w:val="16"/>
          <w:szCs w:val="24"/>
          <w:lang w:eastAsia="en-US" w:bidi="ar-SA"/>
        </w:rPr>
        <w:t xml:space="preserve">Note: </w:t>
      </w:r>
      <w:r w:rsidR="006076F0" w:rsidRPr="00050A5B">
        <w:rPr>
          <w:i/>
          <w:iCs/>
          <w:sz w:val="16"/>
          <w:szCs w:val="24"/>
          <w:lang w:eastAsia="en-US" w:bidi="ar-SA"/>
        </w:rPr>
        <w:t xml:space="preserve">References </w:t>
      </w:r>
      <w:r w:rsidR="00D84496" w:rsidRPr="00050A5B">
        <w:rPr>
          <w:i/>
          <w:iCs/>
          <w:sz w:val="16"/>
          <w:szCs w:val="24"/>
          <w:lang w:eastAsia="en-US" w:bidi="ar-SA"/>
        </w:rPr>
        <w:t xml:space="preserve">grouped under </w:t>
      </w:r>
      <w:r w:rsidR="003F46C1" w:rsidRPr="00050A5B">
        <w:rPr>
          <w:i/>
          <w:iCs/>
          <w:sz w:val="16"/>
          <w:szCs w:val="24"/>
          <w:lang w:eastAsia="en-US" w:bidi="ar-SA"/>
        </w:rPr>
        <w:t xml:space="preserve">the </w:t>
      </w:r>
      <w:r w:rsidRPr="00050A5B">
        <w:rPr>
          <w:i/>
          <w:iCs/>
          <w:sz w:val="16"/>
          <w:szCs w:val="24"/>
          <w:lang w:eastAsia="en-US" w:bidi="ar-SA"/>
        </w:rPr>
        <w:t>relevant Future Customer and Societal Objective heading that they support.</w:t>
      </w:r>
    </w:p>
    <w:p w14:paraId="0DC14E9D" w14:textId="687242EF" w:rsidR="00406E89" w:rsidRPr="00050A5B" w:rsidRDefault="00564043" w:rsidP="00564043">
      <w:pPr>
        <w:pStyle w:val="Heading2"/>
        <w:rPr>
          <w:lang w:eastAsia="en-US" w:bidi="ar-SA"/>
        </w:rPr>
      </w:pPr>
      <w:bookmarkStart w:id="60" w:name="_Toc195107226"/>
      <w:bookmarkStart w:id="61" w:name="_Toc195206912"/>
      <w:bookmarkStart w:id="62" w:name="_Toc205362701"/>
      <w:bookmarkStart w:id="63" w:name="_Toc205536766"/>
      <w:bookmarkStart w:id="64" w:name="Reference_8_1"/>
      <w:r w:rsidRPr="00050A5B">
        <w:rPr>
          <w:lang w:eastAsia="en-US" w:bidi="ar-SA"/>
        </w:rPr>
        <w:t>Dependable</w:t>
      </w:r>
      <w:bookmarkEnd w:id="60"/>
      <w:bookmarkEnd w:id="61"/>
      <w:bookmarkEnd w:id="62"/>
      <w:bookmarkEnd w:id="63"/>
    </w:p>
    <w:bookmarkEnd w:id="64"/>
    <w:p w14:paraId="1D05C939" w14:textId="40E4904B" w:rsidR="007B17D0" w:rsidRPr="000A5D1C" w:rsidRDefault="003C2728" w:rsidP="00CC03F7">
      <w:pPr>
        <w:pStyle w:val="ListParagraph"/>
        <w:numPr>
          <w:ilvl w:val="0"/>
          <w:numId w:val="3"/>
        </w:numPr>
        <w:rPr>
          <w:szCs w:val="18"/>
          <w:lang w:eastAsia="en-US" w:bidi="ar-SA"/>
        </w:rPr>
      </w:pPr>
      <w:r w:rsidRPr="000A5D1C">
        <w:rPr>
          <w:szCs w:val="18"/>
          <w:lang w:eastAsia="en-US" w:bidi="ar-SA"/>
        </w:rPr>
        <w:t>ENA and CSIRO,</w:t>
      </w:r>
      <w:r w:rsidRPr="000A5D1C">
        <w:rPr>
          <w:rFonts w:ascii="Calibri" w:hAnsi="Calibri" w:cs="Calibri"/>
          <w:szCs w:val="18"/>
          <w:lang w:eastAsia="en-US" w:bidi="ar-SA"/>
        </w:rPr>
        <w:t> </w:t>
      </w:r>
      <w:r w:rsidRPr="000A5D1C">
        <w:rPr>
          <w:i/>
          <w:iCs/>
          <w:szCs w:val="18"/>
          <w:lang w:eastAsia="en-US" w:bidi="ar-SA"/>
        </w:rPr>
        <w:t>Electricity Network Transformation Roadmap - Interim Program Report</w:t>
      </w:r>
      <w:r w:rsidRPr="000A5D1C">
        <w:rPr>
          <w:szCs w:val="18"/>
          <w:lang w:eastAsia="en-US" w:bidi="ar-SA"/>
        </w:rPr>
        <w:t>, 2015. [Online]. Available:</w:t>
      </w:r>
      <w:r w:rsidRPr="000A5D1C">
        <w:rPr>
          <w:rFonts w:ascii="Calibri" w:hAnsi="Calibri" w:cs="Calibri"/>
          <w:szCs w:val="18"/>
          <w:lang w:eastAsia="en-US" w:bidi="ar-SA"/>
        </w:rPr>
        <w:t> </w:t>
      </w:r>
      <w:hyperlink r:id="rId32" w:tgtFrame="_blank" w:history="1">
        <w:r w:rsidRPr="000A5D1C">
          <w:rPr>
            <w:rStyle w:val="Hyperlink"/>
            <w:szCs w:val="18"/>
            <w:lang w:eastAsia="en-US" w:bidi="ar-SA"/>
          </w:rPr>
          <w:t>https://www.energynetworks.com.au/resources/reports/electricity-network-transformation-roadmap-interim-program-report-summary/</w:t>
        </w:r>
      </w:hyperlink>
      <w:r w:rsidR="007B17D0" w:rsidRPr="000A5D1C">
        <w:rPr>
          <w:szCs w:val="18"/>
          <w:lang w:eastAsia="en-US" w:bidi="ar-SA"/>
        </w:rPr>
        <w:t xml:space="preserve">. </w:t>
      </w:r>
    </w:p>
    <w:p w14:paraId="3F700F4A" w14:textId="64A2A4CF" w:rsidR="00FA3357" w:rsidRPr="000A5D1C" w:rsidRDefault="00403376" w:rsidP="00CC03F7">
      <w:pPr>
        <w:pStyle w:val="ListParagraph"/>
        <w:numPr>
          <w:ilvl w:val="0"/>
          <w:numId w:val="3"/>
        </w:numPr>
        <w:rPr>
          <w:szCs w:val="18"/>
          <w:lang w:eastAsia="en-US" w:bidi="ar-SA"/>
        </w:rPr>
      </w:pPr>
      <w:r w:rsidRPr="000A5D1C">
        <w:rPr>
          <w:szCs w:val="18"/>
          <w:lang w:eastAsia="en-US" w:bidi="ar-SA"/>
        </w:rPr>
        <w:t xml:space="preserve">P. De Martini and A. De Martini, </w:t>
      </w:r>
      <w:r w:rsidRPr="000A5D1C">
        <w:rPr>
          <w:i/>
          <w:iCs/>
          <w:szCs w:val="18"/>
          <w:lang w:eastAsia="en-US" w:bidi="ar-SA"/>
        </w:rPr>
        <w:t>Customer Load Management: Evolution &amp; Revolution</w:t>
      </w:r>
      <w:r w:rsidRPr="000A5D1C">
        <w:rPr>
          <w:szCs w:val="18"/>
          <w:lang w:eastAsia="en-US" w:bidi="ar-SA"/>
        </w:rPr>
        <w:t xml:space="preserve">, Pacific Energy Institute, Dec. 2021. [Online]. Available: </w:t>
      </w:r>
      <w:hyperlink r:id="rId33" w:history="1">
        <w:r w:rsidR="00FA3357" w:rsidRPr="000A5D1C">
          <w:rPr>
            <w:rStyle w:val="Hyperlink"/>
            <w:szCs w:val="18"/>
            <w:lang w:eastAsia="en-US" w:bidi="ar-SA"/>
          </w:rPr>
          <w:t>https://pacificenergyinstitute.org/wp-content/uploads/2021/12/PEI-Customer-Load-Management-Evolution-Revolution-12.29.21.pdf</w:t>
        </w:r>
      </w:hyperlink>
      <w:r w:rsidRPr="000A5D1C">
        <w:rPr>
          <w:szCs w:val="18"/>
          <w:lang w:eastAsia="en-US" w:bidi="ar-SA"/>
        </w:rPr>
        <w:t>.</w:t>
      </w:r>
      <w:r w:rsidRPr="000A5D1C" w:rsidDel="00B83771">
        <w:rPr>
          <w:szCs w:val="18"/>
          <w:lang w:eastAsia="en-US" w:bidi="ar-SA"/>
        </w:rPr>
        <w:t xml:space="preserve"> </w:t>
      </w:r>
    </w:p>
    <w:p w14:paraId="17C11E80" w14:textId="685C7E8E" w:rsidR="00BE0E6E" w:rsidRPr="000A5D1C" w:rsidRDefault="00E82758" w:rsidP="00CC03F7">
      <w:pPr>
        <w:pStyle w:val="ListParagraph"/>
        <w:numPr>
          <w:ilvl w:val="0"/>
          <w:numId w:val="3"/>
        </w:numPr>
        <w:rPr>
          <w:szCs w:val="18"/>
          <w:lang w:eastAsia="en-US" w:bidi="ar-SA"/>
        </w:rPr>
      </w:pPr>
      <w:r w:rsidRPr="000A5D1C">
        <w:rPr>
          <w:szCs w:val="18"/>
          <w:lang w:eastAsia="en-US" w:bidi="ar-SA"/>
        </w:rPr>
        <w:t xml:space="preserve">ACOSS and TEC, </w:t>
      </w:r>
      <w:proofErr w:type="spellStart"/>
      <w:r w:rsidRPr="000A5D1C">
        <w:rPr>
          <w:i/>
          <w:iCs/>
          <w:szCs w:val="18"/>
          <w:lang w:eastAsia="en-US" w:bidi="ar-SA"/>
        </w:rPr>
        <w:t>ourPower</w:t>
      </w:r>
      <w:proofErr w:type="spellEnd"/>
      <w:r w:rsidRPr="000A5D1C">
        <w:rPr>
          <w:i/>
          <w:iCs/>
          <w:szCs w:val="18"/>
          <w:lang w:eastAsia="en-US" w:bidi="ar-SA"/>
        </w:rPr>
        <w:t>: A Vision for Clean, Affordable, Dependable Energy for All,</w:t>
      </w:r>
      <w:r w:rsidRPr="000A5D1C">
        <w:rPr>
          <w:szCs w:val="18"/>
          <w:lang w:eastAsia="en-US" w:bidi="ar-SA"/>
        </w:rPr>
        <w:t xml:space="preserve"> Feb. 2022. [Online]. Available: </w:t>
      </w:r>
      <w:hyperlink r:id="rId34" w:history="1">
        <w:r w:rsidR="00BE0E6E" w:rsidRPr="000A5D1C">
          <w:rPr>
            <w:rStyle w:val="Hyperlink"/>
            <w:szCs w:val="18"/>
            <w:lang w:eastAsia="en-US" w:bidi="ar-SA"/>
          </w:rPr>
          <w:t>https://ourpower.org.au/wp-content/uploads/2022/02/ourPower-Booklet.pdf</w:t>
        </w:r>
      </w:hyperlink>
      <w:r w:rsidRPr="000A5D1C">
        <w:rPr>
          <w:szCs w:val="18"/>
          <w:lang w:eastAsia="en-US" w:bidi="ar-SA"/>
        </w:rPr>
        <w:t>.</w:t>
      </w:r>
    </w:p>
    <w:p w14:paraId="288F3483" w14:textId="034365F7" w:rsidR="00984CDC" w:rsidRPr="000A5D1C" w:rsidRDefault="008C5AFC" w:rsidP="00CC03F7">
      <w:pPr>
        <w:pStyle w:val="ListParagraph"/>
        <w:numPr>
          <w:ilvl w:val="0"/>
          <w:numId w:val="3"/>
        </w:numPr>
        <w:rPr>
          <w:szCs w:val="18"/>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35" w:history="1">
        <w:r w:rsidR="00984CDC" w:rsidRPr="000A5D1C">
          <w:rPr>
            <w:rStyle w:val="Hyperlink"/>
            <w:szCs w:val="18"/>
            <w:lang w:eastAsia="en-US" w:bidi="ar-SA"/>
          </w:rPr>
          <w:t>https://energyconsumersaustralia.com.au/wp-content/uploads/Energy-Consumers-Australia-Strategic-Plan-2021-2024.pdf</w:t>
        </w:r>
      </w:hyperlink>
      <w:r w:rsidRPr="000A5D1C">
        <w:rPr>
          <w:szCs w:val="18"/>
          <w:lang w:eastAsia="en-US" w:bidi="ar-SA"/>
        </w:rPr>
        <w:t>.</w:t>
      </w:r>
    </w:p>
    <w:p w14:paraId="03DDFD93" w14:textId="389433AD" w:rsidR="00070B5F" w:rsidRPr="000A5D1C" w:rsidRDefault="00CE22D4" w:rsidP="00CC03F7">
      <w:pPr>
        <w:pStyle w:val="ListParagraph"/>
        <w:numPr>
          <w:ilvl w:val="0"/>
          <w:numId w:val="3"/>
        </w:numPr>
        <w:rPr>
          <w:szCs w:val="18"/>
          <w:lang w:eastAsia="en-US" w:bidi="ar-SA"/>
        </w:rPr>
      </w:pPr>
      <w:r w:rsidRPr="000A5D1C">
        <w:rPr>
          <w:szCs w:val="18"/>
          <w:lang w:eastAsia="en-US" w:bidi="ar-SA"/>
        </w:rPr>
        <w:t xml:space="preserve">D. R. Ben-David, </w:t>
      </w:r>
      <w:r w:rsidRPr="000A5D1C">
        <w:rPr>
          <w:i/>
          <w:iCs/>
          <w:szCs w:val="18"/>
          <w:lang w:eastAsia="en-US" w:bidi="ar-SA"/>
        </w:rPr>
        <w:t>Response to Consultation on Two-Sided Markets,</w:t>
      </w:r>
      <w:r w:rsidRPr="000A5D1C">
        <w:rPr>
          <w:szCs w:val="18"/>
          <w:lang w:eastAsia="en-US" w:bidi="ar-SA"/>
        </w:rPr>
        <w:t xml:space="preserve"> Monash Business School, Oct. 2020. [Online]. Available: </w:t>
      </w:r>
      <w:hyperlink r:id="rId36" w:history="1">
        <w:r w:rsidR="00070B5F" w:rsidRPr="000A5D1C">
          <w:rPr>
            <w:rStyle w:val="Hyperlink"/>
            <w:szCs w:val="18"/>
            <w:lang w:eastAsia="en-US" w:bidi="ar-SA"/>
          </w:rPr>
          <w:t>https://www.monash.edu/__data/assets/pdf_file/0006/2380785/Ron-Ben-David-Response-to-Consultation-on-Post-2025-19-October-2020.pdf</w:t>
        </w:r>
      </w:hyperlink>
      <w:r w:rsidRPr="000A5D1C">
        <w:rPr>
          <w:szCs w:val="18"/>
          <w:lang w:eastAsia="en-US" w:bidi="ar-SA"/>
        </w:rPr>
        <w:t>.</w:t>
      </w:r>
      <w:r w:rsidRPr="000A5D1C" w:rsidDel="00312584">
        <w:rPr>
          <w:szCs w:val="18"/>
          <w:lang w:eastAsia="en-US" w:bidi="ar-SA"/>
        </w:rPr>
        <w:t xml:space="preserve"> </w:t>
      </w:r>
    </w:p>
    <w:p w14:paraId="41FC084F" w14:textId="66F94521" w:rsidR="007B17D0" w:rsidRPr="000A5D1C" w:rsidRDefault="007B17D0" w:rsidP="00CC03F7">
      <w:pPr>
        <w:pStyle w:val="ListParagraph"/>
        <w:numPr>
          <w:ilvl w:val="0"/>
          <w:numId w:val="3"/>
        </w:numPr>
        <w:rPr>
          <w:szCs w:val="18"/>
          <w:lang w:eastAsia="en-US" w:bidi="ar-SA"/>
        </w:rPr>
      </w:pPr>
      <w:r w:rsidRPr="000A5D1C">
        <w:rPr>
          <w:szCs w:val="18"/>
          <w:lang w:eastAsia="en-US" w:bidi="ar-SA"/>
        </w:rPr>
        <w:t xml:space="preserve">Victoria DEWLP, </w:t>
      </w:r>
      <w:r w:rsidRPr="000A5D1C">
        <w:rPr>
          <w:i/>
          <w:iCs/>
          <w:szCs w:val="18"/>
          <w:lang w:eastAsia="en-US" w:bidi="ar-SA"/>
        </w:rPr>
        <w:t xml:space="preserve">Victorian Neighbourhood Battery Initiative Consultation </w:t>
      </w:r>
      <w:r w:rsidR="00F134DE" w:rsidRPr="000A5D1C">
        <w:rPr>
          <w:i/>
          <w:iCs/>
          <w:szCs w:val="18"/>
          <w:lang w:eastAsia="en-US" w:bidi="ar-SA"/>
        </w:rPr>
        <w:t>Paper</w:t>
      </w:r>
      <w:r w:rsidRPr="000A5D1C">
        <w:rPr>
          <w:szCs w:val="18"/>
          <w:lang w:eastAsia="en-US" w:bidi="ar-SA"/>
        </w:rPr>
        <w:t xml:space="preserve">, </w:t>
      </w:r>
      <w:r w:rsidR="00C06A65" w:rsidRPr="000A5D1C">
        <w:rPr>
          <w:szCs w:val="18"/>
          <w:lang w:eastAsia="en-US" w:bidi="ar-SA"/>
        </w:rPr>
        <w:t xml:space="preserve">March </w:t>
      </w:r>
      <w:r w:rsidRPr="000A5D1C">
        <w:rPr>
          <w:szCs w:val="18"/>
          <w:lang w:eastAsia="en-US" w:bidi="ar-SA"/>
        </w:rPr>
        <w:t xml:space="preserve">2021. </w:t>
      </w:r>
    </w:p>
    <w:p w14:paraId="74FEF76D" w14:textId="77777777" w:rsidR="00984CDC" w:rsidRPr="000A5D1C" w:rsidRDefault="00153324" w:rsidP="00CC03F7">
      <w:pPr>
        <w:pStyle w:val="ListParagraph"/>
        <w:numPr>
          <w:ilvl w:val="0"/>
          <w:numId w:val="3"/>
        </w:numPr>
        <w:rPr>
          <w:szCs w:val="33"/>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37" w:tgtFrame="_blank" w:history="1">
        <w:r w:rsidRPr="000A5D1C">
          <w:rPr>
            <w:rStyle w:val="Hyperlink"/>
            <w:szCs w:val="18"/>
            <w:lang w:eastAsia="en-US" w:bidi="ar-SA"/>
          </w:rPr>
          <w:t>https://www.energy.gov/eere/articles/does-national-roadmap-grid-interactive-efficient-buildings</w:t>
        </w:r>
      </w:hyperlink>
      <w:r w:rsidR="007B17D0" w:rsidRPr="000A5D1C">
        <w:rPr>
          <w:szCs w:val="18"/>
          <w:lang w:eastAsia="en-US" w:bidi="ar-SA"/>
        </w:rPr>
        <w:t>.</w:t>
      </w:r>
    </w:p>
    <w:p w14:paraId="2F8C6AC6" w14:textId="406324DA" w:rsidR="00984CDC" w:rsidRPr="000A5D1C" w:rsidRDefault="00E206CC" w:rsidP="00CC03F7">
      <w:pPr>
        <w:pStyle w:val="ListParagraph"/>
        <w:numPr>
          <w:ilvl w:val="0"/>
          <w:numId w:val="3"/>
        </w:numPr>
        <w:rPr>
          <w:szCs w:val="33"/>
          <w:lang w:eastAsia="en-US" w:bidi="ar-SA"/>
        </w:rPr>
      </w:pPr>
      <w:bookmarkStart w:id="65" w:name="Ref_ACOSS_AiGroup_EEC_PropCouncAus"/>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Dec. 2024. [Online]. Available</w:t>
      </w:r>
      <w:bookmarkEnd w:id="65"/>
      <w:r w:rsidRPr="000A5D1C">
        <w:rPr>
          <w:lang w:eastAsia="en-US" w:bidi="ar-SA"/>
        </w:rPr>
        <w:t xml:space="preserve">: </w:t>
      </w:r>
      <w:hyperlink r:id="rId38" w:history="1">
        <w:r w:rsidR="00984CDC" w:rsidRPr="000A5D1C">
          <w:rPr>
            <w:rStyle w:val="Hyperlink"/>
            <w:lang w:eastAsia="en-US" w:bidi="ar-SA"/>
          </w:rPr>
          <w:t>https://www.eec.org.au/uploads/Projects/Demanding%20better%20-%20A%20reform%20agenda.pdf</w:t>
        </w:r>
      </w:hyperlink>
      <w:r w:rsidR="00607C0B" w:rsidRPr="000A5D1C">
        <w:rPr>
          <w:lang w:eastAsia="en-US" w:bidi="ar-SA"/>
        </w:rPr>
        <w:t>.</w:t>
      </w:r>
    </w:p>
    <w:p w14:paraId="7CD8933C" w14:textId="74670735" w:rsidR="00984CDC" w:rsidRPr="000A5D1C" w:rsidRDefault="00075C20" w:rsidP="00CC03F7">
      <w:pPr>
        <w:pStyle w:val="ListParagraph"/>
        <w:numPr>
          <w:ilvl w:val="0"/>
          <w:numId w:val="3"/>
        </w:numPr>
        <w:rPr>
          <w:szCs w:val="33"/>
          <w:lang w:eastAsia="en-US" w:bidi="ar-SA"/>
        </w:rPr>
      </w:pPr>
      <w:bookmarkStart w:id="66" w:name="Ref_ECA_Power_Up_Consumer_Voices_2024"/>
      <w:r w:rsidRPr="000A5D1C">
        <w:rPr>
          <w:szCs w:val="18"/>
        </w:rPr>
        <w:t xml:space="preserve">Energy Consumers Australia and The Insight Centre, </w:t>
      </w:r>
      <w:proofErr w:type="spellStart"/>
      <w:r w:rsidRPr="000A5D1C">
        <w:rPr>
          <w:i/>
          <w:iCs/>
          <w:szCs w:val="18"/>
        </w:rPr>
        <w:t>PowerUp</w:t>
      </w:r>
      <w:proofErr w:type="spellEnd"/>
      <w:r w:rsidRPr="000A5D1C">
        <w:rPr>
          <w:i/>
          <w:iCs/>
          <w:szCs w:val="18"/>
        </w:rPr>
        <w:t>: Consumer Voices in the Energy Transition</w:t>
      </w:r>
      <w:r w:rsidRPr="000A5D1C">
        <w:rPr>
          <w:szCs w:val="18"/>
        </w:rPr>
        <w:t>, Jul. 2024</w:t>
      </w:r>
      <w:bookmarkEnd w:id="66"/>
      <w:r w:rsidRPr="000A5D1C">
        <w:rPr>
          <w:szCs w:val="18"/>
        </w:rPr>
        <w:t xml:space="preserve">. [Online]. Available: </w:t>
      </w:r>
      <w:hyperlink r:id="rId39" w:history="1">
        <w:r w:rsidR="00984CDC" w:rsidRPr="000A5D1C">
          <w:rPr>
            <w:rStyle w:val="Hyperlink"/>
            <w:szCs w:val="18"/>
          </w:rPr>
          <w:t>https://energyconsumersaustralia.com.au/publications/powerup-consumer-voices-energy-transition</w:t>
        </w:r>
      </w:hyperlink>
      <w:r w:rsidRPr="000A5D1C">
        <w:rPr>
          <w:szCs w:val="18"/>
        </w:rPr>
        <w:t>.</w:t>
      </w:r>
      <w:bookmarkStart w:id="67" w:name="_Toc195107227"/>
    </w:p>
    <w:p w14:paraId="57D95D28" w14:textId="7B942190" w:rsidR="00AD15CA" w:rsidRPr="000A5D1C" w:rsidRDefault="00AD15CA" w:rsidP="00AD15CA">
      <w:pPr>
        <w:pStyle w:val="Heading2"/>
        <w:rPr>
          <w:lang w:eastAsia="en-US" w:bidi="ar-SA"/>
        </w:rPr>
      </w:pPr>
      <w:bookmarkStart w:id="68" w:name="_Toc195206913"/>
      <w:bookmarkStart w:id="69" w:name="_Toc205362702"/>
      <w:bookmarkStart w:id="70" w:name="_Toc205536767"/>
      <w:r w:rsidRPr="000A5D1C">
        <w:rPr>
          <w:lang w:eastAsia="en-US" w:bidi="ar-SA"/>
        </w:rPr>
        <w:t>Affordable</w:t>
      </w:r>
      <w:bookmarkEnd w:id="67"/>
      <w:bookmarkEnd w:id="68"/>
      <w:bookmarkEnd w:id="69"/>
      <w:bookmarkEnd w:id="70"/>
    </w:p>
    <w:p w14:paraId="2685E1D1" w14:textId="1E2D5A51" w:rsidR="00984CDC" w:rsidRPr="000A5D1C" w:rsidRDefault="003411F4" w:rsidP="003F223E">
      <w:pPr>
        <w:pStyle w:val="ListParagraph"/>
        <w:numPr>
          <w:ilvl w:val="0"/>
          <w:numId w:val="14"/>
        </w:numPr>
        <w:rPr>
          <w:lang w:eastAsia="en-US" w:bidi="ar-SA"/>
        </w:rPr>
      </w:pPr>
      <w:r w:rsidRPr="000A5D1C">
        <w:rPr>
          <w:lang w:eastAsia="en-US" w:bidi="ar-SA"/>
        </w:rPr>
        <w:t xml:space="preserve">Energy Charter, </w:t>
      </w:r>
      <w:r w:rsidRPr="000A5D1C">
        <w:rPr>
          <w:i/>
          <w:iCs/>
          <w:lang w:eastAsia="en-US" w:bidi="ar-SA"/>
        </w:rPr>
        <w:t>Maturity Model</w:t>
      </w:r>
      <w:r w:rsidRPr="000A5D1C">
        <w:rPr>
          <w:lang w:eastAsia="en-US" w:bidi="ar-SA"/>
        </w:rPr>
        <w:t xml:space="preserve">, Mar. 2020. [Online]. Available: </w:t>
      </w:r>
      <w:hyperlink r:id="rId40" w:history="1">
        <w:r w:rsidR="00984CDC" w:rsidRPr="000A5D1C">
          <w:rPr>
            <w:rStyle w:val="Hyperlink"/>
            <w:lang w:eastAsia="en-US" w:bidi="ar-SA"/>
          </w:rPr>
          <w:t>https://www.theenergycharter.com.au/wp-content/uploads/2020/06/Energy-Charter-Maturity-Model-March-2020.pdf</w:t>
        </w:r>
      </w:hyperlink>
      <w:r w:rsidRPr="000A5D1C">
        <w:rPr>
          <w:lang w:eastAsia="en-US" w:bidi="ar-SA"/>
        </w:rPr>
        <w:t>.</w:t>
      </w:r>
    </w:p>
    <w:p w14:paraId="347DE6AA" w14:textId="46D2518C" w:rsidR="00984CDC" w:rsidRPr="000A5D1C" w:rsidRDefault="00D04B39" w:rsidP="003F223E">
      <w:pPr>
        <w:pStyle w:val="ListParagraph"/>
        <w:numPr>
          <w:ilvl w:val="0"/>
          <w:numId w:val="14"/>
        </w:numPr>
        <w:rPr>
          <w:lang w:eastAsia="en-US" w:bidi="ar-SA"/>
        </w:rPr>
      </w:pPr>
      <w:bookmarkStart w:id="71" w:name="Ref_ACOSS_et_al_Demanding_Better_2024"/>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xml:space="preserve">, Dec. 2024. [Online]. Available: </w:t>
      </w:r>
      <w:bookmarkEnd w:id="71"/>
      <w:r w:rsidR="00984CDC">
        <w:fldChar w:fldCharType="begin"/>
      </w:r>
      <w:r w:rsidR="00984CDC">
        <w:instrText>HYPERLINK "https://www.eec.org.au/uploads/Projects/Demanding%20better%20-%20A%20reform%20agenda.pdf"</w:instrText>
      </w:r>
      <w:r w:rsidR="00984CDC">
        <w:fldChar w:fldCharType="separate"/>
      </w:r>
      <w:r w:rsidR="00984CDC" w:rsidRPr="000A5D1C">
        <w:rPr>
          <w:rStyle w:val="Hyperlink"/>
          <w:lang w:eastAsia="en-US" w:bidi="ar-SA"/>
        </w:rPr>
        <w:t>https://www.eec.org.au/uploads/Projects/Demanding%20better%20-%20A%20reform%20agenda.pdf</w:t>
      </w:r>
      <w:r w:rsidR="00984CDC">
        <w:fldChar w:fldCharType="end"/>
      </w:r>
      <w:r w:rsidRPr="000A5D1C">
        <w:rPr>
          <w:lang w:eastAsia="en-US" w:bidi="ar-SA"/>
        </w:rPr>
        <w:t>.</w:t>
      </w:r>
    </w:p>
    <w:p w14:paraId="263979AA" w14:textId="328A149A" w:rsidR="00984CDC" w:rsidRPr="000A5D1C" w:rsidRDefault="00697BD3" w:rsidP="003F223E">
      <w:pPr>
        <w:pStyle w:val="ListParagraph"/>
        <w:numPr>
          <w:ilvl w:val="0"/>
          <w:numId w:val="14"/>
        </w:numPr>
        <w:rPr>
          <w:lang w:eastAsia="en-US" w:bidi="ar-SA"/>
        </w:rPr>
      </w:pPr>
      <w:bookmarkStart w:id="72" w:name="Ref_Minimising_Consumer_Harm_2022"/>
      <w:r w:rsidRPr="000A5D1C">
        <w:rPr>
          <w:lang w:eastAsia="en-US" w:bidi="ar-SA"/>
        </w:rPr>
        <w:t xml:space="preserve">R. Ben-David, "Minimising consumer harm for a successful energy transition," presented at IPART’s 30th Anniversary Conference, Sydney, Australia, Nov. 17, 2022. [Online]. </w:t>
      </w:r>
      <w:bookmarkEnd w:id="72"/>
      <w:r w:rsidRPr="000A5D1C">
        <w:rPr>
          <w:lang w:eastAsia="en-US" w:bidi="ar-SA"/>
        </w:rPr>
        <w:t xml:space="preserve">Available: </w:t>
      </w:r>
      <w:hyperlink r:id="rId41" w:history="1">
        <w:r w:rsidR="00984CDC"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p>
    <w:p w14:paraId="229D1BE1" w14:textId="77777777" w:rsidR="00984CDC" w:rsidRPr="000A5D1C" w:rsidRDefault="003C1498" w:rsidP="003F223E">
      <w:pPr>
        <w:pStyle w:val="ListParagraph"/>
        <w:numPr>
          <w:ilvl w:val="0"/>
          <w:numId w:val="14"/>
        </w:numPr>
        <w:rPr>
          <w:lang w:eastAsia="en-US" w:bidi="ar-SA"/>
        </w:rPr>
      </w:pPr>
      <w:r w:rsidRPr="000A5D1C">
        <w:rPr>
          <w:szCs w:val="18"/>
          <w:lang w:eastAsia="en-US" w:bidi="ar-SA"/>
        </w:rPr>
        <w:t>ENA and CSIRO,</w:t>
      </w:r>
      <w:r w:rsidRPr="000A5D1C">
        <w:rPr>
          <w:rFonts w:ascii="Calibri" w:hAnsi="Calibri" w:cs="Calibri"/>
          <w:szCs w:val="18"/>
          <w:lang w:eastAsia="en-US" w:bidi="ar-SA"/>
        </w:rPr>
        <w:t> </w:t>
      </w:r>
      <w:r w:rsidRPr="000A5D1C">
        <w:rPr>
          <w:i/>
          <w:iCs/>
          <w:szCs w:val="18"/>
          <w:lang w:eastAsia="en-US" w:bidi="ar-SA"/>
        </w:rPr>
        <w:t>Electricity Network Transformation Roadmap - Interim Program Report</w:t>
      </w:r>
      <w:r w:rsidRPr="000A5D1C">
        <w:rPr>
          <w:szCs w:val="18"/>
          <w:lang w:eastAsia="en-US" w:bidi="ar-SA"/>
        </w:rPr>
        <w:t>, 2015. [Online]. Available:</w:t>
      </w:r>
      <w:r w:rsidRPr="000A5D1C">
        <w:rPr>
          <w:rFonts w:ascii="Calibri" w:hAnsi="Calibri" w:cs="Calibri"/>
          <w:szCs w:val="18"/>
          <w:lang w:eastAsia="en-US" w:bidi="ar-SA"/>
        </w:rPr>
        <w:t> </w:t>
      </w:r>
      <w:hyperlink r:id="rId42" w:tgtFrame="_blank" w:history="1">
        <w:r w:rsidRPr="000A5D1C">
          <w:rPr>
            <w:rStyle w:val="Hyperlink"/>
            <w:szCs w:val="18"/>
            <w:lang w:eastAsia="en-US" w:bidi="ar-SA"/>
          </w:rPr>
          <w:t>https://www.energynetworks.com.au/resources/reports/electricity-network-transformation-roadmap-interim-program-report-summary/</w:t>
        </w:r>
      </w:hyperlink>
    </w:p>
    <w:p w14:paraId="496FCD8F" w14:textId="74775FA4" w:rsidR="00470880" w:rsidRPr="000A5D1C" w:rsidRDefault="009A09A4" w:rsidP="003F223E">
      <w:pPr>
        <w:pStyle w:val="ListParagraph"/>
        <w:numPr>
          <w:ilvl w:val="0"/>
          <w:numId w:val="14"/>
        </w:numPr>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43" w:tgtFrame="_blank" w:history="1">
        <w:r w:rsidRPr="000A5D1C">
          <w:rPr>
            <w:rStyle w:val="Hyperlink"/>
            <w:szCs w:val="18"/>
            <w:lang w:eastAsia="en-US" w:bidi="ar-SA"/>
          </w:rPr>
          <w:t>https://www.energy.gov/eere/articles/does-national-roadmap-grid-interactive-efficient-buildings</w:t>
        </w:r>
      </w:hyperlink>
      <w:r w:rsidR="00470880" w:rsidRPr="000A5D1C">
        <w:rPr>
          <w:lang w:eastAsia="en-US" w:bidi="ar-SA"/>
        </w:rPr>
        <w:t xml:space="preserve">. </w:t>
      </w:r>
    </w:p>
    <w:p w14:paraId="11D909AE" w14:textId="4E96EFAE" w:rsidR="00974B57" w:rsidRPr="000A5D1C" w:rsidRDefault="00153348" w:rsidP="003F223E">
      <w:pPr>
        <w:pStyle w:val="ListParagraph"/>
        <w:numPr>
          <w:ilvl w:val="0"/>
          <w:numId w:val="14"/>
        </w:numPr>
        <w:rPr>
          <w:lang w:eastAsia="en-US" w:bidi="ar-SA"/>
        </w:rPr>
      </w:pPr>
      <w:r w:rsidRPr="000A5D1C">
        <w:rPr>
          <w:lang w:eastAsia="en-US" w:bidi="ar-SA"/>
        </w:rPr>
        <w:t>M. Roberts,</w:t>
      </w:r>
      <w:r w:rsidR="000548D6" w:rsidRPr="000A5D1C">
        <w:rPr>
          <w:lang w:eastAsia="en-US" w:bidi="ar-SA"/>
        </w:rPr>
        <w:t xml:space="preserve"> et al.</w:t>
      </w:r>
      <w:r w:rsidRPr="000A5D1C">
        <w:rPr>
          <w:lang w:eastAsia="en-US" w:bidi="ar-SA"/>
        </w:rPr>
        <w:t xml:space="preserve">,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w:t>
      </w:r>
      <w:r w:rsidR="00C5708C" w:rsidRPr="000A5D1C">
        <w:rPr>
          <w:lang w:eastAsia="en-US" w:bidi="ar-SA"/>
        </w:rPr>
        <w:t xml:space="preserve"> </w:t>
      </w:r>
      <w:hyperlink r:id="rId44" w:history="1">
        <w:r w:rsidR="00974B57" w:rsidRPr="000A5D1C">
          <w:rPr>
            <w:rStyle w:val="Hyperlink"/>
            <w:lang w:eastAsia="en-US" w:bidi="ar-SA"/>
          </w:rPr>
          <w:t>https://www.ceem.unsw.edu.au/sites/default/files/documents/H4-OA-final-report-17.11.21.pdf</w:t>
        </w:r>
      </w:hyperlink>
      <w:r w:rsidRPr="000A5D1C">
        <w:rPr>
          <w:lang w:eastAsia="en-US" w:bidi="ar-SA"/>
        </w:rPr>
        <w:t>.</w:t>
      </w:r>
    </w:p>
    <w:p w14:paraId="32CE3C9E" w14:textId="2F9DE15A" w:rsidR="00470880" w:rsidRPr="000A5D1C" w:rsidRDefault="00872794" w:rsidP="003F223E">
      <w:pPr>
        <w:pStyle w:val="ListParagraph"/>
        <w:numPr>
          <w:ilvl w:val="0"/>
          <w:numId w:val="14"/>
        </w:numPr>
        <w:rPr>
          <w:lang w:eastAsia="en-US" w:bidi="ar-SA"/>
        </w:rPr>
      </w:pPr>
      <w:r w:rsidRPr="000A5D1C">
        <w:rPr>
          <w:lang w:eastAsia="en-US" w:bidi="ar-SA"/>
        </w:rPr>
        <w:t xml:space="preserve">Energy Consumers Australia, </w:t>
      </w:r>
      <w:r w:rsidRPr="000A5D1C">
        <w:rPr>
          <w:i/>
          <w:iCs/>
          <w:lang w:eastAsia="en-US" w:bidi="ar-SA"/>
        </w:rPr>
        <w:t>Submission: AER's Issues Paper on the Retailer Authorisation &amp; Exemptions Review</w:t>
      </w:r>
      <w:r w:rsidRPr="000A5D1C">
        <w:rPr>
          <w:lang w:eastAsia="en-US" w:bidi="ar-SA"/>
        </w:rPr>
        <w:t xml:space="preserve">, Jul. 2022. [Online]. Available: </w:t>
      </w:r>
      <w:hyperlink r:id="rId45" w:history="1">
        <w:r w:rsidR="00D61773" w:rsidRPr="00A57810">
          <w:rPr>
            <w:rStyle w:val="Hyperlink"/>
            <w:lang w:eastAsia="en-US" w:bidi="ar-SA"/>
          </w:rPr>
          <w:t>https://www.aer.gov.au/documents/energy-consumers-australia-submission-aers-issues-paper-retailer-authorisation-and-exemptions-review-28-june-2022</w:t>
        </w:r>
      </w:hyperlink>
      <w:r w:rsidRPr="000A5D1C">
        <w:rPr>
          <w:lang w:eastAsia="en-US" w:bidi="ar-SA"/>
        </w:rPr>
        <w:t>.</w:t>
      </w:r>
      <w:r w:rsidR="00D61773">
        <w:rPr>
          <w:lang w:eastAsia="en-US" w:bidi="ar-SA"/>
        </w:rPr>
        <w:t xml:space="preserve"> </w:t>
      </w:r>
    </w:p>
    <w:p w14:paraId="2CF8442E" w14:textId="3FC06E6E" w:rsidR="00470880" w:rsidRPr="000A5D1C" w:rsidRDefault="00291217" w:rsidP="003F223E">
      <w:pPr>
        <w:pStyle w:val="ListParagraph"/>
        <w:numPr>
          <w:ilvl w:val="0"/>
          <w:numId w:val="14"/>
        </w:numPr>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w:t>
      </w:r>
      <w:r w:rsidR="003419C4" w:rsidRPr="000A5D1C">
        <w:rPr>
          <w:lang w:eastAsia="en-US" w:bidi="ar-SA"/>
        </w:rPr>
        <w:t>March</w:t>
      </w:r>
      <w:r w:rsidR="00D52902" w:rsidRPr="000A5D1C">
        <w:rPr>
          <w:lang w:eastAsia="en-US" w:bidi="ar-SA"/>
        </w:rPr>
        <w:t xml:space="preserve"> </w:t>
      </w:r>
      <w:r w:rsidR="00045D1B" w:rsidRPr="000A5D1C">
        <w:rPr>
          <w:lang w:eastAsia="en-US" w:bidi="ar-SA"/>
        </w:rPr>
        <w:t>2022. [</w:t>
      </w:r>
      <w:r w:rsidRPr="000A5D1C">
        <w:rPr>
          <w:lang w:eastAsia="en-US" w:bidi="ar-SA"/>
        </w:rPr>
        <w:t xml:space="preserve">Online]. Available: </w:t>
      </w:r>
      <w:hyperlink r:id="rId46" w:history="1">
        <w:r w:rsidR="00D61773" w:rsidRPr="00A57810">
          <w:rPr>
            <w:rStyle w:val="Hyperlink"/>
            <w:lang w:eastAsia="en-US" w:bidi="ar-SA"/>
          </w:rPr>
          <w:t>https://energyconsumersaustralia.com.au/publications/submission-on-the-aer-draft-consumer-vulnerability-strategy</w:t>
        </w:r>
      </w:hyperlink>
      <w:r w:rsidR="00470880" w:rsidRPr="000A5D1C">
        <w:rPr>
          <w:lang w:eastAsia="en-US" w:bidi="ar-SA"/>
        </w:rPr>
        <w:t>.</w:t>
      </w:r>
      <w:r w:rsidR="00D61773">
        <w:rPr>
          <w:lang w:eastAsia="en-US" w:bidi="ar-SA"/>
        </w:rPr>
        <w:t xml:space="preserve"> </w:t>
      </w:r>
    </w:p>
    <w:p w14:paraId="28B340FD" w14:textId="370A0D4B" w:rsidR="00DD302E" w:rsidRPr="000A5D1C" w:rsidRDefault="001A7DD8" w:rsidP="003F223E">
      <w:pPr>
        <w:pStyle w:val="ListParagraph"/>
        <w:numPr>
          <w:ilvl w:val="0"/>
          <w:numId w:val="14"/>
        </w:numPr>
        <w:rPr>
          <w:lang w:eastAsia="en-US" w:bidi="ar-SA"/>
        </w:rPr>
      </w:pPr>
      <w:bookmarkStart w:id="73" w:name="Ref_ECA_Sentiment_Survey_Household_2022"/>
      <w:r w:rsidRPr="000A5D1C">
        <w:rPr>
          <w:lang w:eastAsia="en-US" w:bidi="ar-SA"/>
        </w:rPr>
        <w:t>Energy Consumers Australia</w:t>
      </w:r>
      <w:r w:rsidRPr="000A5D1C">
        <w:rPr>
          <w:i/>
          <w:iCs/>
          <w:lang w:eastAsia="en-US" w:bidi="ar-SA"/>
        </w:rPr>
        <w:t>, Energy Consumer Sentiment Survey: Household Topline Results</w:t>
      </w:r>
      <w:r w:rsidRPr="000A5D1C">
        <w:rPr>
          <w:lang w:eastAsia="en-US" w:bidi="ar-SA"/>
        </w:rPr>
        <w:t>,</w:t>
      </w:r>
      <w:r w:rsidR="00E91796" w:rsidRPr="000A5D1C">
        <w:rPr>
          <w:lang w:eastAsia="en-US" w:bidi="ar-SA"/>
        </w:rPr>
        <w:t xml:space="preserve"> Oct</w:t>
      </w:r>
      <w:r w:rsidRPr="000A5D1C">
        <w:rPr>
          <w:lang w:eastAsia="en-US" w:bidi="ar-SA"/>
        </w:rPr>
        <w:t>. 202</w:t>
      </w:r>
      <w:r w:rsidR="00E91796" w:rsidRPr="000A5D1C">
        <w:rPr>
          <w:lang w:eastAsia="en-US" w:bidi="ar-SA"/>
        </w:rPr>
        <w:t>2</w:t>
      </w:r>
      <w:bookmarkEnd w:id="73"/>
      <w:r w:rsidRPr="000A5D1C">
        <w:rPr>
          <w:lang w:eastAsia="en-US" w:bidi="ar-SA"/>
        </w:rPr>
        <w:t>. [Online]. Available:</w:t>
      </w:r>
      <w:r w:rsidR="00E91796" w:rsidRPr="000A5D1C">
        <w:t xml:space="preserve"> </w:t>
      </w:r>
      <w:hyperlink r:id="rId47" w:history="1">
        <w:r w:rsidR="00DD302E" w:rsidRPr="000A5D1C">
          <w:rPr>
            <w:rStyle w:val="Hyperlink"/>
            <w:lang w:eastAsia="en-US" w:bidi="ar-SA"/>
          </w:rPr>
          <w:t>https://energyconsumersaustralia.com.au/sites/default/files/wp-documents/ECBS-W13a-Oct22-Household-Toplines.pdf</w:t>
        </w:r>
      </w:hyperlink>
    </w:p>
    <w:p w14:paraId="3BEF0B8D" w14:textId="6265D6E4" w:rsidR="002D635E" w:rsidRPr="000A5D1C" w:rsidRDefault="00FF0DBC" w:rsidP="003F223E">
      <w:pPr>
        <w:pStyle w:val="ListParagraph"/>
        <w:numPr>
          <w:ilvl w:val="0"/>
          <w:numId w:val="14"/>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48" w:history="1">
        <w:r w:rsidR="002D635E" w:rsidRPr="000A5D1C">
          <w:rPr>
            <w:rStyle w:val="Hyperlink"/>
            <w:lang w:eastAsia="en-US" w:bidi="ar-SA"/>
          </w:rPr>
          <w:t>https://www.utupub.fi/bitstream/handle/10024/160647/FFRC-publication_1-2019-rev.pdf</w:t>
        </w:r>
      </w:hyperlink>
      <w:r w:rsidRPr="000A5D1C">
        <w:rPr>
          <w:lang w:eastAsia="en-US" w:bidi="ar-SA"/>
        </w:rPr>
        <w:t>.</w:t>
      </w:r>
    </w:p>
    <w:p w14:paraId="7D6E43A3" w14:textId="18EDC5E7" w:rsidR="002D635E" w:rsidRPr="000A5D1C" w:rsidRDefault="00823DE1" w:rsidP="003F223E">
      <w:pPr>
        <w:pStyle w:val="ListParagraph"/>
        <w:numPr>
          <w:ilvl w:val="0"/>
          <w:numId w:val="14"/>
        </w:numPr>
        <w:rPr>
          <w:lang w:eastAsia="en-US" w:bidi="ar-SA"/>
        </w:rPr>
      </w:pPr>
      <w:r w:rsidRPr="000A5D1C">
        <w:rPr>
          <w:lang w:eastAsia="en-US" w:bidi="ar-SA"/>
        </w:rPr>
        <w:t>Energy Consumers Australia</w:t>
      </w:r>
      <w:r w:rsidRPr="000A5D1C">
        <w:rPr>
          <w:i/>
          <w:iCs/>
          <w:lang w:eastAsia="en-US" w:bidi="ar-SA"/>
        </w:rPr>
        <w:t xml:space="preserve">, </w:t>
      </w:r>
      <w:proofErr w:type="spellStart"/>
      <w:r w:rsidRPr="000A5D1C">
        <w:rPr>
          <w:i/>
          <w:iCs/>
          <w:lang w:eastAsia="en-US" w:bidi="ar-SA"/>
        </w:rPr>
        <w:t>Foresighting</w:t>
      </w:r>
      <w:proofErr w:type="spellEnd"/>
      <w:r w:rsidRPr="000A5D1C">
        <w:rPr>
          <w:i/>
          <w:iCs/>
          <w:lang w:eastAsia="en-US" w:bidi="ar-SA"/>
        </w:rPr>
        <w:t xml:space="preserve"> Forum 2021: System Design Webinar: Your Questions </w:t>
      </w:r>
      <w:proofErr w:type="gramStart"/>
      <w:r w:rsidRPr="000A5D1C">
        <w:rPr>
          <w:i/>
          <w:iCs/>
          <w:lang w:eastAsia="en-US" w:bidi="ar-SA"/>
        </w:rPr>
        <w:t>Answered!,</w:t>
      </w:r>
      <w:proofErr w:type="gramEnd"/>
      <w:r w:rsidRPr="000A5D1C">
        <w:rPr>
          <w:lang w:eastAsia="en-US" w:bidi="ar-SA"/>
        </w:rPr>
        <w:t xml:space="preserve"> Sep. 2021. [Online]. Available: </w:t>
      </w:r>
      <w:hyperlink r:id="rId49" w:history="1">
        <w:r w:rsidR="002D635E" w:rsidRPr="000A5D1C">
          <w:rPr>
            <w:rStyle w:val="Hyperlink"/>
            <w:lang w:eastAsia="en-US" w:bidi="ar-SA"/>
          </w:rPr>
          <w:t>https://energyconsumersaustralia.com.au/news/foresighting-forum-2021-system-design-webinar-your-questions-answered</w:t>
        </w:r>
      </w:hyperlink>
      <w:r w:rsidRPr="000A5D1C">
        <w:rPr>
          <w:lang w:eastAsia="en-US" w:bidi="ar-SA"/>
        </w:rPr>
        <w:t>.</w:t>
      </w:r>
    </w:p>
    <w:p w14:paraId="6C55963E" w14:textId="686A5659" w:rsidR="002D635E" w:rsidRPr="000A5D1C" w:rsidRDefault="00F74B2E" w:rsidP="003F223E">
      <w:pPr>
        <w:pStyle w:val="ListParagraph"/>
        <w:numPr>
          <w:ilvl w:val="0"/>
          <w:numId w:val="14"/>
        </w:numPr>
        <w:rPr>
          <w:lang w:eastAsia="en-US" w:bidi="ar-SA"/>
        </w:rPr>
      </w:pPr>
      <w:r w:rsidRPr="000A5D1C">
        <w:rPr>
          <w:szCs w:val="18"/>
          <w:lang w:eastAsia="en-US" w:bidi="ar-SA"/>
        </w:rPr>
        <w:t xml:space="preserve">P. De Martini and A. De Martini, </w:t>
      </w:r>
      <w:r w:rsidRPr="000A5D1C">
        <w:rPr>
          <w:i/>
          <w:iCs/>
          <w:szCs w:val="18"/>
          <w:lang w:eastAsia="en-US" w:bidi="ar-SA"/>
        </w:rPr>
        <w:t>Customer Load Management: Evolution &amp; Revolution</w:t>
      </w:r>
      <w:r w:rsidRPr="000A5D1C">
        <w:rPr>
          <w:szCs w:val="18"/>
          <w:lang w:eastAsia="en-US" w:bidi="ar-SA"/>
        </w:rPr>
        <w:t xml:space="preserve">, Pacific Energy Institute, Dec. 2021. [Online]. Available: </w:t>
      </w:r>
      <w:hyperlink r:id="rId50" w:history="1">
        <w:r w:rsidR="002D635E" w:rsidRPr="000A5D1C">
          <w:rPr>
            <w:rStyle w:val="Hyperlink"/>
            <w:szCs w:val="18"/>
            <w:lang w:eastAsia="en-US" w:bidi="ar-SA"/>
          </w:rPr>
          <w:t>https://pacificenergyinstitute.org/wp-content/uploads/2021/12/PEI-Customer-Load-Management-Evolution-Revolution-12.29.21.pdf</w:t>
        </w:r>
      </w:hyperlink>
      <w:r w:rsidRPr="000A5D1C">
        <w:rPr>
          <w:szCs w:val="18"/>
          <w:lang w:eastAsia="en-US" w:bidi="ar-SA"/>
        </w:rPr>
        <w:t>.</w:t>
      </w:r>
      <w:r w:rsidRPr="000A5D1C" w:rsidDel="00B83771">
        <w:rPr>
          <w:szCs w:val="18"/>
          <w:lang w:eastAsia="en-US" w:bidi="ar-SA"/>
        </w:rPr>
        <w:t xml:space="preserve"> </w:t>
      </w:r>
    </w:p>
    <w:p w14:paraId="65B6CC6A" w14:textId="6E8480FF" w:rsidR="00974B57" w:rsidRDefault="00FA42AE" w:rsidP="003F223E">
      <w:pPr>
        <w:pStyle w:val="ListParagraph"/>
        <w:numPr>
          <w:ilvl w:val="0"/>
          <w:numId w:val="14"/>
        </w:numPr>
        <w:rPr>
          <w:lang w:eastAsia="en-US" w:bidi="ar-SA"/>
        </w:rPr>
      </w:pPr>
      <w:proofErr w:type="spellStart"/>
      <w:r w:rsidRPr="000A5D1C">
        <w:rPr>
          <w:lang w:eastAsia="en-US" w:bidi="ar-SA"/>
        </w:rPr>
        <w:t>UPowr</w:t>
      </w:r>
      <w:proofErr w:type="spellEnd"/>
      <w:r w:rsidRPr="000A5D1C">
        <w:rPr>
          <w:lang w:eastAsia="en-US" w:bidi="ar-SA"/>
        </w:rPr>
        <w:t xml:space="preserve">,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51" w:history="1">
        <w:r w:rsidR="00974B57" w:rsidRPr="000A5D1C">
          <w:rPr>
            <w:rStyle w:val="Hyperlink"/>
            <w:lang w:eastAsia="en-US" w:bidi="ar-SA"/>
          </w:rPr>
          <w:t>https://arena.gov.au/assets/2021/07/upowr-customer-segmentation-research-and-design-for-orchestration-programs.pdf</w:t>
        </w:r>
      </w:hyperlink>
      <w:r w:rsidRPr="000A5D1C">
        <w:rPr>
          <w:lang w:eastAsia="en-US" w:bidi="ar-SA"/>
        </w:rPr>
        <w:t>.</w:t>
      </w:r>
      <w:bookmarkStart w:id="74" w:name="_Toc195107228"/>
    </w:p>
    <w:p w14:paraId="7EB40F3F" w14:textId="444BB9A7" w:rsidR="00722889" w:rsidRPr="000A5D1C" w:rsidRDefault="00E3065A" w:rsidP="003F223E">
      <w:pPr>
        <w:pStyle w:val="ListParagraph"/>
        <w:numPr>
          <w:ilvl w:val="0"/>
          <w:numId w:val="14"/>
        </w:numPr>
        <w:rPr>
          <w:lang w:eastAsia="en-US" w:bidi="ar-SA"/>
        </w:rPr>
      </w:pPr>
      <w:bookmarkStart w:id="75" w:name="Ref_8_2_ECA_Understanding_the_E_Div_2023"/>
      <w:r>
        <w:rPr>
          <w:lang w:eastAsia="en-US" w:bidi="ar-SA"/>
        </w:rPr>
        <w:t xml:space="preserve">Energy Consumers Australia, </w:t>
      </w:r>
      <w:r>
        <w:rPr>
          <w:i/>
          <w:iCs/>
          <w:lang w:eastAsia="en-US" w:bidi="ar-SA"/>
        </w:rPr>
        <w:t>Understanding the Energy Divide</w:t>
      </w:r>
      <w:r w:rsidR="004210F2">
        <w:rPr>
          <w:i/>
          <w:iCs/>
          <w:lang w:eastAsia="en-US" w:bidi="ar-SA"/>
        </w:rPr>
        <w:t xml:space="preserve">, </w:t>
      </w:r>
      <w:r w:rsidR="004210F2">
        <w:rPr>
          <w:lang w:eastAsia="en-US" w:bidi="ar-SA"/>
        </w:rPr>
        <w:t>December 2023. [Online]</w:t>
      </w:r>
      <w:r w:rsidR="00022209">
        <w:rPr>
          <w:lang w:eastAsia="en-US" w:bidi="ar-SA"/>
        </w:rPr>
        <w:t xml:space="preserve">. Available: </w:t>
      </w:r>
      <w:r w:rsidR="00022209" w:rsidRPr="00022209">
        <w:rPr>
          <w:lang w:eastAsia="en-US" w:bidi="ar-SA"/>
        </w:rPr>
        <w:t>https://energyconsumersaustralia.com.au/our-work/research/understanding-the-energy-divide</w:t>
      </w:r>
      <w:r w:rsidR="00022209">
        <w:rPr>
          <w:lang w:eastAsia="en-US" w:bidi="ar-SA"/>
        </w:rPr>
        <w:t>.</w:t>
      </w:r>
    </w:p>
    <w:p w14:paraId="3869B382" w14:textId="7B96DD5A" w:rsidR="00470880" w:rsidRPr="000A5D1C" w:rsidRDefault="00470880" w:rsidP="00470880">
      <w:pPr>
        <w:pStyle w:val="Heading2"/>
        <w:rPr>
          <w:lang w:eastAsia="en-US" w:bidi="ar-SA"/>
        </w:rPr>
      </w:pPr>
      <w:bookmarkStart w:id="76" w:name="_Toc195206914"/>
      <w:bookmarkStart w:id="77" w:name="_Toc205362703"/>
      <w:bookmarkStart w:id="78" w:name="_Toc205536768"/>
      <w:bookmarkEnd w:id="75"/>
      <w:r w:rsidRPr="000A5D1C">
        <w:rPr>
          <w:lang w:eastAsia="en-US" w:bidi="ar-SA"/>
        </w:rPr>
        <w:t>Sustainable</w:t>
      </w:r>
      <w:bookmarkEnd w:id="74"/>
      <w:bookmarkEnd w:id="76"/>
      <w:bookmarkEnd w:id="77"/>
      <w:bookmarkEnd w:id="78"/>
    </w:p>
    <w:p w14:paraId="58C849AF" w14:textId="7062E6CD" w:rsidR="00575732" w:rsidRPr="000A5D1C" w:rsidRDefault="002B6FAB" w:rsidP="003F223E">
      <w:pPr>
        <w:pStyle w:val="ListParagraph"/>
        <w:numPr>
          <w:ilvl w:val="0"/>
          <w:numId w:val="12"/>
        </w:numPr>
        <w:rPr>
          <w:lang w:eastAsia="en-US" w:bidi="ar-SA"/>
        </w:rPr>
      </w:pPr>
      <w:bookmarkStart w:id="79" w:name="Ref_ECA_Three_Year_Plan_25_28"/>
      <w:r w:rsidRPr="000A5D1C">
        <w:rPr>
          <w:lang w:eastAsia="en-US" w:bidi="ar-SA"/>
        </w:rPr>
        <w:t xml:space="preserve">Energy Consumers Australia, </w:t>
      </w:r>
      <w:r w:rsidRPr="000A5D1C">
        <w:rPr>
          <w:i/>
          <w:iCs/>
          <w:lang w:eastAsia="en-US" w:bidi="ar-SA"/>
        </w:rPr>
        <w:t>Three Year Plan 2025–2028</w:t>
      </w:r>
      <w:r w:rsidRPr="000A5D1C">
        <w:rPr>
          <w:lang w:eastAsia="en-US" w:bidi="ar-SA"/>
        </w:rPr>
        <w:t>. [Online]. Available:</w:t>
      </w:r>
      <w:r w:rsidR="006E0959" w:rsidRPr="000A5D1C">
        <w:t xml:space="preserve"> </w:t>
      </w:r>
      <w:bookmarkEnd w:id="79"/>
      <w:r w:rsidR="006E0959">
        <w:fldChar w:fldCharType="begin"/>
      </w:r>
      <w:r w:rsidR="006E0959">
        <w:instrText>HYPERLINK "https://energyconsumersaustralia.com.au/about-us/three-year-plan-25-28"</w:instrText>
      </w:r>
      <w:r w:rsidR="006E0959">
        <w:fldChar w:fldCharType="separate"/>
      </w:r>
      <w:r w:rsidR="006E0959" w:rsidRPr="000A5D1C">
        <w:rPr>
          <w:rStyle w:val="Hyperlink"/>
          <w:lang w:eastAsia="en-US" w:bidi="ar-SA"/>
        </w:rPr>
        <w:t>https://energyconsumersaustralia.com.au/about-us/three-year-plan-25-28</w:t>
      </w:r>
      <w:r w:rsidR="006E0959">
        <w:fldChar w:fldCharType="end"/>
      </w:r>
      <w:r w:rsidR="006E0959" w:rsidRPr="000A5D1C">
        <w:rPr>
          <w:lang w:eastAsia="en-US" w:bidi="ar-SA"/>
        </w:rPr>
        <w:t>.</w:t>
      </w:r>
    </w:p>
    <w:p w14:paraId="7713BB2F" w14:textId="1DE0E3CD" w:rsidR="00AF0B75" w:rsidRPr="000A5D1C" w:rsidRDefault="006E0959" w:rsidP="003F223E">
      <w:pPr>
        <w:pStyle w:val="ListParagraph"/>
        <w:numPr>
          <w:ilvl w:val="0"/>
          <w:numId w:val="12"/>
        </w:numPr>
        <w:rPr>
          <w:lang w:eastAsia="en-US" w:bidi="ar-SA"/>
        </w:rPr>
      </w:pPr>
      <w:bookmarkStart w:id="80" w:name="Ref_8_3_ACOSS_et_al_Demanding_Better__24"/>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Dec. 2024. [Online]. Available</w:t>
      </w:r>
      <w:bookmarkEnd w:id="80"/>
      <w:r w:rsidRPr="000A5D1C">
        <w:rPr>
          <w:lang w:eastAsia="en-US" w:bidi="ar-SA"/>
        </w:rPr>
        <w:t xml:space="preserve">: </w:t>
      </w:r>
      <w:hyperlink r:id="rId52" w:history="1">
        <w:r w:rsidR="00AF0B75" w:rsidRPr="000A5D1C">
          <w:rPr>
            <w:rStyle w:val="Hyperlink"/>
            <w:lang w:eastAsia="en-US" w:bidi="ar-SA"/>
          </w:rPr>
          <w:t>https://www.eec.org.au/uploads/Projects/Demanding%20better%20-%20A%20reform%20agenda.pdf</w:t>
        </w:r>
      </w:hyperlink>
      <w:r w:rsidRPr="000A5D1C">
        <w:rPr>
          <w:lang w:eastAsia="en-US" w:bidi="ar-SA"/>
        </w:rPr>
        <w:t>.</w:t>
      </w:r>
    </w:p>
    <w:p w14:paraId="12DAB4C3" w14:textId="3B07A797" w:rsidR="005A5C57" w:rsidRPr="000A5D1C" w:rsidRDefault="00E82758" w:rsidP="003F223E">
      <w:pPr>
        <w:pStyle w:val="ListParagraph"/>
        <w:numPr>
          <w:ilvl w:val="0"/>
          <w:numId w:val="12"/>
        </w:numPr>
        <w:rPr>
          <w:lang w:eastAsia="en-US" w:bidi="ar-SA"/>
        </w:rPr>
      </w:pPr>
      <w:r w:rsidRPr="000A5D1C">
        <w:rPr>
          <w:szCs w:val="18"/>
          <w:lang w:eastAsia="en-US" w:bidi="ar-SA"/>
        </w:rPr>
        <w:t xml:space="preserve">ACOSS and TEC, </w:t>
      </w:r>
      <w:proofErr w:type="spellStart"/>
      <w:r w:rsidRPr="000A5D1C">
        <w:rPr>
          <w:i/>
          <w:iCs/>
          <w:szCs w:val="18"/>
          <w:lang w:eastAsia="en-US" w:bidi="ar-SA"/>
        </w:rPr>
        <w:t>ourPower</w:t>
      </w:r>
      <w:proofErr w:type="spellEnd"/>
      <w:r w:rsidRPr="000A5D1C">
        <w:rPr>
          <w:i/>
          <w:iCs/>
          <w:szCs w:val="18"/>
          <w:lang w:eastAsia="en-US" w:bidi="ar-SA"/>
        </w:rPr>
        <w:t>: A Vision for Clean, Affordable, Dependable Energy for All,</w:t>
      </w:r>
      <w:r w:rsidRPr="000A5D1C">
        <w:rPr>
          <w:szCs w:val="18"/>
          <w:lang w:eastAsia="en-US" w:bidi="ar-SA"/>
        </w:rPr>
        <w:t xml:space="preserve"> Feb. 2022. [Online]. Available: </w:t>
      </w:r>
      <w:hyperlink r:id="rId53" w:history="1">
        <w:r w:rsidR="00C2371B" w:rsidRPr="00A57810">
          <w:rPr>
            <w:rStyle w:val="Hyperlink"/>
            <w:szCs w:val="18"/>
            <w:lang w:eastAsia="en-US" w:bidi="ar-SA"/>
          </w:rPr>
          <w:t>https://ourpower.org.au/wp-content/uploads/2022/02/ourPower-Booklet.pdf</w:t>
        </w:r>
      </w:hyperlink>
      <w:r w:rsidRPr="000A5D1C">
        <w:rPr>
          <w:szCs w:val="18"/>
          <w:lang w:eastAsia="en-US" w:bidi="ar-SA"/>
        </w:rPr>
        <w:t>.</w:t>
      </w:r>
      <w:r w:rsidR="00C2371B">
        <w:rPr>
          <w:szCs w:val="18"/>
          <w:lang w:eastAsia="en-US" w:bidi="ar-SA"/>
        </w:rPr>
        <w:t xml:space="preserve"> </w:t>
      </w:r>
    </w:p>
    <w:p w14:paraId="2FD4A815" w14:textId="5BD5BA12" w:rsidR="00AF0B75" w:rsidRPr="000A5D1C" w:rsidRDefault="00456ED9" w:rsidP="003F223E">
      <w:pPr>
        <w:pStyle w:val="ListParagraph"/>
        <w:numPr>
          <w:ilvl w:val="0"/>
          <w:numId w:val="12"/>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54" w:history="1">
        <w:r w:rsidR="00AF0B75" w:rsidRPr="000A5D1C">
          <w:rPr>
            <w:rStyle w:val="Hyperlink"/>
            <w:lang w:eastAsia="en-US" w:bidi="ar-SA"/>
          </w:rPr>
          <w:t>https://www.ceem.unsw.edu.au/sites/default/files/documents/H4-OA-final-report-17.11.21.pdf</w:t>
        </w:r>
      </w:hyperlink>
      <w:r w:rsidRPr="000A5D1C">
        <w:rPr>
          <w:lang w:eastAsia="en-US" w:bidi="ar-SA"/>
        </w:rPr>
        <w:t>.</w:t>
      </w:r>
    </w:p>
    <w:p w14:paraId="56F4FB25" w14:textId="5D8CA260" w:rsidR="000C3F6E" w:rsidRPr="000A5D1C" w:rsidRDefault="007072D9" w:rsidP="003F223E">
      <w:pPr>
        <w:pStyle w:val="ListParagraph"/>
        <w:numPr>
          <w:ilvl w:val="0"/>
          <w:numId w:val="12"/>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55" w:history="1">
        <w:r w:rsidR="000C3F6E" w:rsidRPr="000A5D1C">
          <w:rPr>
            <w:rStyle w:val="Hyperlink"/>
            <w:lang w:eastAsia="en-US" w:bidi="ar-SA"/>
          </w:rPr>
          <w:t>https://www.utupub.fi/bitstream/handle/10024/160647/FFRC-publication_1-2019-rev.pdf</w:t>
        </w:r>
      </w:hyperlink>
      <w:r w:rsidRPr="000A5D1C">
        <w:rPr>
          <w:lang w:eastAsia="en-US" w:bidi="ar-SA"/>
        </w:rPr>
        <w:t>.</w:t>
      </w:r>
    </w:p>
    <w:p w14:paraId="10FEB9A4" w14:textId="53682BE5" w:rsidR="005A5C57" w:rsidRPr="000A5D1C" w:rsidRDefault="003F3F90" w:rsidP="003F223E">
      <w:pPr>
        <w:pStyle w:val="ListParagraph"/>
        <w:numPr>
          <w:ilvl w:val="0"/>
          <w:numId w:val="12"/>
        </w:numPr>
        <w:rPr>
          <w:lang w:eastAsia="en-US" w:bidi="ar-SA"/>
        </w:rPr>
      </w:pPr>
      <w:proofErr w:type="spellStart"/>
      <w:r w:rsidRPr="000A5D1C">
        <w:rPr>
          <w:lang w:eastAsia="en-US" w:bidi="ar-SA"/>
        </w:rPr>
        <w:t>UPowr</w:t>
      </w:r>
      <w:proofErr w:type="spellEnd"/>
      <w:r w:rsidRPr="000A5D1C">
        <w:rPr>
          <w:lang w:eastAsia="en-US" w:bidi="ar-SA"/>
        </w:rPr>
        <w:t xml:space="preserve">,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56" w:history="1">
        <w:r w:rsidR="0087747F" w:rsidRPr="00A57810">
          <w:rPr>
            <w:rStyle w:val="Hyperlink"/>
            <w:lang w:eastAsia="en-US" w:bidi="ar-SA"/>
          </w:rPr>
          <w:t>https://arena.gov.au/assets/2021/07/upowr-customer-segmentation-research-and-design-for-orchestration-programs.pdf</w:t>
        </w:r>
      </w:hyperlink>
      <w:r w:rsidR="0087747F">
        <w:rPr>
          <w:lang w:eastAsia="en-US" w:bidi="ar-SA"/>
        </w:rPr>
        <w:t xml:space="preserve"> </w:t>
      </w:r>
    </w:p>
    <w:p w14:paraId="17249396" w14:textId="57DB4E8A" w:rsidR="005A5C57" w:rsidRPr="000A5D1C" w:rsidRDefault="000C00CE" w:rsidP="003F223E">
      <w:pPr>
        <w:pStyle w:val="ListParagraph"/>
        <w:numPr>
          <w:ilvl w:val="0"/>
          <w:numId w:val="12"/>
        </w:numPr>
        <w:rPr>
          <w:lang w:eastAsia="en-US" w:bidi="ar-SA"/>
        </w:rPr>
      </w:pPr>
      <w:r w:rsidRPr="000A5D1C">
        <w:rPr>
          <w:lang w:eastAsia="en-US" w:bidi="ar-SA"/>
        </w:rPr>
        <w:t xml:space="preserve">P. S. Lavieri and G. J. M. Oliveira, </w:t>
      </w:r>
      <w:r w:rsidRPr="000A5D1C">
        <w:rPr>
          <w:i/>
          <w:iCs/>
          <w:lang w:eastAsia="en-US" w:bidi="ar-SA"/>
        </w:rPr>
        <w:t>Electric Vehicle Charging Consumer Survey: Insights Report</w:t>
      </w:r>
      <w:r w:rsidRPr="000A5D1C">
        <w:rPr>
          <w:lang w:eastAsia="en-US" w:bidi="ar-SA"/>
        </w:rPr>
        <w:t xml:space="preserve">. C4NET, Feb. 2022. [Online]. Available: </w:t>
      </w:r>
      <w:hyperlink r:id="rId57" w:history="1">
        <w:r w:rsidR="000C3F6E" w:rsidRPr="000A5D1C">
          <w:rPr>
            <w:rStyle w:val="Hyperlink"/>
            <w:lang w:eastAsia="en-US" w:bidi="ar-SA"/>
          </w:rPr>
          <w:t>https://c4net.com.au/wp-content/uploads/2022/02/Survey-Insights-Electric-Vehicle-Charging-Preferences-of-Australian-Consumers.pdf</w:t>
        </w:r>
      </w:hyperlink>
      <w:r w:rsidR="005A5C57" w:rsidRPr="000A5D1C">
        <w:rPr>
          <w:lang w:eastAsia="en-US" w:bidi="ar-SA"/>
        </w:rPr>
        <w:t>.</w:t>
      </w:r>
      <w:r w:rsidR="000C3F6E" w:rsidRPr="000A5D1C">
        <w:rPr>
          <w:lang w:eastAsia="en-US" w:bidi="ar-SA"/>
        </w:rPr>
        <w:t xml:space="preserve"> </w:t>
      </w:r>
    </w:p>
    <w:p w14:paraId="6DA1AE1E" w14:textId="77777777" w:rsidR="000C3F6E" w:rsidRPr="000A5D1C" w:rsidRDefault="00F06CCB" w:rsidP="003F223E">
      <w:pPr>
        <w:pStyle w:val="ListParagraph"/>
        <w:numPr>
          <w:ilvl w:val="0"/>
          <w:numId w:val="12"/>
        </w:numPr>
        <w:rPr>
          <w:lang w:eastAsia="en-US" w:bidi="ar-SA"/>
        </w:rPr>
      </w:pPr>
      <w:r w:rsidRPr="000A5D1C">
        <w:rPr>
          <w:lang w:eastAsia="en-US" w:bidi="ar-SA"/>
        </w:rPr>
        <w:t xml:space="preserve">E. R. Frederiks, K. Stenner, and E. V. </w:t>
      </w:r>
      <w:proofErr w:type="spellStart"/>
      <w:r w:rsidRPr="000A5D1C">
        <w:rPr>
          <w:lang w:eastAsia="en-US" w:bidi="ar-SA"/>
        </w:rPr>
        <w:t>Hobman</w:t>
      </w:r>
      <w:proofErr w:type="spellEnd"/>
      <w:r w:rsidRPr="000A5D1C">
        <w:rPr>
          <w:lang w:eastAsia="en-US" w:bidi="ar-SA"/>
        </w:rPr>
        <w:t xml:space="preserve">, "Household energy use: Applying behavioural economics to understand consumer decision-making and behaviour," </w:t>
      </w:r>
      <w:r w:rsidRPr="000A5D1C">
        <w:rPr>
          <w:i/>
          <w:iCs/>
          <w:lang w:eastAsia="en-US" w:bidi="ar-SA"/>
        </w:rPr>
        <w:t>Renewable and Sustainable Energy Reviews</w:t>
      </w:r>
      <w:r w:rsidRPr="000A5D1C">
        <w:rPr>
          <w:lang w:eastAsia="en-US" w:bidi="ar-SA"/>
        </w:rPr>
        <w:t xml:space="preserve">, vol. 41, pp. 1385–1394, Jan. 2015. [Online]. Available: </w:t>
      </w:r>
      <w:hyperlink r:id="rId58" w:history="1">
        <w:r w:rsidR="000C3F6E" w:rsidRPr="000A5D1C">
          <w:rPr>
            <w:rStyle w:val="Hyperlink"/>
            <w:lang w:eastAsia="en-US" w:bidi="ar-SA"/>
          </w:rPr>
          <w:t>https://www.sciencedirect.com/science/article/pii/S1364032114007990</w:t>
        </w:r>
      </w:hyperlink>
      <w:r w:rsidR="005A5C57" w:rsidRPr="000A5D1C">
        <w:rPr>
          <w:lang w:eastAsia="en-US" w:bidi="ar-SA"/>
        </w:rPr>
        <w:t>.</w:t>
      </w:r>
      <w:r w:rsidR="000C3F6E" w:rsidRPr="000A5D1C">
        <w:rPr>
          <w:lang w:eastAsia="en-US" w:bidi="ar-SA"/>
        </w:rPr>
        <w:t xml:space="preserve"> </w:t>
      </w:r>
    </w:p>
    <w:p w14:paraId="4CF21913" w14:textId="2A50BA6E" w:rsidR="000C3F6E" w:rsidRPr="000A5D1C" w:rsidRDefault="00771A5C" w:rsidP="003F223E">
      <w:pPr>
        <w:pStyle w:val="ListParagraph"/>
        <w:numPr>
          <w:ilvl w:val="0"/>
          <w:numId w:val="12"/>
        </w:numPr>
        <w:rPr>
          <w:lang w:eastAsia="en-US" w:bidi="ar-SA"/>
        </w:rPr>
      </w:pPr>
      <w:r w:rsidRPr="000A5D1C">
        <w:rPr>
          <w:lang w:eastAsia="en-US" w:bidi="ar-SA"/>
        </w:rPr>
        <w:t xml:space="preserve">CSIRO and Energy Networks Association, Customer-Centric Networks, 2015. [Online]. Available: </w:t>
      </w:r>
      <w:hyperlink r:id="rId59" w:history="1">
        <w:r w:rsidR="000C3F6E" w:rsidRPr="000A5D1C">
          <w:rPr>
            <w:rStyle w:val="Hyperlink"/>
            <w:lang w:eastAsia="en-US" w:bidi="ar-SA"/>
          </w:rPr>
          <w:t>https://www.energynetworks.com.au/assets/uploads/roadmap_interim_report_final.pdf</w:t>
        </w:r>
      </w:hyperlink>
    </w:p>
    <w:p w14:paraId="3EFD3852" w14:textId="3B95AE81" w:rsidR="000C3F6E" w:rsidRPr="000A5D1C" w:rsidRDefault="00D568C5" w:rsidP="003F223E">
      <w:pPr>
        <w:pStyle w:val="ListParagraph"/>
        <w:numPr>
          <w:ilvl w:val="0"/>
          <w:numId w:val="12"/>
        </w:numPr>
        <w:rPr>
          <w:lang w:eastAsia="en-US" w:bidi="ar-SA"/>
        </w:rPr>
      </w:pPr>
      <w:r w:rsidRPr="000A5D1C">
        <w:rPr>
          <w:lang w:eastAsia="en-US" w:bidi="ar-SA"/>
        </w:rPr>
        <w:t xml:space="preserve">ACOSS, </w:t>
      </w:r>
      <w:r w:rsidRPr="000A5D1C">
        <w:rPr>
          <w:i/>
          <w:iCs/>
          <w:lang w:eastAsia="en-US" w:bidi="ar-SA"/>
        </w:rPr>
        <w:t>New Energy Compact: Consultation Draft 5.0</w:t>
      </w:r>
      <w:r w:rsidRPr="000A5D1C">
        <w:rPr>
          <w:lang w:eastAsia="en-US" w:bidi="ar-SA"/>
        </w:rPr>
        <w:t>, Dec. 2020. [Online]. Available:</w:t>
      </w:r>
      <w:r w:rsidRPr="000A5D1C">
        <w:t xml:space="preserve"> </w:t>
      </w:r>
      <w:hyperlink r:id="rId60" w:history="1">
        <w:r w:rsidR="000C3F6E" w:rsidRPr="000A5D1C">
          <w:rPr>
            <w:rStyle w:val="Hyperlink"/>
            <w:lang w:eastAsia="en-US" w:bidi="ar-SA"/>
          </w:rPr>
          <w:t>https://www.acoss.org.au/wp-content/uploads/2021/02/NEC_Consultation-Draft-V.5-04122020.pdf</w:t>
        </w:r>
      </w:hyperlink>
      <w:r w:rsidRPr="000A5D1C">
        <w:rPr>
          <w:lang w:eastAsia="en-US" w:bidi="ar-SA"/>
        </w:rPr>
        <w:t>.</w:t>
      </w:r>
    </w:p>
    <w:p w14:paraId="69E7695F" w14:textId="77777777" w:rsidR="0087747F" w:rsidRDefault="00A11ABD" w:rsidP="003F223E">
      <w:pPr>
        <w:pStyle w:val="ListParagraph"/>
        <w:numPr>
          <w:ilvl w:val="0"/>
          <w:numId w:val="12"/>
        </w:numPr>
        <w:rPr>
          <w:lang w:eastAsia="en-US" w:bidi="ar-SA"/>
        </w:rPr>
      </w:pPr>
      <w:r w:rsidRPr="000A5D1C">
        <w:rPr>
          <w:lang w:eastAsia="en-US" w:bidi="ar-SA"/>
        </w:rPr>
        <w:t>World Economic Forum and Boston Consulting Group,</w:t>
      </w:r>
      <w:r w:rsidRPr="000A5D1C">
        <w:rPr>
          <w:rFonts w:ascii="Calibri" w:hAnsi="Calibri" w:cs="Calibri"/>
          <w:lang w:eastAsia="en-US" w:bidi="ar-SA"/>
        </w:rPr>
        <w:t> </w:t>
      </w:r>
      <w:r w:rsidRPr="000A5D1C">
        <w:rPr>
          <w:i/>
          <w:iCs/>
          <w:lang w:eastAsia="en-US" w:bidi="ar-SA"/>
        </w:rPr>
        <w:t>The Net-Zero Challenge: Fast-Forward to Decisive Climate Action</w:t>
      </w:r>
      <w:r w:rsidRPr="000A5D1C">
        <w:rPr>
          <w:lang w:eastAsia="en-US" w:bidi="ar-SA"/>
        </w:rPr>
        <w:t>. [Online]. Available:</w:t>
      </w:r>
      <w:r w:rsidRPr="000A5D1C">
        <w:rPr>
          <w:rFonts w:ascii="Calibri" w:hAnsi="Calibri" w:cs="Calibri"/>
          <w:lang w:eastAsia="en-US" w:bidi="ar-SA"/>
        </w:rPr>
        <w:t> </w:t>
      </w:r>
      <w:hyperlink r:id="rId61" w:tgtFrame="_blank" w:history="1">
        <w:r w:rsidRPr="000A5D1C">
          <w:rPr>
            <w:rStyle w:val="Hyperlink"/>
            <w:lang w:eastAsia="en-US" w:bidi="ar-SA"/>
          </w:rPr>
          <w:t>https://www3.weforum.org/docs/WEF_The_Net_Zero_Challenge.pdf</w:t>
        </w:r>
      </w:hyperlink>
    </w:p>
    <w:p w14:paraId="5B3200A2" w14:textId="75521B1F" w:rsidR="000C3F6E" w:rsidRPr="000A5D1C" w:rsidRDefault="0004581D" w:rsidP="003F223E">
      <w:pPr>
        <w:pStyle w:val="ListParagraph"/>
        <w:numPr>
          <w:ilvl w:val="0"/>
          <w:numId w:val="12"/>
        </w:numPr>
        <w:rPr>
          <w:lang w:eastAsia="en-US" w:bidi="ar-SA"/>
        </w:rPr>
      </w:pPr>
      <w:r w:rsidRPr="000A5D1C">
        <w:rPr>
          <w:lang w:eastAsia="en-US" w:bidi="ar-SA"/>
        </w:rPr>
        <w:t xml:space="preserve">International Energy Agency, Net Zero by 2050: A Roadmap for the Global Energy Sector, revised ed., Oct. 2021. [Online]. Available: </w:t>
      </w:r>
      <w:hyperlink r:id="rId62" w:history="1">
        <w:r w:rsidR="000C3F6E" w:rsidRPr="000A5D1C">
          <w:rPr>
            <w:rStyle w:val="Hyperlink"/>
            <w:lang w:eastAsia="en-US" w:bidi="ar-SA"/>
          </w:rPr>
          <w:t>https://www.iea.org/reports/net-zero-by-2050</w:t>
        </w:r>
      </w:hyperlink>
      <w:r w:rsidRPr="000A5D1C">
        <w:rPr>
          <w:lang w:eastAsia="en-US" w:bidi="ar-SA"/>
        </w:rPr>
        <w:t>.</w:t>
      </w:r>
      <w:bookmarkStart w:id="81" w:name="_Toc195107229"/>
    </w:p>
    <w:p w14:paraId="09F0DFE0" w14:textId="77777777" w:rsidR="008D7E71" w:rsidRDefault="008D7E71">
      <w:pPr>
        <w:spacing w:before="0" w:after="160" w:line="259" w:lineRule="auto"/>
        <w:rPr>
          <w:rFonts w:ascii="PP Mori SemiBold" w:eastAsiaTheme="majorEastAsia" w:hAnsi="PP Mori SemiBold" w:cstheme="majorBidi"/>
          <w:color w:val="002C38" w:themeColor="accent1" w:themeShade="BF"/>
          <w:sz w:val="26"/>
          <w:szCs w:val="33"/>
          <w:lang w:eastAsia="en-US" w:bidi="ar-SA"/>
        </w:rPr>
      </w:pPr>
      <w:bookmarkStart w:id="82" w:name="_Toc195206915"/>
      <w:r>
        <w:rPr>
          <w:lang w:eastAsia="en-US" w:bidi="ar-SA"/>
        </w:rPr>
        <w:br w:type="page"/>
      </w:r>
    </w:p>
    <w:p w14:paraId="1CE7DDE3" w14:textId="48DCD707" w:rsidR="00AE3D7F" w:rsidRPr="000A5D1C" w:rsidRDefault="00AE3D7F" w:rsidP="00AE3D7F">
      <w:pPr>
        <w:pStyle w:val="Heading2"/>
        <w:rPr>
          <w:lang w:eastAsia="en-US" w:bidi="ar-SA"/>
        </w:rPr>
      </w:pPr>
      <w:bookmarkStart w:id="83" w:name="_Toc205362704"/>
      <w:bookmarkStart w:id="84" w:name="_Toc205536769"/>
      <w:r w:rsidRPr="000A5D1C">
        <w:rPr>
          <w:lang w:eastAsia="en-US" w:bidi="ar-SA"/>
        </w:rPr>
        <w:t>Equitable</w:t>
      </w:r>
      <w:bookmarkEnd w:id="81"/>
      <w:bookmarkEnd w:id="82"/>
      <w:bookmarkEnd w:id="83"/>
      <w:bookmarkEnd w:id="84"/>
    </w:p>
    <w:p w14:paraId="2237E7EA" w14:textId="6AE80E1C" w:rsidR="000C3F6E" w:rsidRPr="000A5D1C" w:rsidRDefault="00697BD3" w:rsidP="003F223E">
      <w:pPr>
        <w:pStyle w:val="ListParagraph"/>
        <w:numPr>
          <w:ilvl w:val="0"/>
          <w:numId w:val="11"/>
        </w:numPr>
        <w:rPr>
          <w:lang w:eastAsia="en-US" w:bidi="ar-SA"/>
        </w:rPr>
      </w:pPr>
      <w:r w:rsidRPr="000A5D1C">
        <w:rPr>
          <w:lang w:eastAsia="en-US" w:bidi="ar-SA"/>
        </w:rPr>
        <w:t xml:space="preserve">R. Ben-David, "Minimising consumer harm for a successful energy transition," presented at IPART’s 30th Anniversary Conference, Sydney, Australia, Nov. 17, 2022. [Online]. Available: </w:t>
      </w:r>
      <w:hyperlink r:id="rId63" w:history="1">
        <w:r w:rsidR="000C3F6E"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p>
    <w:p w14:paraId="29402DB1" w14:textId="1A6F7CA2" w:rsidR="000C3F6E" w:rsidRPr="000A5D1C" w:rsidRDefault="00D27C5E" w:rsidP="003F223E">
      <w:pPr>
        <w:pStyle w:val="ListParagraph"/>
        <w:numPr>
          <w:ilvl w:val="0"/>
          <w:numId w:val="11"/>
        </w:numPr>
        <w:rPr>
          <w:lang w:eastAsia="en-US" w:bidi="ar-SA"/>
        </w:rPr>
      </w:pPr>
      <w:bookmarkStart w:id="85" w:name="Ref_8_4_ECA_POWERUP_CON_Voices_24"/>
      <w:r w:rsidRPr="000A5D1C">
        <w:rPr>
          <w:lang w:eastAsia="en-US" w:bidi="ar-SA"/>
        </w:rPr>
        <w:t xml:space="preserve">Energy Consumers Australia and The Insight Centre, </w:t>
      </w:r>
      <w:proofErr w:type="spellStart"/>
      <w:r w:rsidRPr="000A5D1C">
        <w:rPr>
          <w:i/>
          <w:iCs/>
          <w:lang w:eastAsia="en-US" w:bidi="ar-SA"/>
        </w:rPr>
        <w:t>PowerUp</w:t>
      </w:r>
      <w:proofErr w:type="spellEnd"/>
      <w:r w:rsidRPr="000A5D1C">
        <w:rPr>
          <w:i/>
          <w:iCs/>
          <w:lang w:eastAsia="en-US" w:bidi="ar-SA"/>
        </w:rPr>
        <w:t>: Consumer Voices in the Energy Transition</w:t>
      </w:r>
      <w:r w:rsidRPr="000A5D1C">
        <w:rPr>
          <w:lang w:eastAsia="en-US" w:bidi="ar-SA"/>
        </w:rPr>
        <w:t>, Jul. 2024</w:t>
      </w:r>
      <w:bookmarkEnd w:id="85"/>
      <w:r w:rsidRPr="000A5D1C">
        <w:rPr>
          <w:lang w:eastAsia="en-US" w:bidi="ar-SA"/>
        </w:rPr>
        <w:t xml:space="preserve">. [Online]. Available: </w:t>
      </w:r>
      <w:hyperlink r:id="rId64" w:history="1">
        <w:r w:rsidR="000C3F6E" w:rsidRPr="000A5D1C">
          <w:rPr>
            <w:rStyle w:val="Hyperlink"/>
            <w:lang w:eastAsia="en-US" w:bidi="ar-SA"/>
          </w:rPr>
          <w:t>https://energyconsumersaustralia.com.au/publications/powerup-consumer-voices-energy-transition</w:t>
        </w:r>
      </w:hyperlink>
      <w:r w:rsidRPr="000A5D1C">
        <w:rPr>
          <w:lang w:eastAsia="en-US" w:bidi="ar-SA"/>
        </w:rPr>
        <w:t>.</w:t>
      </w:r>
    </w:p>
    <w:p w14:paraId="2267DC72" w14:textId="254CB1E0" w:rsidR="000C3F6E" w:rsidRPr="000A5D1C" w:rsidRDefault="00DD7BC9" w:rsidP="003F223E">
      <w:pPr>
        <w:pStyle w:val="ListParagraph"/>
        <w:numPr>
          <w:ilvl w:val="0"/>
          <w:numId w:val="11"/>
        </w:numPr>
        <w:rPr>
          <w:lang w:eastAsia="en-US" w:bidi="ar-SA"/>
        </w:rPr>
      </w:pPr>
      <w:bookmarkStart w:id="86" w:name="Ref_8_4_What_if_the_Cons_En_Mkt_24"/>
      <w:r w:rsidRPr="000A5D1C">
        <w:rPr>
          <w:lang w:eastAsia="en-US" w:bidi="ar-SA"/>
        </w:rPr>
        <w:t xml:space="preserve">R. Ben-David, </w:t>
      </w:r>
      <w:proofErr w:type="gramStart"/>
      <w:r w:rsidRPr="000A5D1C">
        <w:rPr>
          <w:i/>
          <w:iCs/>
          <w:lang w:eastAsia="en-US" w:bidi="ar-SA"/>
        </w:rPr>
        <w:t>What</w:t>
      </w:r>
      <w:proofErr w:type="gramEnd"/>
      <w:r w:rsidRPr="000A5D1C">
        <w:rPr>
          <w:i/>
          <w:iCs/>
          <w:lang w:eastAsia="en-US" w:bidi="ar-SA"/>
        </w:rPr>
        <w:t xml:space="preserve"> if the Consumer Energy Market Were Based on Reality Rather Than </w:t>
      </w:r>
      <w:proofErr w:type="gramStart"/>
      <w:r w:rsidRPr="000A5D1C">
        <w:rPr>
          <w:i/>
          <w:iCs/>
          <w:lang w:eastAsia="en-US" w:bidi="ar-SA"/>
        </w:rPr>
        <w:t>Assumptions?</w:t>
      </w:r>
      <w:r w:rsidRPr="000A5D1C">
        <w:rPr>
          <w:lang w:eastAsia="en-US" w:bidi="ar-SA"/>
        </w:rPr>
        <w:t>,</w:t>
      </w:r>
      <w:proofErr w:type="gramEnd"/>
      <w:r w:rsidRPr="000A5D1C">
        <w:rPr>
          <w:lang w:eastAsia="en-US" w:bidi="ar-SA"/>
        </w:rPr>
        <w:t xml:space="preserve"> Monash Business School, Monash University, Melbourne, Australia, Jul. 2024. [Online]. Available</w:t>
      </w:r>
      <w:bookmarkEnd w:id="86"/>
      <w:r w:rsidRPr="000A5D1C">
        <w:rPr>
          <w:lang w:eastAsia="en-US" w:bidi="ar-SA"/>
        </w:rPr>
        <w:t xml:space="preserve">: </w:t>
      </w:r>
      <w:hyperlink r:id="rId65" w:history="1">
        <w:r w:rsidR="000C3F6E" w:rsidRPr="000A5D1C">
          <w:rPr>
            <w:rStyle w:val="Hyperlink"/>
            <w:lang w:eastAsia="en-US" w:bidi="ar-SA"/>
          </w:rPr>
          <w:t>https://www.monash.edu/__data/assets/pdf_file/0007/3733441/Ron-Ben-David-What-if-the-consumer-energy-market-were-based-on-reality-rather-than-assumptions-July-2024.pdf</w:t>
        </w:r>
      </w:hyperlink>
      <w:r w:rsidRPr="000A5D1C">
        <w:rPr>
          <w:lang w:eastAsia="en-US" w:bidi="ar-SA"/>
        </w:rPr>
        <w:t xml:space="preserve">. </w:t>
      </w:r>
    </w:p>
    <w:p w14:paraId="62A422AD" w14:textId="2AC1693D" w:rsidR="000C3F6E" w:rsidRPr="000A5D1C" w:rsidRDefault="00BE71B5" w:rsidP="003F223E">
      <w:pPr>
        <w:pStyle w:val="ListParagraph"/>
        <w:numPr>
          <w:ilvl w:val="0"/>
          <w:numId w:val="11"/>
        </w:numPr>
        <w:rPr>
          <w:lang w:eastAsia="en-US" w:bidi="ar-SA"/>
        </w:rPr>
      </w:pPr>
      <w:r w:rsidRPr="000A5D1C">
        <w:rPr>
          <w:szCs w:val="18"/>
          <w:lang w:eastAsia="en-US" w:bidi="ar-SA"/>
        </w:rPr>
        <w:t xml:space="preserve">ACOSS and TEC, </w:t>
      </w:r>
      <w:proofErr w:type="spellStart"/>
      <w:r w:rsidRPr="000A5D1C">
        <w:rPr>
          <w:i/>
          <w:iCs/>
          <w:szCs w:val="18"/>
          <w:lang w:eastAsia="en-US" w:bidi="ar-SA"/>
        </w:rPr>
        <w:t>ourPower</w:t>
      </w:r>
      <w:proofErr w:type="spellEnd"/>
      <w:r w:rsidRPr="000A5D1C">
        <w:rPr>
          <w:i/>
          <w:iCs/>
          <w:szCs w:val="18"/>
          <w:lang w:eastAsia="en-US" w:bidi="ar-SA"/>
        </w:rPr>
        <w:t>: A Vision for Clean, Affordable, Dependable Energy for All,</w:t>
      </w:r>
      <w:r w:rsidRPr="000A5D1C">
        <w:rPr>
          <w:szCs w:val="18"/>
          <w:lang w:eastAsia="en-US" w:bidi="ar-SA"/>
        </w:rPr>
        <w:t xml:space="preserve"> Feb. 2022. [Online]. Available: </w:t>
      </w:r>
      <w:hyperlink r:id="rId66" w:history="1">
        <w:r w:rsidR="000C3F6E" w:rsidRPr="000A5D1C">
          <w:rPr>
            <w:rStyle w:val="Hyperlink"/>
            <w:szCs w:val="18"/>
            <w:lang w:eastAsia="en-US" w:bidi="ar-SA"/>
          </w:rPr>
          <w:t>https://ourpower.org.au/wp-content/uploads/2022/02/ourPower-Booklet.pdf</w:t>
        </w:r>
      </w:hyperlink>
      <w:r w:rsidRPr="000A5D1C">
        <w:rPr>
          <w:szCs w:val="18"/>
          <w:lang w:eastAsia="en-US" w:bidi="ar-SA"/>
        </w:rPr>
        <w:t>.</w:t>
      </w:r>
    </w:p>
    <w:p w14:paraId="2F5992BF" w14:textId="47E59850" w:rsidR="002A29EF" w:rsidRPr="000A5D1C" w:rsidRDefault="004E1F06" w:rsidP="003F223E">
      <w:pPr>
        <w:pStyle w:val="ListParagraph"/>
        <w:numPr>
          <w:ilvl w:val="0"/>
          <w:numId w:val="11"/>
        </w:numPr>
        <w:rPr>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67" w:history="1">
        <w:r w:rsidR="002A29EF" w:rsidRPr="000A5D1C">
          <w:rPr>
            <w:rStyle w:val="Hyperlink"/>
            <w:szCs w:val="18"/>
            <w:lang w:eastAsia="en-US" w:bidi="ar-SA"/>
          </w:rPr>
          <w:t>https://energyconsumersaustralia.com.au/wp-content/uploads/Energy-Consumers-Australia-Strategic-Plan-2021-2024.pdf</w:t>
        </w:r>
      </w:hyperlink>
      <w:r w:rsidRPr="000A5D1C">
        <w:rPr>
          <w:szCs w:val="18"/>
          <w:lang w:eastAsia="en-US" w:bidi="ar-SA"/>
        </w:rPr>
        <w:t>.</w:t>
      </w:r>
    </w:p>
    <w:p w14:paraId="59A7A84E" w14:textId="5169F724" w:rsidR="002A29EF" w:rsidRPr="000A5D1C" w:rsidRDefault="00BD1D74" w:rsidP="003F223E">
      <w:pPr>
        <w:pStyle w:val="ListParagraph"/>
        <w:numPr>
          <w:ilvl w:val="0"/>
          <w:numId w:val="11"/>
        </w:numPr>
        <w:rPr>
          <w:lang w:eastAsia="en-US" w:bidi="ar-SA"/>
        </w:rPr>
      </w:pPr>
      <w:r w:rsidRPr="000A5D1C">
        <w:rPr>
          <w:lang w:eastAsia="en-US" w:bidi="ar-SA"/>
        </w:rPr>
        <w:t xml:space="preserve">D. R. Ben-David, </w:t>
      </w:r>
      <w:r w:rsidRPr="000A5D1C">
        <w:rPr>
          <w:i/>
          <w:iCs/>
          <w:lang w:eastAsia="en-US" w:bidi="ar-SA"/>
        </w:rPr>
        <w:t>Response to Consultation on Two-Sided Markets</w:t>
      </w:r>
      <w:r w:rsidRPr="000A5D1C">
        <w:rPr>
          <w:lang w:eastAsia="en-US" w:bidi="ar-SA"/>
        </w:rPr>
        <w:t xml:space="preserve">, Monash Business School, Oct. 2020. [Online]. Available: </w:t>
      </w:r>
      <w:hyperlink r:id="rId68" w:history="1">
        <w:r w:rsidR="002A29EF" w:rsidRPr="000A5D1C">
          <w:rPr>
            <w:rStyle w:val="Hyperlink"/>
            <w:lang w:eastAsia="en-US" w:bidi="ar-SA"/>
          </w:rPr>
          <w:t>https://www.monash.edu/__data/assets/pdf_file/0006/2380785/Ron-Ben-David-Response-to-Consultation-on-Post-2025-19-October-2020.pdf</w:t>
        </w:r>
      </w:hyperlink>
      <w:r w:rsidRPr="000A5D1C">
        <w:rPr>
          <w:lang w:eastAsia="en-US" w:bidi="ar-SA"/>
        </w:rPr>
        <w:t>.</w:t>
      </w:r>
      <w:r w:rsidRPr="000A5D1C" w:rsidDel="00BD1D74">
        <w:rPr>
          <w:lang w:eastAsia="en-US" w:bidi="ar-SA"/>
        </w:rPr>
        <w:t xml:space="preserve"> </w:t>
      </w:r>
    </w:p>
    <w:p w14:paraId="2991A953" w14:textId="1F2C0CA8" w:rsidR="002A29EF" w:rsidRPr="000A5D1C" w:rsidRDefault="00592FBB" w:rsidP="003F223E">
      <w:pPr>
        <w:pStyle w:val="ListParagraph"/>
        <w:numPr>
          <w:ilvl w:val="0"/>
          <w:numId w:val="11"/>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69" w:history="1">
        <w:r w:rsidR="002A29EF" w:rsidRPr="000A5D1C">
          <w:rPr>
            <w:rStyle w:val="Hyperlink"/>
            <w:lang w:eastAsia="en-US" w:bidi="ar-SA"/>
          </w:rPr>
          <w:t>https://www.ceem.unsw.edu.au/sites/default/files/documents/H4-OA-final-report-17.11.21.pdf</w:t>
        </w:r>
      </w:hyperlink>
      <w:r w:rsidRPr="000A5D1C">
        <w:rPr>
          <w:lang w:eastAsia="en-US" w:bidi="ar-SA"/>
        </w:rPr>
        <w:t>.</w:t>
      </w:r>
    </w:p>
    <w:p w14:paraId="755F7589" w14:textId="50B632BE" w:rsidR="002A29EF" w:rsidRPr="000A5D1C" w:rsidRDefault="00EC249E" w:rsidP="003F223E">
      <w:pPr>
        <w:pStyle w:val="ListParagraph"/>
        <w:numPr>
          <w:ilvl w:val="0"/>
          <w:numId w:val="11"/>
        </w:numPr>
        <w:rPr>
          <w:lang w:eastAsia="en-US" w:bidi="ar-SA"/>
        </w:rPr>
      </w:pPr>
      <w:r w:rsidRPr="000A5D1C">
        <w:rPr>
          <w:lang w:eastAsia="en-US" w:bidi="ar-SA"/>
        </w:rPr>
        <w:t xml:space="preserve">Energy Consumers Australia, </w:t>
      </w:r>
      <w:r w:rsidRPr="000A5D1C">
        <w:rPr>
          <w:i/>
          <w:iCs/>
          <w:lang w:eastAsia="en-US" w:bidi="ar-SA"/>
        </w:rPr>
        <w:t>Submission: AER's Issues Paper on the Retailer Authorisation &amp; Exemptions Review</w:t>
      </w:r>
      <w:r w:rsidRPr="000A5D1C">
        <w:rPr>
          <w:lang w:eastAsia="en-US" w:bidi="ar-SA"/>
        </w:rPr>
        <w:t xml:space="preserve">, Jul. 2022. [Online]. Available: </w:t>
      </w:r>
      <w:hyperlink r:id="rId70" w:history="1">
        <w:r w:rsidR="002A29EF" w:rsidRPr="000A5D1C">
          <w:rPr>
            <w:rStyle w:val="Hyperlink"/>
            <w:lang w:eastAsia="en-US" w:bidi="ar-SA"/>
          </w:rPr>
          <w:t>https://www.aer.gov.au/documents/energy-consumers-australia-submission-aers-issues-paper-retailer-authorisation-and-exemptions-review-28-june-2022</w:t>
        </w:r>
      </w:hyperlink>
      <w:r w:rsidRPr="000A5D1C">
        <w:rPr>
          <w:lang w:eastAsia="en-US" w:bidi="ar-SA"/>
        </w:rPr>
        <w:t>.</w:t>
      </w:r>
    </w:p>
    <w:p w14:paraId="38F1A90A" w14:textId="0F3FF428" w:rsidR="00074F98" w:rsidRPr="000A5D1C" w:rsidRDefault="001C6793" w:rsidP="003F223E">
      <w:pPr>
        <w:pStyle w:val="ListParagraph"/>
        <w:numPr>
          <w:ilvl w:val="0"/>
          <w:numId w:val="11"/>
        </w:numPr>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March 2022. [Online]. Available: </w:t>
      </w:r>
      <w:hyperlink r:id="rId71" w:history="1">
        <w:r w:rsidR="00074F98" w:rsidRPr="000A5D1C">
          <w:rPr>
            <w:rStyle w:val="Hyperlink"/>
            <w:lang w:eastAsia="en-US" w:bidi="ar-SA"/>
          </w:rPr>
          <w:t>https://energyconsumersaustralia.com.au/publications/submission-on-the-aer-draft-consumer-vulnerability-strategy</w:t>
        </w:r>
      </w:hyperlink>
    </w:p>
    <w:p w14:paraId="6CE1CD55" w14:textId="07BEBBEF" w:rsidR="00AE3D7F" w:rsidRPr="000A5D1C" w:rsidRDefault="001032F0" w:rsidP="003F223E">
      <w:pPr>
        <w:pStyle w:val="ListParagraph"/>
        <w:numPr>
          <w:ilvl w:val="0"/>
          <w:numId w:val="11"/>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72" w:history="1">
        <w:r w:rsidR="00074F98" w:rsidRPr="000A5D1C">
          <w:rPr>
            <w:rStyle w:val="Hyperlink"/>
            <w:lang w:eastAsia="en-US" w:bidi="ar-SA"/>
          </w:rPr>
          <w:t>https://www.utupub.fi/bitstream/handle/10024/160647/FFRC-publication_1-2019-rev.pdf</w:t>
        </w:r>
      </w:hyperlink>
      <w:r w:rsidRPr="000A5D1C">
        <w:rPr>
          <w:lang w:eastAsia="en-US" w:bidi="ar-SA"/>
        </w:rPr>
        <w:t>.</w:t>
      </w:r>
      <w:r w:rsidR="00074F98" w:rsidRPr="000A5D1C">
        <w:rPr>
          <w:lang w:eastAsia="en-US" w:bidi="ar-SA"/>
        </w:rPr>
        <w:t xml:space="preserve"> </w:t>
      </w:r>
    </w:p>
    <w:p w14:paraId="1F6E9CAC" w14:textId="3C187D6A" w:rsidR="00AE3D7F" w:rsidRPr="000A5D1C" w:rsidRDefault="00BB23D9" w:rsidP="003F223E">
      <w:pPr>
        <w:pStyle w:val="ListParagraph"/>
        <w:numPr>
          <w:ilvl w:val="0"/>
          <w:numId w:val="11"/>
        </w:numPr>
        <w:rPr>
          <w:lang w:eastAsia="en-US" w:bidi="ar-SA"/>
        </w:rPr>
      </w:pPr>
      <w:r w:rsidRPr="000A5D1C">
        <w:rPr>
          <w:lang w:eastAsia="en-US" w:bidi="ar-SA"/>
        </w:rPr>
        <w:t>Energy Consumers Australia</w:t>
      </w:r>
      <w:r w:rsidRPr="000A5D1C">
        <w:rPr>
          <w:i/>
          <w:iCs/>
          <w:lang w:eastAsia="en-US" w:bidi="ar-SA"/>
        </w:rPr>
        <w:t xml:space="preserve">, </w:t>
      </w:r>
      <w:proofErr w:type="spellStart"/>
      <w:r w:rsidRPr="000A5D1C">
        <w:rPr>
          <w:i/>
          <w:iCs/>
          <w:lang w:eastAsia="en-US" w:bidi="ar-SA"/>
        </w:rPr>
        <w:t>Foresighting</w:t>
      </w:r>
      <w:proofErr w:type="spellEnd"/>
      <w:r w:rsidRPr="000A5D1C">
        <w:rPr>
          <w:i/>
          <w:iCs/>
          <w:lang w:eastAsia="en-US" w:bidi="ar-SA"/>
        </w:rPr>
        <w:t xml:space="preserve"> Forum 2021: System Design Webinar: Your Questions </w:t>
      </w:r>
      <w:proofErr w:type="gramStart"/>
      <w:r w:rsidRPr="000A5D1C">
        <w:rPr>
          <w:i/>
          <w:iCs/>
          <w:lang w:eastAsia="en-US" w:bidi="ar-SA"/>
        </w:rPr>
        <w:t>Answered!,</w:t>
      </w:r>
      <w:proofErr w:type="gramEnd"/>
      <w:r w:rsidRPr="000A5D1C">
        <w:rPr>
          <w:lang w:eastAsia="en-US" w:bidi="ar-SA"/>
        </w:rPr>
        <w:t xml:space="preserve"> Sep. 2021. [Online]. Available: </w:t>
      </w:r>
      <w:hyperlink r:id="rId73" w:history="1">
        <w:r w:rsidR="00074F98" w:rsidRPr="000A5D1C">
          <w:rPr>
            <w:rStyle w:val="Hyperlink"/>
            <w:lang w:eastAsia="en-US" w:bidi="ar-SA"/>
          </w:rPr>
          <w:t>https://energyconsumersaustralia.com.au/news/foresighting-forum-2021-system-design-webinar-your-questions-answered</w:t>
        </w:r>
      </w:hyperlink>
      <w:r w:rsidRPr="000A5D1C">
        <w:rPr>
          <w:lang w:eastAsia="en-US" w:bidi="ar-SA"/>
        </w:rPr>
        <w:t>.</w:t>
      </w:r>
      <w:r w:rsidR="00074F98" w:rsidRPr="000A5D1C">
        <w:rPr>
          <w:lang w:eastAsia="en-US" w:bidi="ar-SA"/>
        </w:rPr>
        <w:t xml:space="preserve"> </w:t>
      </w:r>
    </w:p>
    <w:p w14:paraId="0FE864E2" w14:textId="2CFBB2F6" w:rsidR="00074F98" w:rsidRPr="000A5D1C" w:rsidRDefault="00376B26" w:rsidP="003F223E">
      <w:pPr>
        <w:pStyle w:val="ListParagraph"/>
        <w:numPr>
          <w:ilvl w:val="0"/>
          <w:numId w:val="11"/>
        </w:numPr>
        <w:rPr>
          <w:lang w:eastAsia="en-US" w:bidi="ar-SA"/>
        </w:rPr>
      </w:pPr>
      <w:proofErr w:type="spellStart"/>
      <w:r w:rsidRPr="000A5D1C">
        <w:rPr>
          <w:lang w:eastAsia="en-US" w:bidi="ar-SA"/>
        </w:rPr>
        <w:t>UPowr</w:t>
      </w:r>
      <w:proofErr w:type="spellEnd"/>
      <w:r w:rsidRPr="000A5D1C">
        <w:rPr>
          <w:lang w:eastAsia="en-US" w:bidi="ar-SA"/>
        </w:rPr>
        <w:t xml:space="preserve">,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74" w:history="1">
        <w:r w:rsidR="00074F98" w:rsidRPr="000A5D1C">
          <w:rPr>
            <w:rStyle w:val="Hyperlink"/>
            <w:lang w:eastAsia="en-US" w:bidi="ar-SA"/>
          </w:rPr>
          <w:t>https://arena.gov.au/assets/2021/07/upowr-customer-segmentation-research-and-design-for-orchestration-programs.pdf</w:t>
        </w:r>
      </w:hyperlink>
    </w:p>
    <w:p w14:paraId="23AD536B" w14:textId="7366E0A0" w:rsidR="00074F98" w:rsidRPr="000A5D1C" w:rsidRDefault="006033B5" w:rsidP="003F223E">
      <w:pPr>
        <w:pStyle w:val="ListParagraph"/>
        <w:numPr>
          <w:ilvl w:val="0"/>
          <w:numId w:val="11"/>
        </w:numPr>
        <w:rPr>
          <w:lang w:eastAsia="en-US" w:bidi="ar-SA"/>
        </w:rPr>
      </w:pPr>
      <w:r w:rsidRPr="000A5D1C">
        <w:rPr>
          <w:lang w:eastAsia="en-US" w:bidi="ar-SA"/>
        </w:rPr>
        <w:t xml:space="preserve">ACOSS, </w:t>
      </w:r>
      <w:r w:rsidRPr="000A5D1C">
        <w:rPr>
          <w:i/>
          <w:iCs/>
          <w:lang w:eastAsia="en-US" w:bidi="ar-SA"/>
        </w:rPr>
        <w:t>New Energy Compact: Consultation Draft 5.0</w:t>
      </w:r>
      <w:r w:rsidRPr="000A5D1C">
        <w:rPr>
          <w:lang w:eastAsia="en-US" w:bidi="ar-SA"/>
        </w:rPr>
        <w:t>, Dec. 2020. [Online]. Available:</w:t>
      </w:r>
      <w:r w:rsidRPr="000A5D1C">
        <w:t xml:space="preserve"> </w:t>
      </w:r>
      <w:hyperlink r:id="rId75" w:history="1">
        <w:r w:rsidR="00074F98" w:rsidRPr="000A5D1C">
          <w:rPr>
            <w:rStyle w:val="Hyperlink"/>
            <w:lang w:eastAsia="en-US" w:bidi="ar-SA"/>
          </w:rPr>
          <w:t>https://www.acoss.org.au/wp-content/uploads/2021/02/NEC_Consultation-Draft-V.5-04122020.pdf</w:t>
        </w:r>
      </w:hyperlink>
      <w:r w:rsidRPr="000A5D1C">
        <w:rPr>
          <w:lang w:eastAsia="en-US" w:bidi="ar-SA"/>
        </w:rPr>
        <w:t>.</w:t>
      </w:r>
    </w:p>
    <w:p w14:paraId="2894522F" w14:textId="77777777" w:rsidR="00074F98" w:rsidRPr="000A5D1C" w:rsidRDefault="00CB7301" w:rsidP="003F223E">
      <w:pPr>
        <w:pStyle w:val="ListParagraph"/>
        <w:numPr>
          <w:ilvl w:val="0"/>
          <w:numId w:val="11"/>
        </w:numPr>
        <w:rPr>
          <w:lang w:eastAsia="en-US" w:bidi="ar-SA"/>
        </w:rPr>
      </w:pPr>
      <w:r w:rsidRPr="000A5D1C">
        <w:rPr>
          <w:lang w:eastAsia="en-US" w:bidi="ar-SA"/>
        </w:rPr>
        <w:t xml:space="preserve">Energy Consumers Australia, </w:t>
      </w:r>
      <w:r w:rsidRPr="000A5D1C">
        <w:rPr>
          <w:i/>
          <w:iCs/>
          <w:lang w:eastAsia="en-US" w:bidi="ar-SA"/>
        </w:rPr>
        <w:t>Social Licence for Control of Distributed Energy Resources: Final Report</w:t>
      </w:r>
      <w:r w:rsidRPr="000A5D1C">
        <w:rPr>
          <w:lang w:eastAsia="en-US" w:bidi="ar-SA"/>
        </w:rPr>
        <w:t xml:space="preserve">, </w:t>
      </w:r>
      <w:proofErr w:type="spellStart"/>
      <w:r w:rsidRPr="000A5D1C">
        <w:rPr>
          <w:lang w:eastAsia="en-US" w:bidi="ar-SA"/>
        </w:rPr>
        <w:t>CutlerMerz</w:t>
      </w:r>
      <w:proofErr w:type="spellEnd"/>
      <w:r w:rsidRPr="000A5D1C">
        <w:rPr>
          <w:lang w:eastAsia="en-US" w:bidi="ar-SA"/>
        </w:rPr>
        <w:t xml:space="preserve"> Pty Ltd, Dec. 2020. [Online]. Available: </w:t>
      </w:r>
      <w:hyperlink r:id="rId76" w:history="1">
        <w:r w:rsidR="00074F98" w:rsidRPr="000A5D1C">
          <w:rPr>
            <w:rStyle w:val="Hyperlink"/>
            <w:lang w:eastAsia="en-US" w:bidi="ar-SA"/>
          </w:rPr>
          <w:t>https://energyconsumersaustralia.com.au/our-work/research/social-licence-for-control-of-distributed-energy-resources</w:t>
        </w:r>
      </w:hyperlink>
      <w:r w:rsidR="00DE0F99" w:rsidRPr="000A5D1C">
        <w:rPr>
          <w:lang w:eastAsia="en-US" w:bidi="ar-SA"/>
        </w:rPr>
        <w:t>.</w:t>
      </w:r>
      <w:r w:rsidR="00074F98" w:rsidRPr="000A5D1C">
        <w:rPr>
          <w:lang w:eastAsia="en-US" w:bidi="ar-SA"/>
        </w:rPr>
        <w:t xml:space="preserve"> </w:t>
      </w:r>
    </w:p>
    <w:p w14:paraId="5EE58EE0" w14:textId="61CDA087" w:rsidR="00074F98" w:rsidRPr="000A5D1C" w:rsidRDefault="00A16244" w:rsidP="003F223E">
      <w:pPr>
        <w:pStyle w:val="ListParagraph"/>
        <w:numPr>
          <w:ilvl w:val="0"/>
          <w:numId w:val="11"/>
        </w:numPr>
        <w:rPr>
          <w:lang w:eastAsia="en-US" w:bidi="ar-SA"/>
        </w:rPr>
      </w:pPr>
      <w:r w:rsidRPr="000A5D1C">
        <w:rPr>
          <w:lang w:eastAsia="en-US" w:bidi="ar-SA"/>
        </w:rPr>
        <w:t xml:space="preserve">Energy Security Board (ESB), </w:t>
      </w:r>
      <w:r w:rsidRPr="000A5D1C">
        <w:rPr>
          <w:i/>
          <w:iCs/>
          <w:lang w:eastAsia="en-US" w:bidi="ar-SA"/>
        </w:rPr>
        <w:t xml:space="preserve">Customer Insights Collaboration: Synthesis </w:t>
      </w:r>
      <w:proofErr w:type="gramStart"/>
      <w:r w:rsidRPr="000A5D1C">
        <w:rPr>
          <w:i/>
          <w:iCs/>
          <w:lang w:eastAsia="en-US" w:bidi="ar-SA"/>
        </w:rPr>
        <w:t>From</w:t>
      </w:r>
      <w:proofErr w:type="gramEnd"/>
      <w:r w:rsidRPr="000A5D1C">
        <w:rPr>
          <w:i/>
          <w:iCs/>
          <w:lang w:eastAsia="en-US" w:bidi="ar-SA"/>
        </w:rPr>
        <w:t xml:space="preserve"> Workshop 2</w:t>
      </w:r>
      <w:r w:rsidRPr="000A5D1C">
        <w:rPr>
          <w:lang w:eastAsia="en-US" w:bidi="ar-SA"/>
        </w:rPr>
        <w:t xml:space="preserve">, Jun. 2022. [Online]. Available: </w:t>
      </w:r>
      <w:hyperlink r:id="rId77" w:history="1">
        <w:r w:rsidR="00074F98" w:rsidRPr="000A5D1C">
          <w:rPr>
            <w:rStyle w:val="Hyperlink"/>
            <w:lang w:eastAsia="en-US" w:bidi="ar-SA"/>
          </w:rPr>
          <w:t>https://www.datocms-assets.com/32572/1657176767-esb-ssg-release-2.pdf</w:t>
        </w:r>
      </w:hyperlink>
      <w:r w:rsidRPr="000A5D1C">
        <w:rPr>
          <w:lang w:eastAsia="en-US" w:bidi="ar-SA"/>
        </w:rPr>
        <w:t>.</w:t>
      </w:r>
      <w:bookmarkStart w:id="87" w:name="_Toc195107230"/>
    </w:p>
    <w:p w14:paraId="6D54A90C" w14:textId="4E063329" w:rsidR="005C6C29" w:rsidRPr="000A5D1C" w:rsidRDefault="005C6C29" w:rsidP="005C6C29">
      <w:pPr>
        <w:pStyle w:val="Heading2"/>
        <w:rPr>
          <w:lang w:eastAsia="en-US" w:bidi="ar-SA"/>
        </w:rPr>
      </w:pPr>
      <w:bookmarkStart w:id="88" w:name="_Toc195206916"/>
      <w:bookmarkStart w:id="89" w:name="_Toc205362705"/>
      <w:bookmarkStart w:id="90" w:name="_Toc205536770"/>
      <w:r w:rsidRPr="000A5D1C">
        <w:rPr>
          <w:lang w:eastAsia="en-US" w:bidi="ar-SA"/>
        </w:rPr>
        <w:t>Empowering</w:t>
      </w:r>
      <w:bookmarkEnd w:id="87"/>
      <w:bookmarkEnd w:id="88"/>
      <w:bookmarkEnd w:id="89"/>
      <w:bookmarkEnd w:id="90"/>
    </w:p>
    <w:p w14:paraId="6B1E73C7" w14:textId="6D916F2D" w:rsidR="00074F98" w:rsidRPr="000A5D1C" w:rsidRDefault="00A16244" w:rsidP="003F223E">
      <w:pPr>
        <w:pStyle w:val="ListParagraph"/>
        <w:numPr>
          <w:ilvl w:val="0"/>
          <w:numId w:val="15"/>
        </w:numPr>
        <w:rPr>
          <w:lang w:eastAsia="en-US" w:bidi="ar-SA"/>
        </w:rPr>
      </w:pPr>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xml:space="preserve">, Dec. 2024. [Online]. Available: </w:t>
      </w:r>
      <w:hyperlink r:id="rId78" w:history="1">
        <w:r w:rsidR="00074F98" w:rsidRPr="000A5D1C">
          <w:rPr>
            <w:rStyle w:val="Hyperlink"/>
            <w:lang w:eastAsia="en-US" w:bidi="ar-SA"/>
          </w:rPr>
          <w:t>https://www.eec.org.au/uploads/Projects/Demanding%20better%20-%20A%20reform%20agenda.pdf</w:t>
        </w:r>
      </w:hyperlink>
      <w:r w:rsidRPr="000A5D1C">
        <w:rPr>
          <w:lang w:eastAsia="en-US" w:bidi="ar-SA"/>
        </w:rPr>
        <w:t>.</w:t>
      </w:r>
    </w:p>
    <w:p w14:paraId="42E12119" w14:textId="53B4E2CD" w:rsidR="00074F98" w:rsidRPr="000A5D1C" w:rsidRDefault="00CD0FB0" w:rsidP="003F223E">
      <w:pPr>
        <w:pStyle w:val="ListParagraph"/>
        <w:numPr>
          <w:ilvl w:val="0"/>
          <w:numId w:val="15"/>
        </w:numPr>
        <w:rPr>
          <w:lang w:eastAsia="en-US" w:bidi="ar-SA"/>
        </w:rPr>
      </w:pPr>
      <w:bookmarkStart w:id="91" w:name="Ref_8_5_Develop_Policy_for_Australi_24"/>
      <w:r w:rsidRPr="000A5D1C">
        <w:rPr>
          <w:lang w:eastAsia="en-US" w:bidi="ar-SA"/>
        </w:rPr>
        <w:t xml:space="preserve">V. L. McLeod, </w:t>
      </w:r>
      <w:r w:rsidRPr="000A5D1C">
        <w:rPr>
          <w:i/>
          <w:iCs/>
          <w:lang w:eastAsia="en-US" w:bidi="ar-SA"/>
        </w:rPr>
        <w:t>Developing Policy for Australia’s Clean Energy Transition Using a Systems Thinking Approach: Consumer and Distributed Energy Resource Integration Case Study</w:t>
      </w:r>
      <w:r w:rsidRPr="000A5D1C">
        <w:rPr>
          <w:lang w:eastAsia="en-US" w:bidi="ar-SA"/>
        </w:rPr>
        <w:t>, RACE for 2030 Cooperative Research Centre, Jul. 2024. [</w:t>
      </w:r>
      <w:bookmarkEnd w:id="91"/>
      <w:r w:rsidRPr="000A5D1C">
        <w:rPr>
          <w:lang w:eastAsia="en-US" w:bidi="ar-SA"/>
        </w:rPr>
        <w:t xml:space="preserve">Online]. Available: </w:t>
      </w:r>
      <w:hyperlink r:id="rId79" w:history="1">
        <w:r w:rsidR="00074F98" w:rsidRPr="000A5D1C">
          <w:rPr>
            <w:rStyle w:val="Hyperlink"/>
            <w:lang w:eastAsia="en-US" w:bidi="ar-SA"/>
          </w:rPr>
          <w:t>https://www.racefor2030.com.au/content/uploads/21.E2.A.0189-Final-Report_Dec-2022.pdf</w:t>
        </w:r>
      </w:hyperlink>
      <w:r w:rsidRPr="000A5D1C">
        <w:rPr>
          <w:lang w:eastAsia="en-US" w:bidi="ar-SA"/>
        </w:rPr>
        <w:t>.</w:t>
      </w:r>
    </w:p>
    <w:p w14:paraId="012C4968" w14:textId="63A8CFE0" w:rsidR="00127796" w:rsidRPr="000A5D1C" w:rsidRDefault="00697BD3" w:rsidP="003F223E">
      <w:pPr>
        <w:pStyle w:val="ListParagraph"/>
        <w:numPr>
          <w:ilvl w:val="0"/>
          <w:numId w:val="15"/>
        </w:numPr>
        <w:rPr>
          <w:lang w:eastAsia="en-US" w:bidi="ar-SA"/>
        </w:rPr>
      </w:pPr>
      <w:bookmarkStart w:id="92" w:name="Ref_8_5_Minimising_Consumer_Harm_22"/>
      <w:r w:rsidRPr="000A5D1C">
        <w:rPr>
          <w:lang w:eastAsia="en-US" w:bidi="ar-SA"/>
        </w:rPr>
        <w:t xml:space="preserve">R. Ben-David, "Minimising consumer harm for a successful energy transition," presented at IPART’s 30th Anniversary Conference, Sydney, Australia, Nov. 17, 2022. </w:t>
      </w:r>
      <w:bookmarkEnd w:id="92"/>
      <w:r w:rsidRPr="000A5D1C">
        <w:rPr>
          <w:lang w:eastAsia="en-US" w:bidi="ar-SA"/>
        </w:rPr>
        <w:t xml:space="preserve">[Online]. Available: </w:t>
      </w:r>
      <w:hyperlink r:id="rId80" w:history="1">
        <w:r w:rsidR="00074F98"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r w:rsidR="00074F98" w:rsidRPr="000A5D1C">
        <w:rPr>
          <w:lang w:eastAsia="en-US" w:bidi="ar-SA"/>
        </w:rPr>
        <w:t xml:space="preserve"> </w:t>
      </w:r>
    </w:p>
    <w:p w14:paraId="040F9AA9" w14:textId="77777777" w:rsidR="00565F08" w:rsidRPr="000A5D1C" w:rsidRDefault="00D606C3" w:rsidP="003F223E">
      <w:pPr>
        <w:pStyle w:val="ListParagraph"/>
        <w:numPr>
          <w:ilvl w:val="0"/>
          <w:numId w:val="15"/>
        </w:numPr>
        <w:rPr>
          <w:lang w:eastAsia="en-US" w:bidi="ar-SA"/>
        </w:rPr>
      </w:pPr>
      <w:r w:rsidRPr="000A5D1C">
        <w:rPr>
          <w:szCs w:val="18"/>
          <w:lang w:eastAsia="en-US" w:bidi="ar-SA"/>
        </w:rPr>
        <w:t xml:space="preserve">P. De Martini and A. De Martini, </w:t>
      </w:r>
      <w:r w:rsidRPr="000A5D1C">
        <w:rPr>
          <w:i/>
          <w:iCs/>
          <w:szCs w:val="18"/>
          <w:lang w:eastAsia="en-US" w:bidi="ar-SA"/>
        </w:rPr>
        <w:t>Customer Load Management: Evolution &amp; Revolution</w:t>
      </w:r>
      <w:r w:rsidRPr="000A5D1C">
        <w:rPr>
          <w:szCs w:val="18"/>
          <w:lang w:eastAsia="en-US" w:bidi="ar-SA"/>
        </w:rPr>
        <w:t xml:space="preserve">, Pacific Energy Institute, Dec. 2021. [Online]. Available: </w:t>
      </w:r>
      <w:hyperlink r:id="rId81" w:history="1">
        <w:r w:rsidR="00565F08" w:rsidRPr="000A5D1C">
          <w:rPr>
            <w:rStyle w:val="Hyperlink"/>
            <w:szCs w:val="18"/>
            <w:lang w:eastAsia="en-US" w:bidi="ar-SA"/>
          </w:rPr>
          <w:t>https://pacificenergyinstitute.org/wp-content/uploads/2021/12/PEI-Customer-Load-Management-Evolution-Revolution-12.29.21.pdf</w:t>
        </w:r>
      </w:hyperlink>
      <w:r w:rsidRPr="000A5D1C">
        <w:rPr>
          <w:szCs w:val="18"/>
          <w:lang w:eastAsia="en-US" w:bidi="ar-SA"/>
        </w:rPr>
        <w:t>.</w:t>
      </w:r>
      <w:r w:rsidR="00565F08" w:rsidRPr="000A5D1C">
        <w:rPr>
          <w:szCs w:val="18"/>
          <w:lang w:eastAsia="en-US" w:bidi="ar-SA"/>
        </w:rPr>
        <w:t xml:space="preserve"> </w:t>
      </w:r>
    </w:p>
    <w:p w14:paraId="324CEB5D" w14:textId="22B127C9" w:rsidR="00C70F56" w:rsidRPr="00C70F56" w:rsidRDefault="00BE71B5" w:rsidP="003F223E">
      <w:pPr>
        <w:pStyle w:val="ListParagraph"/>
        <w:numPr>
          <w:ilvl w:val="0"/>
          <w:numId w:val="15"/>
        </w:numPr>
        <w:rPr>
          <w:lang w:eastAsia="en-US" w:bidi="ar-SA"/>
        </w:rPr>
      </w:pPr>
      <w:r w:rsidRPr="000A5D1C">
        <w:rPr>
          <w:szCs w:val="18"/>
          <w:lang w:eastAsia="en-US" w:bidi="ar-SA"/>
        </w:rPr>
        <w:t xml:space="preserve">ACOSS and TEC, </w:t>
      </w:r>
      <w:proofErr w:type="spellStart"/>
      <w:r w:rsidRPr="000A5D1C">
        <w:rPr>
          <w:i/>
          <w:iCs/>
          <w:szCs w:val="18"/>
          <w:lang w:eastAsia="en-US" w:bidi="ar-SA"/>
        </w:rPr>
        <w:t>ourPower</w:t>
      </w:r>
      <w:proofErr w:type="spellEnd"/>
      <w:r w:rsidRPr="000A5D1C">
        <w:rPr>
          <w:i/>
          <w:iCs/>
          <w:szCs w:val="18"/>
          <w:lang w:eastAsia="en-US" w:bidi="ar-SA"/>
        </w:rPr>
        <w:t>: A Vision for Clean, Affordable, Dependable Energy for All,</w:t>
      </w:r>
      <w:r w:rsidRPr="000A5D1C">
        <w:rPr>
          <w:szCs w:val="18"/>
          <w:lang w:eastAsia="en-US" w:bidi="ar-SA"/>
        </w:rPr>
        <w:t xml:space="preserve"> Feb. 2022. [Online]. Available: </w:t>
      </w:r>
      <w:hyperlink r:id="rId82" w:history="1">
        <w:r w:rsidR="00C70F56" w:rsidRPr="00A57810">
          <w:rPr>
            <w:rStyle w:val="Hyperlink"/>
            <w:szCs w:val="18"/>
            <w:lang w:eastAsia="en-US" w:bidi="ar-SA"/>
          </w:rPr>
          <w:t>https://ourpower.org.au/wp-content/uploads/2022/02/ourPower-Booklet.pdf</w:t>
        </w:r>
      </w:hyperlink>
      <w:r w:rsidRPr="000A5D1C">
        <w:rPr>
          <w:szCs w:val="18"/>
          <w:lang w:eastAsia="en-US" w:bidi="ar-SA"/>
        </w:rPr>
        <w:t>.</w:t>
      </w:r>
    </w:p>
    <w:p w14:paraId="40DAA367" w14:textId="670B29BB" w:rsidR="00565F08" w:rsidRPr="000A5D1C" w:rsidRDefault="001A606B" w:rsidP="003F223E">
      <w:pPr>
        <w:pStyle w:val="ListParagraph"/>
        <w:numPr>
          <w:ilvl w:val="0"/>
          <w:numId w:val="15"/>
        </w:numPr>
        <w:rPr>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83" w:history="1">
        <w:r w:rsidR="00685118" w:rsidRPr="000A5D1C">
          <w:rPr>
            <w:rStyle w:val="Hyperlink"/>
            <w:szCs w:val="18"/>
            <w:lang w:eastAsia="en-US" w:bidi="ar-SA"/>
          </w:rPr>
          <w:t>https://energyconsumersaustralia.com.au/wp-content/uploads/Energy-Consumers-Australia-Strategic-Plan-2021-2024.pdf</w:t>
        </w:r>
      </w:hyperlink>
      <w:r w:rsidR="00BD1D74" w:rsidRPr="000A5D1C">
        <w:rPr>
          <w:lang w:eastAsia="en-US" w:bidi="ar-SA"/>
        </w:rPr>
        <w:t>.</w:t>
      </w:r>
      <w:r w:rsidR="00685118" w:rsidRPr="000A5D1C">
        <w:rPr>
          <w:lang w:eastAsia="en-US" w:bidi="ar-SA"/>
        </w:rPr>
        <w:t xml:space="preserve"> </w:t>
      </w:r>
    </w:p>
    <w:p w14:paraId="1A9E90DE" w14:textId="51656689" w:rsidR="00565F08" w:rsidRPr="000A5D1C" w:rsidRDefault="00BD1D74" w:rsidP="003F223E">
      <w:pPr>
        <w:pStyle w:val="ListParagraph"/>
        <w:numPr>
          <w:ilvl w:val="0"/>
          <w:numId w:val="15"/>
        </w:numPr>
        <w:rPr>
          <w:lang w:eastAsia="en-US" w:bidi="ar-SA"/>
        </w:rPr>
      </w:pPr>
      <w:r w:rsidRPr="000A5D1C">
        <w:rPr>
          <w:lang w:eastAsia="en-US" w:bidi="ar-SA"/>
        </w:rPr>
        <w:t xml:space="preserve">R. Ben-David, </w:t>
      </w:r>
      <w:r w:rsidRPr="000A5D1C">
        <w:rPr>
          <w:i/>
          <w:iCs/>
          <w:lang w:eastAsia="en-US" w:bidi="ar-SA"/>
        </w:rPr>
        <w:t>Response to Consultation on Two-Sided Markets</w:t>
      </w:r>
      <w:r w:rsidRPr="000A5D1C">
        <w:rPr>
          <w:lang w:eastAsia="en-US" w:bidi="ar-SA"/>
        </w:rPr>
        <w:t xml:space="preserve">, Monash Business School, Oct. 2020. [Online]. Available: </w:t>
      </w:r>
      <w:hyperlink r:id="rId84" w:history="1">
        <w:r w:rsidR="00565F08" w:rsidRPr="000A5D1C">
          <w:rPr>
            <w:rStyle w:val="Hyperlink"/>
            <w:lang w:eastAsia="en-US" w:bidi="ar-SA"/>
          </w:rPr>
          <w:t>https://www.monash.edu/__data/assets/pdf_file/0006/2380785/Ron-Ben-David-Response-to-Consultation-on-Post-2025-19-October-2020.pdf</w:t>
        </w:r>
      </w:hyperlink>
      <w:r w:rsidRPr="000A5D1C">
        <w:rPr>
          <w:lang w:eastAsia="en-US" w:bidi="ar-SA"/>
        </w:rPr>
        <w:t>.</w:t>
      </w:r>
    </w:p>
    <w:p w14:paraId="1EF98FB7" w14:textId="77777777" w:rsidR="00C70F56" w:rsidRPr="00C70F56" w:rsidRDefault="00E61723" w:rsidP="003F223E">
      <w:pPr>
        <w:pStyle w:val="ListParagraph"/>
        <w:numPr>
          <w:ilvl w:val="0"/>
          <w:numId w:val="15"/>
        </w:numPr>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85" w:tgtFrame="_blank" w:history="1">
        <w:r w:rsidRPr="000A5D1C">
          <w:rPr>
            <w:rStyle w:val="Hyperlink"/>
            <w:szCs w:val="18"/>
            <w:lang w:eastAsia="en-US" w:bidi="ar-SA"/>
          </w:rPr>
          <w:t>https://www.energy.gov/eere/articles/does-national-roadmap-grid-interactive-efficient-buildings</w:t>
        </w:r>
      </w:hyperlink>
      <w:r w:rsidRPr="000A5D1C">
        <w:rPr>
          <w:szCs w:val="18"/>
          <w:lang w:eastAsia="en-US" w:bidi="ar-SA"/>
        </w:rPr>
        <w:t>.</w:t>
      </w:r>
    </w:p>
    <w:p w14:paraId="2CB4CE86" w14:textId="7B3442F4" w:rsidR="00685118" w:rsidRPr="000A5D1C" w:rsidRDefault="00592FBB" w:rsidP="003F223E">
      <w:pPr>
        <w:pStyle w:val="ListParagraph"/>
        <w:numPr>
          <w:ilvl w:val="0"/>
          <w:numId w:val="15"/>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86" w:history="1">
        <w:r w:rsidR="00685118" w:rsidRPr="000A5D1C">
          <w:rPr>
            <w:rStyle w:val="Hyperlink"/>
            <w:lang w:eastAsia="en-US" w:bidi="ar-SA"/>
          </w:rPr>
          <w:t>https://www.ceem.unsw.edu.au/sites/default/files/documents/H4-OA-final-report-17.11.21.pdf</w:t>
        </w:r>
      </w:hyperlink>
      <w:r w:rsidRPr="000A5D1C">
        <w:rPr>
          <w:lang w:eastAsia="en-US" w:bidi="ar-SA"/>
        </w:rPr>
        <w:t>.</w:t>
      </w:r>
    </w:p>
    <w:p w14:paraId="07FFE8D4" w14:textId="52A6FA1F" w:rsidR="00685118" w:rsidRPr="000A5D1C" w:rsidRDefault="00EC249E" w:rsidP="003F223E">
      <w:pPr>
        <w:pStyle w:val="ListParagraph"/>
        <w:numPr>
          <w:ilvl w:val="0"/>
          <w:numId w:val="15"/>
        </w:numPr>
        <w:rPr>
          <w:lang w:eastAsia="en-US" w:bidi="ar-SA"/>
        </w:rPr>
      </w:pPr>
      <w:r w:rsidRPr="000A5D1C">
        <w:rPr>
          <w:lang w:eastAsia="en-US" w:bidi="ar-SA"/>
        </w:rPr>
        <w:t xml:space="preserve">Energy Consumers Australia, </w:t>
      </w:r>
      <w:r w:rsidRPr="000A5D1C">
        <w:rPr>
          <w:i/>
          <w:iCs/>
          <w:lang w:eastAsia="en-US" w:bidi="ar-SA"/>
        </w:rPr>
        <w:t>Submission: AER's Issues Paper on the Retailer Authorisation &amp; Exemptions Review</w:t>
      </w:r>
      <w:r w:rsidRPr="000A5D1C">
        <w:rPr>
          <w:lang w:eastAsia="en-US" w:bidi="ar-SA"/>
        </w:rPr>
        <w:t xml:space="preserve">, Jul. 2022. [Online]. Available: </w:t>
      </w:r>
      <w:hyperlink r:id="rId87" w:history="1">
        <w:r w:rsidR="00685118" w:rsidRPr="000A5D1C">
          <w:rPr>
            <w:rStyle w:val="Hyperlink"/>
            <w:lang w:eastAsia="en-US" w:bidi="ar-SA"/>
          </w:rPr>
          <w:t>https://www.aer.gov.au/documents/energy-consumers-australia-submission-aers-issues-paper-retailer-authorisation-and-exemptions-review-28-june-2022</w:t>
        </w:r>
      </w:hyperlink>
      <w:r w:rsidRPr="000A5D1C">
        <w:rPr>
          <w:lang w:eastAsia="en-US" w:bidi="ar-SA"/>
        </w:rPr>
        <w:t>.</w:t>
      </w:r>
    </w:p>
    <w:p w14:paraId="75750A7E" w14:textId="6B6BB070" w:rsidR="007B5BB2" w:rsidRPr="000A5D1C" w:rsidRDefault="001C6793" w:rsidP="003F223E">
      <w:pPr>
        <w:pStyle w:val="ListParagraph"/>
        <w:numPr>
          <w:ilvl w:val="0"/>
          <w:numId w:val="15"/>
        </w:numPr>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March 2022. [Online]. Available: </w:t>
      </w:r>
      <w:hyperlink r:id="rId88" w:history="1">
        <w:r w:rsidR="007B5BB2" w:rsidRPr="000A5D1C">
          <w:rPr>
            <w:rStyle w:val="Hyperlink"/>
            <w:lang w:eastAsia="en-US" w:bidi="ar-SA"/>
          </w:rPr>
          <w:t>https://energyconsumersaustralia.com.au/publications/submission-on-the-aer-draft-consumer-vulnerability-strategy</w:t>
        </w:r>
      </w:hyperlink>
    </w:p>
    <w:p w14:paraId="52E26562" w14:textId="19B785DF" w:rsidR="007B5BB2" w:rsidRPr="000A5D1C" w:rsidRDefault="00BB23D9" w:rsidP="003F223E">
      <w:pPr>
        <w:pStyle w:val="ListParagraph"/>
        <w:numPr>
          <w:ilvl w:val="0"/>
          <w:numId w:val="15"/>
        </w:numPr>
        <w:rPr>
          <w:lang w:eastAsia="en-US" w:bidi="ar-SA"/>
        </w:rPr>
      </w:pPr>
      <w:r w:rsidRPr="000A5D1C">
        <w:rPr>
          <w:lang w:eastAsia="en-US" w:bidi="ar-SA"/>
        </w:rPr>
        <w:t>Energy Consumers Australia</w:t>
      </w:r>
      <w:r w:rsidRPr="000A5D1C">
        <w:rPr>
          <w:i/>
          <w:iCs/>
          <w:lang w:eastAsia="en-US" w:bidi="ar-SA"/>
        </w:rPr>
        <w:t>, Energy Consumer Sentiment Survey: Household Topline Results</w:t>
      </w:r>
      <w:r w:rsidRPr="000A5D1C">
        <w:rPr>
          <w:lang w:eastAsia="en-US" w:bidi="ar-SA"/>
        </w:rPr>
        <w:t>, Oct. 2022. [Online]. Available:</w:t>
      </w:r>
      <w:r w:rsidRPr="000A5D1C">
        <w:t xml:space="preserve"> </w:t>
      </w:r>
      <w:hyperlink r:id="rId89" w:history="1">
        <w:r w:rsidR="007B5BB2" w:rsidRPr="000A5D1C">
          <w:rPr>
            <w:rStyle w:val="Hyperlink"/>
            <w:lang w:eastAsia="en-US" w:bidi="ar-SA"/>
          </w:rPr>
          <w:t>https://energyconsumersaustralia.com.au/sites/default/files/wp-documents/ECBS-W13a-Oct22-Household-Toplines.pdf</w:t>
        </w:r>
      </w:hyperlink>
    </w:p>
    <w:p w14:paraId="0B86D566" w14:textId="412826AA" w:rsidR="007B5BB2" w:rsidRPr="000A5D1C" w:rsidRDefault="001032F0" w:rsidP="003F223E">
      <w:pPr>
        <w:pStyle w:val="ListParagraph"/>
        <w:numPr>
          <w:ilvl w:val="0"/>
          <w:numId w:val="15"/>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90" w:history="1">
        <w:r w:rsidR="007B5BB2" w:rsidRPr="000A5D1C">
          <w:rPr>
            <w:rStyle w:val="Hyperlink"/>
            <w:lang w:eastAsia="en-US" w:bidi="ar-SA"/>
          </w:rPr>
          <w:t>https://www.utupub.fi/bitstream/handle/10024/160647/FFRC-publication_1-2019-rev.pdf</w:t>
        </w:r>
      </w:hyperlink>
      <w:r w:rsidRPr="000A5D1C">
        <w:rPr>
          <w:lang w:eastAsia="en-US" w:bidi="ar-SA"/>
        </w:rPr>
        <w:t>.</w:t>
      </w:r>
    </w:p>
    <w:p w14:paraId="7BBDA80E" w14:textId="523A3E26" w:rsidR="00C73C0E" w:rsidRPr="000A5D1C" w:rsidRDefault="00BB23D9" w:rsidP="003F223E">
      <w:pPr>
        <w:pStyle w:val="ListParagraph"/>
        <w:numPr>
          <w:ilvl w:val="0"/>
          <w:numId w:val="15"/>
        </w:numPr>
        <w:rPr>
          <w:lang w:eastAsia="en-US" w:bidi="ar-SA"/>
        </w:rPr>
      </w:pPr>
      <w:r w:rsidRPr="000A5D1C">
        <w:rPr>
          <w:lang w:eastAsia="en-US" w:bidi="ar-SA"/>
        </w:rPr>
        <w:t>Energy Consumers Australia</w:t>
      </w:r>
      <w:r w:rsidRPr="000A5D1C">
        <w:rPr>
          <w:i/>
          <w:iCs/>
          <w:lang w:eastAsia="en-US" w:bidi="ar-SA"/>
        </w:rPr>
        <w:t xml:space="preserve">, </w:t>
      </w:r>
      <w:proofErr w:type="spellStart"/>
      <w:r w:rsidRPr="000A5D1C">
        <w:rPr>
          <w:i/>
          <w:iCs/>
          <w:lang w:eastAsia="en-US" w:bidi="ar-SA"/>
        </w:rPr>
        <w:t>Foresighting</w:t>
      </w:r>
      <w:proofErr w:type="spellEnd"/>
      <w:r w:rsidRPr="000A5D1C">
        <w:rPr>
          <w:i/>
          <w:iCs/>
          <w:lang w:eastAsia="en-US" w:bidi="ar-SA"/>
        </w:rPr>
        <w:t xml:space="preserve"> Forum 2021: System Design </w:t>
      </w:r>
      <w:proofErr w:type="spellStart"/>
      <w:r w:rsidRPr="000A5D1C">
        <w:rPr>
          <w:lang w:eastAsia="en-US" w:bidi="ar-SA"/>
        </w:rPr>
        <w:t>FinalReport</w:t>
      </w:r>
      <w:proofErr w:type="spellEnd"/>
      <w:r w:rsidRPr="000A5D1C">
        <w:rPr>
          <w:i/>
          <w:iCs/>
          <w:lang w:eastAsia="en-US" w:bidi="ar-SA"/>
        </w:rPr>
        <w:t xml:space="preserve">: Your Questions </w:t>
      </w:r>
      <w:proofErr w:type="gramStart"/>
      <w:r w:rsidRPr="000A5D1C">
        <w:rPr>
          <w:i/>
          <w:iCs/>
          <w:lang w:eastAsia="en-US" w:bidi="ar-SA"/>
        </w:rPr>
        <w:t>Answered!,</w:t>
      </w:r>
      <w:proofErr w:type="gramEnd"/>
      <w:r w:rsidRPr="000A5D1C">
        <w:rPr>
          <w:lang w:eastAsia="en-US" w:bidi="ar-SA"/>
        </w:rPr>
        <w:t xml:space="preserve"> Sep. 2021. [Online]. Available: </w:t>
      </w:r>
      <w:hyperlink r:id="rId91" w:history="1">
        <w:r w:rsidR="007B5BB2" w:rsidRPr="000A5D1C">
          <w:rPr>
            <w:rStyle w:val="Hyperlink"/>
            <w:lang w:eastAsia="en-US" w:bidi="ar-SA"/>
          </w:rPr>
          <w:t>https://energyconsumersaustralia.com.au/news/foresighting-forum-2021-system-design-webinar-your-questions-answered</w:t>
        </w:r>
      </w:hyperlink>
      <w:r w:rsidRPr="000A5D1C">
        <w:rPr>
          <w:lang w:eastAsia="en-US" w:bidi="ar-SA"/>
        </w:rPr>
        <w:t>.</w:t>
      </w:r>
      <w:r w:rsidR="007B5BB2" w:rsidRPr="000A5D1C">
        <w:rPr>
          <w:lang w:eastAsia="en-US" w:bidi="ar-SA"/>
        </w:rPr>
        <w:t xml:space="preserve"> </w:t>
      </w:r>
    </w:p>
    <w:p w14:paraId="311892C5" w14:textId="6D29769C" w:rsidR="00C73C0E" w:rsidRPr="000A5D1C" w:rsidRDefault="00376B26" w:rsidP="003F223E">
      <w:pPr>
        <w:pStyle w:val="ListParagraph"/>
        <w:numPr>
          <w:ilvl w:val="0"/>
          <w:numId w:val="15"/>
        </w:numPr>
        <w:rPr>
          <w:lang w:eastAsia="en-US" w:bidi="ar-SA"/>
        </w:rPr>
      </w:pPr>
      <w:proofErr w:type="spellStart"/>
      <w:r w:rsidRPr="000A5D1C">
        <w:rPr>
          <w:lang w:eastAsia="en-US" w:bidi="ar-SA"/>
        </w:rPr>
        <w:t>UPowr</w:t>
      </w:r>
      <w:proofErr w:type="spellEnd"/>
      <w:r w:rsidRPr="000A5D1C">
        <w:rPr>
          <w:lang w:eastAsia="en-US" w:bidi="ar-SA"/>
        </w:rPr>
        <w:t xml:space="preserve">,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92" w:history="1">
        <w:r w:rsidR="007B5BB2" w:rsidRPr="000A5D1C">
          <w:rPr>
            <w:rStyle w:val="Hyperlink"/>
            <w:lang w:eastAsia="en-US" w:bidi="ar-SA"/>
          </w:rPr>
          <w:t>https://arena.gov.au/assets/2021/07/upowr-customer-segmentation-research-and-design-for-orchestration-programs.pdf</w:t>
        </w:r>
      </w:hyperlink>
      <w:r w:rsidR="007B5BB2" w:rsidRPr="000A5D1C">
        <w:rPr>
          <w:lang w:eastAsia="en-US" w:bidi="ar-SA"/>
        </w:rPr>
        <w:t xml:space="preserve">  </w:t>
      </w:r>
    </w:p>
    <w:p w14:paraId="16C34AC3" w14:textId="17F3A2FA" w:rsidR="00C73C0E" w:rsidRPr="000A5D1C" w:rsidRDefault="00A76A4E" w:rsidP="003F223E">
      <w:pPr>
        <w:pStyle w:val="ListParagraph"/>
        <w:numPr>
          <w:ilvl w:val="0"/>
          <w:numId w:val="15"/>
        </w:numPr>
        <w:rPr>
          <w:lang w:eastAsia="en-US" w:bidi="ar-SA"/>
        </w:rPr>
      </w:pPr>
      <w:r w:rsidRPr="000A5D1C">
        <w:rPr>
          <w:lang w:eastAsia="en-US" w:bidi="ar-SA"/>
        </w:rPr>
        <w:t xml:space="preserve">P. S. Lavieri and G. J. M. Oliveira, </w:t>
      </w:r>
      <w:r w:rsidRPr="000A5D1C">
        <w:rPr>
          <w:i/>
          <w:iCs/>
          <w:lang w:eastAsia="en-US" w:bidi="ar-SA"/>
        </w:rPr>
        <w:t>Electric Vehicle Charging Consumer Survey: Insights Report</w:t>
      </w:r>
      <w:r w:rsidRPr="000A5D1C">
        <w:rPr>
          <w:lang w:eastAsia="en-US" w:bidi="ar-SA"/>
        </w:rPr>
        <w:t xml:space="preserve">. C4NET, Feb. 2022. [Online]. Available: </w:t>
      </w:r>
      <w:hyperlink r:id="rId93" w:history="1">
        <w:r w:rsidR="007B5BB2" w:rsidRPr="000A5D1C">
          <w:rPr>
            <w:rStyle w:val="Hyperlink"/>
            <w:lang w:eastAsia="en-US" w:bidi="ar-SA"/>
          </w:rPr>
          <w:t>https://c4net.com.au/wp-content/uploads/2022/02/Survey-Insights-Electric-Vehicle-Charging-Preferences-of-Australian-Consumers.pdf</w:t>
        </w:r>
      </w:hyperlink>
      <w:r w:rsidR="00C73C0E" w:rsidRPr="000A5D1C">
        <w:rPr>
          <w:lang w:eastAsia="en-US" w:bidi="ar-SA"/>
        </w:rPr>
        <w:t>.</w:t>
      </w:r>
      <w:r w:rsidR="007B5BB2" w:rsidRPr="000A5D1C">
        <w:rPr>
          <w:lang w:eastAsia="en-US" w:bidi="ar-SA"/>
        </w:rPr>
        <w:t xml:space="preserve"> </w:t>
      </w:r>
    </w:p>
    <w:p w14:paraId="6629B283" w14:textId="7ECEE72B" w:rsidR="005E50B5" w:rsidRPr="000A5D1C" w:rsidRDefault="00C567AF" w:rsidP="003F223E">
      <w:pPr>
        <w:pStyle w:val="ListParagraph"/>
        <w:numPr>
          <w:ilvl w:val="0"/>
          <w:numId w:val="15"/>
        </w:numPr>
        <w:rPr>
          <w:lang w:eastAsia="en-US" w:bidi="ar-SA"/>
        </w:rPr>
      </w:pPr>
      <w:r w:rsidRPr="000A5D1C">
        <w:rPr>
          <w:lang w:eastAsia="en-US" w:bidi="ar-SA"/>
        </w:rPr>
        <w:t>CSIRO and Energy Networks Association, Customer-Centric Networks, 2015. [Online]. Available:</w:t>
      </w:r>
      <w:r w:rsidR="007B5BB2" w:rsidRPr="000A5D1C">
        <w:rPr>
          <w:lang w:eastAsia="en-US" w:bidi="ar-SA"/>
        </w:rPr>
        <w:t xml:space="preserve"> </w:t>
      </w:r>
      <w:hyperlink r:id="rId94" w:history="1">
        <w:r w:rsidR="007B5BB2" w:rsidRPr="000A5D1C">
          <w:rPr>
            <w:rStyle w:val="Hyperlink"/>
            <w:lang w:eastAsia="en-US" w:bidi="ar-SA"/>
          </w:rPr>
          <w:t>https://www.energynetworks.com.au/assets/uploads/roadmap_interim_report_final.pdf</w:t>
        </w:r>
      </w:hyperlink>
      <w:r w:rsidR="00C73C0E" w:rsidRPr="000A5D1C">
        <w:rPr>
          <w:lang w:eastAsia="en-US" w:bidi="ar-SA"/>
        </w:rPr>
        <w:t>.</w:t>
      </w:r>
    </w:p>
    <w:p w14:paraId="1D6B8B47" w14:textId="50DDFBB2" w:rsidR="004B0131" w:rsidRPr="000A5D1C" w:rsidRDefault="00147922" w:rsidP="003F223E">
      <w:pPr>
        <w:pStyle w:val="ListParagraph"/>
        <w:numPr>
          <w:ilvl w:val="0"/>
          <w:numId w:val="15"/>
        </w:numPr>
        <w:rPr>
          <w:lang w:eastAsia="en-US" w:bidi="ar-SA"/>
        </w:rPr>
      </w:pPr>
      <w:r w:rsidRPr="000A5D1C">
        <w:rPr>
          <w:lang w:eastAsia="en-US" w:bidi="ar-SA"/>
        </w:rPr>
        <w:t xml:space="preserve">Energy Security Board (ESB), </w:t>
      </w:r>
      <w:r w:rsidRPr="000A5D1C">
        <w:rPr>
          <w:i/>
          <w:iCs/>
          <w:lang w:eastAsia="en-US" w:bidi="ar-SA"/>
        </w:rPr>
        <w:t>Customer Insights Collaboration: Workshop 3 Summary</w:t>
      </w:r>
      <w:r w:rsidRPr="000A5D1C">
        <w:rPr>
          <w:lang w:eastAsia="en-US" w:bidi="ar-SA"/>
        </w:rPr>
        <w:t xml:space="preserve">, May 2022. [Online]. Available: </w:t>
      </w:r>
      <w:hyperlink r:id="rId95" w:history="1">
        <w:r w:rsidR="004B0131" w:rsidRPr="000A5D1C">
          <w:rPr>
            <w:rStyle w:val="Hyperlink"/>
            <w:lang w:eastAsia="en-US" w:bidi="ar-SA"/>
          </w:rPr>
          <w:t>https://www.datocms-assets.com/32572/1673496508-1656654591-esb_customer-insights-collaboration_synthesis-from-workshop-3.pdf</w:t>
        </w:r>
      </w:hyperlink>
      <w:r w:rsidRPr="000A5D1C">
        <w:rPr>
          <w:lang w:eastAsia="en-US" w:bidi="ar-SA"/>
        </w:rPr>
        <w:t>.</w:t>
      </w:r>
    </w:p>
    <w:p w14:paraId="517BB21D" w14:textId="52B8FA6A" w:rsidR="005E50B5" w:rsidRPr="000A5D1C" w:rsidRDefault="008D3B49" w:rsidP="003F223E">
      <w:pPr>
        <w:pStyle w:val="ListParagraph"/>
        <w:numPr>
          <w:ilvl w:val="0"/>
          <w:numId w:val="15"/>
        </w:numPr>
        <w:rPr>
          <w:lang w:eastAsia="en-US" w:bidi="ar-SA"/>
        </w:rPr>
      </w:pPr>
      <w:r w:rsidRPr="000A5D1C">
        <w:rPr>
          <w:lang w:eastAsia="en-US" w:bidi="ar-SA"/>
        </w:rPr>
        <w:t xml:space="preserve">Energy Consumers Australia and Forethought, </w:t>
      </w:r>
      <w:r w:rsidRPr="000A5D1C">
        <w:rPr>
          <w:i/>
          <w:iCs/>
          <w:lang w:eastAsia="en-US" w:bidi="ar-SA"/>
        </w:rPr>
        <w:t>A Future Energy Vision: Consumer Expectations Research</w:t>
      </w:r>
      <w:r w:rsidRPr="000A5D1C">
        <w:rPr>
          <w:lang w:eastAsia="en-US" w:bidi="ar-SA"/>
        </w:rPr>
        <w:t>, Feb. 2020. [Online]. Available:</w:t>
      </w:r>
      <w:r w:rsidR="0031565C" w:rsidRPr="000A5D1C">
        <w:rPr>
          <w:lang w:eastAsia="en-US" w:bidi="ar-SA"/>
        </w:rPr>
        <w:t xml:space="preserve"> </w:t>
      </w:r>
      <w:hyperlink r:id="rId96" w:history="1">
        <w:r w:rsidR="005E50B5" w:rsidRPr="000A5D1C">
          <w:rPr>
            <w:rStyle w:val="Hyperlink"/>
            <w:lang w:eastAsia="en-US" w:bidi="ar-SA"/>
          </w:rPr>
          <w:t>https://energyconsumersaustralia.com.au/our-work/research/consumer-values-expectations-needs</w:t>
        </w:r>
      </w:hyperlink>
      <w:r w:rsidR="0031565C" w:rsidRPr="000A5D1C">
        <w:rPr>
          <w:lang w:eastAsia="en-US" w:bidi="ar-SA"/>
        </w:rPr>
        <w:t>.</w:t>
      </w:r>
    </w:p>
    <w:p w14:paraId="15E3A718" w14:textId="49F58E4D" w:rsidR="005E50B5" w:rsidRPr="000A5D1C" w:rsidRDefault="008D6E3D" w:rsidP="003F223E">
      <w:pPr>
        <w:pStyle w:val="ListParagraph"/>
        <w:numPr>
          <w:ilvl w:val="0"/>
          <w:numId w:val="15"/>
        </w:numPr>
        <w:rPr>
          <w:lang w:eastAsia="en-US" w:bidi="ar-SA"/>
        </w:rPr>
      </w:pPr>
      <w:r w:rsidRPr="000A5D1C">
        <w:rPr>
          <w:lang w:eastAsia="en-US" w:bidi="ar-SA"/>
        </w:rPr>
        <w:t xml:space="preserve">F. Calabria and L. Tremaine, </w:t>
      </w:r>
      <w:r w:rsidRPr="000A5D1C">
        <w:rPr>
          <w:i/>
          <w:iCs/>
          <w:lang w:eastAsia="en-US" w:bidi="ar-SA"/>
        </w:rPr>
        <w:t>Origin Energy - Our Strategy</w:t>
      </w:r>
      <w:r w:rsidRPr="000A5D1C">
        <w:rPr>
          <w:lang w:eastAsia="en-US" w:bidi="ar-SA"/>
        </w:rPr>
        <w:t xml:space="preserve">, Origin Energy, Mar. 2022. [Online]. Available: </w:t>
      </w:r>
      <w:hyperlink r:id="rId97" w:history="1">
        <w:r w:rsidR="005E50B5" w:rsidRPr="000A5D1C">
          <w:rPr>
            <w:rStyle w:val="Hyperlink"/>
            <w:lang w:eastAsia="en-US" w:bidi="ar-SA"/>
          </w:rPr>
          <w:t>https://www.originenergy.com.au/about/investors-media/origin-ceo-frank-calabria-and-origin-cfo-lawrie-tremaine-present-origins-strategy-refresh/</w:t>
        </w:r>
      </w:hyperlink>
      <w:r w:rsidRPr="000A5D1C">
        <w:rPr>
          <w:lang w:eastAsia="en-US" w:bidi="ar-SA"/>
        </w:rPr>
        <w:t>.</w:t>
      </w:r>
    </w:p>
    <w:p w14:paraId="0CF2243D" w14:textId="211DF8EF" w:rsidR="005E50B5" w:rsidRPr="000A5D1C" w:rsidRDefault="004D7C57" w:rsidP="003F223E">
      <w:pPr>
        <w:pStyle w:val="ListParagraph"/>
        <w:numPr>
          <w:ilvl w:val="0"/>
          <w:numId w:val="15"/>
        </w:numPr>
        <w:rPr>
          <w:lang w:eastAsia="en-US" w:bidi="ar-SA"/>
        </w:rPr>
      </w:pPr>
      <w:r w:rsidRPr="000A5D1C">
        <w:rPr>
          <w:lang w:eastAsia="en-US" w:bidi="ar-SA"/>
        </w:rPr>
        <w:t xml:space="preserve">N. Fromer and S. Griffith, </w:t>
      </w:r>
      <w:r w:rsidRPr="000A5D1C">
        <w:rPr>
          <w:i/>
          <w:iCs/>
          <w:lang w:eastAsia="en-US" w:bidi="ar-SA"/>
        </w:rPr>
        <w:t xml:space="preserve">Caltech Energy 10: How do we cut US global warming gas emissions in half by </w:t>
      </w:r>
      <w:proofErr w:type="gramStart"/>
      <w:r w:rsidRPr="000A5D1C">
        <w:rPr>
          <w:i/>
          <w:iCs/>
          <w:lang w:eastAsia="en-US" w:bidi="ar-SA"/>
        </w:rPr>
        <w:t>2030?</w:t>
      </w:r>
      <w:r w:rsidRPr="000A5D1C">
        <w:rPr>
          <w:lang w:eastAsia="en-US" w:bidi="ar-SA"/>
        </w:rPr>
        <w:t>,</w:t>
      </w:r>
      <w:proofErr w:type="gramEnd"/>
      <w:r w:rsidRPr="000A5D1C">
        <w:rPr>
          <w:lang w:eastAsia="en-US" w:bidi="ar-SA"/>
        </w:rPr>
        <w:t xml:space="preserve"> California Institute of Technology, Jun. 2022. [Online]. Available: </w:t>
      </w:r>
      <w:hyperlink r:id="rId98" w:history="1">
        <w:r w:rsidR="005E50B5" w:rsidRPr="000A5D1C">
          <w:rPr>
            <w:rStyle w:val="Hyperlink"/>
            <w:lang w:eastAsia="en-US" w:bidi="ar-SA"/>
          </w:rPr>
          <w:t>https://www.caltech.edu/about/news/ce10-energy-global-warming-solutions</w:t>
        </w:r>
      </w:hyperlink>
      <w:r w:rsidRPr="000A5D1C">
        <w:rPr>
          <w:lang w:eastAsia="en-US" w:bidi="ar-SA"/>
        </w:rPr>
        <w:t xml:space="preserve">. </w:t>
      </w:r>
    </w:p>
    <w:p w14:paraId="7C23EF9B" w14:textId="105AF83E" w:rsidR="005E50B5" w:rsidRPr="000A5D1C" w:rsidRDefault="006A17BA" w:rsidP="003F223E">
      <w:pPr>
        <w:pStyle w:val="ListParagraph"/>
        <w:numPr>
          <w:ilvl w:val="0"/>
          <w:numId w:val="15"/>
        </w:numPr>
        <w:rPr>
          <w:lang w:eastAsia="en-US" w:bidi="ar-SA"/>
        </w:rPr>
      </w:pPr>
      <w:r w:rsidRPr="000A5D1C">
        <w:rPr>
          <w:lang w:eastAsia="en-US" w:bidi="ar-SA"/>
        </w:rPr>
        <w:t xml:space="preserve">ARENA and </w:t>
      </w:r>
      <w:proofErr w:type="spellStart"/>
      <w:r w:rsidRPr="000A5D1C">
        <w:rPr>
          <w:lang w:eastAsia="en-US" w:bidi="ar-SA"/>
        </w:rPr>
        <w:t>ThinkPlace</w:t>
      </w:r>
      <w:proofErr w:type="spellEnd"/>
      <w:r w:rsidRPr="000A5D1C">
        <w:rPr>
          <w:lang w:eastAsia="en-US" w:bidi="ar-SA"/>
        </w:rPr>
        <w:t xml:space="preserve">, </w:t>
      </w:r>
      <w:r w:rsidRPr="000A5D1C">
        <w:rPr>
          <w:i/>
          <w:iCs/>
          <w:lang w:eastAsia="en-US" w:bidi="ar-SA"/>
        </w:rPr>
        <w:t>Demand Response Customer Insights Report</w:t>
      </w:r>
      <w:r w:rsidRPr="000A5D1C">
        <w:rPr>
          <w:lang w:eastAsia="en-US" w:bidi="ar-SA"/>
        </w:rPr>
        <w:t xml:space="preserve">, May 2018. [Online]. Available: </w:t>
      </w:r>
      <w:hyperlink r:id="rId99" w:history="1">
        <w:r w:rsidR="005E50B5" w:rsidRPr="000A5D1C">
          <w:rPr>
            <w:rStyle w:val="Hyperlink"/>
            <w:lang w:eastAsia="en-US" w:bidi="ar-SA"/>
          </w:rPr>
          <w:t>https://arena.gov.au/assets/2018/08/demand-response-consumer-insights-report.pdf</w:t>
        </w:r>
      </w:hyperlink>
      <w:r w:rsidRPr="000A5D1C">
        <w:rPr>
          <w:lang w:eastAsia="en-US" w:bidi="ar-SA"/>
        </w:rPr>
        <w:t xml:space="preserve">. </w:t>
      </w:r>
      <w:bookmarkStart w:id="93" w:name="_Toc195107231"/>
    </w:p>
    <w:p w14:paraId="67869707" w14:textId="1EBAB7A5" w:rsidR="00F6737C" w:rsidRPr="000A5D1C" w:rsidRDefault="00F6737C" w:rsidP="00F6737C">
      <w:pPr>
        <w:pStyle w:val="Heading2"/>
        <w:rPr>
          <w:lang w:eastAsia="en-US" w:bidi="ar-SA"/>
        </w:rPr>
      </w:pPr>
      <w:bookmarkStart w:id="94" w:name="_Toc195206917"/>
      <w:bookmarkStart w:id="95" w:name="_Toc205362706"/>
      <w:bookmarkStart w:id="96" w:name="_Toc205536771"/>
      <w:r w:rsidRPr="000A5D1C">
        <w:rPr>
          <w:lang w:eastAsia="en-US" w:bidi="ar-SA"/>
        </w:rPr>
        <w:t>Expandable</w:t>
      </w:r>
      <w:bookmarkEnd w:id="93"/>
      <w:bookmarkEnd w:id="94"/>
      <w:bookmarkEnd w:id="95"/>
      <w:bookmarkEnd w:id="96"/>
    </w:p>
    <w:p w14:paraId="28A66A15" w14:textId="3AD34652" w:rsidR="007B5BB2" w:rsidRPr="000A5D1C" w:rsidRDefault="001F440D" w:rsidP="003F223E">
      <w:pPr>
        <w:pStyle w:val="ListParagraph"/>
        <w:numPr>
          <w:ilvl w:val="0"/>
          <w:numId w:val="16"/>
        </w:numPr>
        <w:ind w:left="709"/>
        <w:rPr>
          <w:lang w:eastAsia="en-US" w:bidi="ar-SA"/>
        </w:rPr>
      </w:pPr>
      <w:bookmarkStart w:id="97" w:name="Ref_8_6_Social_License_for_DER_20"/>
      <w:r w:rsidRPr="000A5D1C">
        <w:rPr>
          <w:lang w:eastAsia="en-US" w:bidi="ar-SA"/>
        </w:rPr>
        <w:t xml:space="preserve">Energy Consumers Australia and </w:t>
      </w:r>
      <w:proofErr w:type="spellStart"/>
      <w:r w:rsidRPr="000A5D1C">
        <w:rPr>
          <w:lang w:eastAsia="en-US" w:bidi="ar-SA"/>
        </w:rPr>
        <w:t>CutlerMerz</w:t>
      </w:r>
      <w:proofErr w:type="spellEnd"/>
      <w:r w:rsidRPr="000A5D1C">
        <w:rPr>
          <w:lang w:eastAsia="en-US" w:bidi="ar-SA"/>
        </w:rPr>
        <w:t xml:space="preserve"> Pty Ltd, </w:t>
      </w:r>
      <w:r w:rsidRPr="000A5D1C">
        <w:rPr>
          <w:i/>
          <w:iCs/>
          <w:lang w:eastAsia="en-US" w:bidi="ar-SA"/>
        </w:rPr>
        <w:t>Social Licence for Control of Distributed Energy Resources: Final Report</w:t>
      </w:r>
      <w:r w:rsidRPr="000A5D1C">
        <w:rPr>
          <w:lang w:eastAsia="en-US" w:bidi="ar-SA"/>
        </w:rPr>
        <w:t>, version 2.0, Dec. 2020</w:t>
      </w:r>
      <w:bookmarkEnd w:id="97"/>
      <w:r w:rsidRPr="000A5D1C">
        <w:rPr>
          <w:lang w:eastAsia="en-US" w:bidi="ar-SA"/>
        </w:rPr>
        <w:t xml:space="preserve">. [Online]. Available: </w:t>
      </w:r>
      <w:hyperlink r:id="rId100" w:history="1">
        <w:r w:rsidR="007B5BB2" w:rsidRPr="000A5D1C">
          <w:rPr>
            <w:rStyle w:val="Hyperlink"/>
            <w:lang w:eastAsia="en-US" w:bidi="ar-SA"/>
          </w:rPr>
          <w:t>https://energyconsumersaustralia.com.au/our-work/research/social-licence-for-control-of-distributed-energy-resources</w:t>
        </w:r>
      </w:hyperlink>
      <w:r w:rsidR="00313F14" w:rsidRPr="000A5D1C">
        <w:rPr>
          <w:lang w:eastAsia="en-US" w:bidi="ar-SA"/>
        </w:rPr>
        <w:t>.</w:t>
      </w:r>
    </w:p>
    <w:p w14:paraId="61CD21BC" w14:textId="19198386" w:rsidR="007B5BB2" w:rsidRPr="000A5D1C" w:rsidRDefault="00CD0FB0" w:rsidP="003F223E">
      <w:pPr>
        <w:pStyle w:val="ListParagraph"/>
        <w:numPr>
          <w:ilvl w:val="0"/>
          <w:numId w:val="16"/>
        </w:numPr>
        <w:ind w:left="709"/>
        <w:rPr>
          <w:lang w:eastAsia="en-US" w:bidi="ar-SA"/>
        </w:rPr>
      </w:pPr>
      <w:bookmarkStart w:id="98" w:name="Ref_8_6_Developing_Policy_for_Aus_24"/>
      <w:r w:rsidRPr="000A5D1C">
        <w:rPr>
          <w:lang w:eastAsia="en-US" w:bidi="ar-SA"/>
        </w:rPr>
        <w:t xml:space="preserve">V. L. McLeod, </w:t>
      </w:r>
      <w:r w:rsidRPr="000A5D1C">
        <w:rPr>
          <w:i/>
          <w:iCs/>
          <w:lang w:eastAsia="en-US" w:bidi="ar-SA"/>
        </w:rPr>
        <w:t>Developing Policy for Australia’s Clean Energy Transition Using a Systems Thinking Approach: Consumer and Distributed Energy Resource Integration Case Study</w:t>
      </w:r>
      <w:r w:rsidRPr="000A5D1C">
        <w:rPr>
          <w:lang w:eastAsia="en-US" w:bidi="ar-SA"/>
        </w:rPr>
        <w:t xml:space="preserve">, RACE for 2030 Cooperative Research Centre, Jul. 2024. [Online]. </w:t>
      </w:r>
      <w:bookmarkEnd w:id="98"/>
      <w:r w:rsidRPr="000A5D1C">
        <w:rPr>
          <w:lang w:eastAsia="en-US" w:bidi="ar-SA"/>
        </w:rPr>
        <w:t xml:space="preserve">Available: </w:t>
      </w:r>
      <w:hyperlink r:id="rId101" w:history="1">
        <w:r w:rsidR="007B5BB2" w:rsidRPr="000A5D1C">
          <w:rPr>
            <w:rStyle w:val="Hyperlink"/>
            <w:lang w:eastAsia="en-US" w:bidi="ar-SA"/>
          </w:rPr>
          <w:t>https://www.racefor2030.com.au/content/uploads/21.E2.A.0189-Final-Report_Dec-2022.pdf</w:t>
        </w:r>
      </w:hyperlink>
      <w:r w:rsidRPr="000A5D1C">
        <w:rPr>
          <w:lang w:eastAsia="en-US" w:bidi="ar-SA"/>
        </w:rPr>
        <w:t>.</w:t>
      </w:r>
    </w:p>
    <w:p w14:paraId="2CE093E9" w14:textId="5888CD52" w:rsidR="007B5BB2" w:rsidRPr="000A5D1C" w:rsidRDefault="00E01A7C" w:rsidP="003F223E">
      <w:pPr>
        <w:pStyle w:val="ListParagraph"/>
        <w:numPr>
          <w:ilvl w:val="0"/>
          <w:numId w:val="16"/>
        </w:numPr>
        <w:ind w:left="709"/>
        <w:rPr>
          <w:lang w:eastAsia="en-US" w:bidi="ar-SA"/>
        </w:rPr>
      </w:pPr>
      <w:bookmarkStart w:id="99" w:name="Ref_8_6_Demanding_Better_A_Reform_24"/>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xml:space="preserve">, Dec. 2024. </w:t>
      </w:r>
      <w:bookmarkEnd w:id="99"/>
      <w:r w:rsidRPr="000A5D1C">
        <w:rPr>
          <w:lang w:eastAsia="en-US" w:bidi="ar-SA"/>
        </w:rPr>
        <w:t xml:space="preserve">[Online]. Available: </w:t>
      </w:r>
      <w:hyperlink r:id="rId102" w:history="1">
        <w:r w:rsidR="007B5BB2" w:rsidRPr="000A5D1C">
          <w:rPr>
            <w:rStyle w:val="Hyperlink"/>
            <w:lang w:eastAsia="en-US" w:bidi="ar-SA"/>
          </w:rPr>
          <w:t>https://www.eec.org.au/uploads/Projects/Demanding%20better%20-%20A%20reform%20agenda.pdf</w:t>
        </w:r>
      </w:hyperlink>
      <w:r w:rsidRPr="000A5D1C">
        <w:rPr>
          <w:lang w:eastAsia="en-US" w:bidi="ar-SA"/>
        </w:rPr>
        <w:t>.</w:t>
      </w:r>
    </w:p>
    <w:p w14:paraId="741BA1B3" w14:textId="75B39B55" w:rsidR="007B5BB2" w:rsidRPr="000A5D1C" w:rsidRDefault="001A606B" w:rsidP="003F223E">
      <w:pPr>
        <w:pStyle w:val="ListParagraph"/>
        <w:numPr>
          <w:ilvl w:val="0"/>
          <w:numId w:val="16"/>
        </w:numPr>
        <w:ind w:left="709"/>
        <w:rPr>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103" w:history="1">
        <w:r w:rsidR="007B5BB2" w:rsidRPr="000A5D1C">
          <w:rPr>
            <w:rStyle w:val="Hyperlink"/>
            <w:szCs w:val="18"/>
            <w:lang w:eastAsia="en-US" w:bidi="ar-SA"/>
          </w:rPr>
          <w:t>https://energyconsumersaustralia.com.au/wp-content/uploads/Energy-Consumers-Australia-Strategic-Plan-2021-2024.pdf</w:t>
        </w:r>
      </w:hyperlink>
      <w:r w:rsidRPr="000A5D1C">
        <w:rPr>
          <w:szCs w:val="18"/>
          <w:lang w:eastAsia="en-US" w:bidi="ar-SA"/>
        </w:rPr>
        <w:t>.</w:t>
      </w:r>
    </w:p>
    <w:p w14:paraId="47378A63" w14:textId="38C4E1EA" w:rsidR="007B5BB2" w:rsidRPr="000A5D1C" w:rsidRDefault="00E61723" w:rsidP="003F223E">
      <w:pPr>
        <w:pStyle w:val="ListParagraph"/>
        <w:numPr>
          <w:ilvl w:val="0"/>
          <w:numId w:val="16"/>
        </w:numPr>
        <w:ind w:left="709"/>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104" w:tgtFrame="_blank" w:history="1">
        <w:r w:rsidRPr="000A5D1C">
          <w:rPr>
            <w:rStyle w:val="Hyperlink"/>
            <w:szCs w:val="18"/>
            <w:lang w:eastAsia="en-US" w:bidi="ar-SA"/>
          </w:rPr>
          <w:t>https://www.energy.gov/eere/articles/does-national-roadmap-grid-interactive-efficient-buildings</w:t>
        </w:r>
      </w:hyperlink>
      <w:r w:rsidRPr="000A5D1C">
        <w:rPr>
          <w:szCs w:val="18"/>
          <w:lang w:eastAsia="en-US" w:bidi="ar-SA"/>
        </w:rPr>
        <w:t>.</w:t>
      </w:r>
    </w:p>
    <w:p w14:paraId="26C466A9" w14:textId="64C9DC31" w:rsidR="007B5BB2" w:rsidRPr="000A5D1C" w:rsidRDefault="00592FBB" w:rsidP="003F223E">
      <w:pPr>
        <w:pStyle w:val="ListParagraph"/>
        <w:numPr>
          <w:ilvl w:val="0"/>
          <w:numId w:val="16"/>
        </w:numPr>
        <w:ind w:left="709"/>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105" w:history="1">
        <w:r w:rsidR="007B5BB2" w:rsidRPr="000A5D1C">
          <w:rPr>
            <w:rStyle w:val="Hyperlink"/>
            <w:lang w:eastAsia="en-US" w:bidi="ar-SA"/>
          </w:rPr>
          <w:t>https://www.ceem.unsw.edu.au/sites/default/files/documents/H4-OA-final-report-17.11.21.pdf</w:t>
        </w:r>
      </w:hyperlink>
      <w:r w:rsidRPr="000A5D1C">
        <w:rPr>
          <w:lang w:eastAsia="en-US" w:bidi="ar-SA"/>
        </w:rPr>
        <w:t>.</w:t>
      </w:r>
    </w:p>
    <w:p w14:paraId="4EF68973" w14:textId="494F9DFB" w:rsidR="007B5BB2" w:rsidRPr="000A5D1C" w:rsidRDefault="001C6793" w:rsidP="003F223E">
      <w:pPr>
        <w:pStyle w:val="ListParagraph"/>
        <w:numPr>
          <w:ilvl w:val="0"/>
          <w:numId w:val="16"/>
        </w:numPr>
        <w:ind w:left="709"/>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March 2022. [Online]. Available: </w:t>
      </w:r>
      <w:hyperlink r:id="rId106" w:history="1">
        <w:r w:rsidR="007B5BB2" w:rsidRPr="000A5D1C">
          <w:rPr>
            <w:rStyle w:val="Hyperlink"/>
            <w:lang w:eastAsia="en-US" w:bidi="ar-SA"/>
          </w:rPr>
          <w:t>https://energyconsumersaustralia.com.au/publications/submission-on-the-aer-draft-consumer-vulnerability-strategy</w:t>
        </w:r>
      </w:hyperlink>
    </w:p>
    <w:p w14:paraId="548D8B41" w14:textId="5FB50F49" w:rsidR="007B5BB2" w:rsidRPr="000A5D1C" w:rsidRDefault="001032F0" w:rsidP="003F223E">
      <w:pPr>
        <w:pStyle w:val="ListParagraph"/>
        <w:numPr>
          <w:ilvl w:val="0"/>
          <w:numId w:val="16"/>
        </w:numPr>
        <w:ind w:left="709"/>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107" w:history="1">
        <w:r w:rsidR="007B5BB2" w:rsidRPr="000A5D1C">
          <w:rPr>
            <w:rStyle w:val="Hyperlink"/>
            <w:lang w:eastAsia="en-US" w:bidi="ar-SA"/>
          </w:rPr>
          <w:t>https://www.utupub.fi/bitstream/handle/10024/160647/FFRC-publication_1-2019-rev.pdf</w:t>
        </w:r>
      </w:hyperlink>
      <w:r w:rsidRPr="000A5D1C">
        <w:rPr>
          <w:lang w:eastAsia="en-US" w:bidi="ar-SA"/>
        </w:rPr>
        <w:t>.</w:t>
      </w:r>
    </w:p>
    <w:p w14:paraId="5DE206E0" w14:textId="4BCA0428" w:rsidR="00C358FF" w:rsidRPr="000A5D1C" w:rsidRDefault="00BB23D9" w:rsidP="003F223E">
      <w:pPr>
        <w:pStyle w:val="ListParagraph"/>
        <w:numPr>
          <w:ilvl w:val="0"/>
          <w:numId w:val="16"/>
        </w:numPr>
        <w:ind w:left="709"/>
        <w:rPr>
          <w:lang w:eastAsia="en-US" w:bidi="ar-SA"/>
        </w:rPr>
      </w:pPr>
      <w:r w:rsidRPr="000A5D1C">
        <w:rPr>
          <w:lang w:eastAsia="en-US" w:bidi="ar-SA"/>
        </w:rPr>
        <w:t>Energy Consumers Australia</w:t>
      </w:r>
      <w:r w:rsidRPr="000A5D1C">
        <w:rPr>
          <w:i/>
          <w:iCs/>
          <w:lang w:eastAsia="en-US" w:bidi="ar-SA"/>
        </w:rPr>
        <w:t xml:space="preserve">, </w:t>
      </w:r>
      <w:proofErr w:type="spellStart"/>
      <w:r w:rsidRPr="000A5D1C">
        <w:rPr>
          <w:i/>
          <w:iCs/>
          <w:lang w:eastAsia="en-US" w:bidi="ar-SA"/>
        </w:rPr>
        <w:t>Foresighting</w:t>
      </w:r>
      <w:proofErr w:type="spellEnd"/>
      <w:r w:rsidRPr="000A5D1C">
        <w:rPr>
          <w:i/>
          <w:iCs/>
          <w:lang w:eastAsia="en-US" w:bidi="ar-SA"/>
        </w:rPr>
        <w:t xml:space="preserve"> Forum 2021: System Design Webinar: Your Questions </w:t>
      </w:r>
      <w:proofErr w:type="gramStart"/>
      <w:r w:rsidRPr="000A5D1C">
        <w:rPr>
          <w:i/>
          <w:iCs/>
          <w:lang w:eastAsia="en-US" w:bidi="ar-SA"/>
        </w:rPr>
        <w:t>Answered!,</w:t>
      </w:r>
      <w:proofErr w:type="gramEnd"/>
      <w:r w:rsidRPr="000A5D1C">
        <w:rPr>
          <w:lang w:eastAsia="en-US" w:bidi="ar-SA"/>
        </w:rPr>
        <w:t xml:space="preserve"> Sep. 2021. [Online]. Available: </w:t>
      </w:r>
      <w:hyperlink r:id="rId108" w:history="1">
        <w:r w:rsidR="00C358FF" w:rsidRPr="000A5D1C">
          <w:rPr>
            <w:rStyle w:val="Hyperlink"/>
            <w:lang w:eastAsia="en-US" w:bidi="ar-SA"/>
          </w:rPr>
          <w:t>https://energyconsumersaustralia.com.au/news/foresighting-forum-2021-system-design-webinar-your-questions-answered</w:t>
        </w:r>
      </w:hyperlink>
      <w:r w:rsidRPr="000A5D1C">
        <w:rPr>
          <w:lang w:eastAsia="en-US" w:bidi="ar-SA"/>
        </w:rPr>
        <w:t>.</w:t>
      </w:r>
    </w:p>
    <w:p w14:paraId="3C106112" w14:textId="77777777" w:rsidR="00CB1BF6" w:rsidRPr="000A5D1C" w:rsidRDefault="00A76A4E" w:rsidP="003F223E">
      <w:pPr>
        <w:pStyle w:val="ListParagraph"/>
        <w:numPr>
          <w:ilvl w:val="0"/>
          <w:numId w:val="16"/>
        </w:numPr>
        <w:ind w:left="709"/>
        <w:rPr>
          <w:lang w:eastAsia="en-US" w:bidi="ar-SA"/>
        </w:rPr>
      </w:pPr>
      <w:r w:rsidRPr="000A5D1C">
        <w:rPr>
          <w:lang w:eastAsia="en-US" w:bidi="ar-SA"/>
        </w:rPr>
        <w:t xml:space="preserve">P. S. Lavieri and G. J. M. Oliveira, </w:t>
      </w:r>
      <w:r w:rsidRPr="000A5D1C">
        <w:rPr>
          <w:i/>
          <w:iCs/>
          <w:lang w:eastAsia="en-US" w:bidi="ar-SA"/>
        </w:rPr>
        <w:t>Electric Vehicle Charging Consumer Survey: Insights Report</w:t>
      </w:r>
      <w:r w:rsidRPr="000A5D1C">
        <w:rPr>
          <w:lang w:eastAsia="en-US" w:bidi="ar-SA"/>
        </w:rPr>
        <w:t xml:space="preserve">. C4NET, Feb. 2022. [Online]. Available: </w:t>
      </w:r>
      <w:hyperlink r:id="rId109" w:history="1">
        <w:r w:rsidR="00C358FF" w:rsidRPr="000A5D1C">
          <w:rPr>
            <w:rStyle w:val="Hyperlink"/>
            <w:lang w:eastAsia="en-US" w:bidi="ar-SA"/>
          </w:rPr>
          <w:t>https://c4net.com.au/wp-content/uploads/2022/02/Survey-Insights-Electric-Vehicle-Charging-Preferences-of-Australian-Consumers.pdf</w:t>
        </w:r>
      </w:hyperlink>
      <w:r w:rsidR="00B714B7" w:rsidRPr="000A5D1C">
        <w:rPr>
          <w:lang w:eastAsia="en-US" w:bidi="ar-SA"/>
        </w:rPr>
        <w:t>.</w:t>
      </w:r>
      <w:r w:rsidR="00C358FF" w:rsidRPr="000A5D1C">
        <w:rPr>
          <w:lang w:eastAsia="en-US" w:bidi="ar-SA"/>
        </w:rPr>
        <w:t xml:space="preserve"> </w:t>
      </w:r>
      <w:bookmarkStart w:id="100" w:name="_Toc195107232"/>
    </w:p>
    <w:p w14:paraId="5B68CFF8" w14:textId="59A5C9E8" w:rsidR="00CB1BF6" w:rsidRPr="000A5D1C" w:rsidRDefault="00CB1BF6" w:rsidP="00CB1BF6">
      <w:pPr>
        <w:pStyle w:val="Heading2"/>
        <w:rPr>
          <w:lang w:eastAsia="en-US" w:bidi="ar-SA"/>
        </w:rPr>
      </w:pPr>
      <w:bookmarkStart w:id="101" w:name="_Toc195206918"/>
      <w:bookmarkStart w:id="102" w:name="_Toc205362707"/>
      <w:bookmarkStart w:id="103" w:name="_Toc205536772"/>
      <w:r w:rsidRPr="000A5D1C">
        <w:rPr>
          <w:lang w:eastAsia="en-US" w:bidi="ar-SA"/>
        </w:rPr>
        <w:t>Adaptable</w:t>
      </w:r>
      <w:bookmarkEnd w:id="101"/>
      <w:bookmarkEnd w:id="102"/>
      <w:bookmarkEnd w:id="103"/>
    </w:p>
    <w:bookmarkEnd w:id="100"/>
    <w:p w14:paraId="46406301" w14:textId="6A9B93B6" w:rsidR="00CB1BF6" w:rsidRPr="000A5D1C" w:rsidRDefault="001059F2" w:rsidP="003F223E">
      <w:pPr>
        <w:pStyle w:val="ListParagraph"/>
        <w:numPr>
          <w:ilvl w:val="0"/>
          <w:numId w:val="17"/>
        </w:numPr>
        <w:rPr>
          <w:lang w:eastAsia="en-US" w:bidi="ar-SA"/>
        </w:rPr>
      </w:pPr>
      <w:r w:rsidRPr="000A5D1C">
        <w:rPr>
          <w:lang w:eastAsia="en-US" w:bidi="ar-SA"/>
        </w:rPr>
        <w:t xml:space="preserve">R. Ben-David, </w:t>
      </w:r>
      <w:r w:rsidRPr="000A5D1C">
        <w:rPr>
          <w:i/>
          <w:iCs/>
          <w:lang w:eastAsia="en-US" w:bidi="ar-SA"/>
        </w:rPr>
        <w:t>Submission to the Select Committee on Energy Planning and Regulation in Australia</w:t>
      </w:r>
      <w:r w:rsidRPr="000A5D1C">
        <w:rPr>
          <w:lang w:eastAsia="en-US" w:bidi="ar-SA"/>
        </w:rPr>
        <w:t xml:space="preserve">, Monash Business School, Monash University, Melbourne, Australia, Oct. 2024. [Online]. Available: </w:t>
      </w:r>
      <w:hyperlink r:id="rId110" w:history="1">
        <w:r w:rsidR="00CB1BF6" w:rsidRPr="000A5D1C">
          <w:rPr>
            <w:rStyle w:val="Hyperlink"/>
            <w:lang w:eastAsia="en-US" w:bidi="ar-SA"/>
          </w:rPr>
          <w:t>https://www.monash.edu/__data/assets/pdf_file/0008/3813155/Ron-Ben-David-Submission-to-the-Select-Committee-on-Energy-Planning-and-Regulation-in-Australia-28-October-2024.pdf</w:t>
        </w:r>
      </w:hyperlink>
      <w:r w:rsidRPr="000A5D1C">
        <w:rPr>
          <w:lang w:eastAsia="en-US" w:bidi="ar-SA"/>
        </w:rPr>
        <w:t>.</w:t>
      </w:r>
    </w:p>
    <w:p w14:paraId="24A760BE" w14:textId="5B563BFC" w:rsidR="00CB1BF6" w:rsidRPr="000A5D1C" w:rsidRDefault="009A10C7" w:rsidP="003F223E">
      <w:pPr>
        <w:pStyle w:val="ListParagraph"/>
        <w:numPr>
          <w:ilvl w:val="0"/>
          <w:numId w:val="17"/>
        </w:numPr>
        <w:rPr>
          <w:lang w:eastAsia="en-US" w:bidi="ar-SA"/>
        </w:rPr>
      </w:pPr>
      <w:r w:rsidRPr="000A5D1C">
        <w:rPr>
          <w:lang w:eastAsia="en-US" w:bidi="ar-SA"/>
        </w:rPr>
        <w:t xml:space="preserve">V. L. McLeod, </w:t>
      </w:r>
      <w:r w:rsidRPr="000A5D1C">
        <w:rPr>
          <w:i/>
          <w:iCs/>
          <w:lang w:eastAsia="en-US" w:bidi="ar-SA"/>
        </w:rPr>
        <w:t>Developing Policy for Australia’s Clean Energy Transition Using a Systems Thinking Approach: Consumer and Distributed Energy Resource Integration Case Study</w:t>
      </w:r>
      <w:r w:rsidRPr="000A5D1C">
        <w:rPr>
          <w:lang w:eastAsia="en-US" w:bidi="ar-SA"/>
        </w:rPr>
        <w:t xml:space="preserve">, RACE for 2030 Cooperative Research Centre, Jul. 2024. [Online]. Available: </w:t>
      </w:r>
      <w:hyperlink r:id="rId111" w:history="1">
        <w:r w:rsidR="00CB1BF6" w:rsidRPr="000A5D1C">
          <w:rPr>
            <w:rStyle w:val="Hyperlink"/>
            <w:lang w:eastAsia="en-US" w:bidi="ar-SA"/>
          </w:rPr>
          <w:t>https://www.racefor2030.com.au/content/uploads/21.E2.A.0189-Final-Report_Dec-2022.pdf</w:t>
        </w:r>
      </w:hyperlink>
      <w:r w:rsidRPr="000A5D1C">
        <w:rPr>
          <w:lang w:eastAsia="en-US" w:bidi="ar-SA"/>
        </w:rPr>
        <w:t>.</w:t>
      </w:r>
    </w:p>
    <w:p w14:paraId="77F3203C" w14:textId="24E73922" w:rsidR="007E1D5C" w:rsidRPr="000A5D1C" w:rsidRDefault="00D27C5E" w:rsidP="003F223E">
      <w:pPr>
        <w:pStyle w:val="ListParagraph"/>
        <w:numPr>
          <w:ilvl w:val="0"/>
          <w:numId w:val="17"/>
        </w:numPr>
        <w:rPr>
          <w:lang w:eastAsia="en-US" w:bidi="ar-SA"/>
        </w:rPr>
      </w:pPr>
      <w:bookmarkStart w:id="104" w:name="Ref_8_7_PowerUp_Consumer_Voices_24"/>
      <w:r w:rsidRPr="000A5D1C">
        <w:rPr>
          <w:lang w:eastAsia="en-US" w:bidi="ar-SA"/>
        </w:rPr>
        <w:t xml:space="preserve">Energy Consumers Australia and The Insight Centre, </w:t>
      </w:r>
      <w:proofErr w:type="spellStart"/>
      <w:r w:rsidRPr="000A5D1C">
        <w:rPr>
          <w:i/>
          <w:iCs/>
          <w:lang w:eastAsia="en-US" w:bidi="ar-SA"/>
        </w:rPr>
        <w:t>PowerUp</w:t>
      </w:r>
      <w:proofErr w:type="spellEnd"/>
      <w:r w:rsidRPr="000A5D1C">
        <w:rPr>
          <w:i/>
          <w:iCs/>
          <w:lang w:eastAsia="en-US" w:bidi="ar-SA"/>
        </w:rPr>
        <w:t>: Consumer Voices in the Energy Transition</w:t>
      </w:r>
      <w:r w:rsidRPr="000A5D1C">
        <w:rPr>
          <w:lang w:eastAsia="en-US" w:bidi="ar-SA"/>
        </w:rPr>
        <w:t xml:space="preserve">, Jul. 2024. [Online]. </w:t>
      </w:r>
      <w:bookmarkEnd w:id="104"/>
      <w:r w:rsidRPr="000A5D1C">
        <w:rPr>
          <w:lang w:eastAsia="en-US" w:bidi="ar-SA"/>
        </w:rPr>
        <w:t xml:space="preserve">Available: </w:t>
      </w:r>
      <w:hyperlink r:id="rId112" w:history="1">
        <w:r w:rsidR="007E1D5C" w:rsidRPr="000A5D1C">
          <w:rPr>
            <w:rStyle w:val="Hyperlink"/>
            <w:lang w:eastAsia="en-US" w:bidi="ar-SA"/>
          </w:rPr>
          <w:t>https://energyconsumersaustralia.com.au/publications/powerup-consumer-voices-energy-transition</w:t>
        </w:r>
      </w:hyperlink>
      <w:r w:rsidRPr="000A5D1C">
        <w:rPr>
          <w:lang w:eastAsia="en-US" w:bidi="ar-SA"/>
        </w:rPr>
        <w:t>.</w:t>
      </w:r>
    </w:p>
    <w:p w14:paraId="10B49B20" w14:textId="52462BBB" w:rsidR="007E1D5C" w:rsidRPr="000A5D1C" w:rsidRDefault="007E1A26" w:rsidP="003F223E">
      <w:pPr>
        <w:pStyle w:val="ListParagraph"/>
        <w:numPr>
          <w:ilvl w:val="0"/>
          <w:numId w:val="17"/>
        </w:numPr>
        <w:rPr>
          <w:lang w:eastAsia="en-US" w:bidi="ar-SA"/>
        </w:rPr>
      </w:pPr>
      <w:bookmarkStart w:id="105" w:name="Ref_8_7_Addressing_Waste_and_Ineff_24"/>
      <w:r w:rsidRPr="000A5D1C">
        <w:rPr>
          <w:lang w:eastAsia="en-US" w:bidi="ar-SA"/>
        </w:rPr>
        <w:t xml:space="preserve">E. Brown, M. Frerk, R. Hey, L. Sandys, S. Steer, and A. Whitehead, </w:t>
      </w:r>
      <w:r w:rsidRPr="000A5D1C">
        <w:rPr>
          <w:i/>
          <w:iCs/>
          <w:lang w:eastAsia="en-US" w:bidi="ar-SA"/>
        </w:rPr>
        <w:t>Addressing Waste and Inefficiencies: Delivering Customer, Cost, Carbon and Connections Dividends</w:t>
      </w:r>
      <w:r w:rsidRPr="000A5D1C">
        <w:rPr>
          <w:lang w:eastAsia="en-US" w:bidi="ar-SA"/>
        </w:rPr>
        <w:t xml:space="preserve">, Utility Week Forum, Oct. 2024. [Online]. </w:t>
      </w:r>
      <w:bookmarkEnd w:id="105"/>
      <w:r w:rsidRPr="000A5D1C">
        <w:rPr>
          <w:lang w:eastAsia="en-US" w:bidi="ar-SA"/>
        </w:rPr>
        <w:t xml:space="preserve">Available: </w:t>
      </w:r>
      <w:hyperlink r:id="rId113" w:history="1">
        <w:r w:rsidR="007E1D5C" w:rsidRPr="000A5D1C">
          <w:rPr>
            <w:rStyle w:val="Hyperlink"/>
            <w:lang w:eastAsia="en-US" w:bidi="ar-SA"/>
          </w:rPr>
          <w:t>https://event.utilityweek.co.uk/forum24/agenda</w:t>
        </w:r>
      </w:hyperlink>
    </w:p>
    <w:p w14:paraId="3999E357" w14:textId="20259DC5" w:rsidR="00446FE7" w:rsidRPr="000A5D1C" w:rsidRDefault="00BE71B5" w:rsidP="003F223E">
      <w:pPr>
        <w:pStyle w:val="ListParagraph"/>
        <w:numPr>
          <w:ilvl w:val="0"/>
          <w:numId w:val="17"/>
        </w:numPr>
        <w:rPr>
          <w:lang w:eastAsia="en-US" w:bidi="ar-SA"/>
        </w:rPr>
      </w:pPr>
      <w:r w:rsidRPr="000A5D1C">
        <w:rPr>
          <w:szCs w:val="18"/>
          <w:lang w:eastAsia="en-US" w:bidi="ar-SA"/>
        </w:rPr>
        <w:t xml:space="preserve">ACOSS and TEC, </w:t>
      </w:r>
      <w:proofErr w:type="spellStart"/>
      <w:r w:rsidRPr="000A5D1C">
        <w:rPr>
          <w:i/>
          <w:iCs/>
          <w:szCs w:val="18"/>
          <w:lang w:eastAsia="en-US" w:bidi="ar-SA"/>
        </w:rPr>
        <w:t>ourPower</w:t>
      </w:r>
      <w:proofErr w:type="spellEnd"/>
      <w:r w:rsidRPr="000A5D1C">
        <w:rPr>
          <w:i/>
          <w:iCs/>
          <w:szCs w:val="18"/>
          <w:lang w:eastAsia="en-US" w:bidi="ar-SA"/>
        </w:rPr>
        <w:t>: A Vision for Clean, Affordable, Dependable Energy for All,</w:t>
      </w:r>
      <w:r w:rsidRPr="000A5D1C">
        <w:rPr>
          <w:szCs w:val="18"/>
          <w:lang w:eastAsia="en-US" w:bidi="ar-SA"/>
        </w:rPr>
        <w:t xml:space="preserve"> Feb. 2022. [Online]. Available: </w:t>
      </w:r>
      <w:hyperlink r:id="rId114" w:history="1">
        <w:r w:rsidR="00446FE7" w:rsidRPr="000A5D1C">
          <w:rPr>
            <w:rStyle w:val="Hyperlink"/>
            <w:szCs w:val="18"/>
            <w:lang w:eastAsia="en-US" w:bidi="ar-SA"/>
          </w:rPr>
          <w:t>https://ourpower.org.au/wp-content/uploads/2022/02/ourPower-Booklet.pdf</w:t>
        </w:r>
      </w:hyperlink>
      <w:r w:rsidRPr="000A5D1C">
        <w:rPr>
          <w:szCs w:val="18"/>
          <w:lang w:eastAsia="en-US" w:bidi="ar-SA"/>
        </w:rPr>
        <w:t>.</w:t>
      </w:r>
    </w:p>
    <w:p w14:paraId="5C87E1A7" w14:textId="77777777" w:rsidR="00446FE7" w:rsidRPr="000A5D1C" w:rsidRDefault="00E61723" w:rsidP="003F223E">
      <w:pPr>
        <w:pStyle w:val="ListParagraph"/>
        <w:numPr>
          <w:ilvl w:val="0"/>
          <w:numId w:val="17"/>
        </w:numPr>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115" w:tgtFrame="_blank" w:history="1">
        <w:r w:rsidRPr="000A5D1C">
          <w:rPr>
            <w:rStyle w:val="Hyperlink"/>
            <w:szCs w:val="18"/>
            <w:lang w:eastAsia="en-US" w:bidi="ar-SA"/>
          </w:rPr>
          <w:t>https://www.energy.gov/eere/articles/does-national-roadmap-grid-interactive-efficient-buildings</w:t>
        </w:r>
      </w:hyperlink>
      <w:r w:rsidRPr="000A5D1C">
        <w:rPr>
          <w:szCs w:val="18"/>
          <w:lang w:eastAsia="en-US" w:bidi="ar-SA"/>
        </w:rPr>
        <w:t>.</w:t>
      </w:r>
    </w:p>
    <w:p w14:paraId="7242041B" w14:textId="5793C416" w:rsidR="00446FE7" w:rsidRPr="000A5D1C" w:rsidRDefault="00592FBB" w:rsidP="003F223E">
      <w:pPr>
        <w:pStyle w:val="ListParagraph"/>
        <w:numPr>
          <w:ilvl w:val="0"/>
          <w:numId w:val="17"/>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116" w:history="1">
        <w:r w:rsidR="00446FE7" w:rsidRPr="000A5D1C">
          <w:rPr>
            <w:rStyle w:val="Hyperlink"/>
            <w:lang w:eastAsia="en-US" w:bidi="ar-SA"/>
          </w:rPr>
          <w:t>https://www.ceem.unsw.edu.au/sites/default/files/documents/H4-OA-final-report-17.11.21.pdf</w:t>
        </w:r>
      </w:hyperlink>
      <w:r w:rsidRPr="000A5D1C">
        <w:rPr>
          <w:lang w:eastAsia="en-US" w:bidi="ar-SA"/>
        </w:rPr>
        <w:t>.</w:t>
      </w:r>
    </w:p>
    <w:p w14:paraId="1E88F72D" w14:textId="0DE2EABF" w:rsidR="00446FE7" w:rsidRPr="000A5D1C" w:rsidRDefault="00DE0F99" w:rsidP="003F223E">
      <w:pPr>
        <w:pStyle w:val="ListParagraph"/>
        <w:numPr>
          <w:ilvl w:val="0"/>
          <w:numId w:val="17"/>
        </w:numPr>
        <w:rPr>
          <w:lang w:eastAsia="en-US" w:bidi="ar-SA"/>
        </w:rPr>
      </w:pPr>
      <w:r w:rsidRPr="000A5D1C">
        <w:rPr>
          <w:lang w:eastAsia="en-US" w:bidi="ar-SA"/>
        </w:rPr>
        <w:t xml:space="preserve">Energy Consumers Australia, </w:t>
      </w:r>
      <w:r w:rsidRPr="000A5D1C">
        <w:rPr>
          <w:i/>
          <w:iCs/>
          <w:lang w:eastAsia="en-US" w:bidi="ar-SA"/>
        </w:rPr>
        <w:t>Social Licence for Control of Distributed Energy Resources: Final Report</w:t>
      </w:r>
      <w:r w:rsidRPr="000A5D1C">
        <w:rPr>
          <w:lang w:eastAsia="en-US" w:bidi="ar-SA"/>
        </w:rPr>
        <w:t xml:space="preserve">, </w:t>
      </w:r>
      <w:proofErr w:type="spellStart"/>
      <w:r w:rsidRPr="000A5D1C">
        <w:rPr>
          <w:lang w:eastAsia="en-US" w:bidi="ar-SA"/>
        </w:rPr>
        <w:t>CutlerMerz</w:t>
      </w:r>
      <w:proofErr w:type="spellEnd"/>
      <w:r w:rsidRPr="000A5D1C">
        <w:rPr>
          <w:lang w:eastAsia="en-US" w:bidi="ar-SA"/>
        </w:rPr>
        <w:t xml:space="preserve"> Pty Ltd, Dec. 2020. [Online]. Available: </w:t>
      </w:r>
      <w:hyperlink r:id="rId117" w:history="1">
        <w:r w:rsidR="00446FE7" w:rsidRPr="000A5D1C">
          <w:rPr>
            <w:rStyle w:val="Hyperlink"/>
            <w:lang w:eastAsia="en-US" w:bidi="ar-SA"/>
          </w:rPr>
          <w:t>https://energyconsumersaustralia.com.au/our-work/research/social-licence-for-control-of-distributed-energy-resources</w:t>
        </w:r>
      </w:hyperlink>
      <w:r w:rsidRPr="000A5D1C">
        <w:rPr>
          <w:lang w:eastAsia="en-US" w:bidi="ar-SA"/>
        </w:rPr>
        <w:t>.</w:t>
      </w:r>
    </w:p>
    <w:p w14:paraId="3CF6E2AA" w14:textId="7780AD65" w:rsidR="00CB1BF6" w:rsidRPr="000A5D1C" w:rsidRDefault="00147922" w:rsidP="003F223E">
      <w:pPr>
        <w:pStyle w:val="ListParagraph"/>
        <w:numPr>
          <w:ilvl w:val="0"/>
          <w:numId w:val="17"/>
        </w:numPr>
        <w:rPr>
          <w:lang w:eastAsia="en-US" w:bidi="ar-SA"/>
        </w:rPr>
      </w:pPr>
      <w:r w:rsidRPr="000A5D1C">
        <w:rPr>
          <w:lang w:eastAsia="en-US" w:bidi="ar-SA"/>
        </w:rPr>
        <w:t xml:space="preserve">Energy Security Board (ESB), </w:t>
      </w:r>
      <w:r w:rsidRPr="000A5D1C">
        <w:rPr>
          <w:i/>
          <w:iCs/>
          <w:lang w:eastAsia="en-US" w:bidi="ar-SA"/>
        </w:rPr>
        <w:t>Customer Insights Collaboration: Workshop 3 Summary</w:t>
      </w:r>
      <w:r w:rsidRPr="000A5D1C">
        <w:rPr>
          <w:lang w:eastAsia="en-US" w:bidi="ar-SA"/>
        </w:rPr>
        <w:t xml:space="preserve">, May 2022. [Online]. Available: </w:t>
      </w:r>
      <w:hyperlink r:id="rId118" w:history="1">
        <w:r w:rsidR="00CB1BF6" w:rsidRPr="000A5D1C">
          <w:rPr>
            <w:rStyle w:val="Hyperlink"/>
            <w:lang w:eastAsia="en-US" w:bidi="ar-SA"/>
          </w:rPr>
          <w:t>https://www.datocms-assets.com/32572/1673496508-1656654591-esb_customer-insights-collaboration_synthesis-from-workshop-3.pdf</w:t>
        </w:r>
      </w:hyperlink>
      <w:r w:rsidRPr="000A5D1C">
        <w:rPr>
          <w:lang w:eastAsia="en-US" w:bidi="ar-SA"/>
        </w:rPr>
        <w:t>.</w:t>
      </w:r>
      <w:bookmarkStart w:id="106" w:name="_Toc195107233"/>
    </w:p>
    <w:p w14:paraId="5C924254" w14:textId="32FD5D73" w:rsidR="004D4330" w:rsidRPr="000A5D1C" w:rsidRDefault="004D4330">
      <w:pPr>
        <w:pStyle w:val="Heading2"/>
        <w:rPr>
          <w:lang w:eastAsia="en-US" w:bidi="ar-SA"/>
        </w:rPr>
      </w:pPr>
      <w:bookmarkStart w:id="107" w:name="_Toc195206919"/>
      <w:bookmarkStart w:id="108" w:name="_Toc205362708"/>
      <w:bookmarkStart w:id="109" w:name="_Toc205536773"/>
      <w:r w:rsidRPr="000A5D1C">
        <w:rPr>
          <w:lang w:eastAsia="en-US" w:bidi="ar-SA"/>
        </w:rPr>
        <w:t>Beneficial</w:t>
      </w:r>
      <w:bookmarkEnd w:id="106"/>
      <w:bookmarkEnd w:id="107"/>
      <w:bookmarkEnd w:id="108"/>
      <w:bookmarkEnd w:id="109"/>
    </w:p>
    <w:p w14:paraId="227610FB" w14:textId="32CD4563" w:rsidR="0063615D" w:rsidRPr="000A5D1C" w:rsidRDefault="00697BD3" w:rsidP="003F223E">
      <w:pPr>
        <w:pStyle w:val="ListParagraph"/>
        <w:numPr>
          <w:ilvl w:val="0"/>
          <w:numId w:val="18"/>
        </w:numPr>
        <w:ind w:left="709"/>
        <w:rPr>
          <w:lang w:eastAsia="en-US" w:bidi="ar-SA"/>
        </w:rPr>
      </w:pPr>
      <w:bookmarkStart w:id="110" w:name="Ref_8_8_Minimising_Consumer_Harm_22"/>
      <w:r w:rsidRPr="000A5D1C">
        <w:rPr>
          <w:lang w:eastAsia="en-US" w:bidi="ar-SA"/>
        </w:rPr>
        <w:t xml:space="preserve">R. Ben-David, "Minimising consumer harm for a successful energy transition," presented at IPART’s 30th Anniversary Conference, Sydney, Australia, Nov. 17, 2022. </w:t>
      </w:r>
      <w:bookmarkEnd w:id="110"/>
      <w:r w:rsidRPr="000A5D1C">
        <w:rPr>
          <w:lang w:eastAsia="en-US" w:bidi="ar-SA"/>
        </w:rPr>
        <w:t xml:space="preserve">[Online]. Available: </w:t>
      </w:r>
      <w:hyperlink r:id="rId119" w:history="1">
        <w:r w:rsidR="0063615D"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p>
    <w:p w14:paraId="49F94FDA" w14:textId="33EDC318" w:rsidR="001C3067" w:rsidRPr="000A5D1C" w:rsidRDefault="001C3067" w:rsidP="003F223E">
      <w:pPr>
        <w:pStyle w:val="ListParagraph"/>
        <w:numPr>
          <w:ilvl w:val="0"/>
          <w:numId w:val="18"/>
        </w:numPr>
        <w:ind w:left="709"/>
        <w:rPr>
          <w:lang w:eastAsia="en-US" w:bidi="ar-SA"/>
        </w:rPr>
      </w:pPr>
      <w:bookmarkStart w:id="111" w:name="Ref_8_8_Consumers_are_investors_too_24"/>
      <w:r w:rsidRPr="000A5D1C">
        <w:rPr>
          <w:lang w:eastAsia="en-US" w:bidi="ar-SA"/>
        </w:rPr>
        <w:t xml:space="preserve">Energy Consumers Australia, “Consumers are investors too – where’s their </w:t>
      </w:r>
      <w:proofErr w:type="gramStart"/>
      <w:r w:rsidRPr="000A5D1C">
        <w:rPr>
          <w:lang w:eastAsia="en-US" w:bidi="ar-SA"/>
        </w:rPr>
        <w:t>return?,</w:t>
      </w:r>
      <w:proofErr w:type="gramEnd"/>
      <w:r w:rsidRPr="000A5D1C">
        <w:rPr>
          <w:lang w:eastAsia="en-US" w:bidi="ar-SA"/>
        </w:rPr>
        <w:t xml:space="preserve">” Energy Consumers Australia, Mar. 19, 2024. [Online]. </w:t>
      </w:r>
      <w:bookmarkEnd w:id="111"/>
      <w:r w:rsidRPr="000A5D1C">
        <w:rPr>
          <w:lang w:eastAsia="en-US" w:bidi="ar-SA"/>
        </w:rPr>
        <w:t xml:space="preserve">Available: </w:t>
      </w:r>
      <w:hyperlink r:id="rId120" w:history="1">
        <w:r w:rsidR="0063615D" w:rsidRPr="000A5D1C">
          <w:rPr>
            <w:rStyle w:val="Hyperlink"/>
            <w:lang w:eastAsia="en-US" w:bidi="ar-SA"/>
          </w:rPr>
          <w:t>https://energyconsumersaustralia.com.au/news/consumers-are-investors-too-wheres-their-return</w:t>
        </w:r>
      </w:hyperlink>
      <w:r w:rsidR="0063615D" w:rsidRPr="000A5D1C">
        <w:rPr>
          <w:lang w:eastAsia="en-US" w:bidi="ar-SA"/>
        </w:rPr>
        <w:t xml:space="preserve"> </w:t>
      </w:r>
    </w:p>
    <w:p w14:paraId="57EA0C41" w14:textId="23A723BC" w:rsidR="0063615D" w:rsidRPr="000A5D1C" w:rsidRDefault="00D606C3" w:rsidP="003F223E">
      <w:pPr>
        <w:pStyle w:val="ListParagraph"/>
        <w:numPr>
          <w:ilvl w:val="0"/>
          <w:numId w:val="18"/>
        </w:numPr>
        <w:ind w:left="709"/>
        <w:rPr>
          <w:lang w:eastAsia="en-US" w:bidi="ar-SA"/>
        </w:rPr>
      </w:pPr>
      <w:r w:rsidRPr="005D5EAA">
        <w:rPr>
          <w:szCs w:val="18"/>
          <w:lang w:eastAsia="en-US" w:bidi="ar-SA"/>
        </w:rPr>
        <w:t xml:space="preserve">P. De Martini and A. De Martini, </w:t>
      </w:r>
      <w:r w:rsidRPr="005D5EAA">
        <w:rPr>
          <w:i/>
          <w:iCs/>
          <w:szCs w:val="18"/>
          <w:lang w:eastAsia="en-US" w:bidi="ar-SA"/>
        </w:rPr>
        <w:t>Customer Load Management: Evolution &amp; Revolution</w:t>
      </w:r>
      <w:r w:rsidRPr="005D5EAA">
        <w:rPr>
          <w:szCs w:val="18"/>
          <w:lang w:eastAsia="en-US" w:bidi="ar-SA"/>
        </w:rPr>
        <w:t xml:space="preserve">, Pacific Energy Institute, Dec. 2021. [Online]. Available: </w:t>
      </w:r>
      <w:hyperlink r:id="rId121" w:history="1">
        <w:r w:rsidR="0063615D" w:rsidRPr="005D5EAA">
          <w:rPr>
            <w:rStyle w:val="Hyperlink"/>
            <w:szCs w:val="18"/>
            <w:lang w:eastAsia="en-US" w:bidi="ar-SA"/>
          </w:rPr>
          <w:t>https://pacificenergyinstitute.org/wp-content/uploads/2021/12/PEI-Customer-Load-Management-Evolution-Revolution-12.29.21.pdf</w:t>
        </w:r>
      </w:hyperlink>
      <w:r w:rsidRPr="005D5EAA">
        <w:rPr>
          <w:szCs w:val="18"/>
          <w:lang w:eastAsia="en-US" w:bidi="ar-SA"/>
        </w:rPr>
        <w:t>.</w:t>
      </w:r>
      <w:r w:rsidRPr="005D5EAA" w:rsidDel="00B83771">
        <w:rPr>
          <w:szCs w:val="18"/>
          <w:lang w:eastAsia="en-US" w:bidi="ar-SA"/>
        </w:rPr>
        <w:t xml:space="preserve"> </w:t>
      </w:r>
    </w:p>
    <w:p w14:paraId="3EC3861E" w14:textId="77777777" w:rsidR="0063615D" w:rsidRPr="000A5D1C" w:rsidRDefault="00E61723" w:rsidP="003F223E">
      <w:pPr>
        <w:pStyle w:val="ListParagraph"/>
        <w:numPr>
          <w:ilvl w:val="0"/>
          <w:numId w:val="18"/>
        </w:numPr>
        <w:ind w:left="709"/>
        <w:rPr>
          <w:lang w:eastAsia="en-US" w:bidi="ar-SA"/>
        </w:rPr>
      </w:pPr>
      <w:r w:rsidRPr="005D5EAA">
        <w:rPr>
          <w:szCs w:val="18"/>
          <w:lang w:eastAsia="en-US" w:bidi="ar-SA"/>
        </w:rPr>
        <w:t>U.S. Department of Energy,</w:t>
      </w:r>
      <w:r w:rsidRPr="005D5EAA">
        <w:rPr>
          <w:rFonts w:ascii="Calibri" w:hAnsi="Calibri" w:cs="Calibri"/>
          <w:szCs w:val="18"/>
          <w:lang w:eastAsia="en-US" w:bidi="ar-SA"/>
        </w:rPr>
        <w:t> </w:t>
      </w:r>
      <w:r w:rsidRPr="005D5EAA">
        <w:rPr>
          <w:i/>
          <w:iCs/>
          <w:szCs w:val="18"/>
          <w:lang w:eastAsia="en-US" w:bidi="ar-SA"/>
        </w:rPr>
        <w:t>A National Roadmap for Grid-Interactive Efficient Buildings</w:t>
      </w:r>
      <w:r w:rsidRPr="005D5EAA">
        <w:rPr>
          <w:szCs w:val="18"/>
          <w:lang w:eastAsia="en-US" w:bidi="ar-SA"/>
        </w:rPr>
        <w:t>. [Online]. Available:</w:t>
      </w:r>
      <w:r w:rsidRPr="005D5EAA">
        <w:rPr>
          <w:rFonts w:ascii="Calibri" w:hAnsi="Calibri" w:cs="Calibri"/>
          <w:szCs w:val="18"/>
          <w:lang w:eastAsia="en-US" w:bidi="ar-SA"/>
        </w:rPr>
        <w:t> </w:t>
      </w:r>
      <w:hyperlink r:id="rId122" w:tgtFrame="_blank" w:history="1">
        <w:r w:rsidRPr="005D5EAA">
          <w:rPr>
            <w:rStyle w:val="Hyperlink"/>
            <w:szCs w:val="18"/>
            <w:lang w:eastAsia="en-US" w:bidi="ar-SA"/>
          </w:rPr>
          <w:t>https://www.energy.gov/eere/articles/does-national-roadmap-grid-interactive-efficient-buildings</w:t>
        </w:r>
      </w:hyperlink>
      <w:r w:rsidRPr="005D5EAA">
        <w:rPr>
          <w:szCs w:val="18"/>
          <w:lang w:eastAsia="en-US" w:bidi="ar-SA"/>
        </w:rPr>
        <w:t>.</w:t>
      </w:r>
    </w:p>
    <w:p w14:paraId="1EFE1213" w14:textId="08AAB25B" w:rsidR="0063615D" w:rsidRPr="000A5D1C" w:rsidRDefault="00592FBB" w:rsidP="003F223E">
      <w:pPr>
        <w:pStyle w:val="ListParagraph"/>
        <w:numPr>
          <w:ilvl w:val="0"/>
          <w:numId w:val="18"/>
        </w:numPr>
        <w:ind w:left="709"/>
        <w:rPr>
          <w:lang w:eastAsia="en-US" w:bidi="ar-SA"/>
        </w:rPr>
      </w:pPr>
      <w:r w:rsidRPr="000A5D1C">
        <w:rPr>
          <w:lang w:eastAsia="en-US" w:bidi="ar-SA"/>
        </w:rPr>
        <w:t xml:space="preserve">M. Roberts, et al., </w:t>
      </w:r>
      <w:r w:rsidRPr="005D5EAA">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123" w:history="1">
        <w:r w:rsidR="0063615D" w:rsidRPr="000A5D1C">
          <w:rPr>
            <w:rStyle w:val="Hyperlink"/>
            <w:lang w:eastAsia="en-US" w:bidi="ar-SA"/>
          </w:rPr>
          <w:t>https://www.ceem.unsw.edu.au/sites/default/files/documents/H4-OA-final-report-17.11.21.pdf</w:t>
        </w:r>
      </w:hyperlink>
      <w:r w:rsidRPr="000A5D1C">
        <w:rPr>
          <w:lang w:eastAsia="en-US" w:bidi="ar-SA"/>
        </w:rPr>
        <w:t>.</w:t>
      </w:r>
    </w:p>
    <w:p w14:paraId="034D7141" w14:textId="2A43242A" w:rsidR="0063615D" w:rsidRPr="000A5D1C" w:rsidRDefault="00BB23D9" w:rsidP="003F223E">
      <w:pPr>
        <w:pStyle w:val="ListParagraph"/>
        <w:numPr>
          <w:ilvl w:val="0"/>
          <w:numId w:val="18"/>
        </w:numPr>
        <w:ind w:left="709"/>
        <w:rPr>
          <w:lang w:eastAsia="en-US" w:bidi="ar-SA"/>
        </w:rPr>
      </w:pPr>
      <w:r w:rsidRPr="000A5D1C">
        <w:rPr>
          <w:lang w:eastAsia="en-US" w:bidi="ar-SA"/>
        </w:rPr>
        <w:t>Energy Consumers Australia</w:t>
      </w:r>
      <w:r w:rsidRPr="005D5EAA">
        <w:rPr>
          <w:i/>
          <w:iCs/>
          <w:lang w:eastAsia="en-US" w:bidi="ar-SA"/>
        </w:rPr>
        <w:t xml:space="preserve">, </w:t>
      </w:r>
      <w:proofErr w:type="spellStart"/>
      <w:r w:rsidRPr="005D5EAA">
        <w:rPr>
          <w:i/>
          <w:iCs/>
          <w:lang w:eastAsia="en-US" w:bidi="ar-SA"/>
        </w:rPr>
        <w:t>Foresighting</w:t>
      </w:r>
      <w:proofErr w:type="spellEnd"/>
      <w:r w:rsidRPr="005D5EAA">
        <w:rPr>
          <w:i/>
          <w:iCs/>
          <w:lang w:eastAsia="en-US" w:bidi="ar-SA"/>
        </w:rPr>
        <w:t xml:space="preserve"> Forum 2021: System Design Webinar: Your Questions </w:t>
      </w:r>
      <w:proofErr w:type="gramStart"/>
      <w:r w:rsidRPr="005D5EAA">
        <w:rPr>
          <w:i/>
          <w:iCs/>
          <w:lang w:eastAsia="en-US" w:bidi="ar-SA"/>
        </w:rPr>
        <w:t>Answered!,</w:t>
      </w:r>
      <w:proofErr w:type="gramEnd"/>
      <w:r w:rsidRPr="000A5D1C">
        <w:rPr>
          <w:lang w:eastAsia="en-US" w:bidi="ar-SA"/>
        </w:rPr>
        <w:t xml:space="preserve"> Sep. 2021. [Online]. Available: </w:t>
      </w:r>
      <w:hyperlink r:id="rId124" w:history="1">
        <w:r w:rsidR="0063615D" w:rsidRPr="000A5D1C">
          <w:rPr>
            <w:rStyle w:val="Hyperlink"/>
            <w:lang w:eastAsia="en-US" w:bidi="ar-SA"/>
          </w:rPr>
          <w:t>https://energyconsumersaustralia.com.au/news/foresighting-forum-2021-system-design-webinar-your-questions-answered</w:t>
        </w:r>
      </w:hyperlink>
      <w:r w:rsidRPr="000A5D1C">
        <w:rPr>
          <w:lang w:eastAsia="en-US" w:bidi="ar-SA"/>
        </w:rPr>
        <w:t>.</w:t>
      </w:r>
    </w:p>
    <w:p w14:paraId="2A12A5DA" w14:textId="4A203A0A" w:rsidR="008F7F42" w:rsidRPr="000A5D1C" w:rsidRDefault="00376B26" w:rsidP="003F223E">
      <w:pPr>
        <w:pStyle w:val="ListParagraph"/>
        <w:numPr>
          <w:ilvl w:val="0"/>
          <w:numId w:val="18"/>
        </w:numPr>
        <w:ind w:left="709"/>
        <w:rPr>
          <w:lang w:eastAsia="en-US" w:bidi="ar-SA"/>
        </w:rPr>
      </w:pPr>
      <w:proofErr w:type="spellStart"/>
      <w:r w:rsidRPr="000A5D1C">
        <w:rPr>
          <w:lang w:eastAsia="en-US" w:bidi="ar-SA"/>
        </w:rPr>
        <w:t>UPowr</w:t>
      </w:r>
      <w:proofErr w:type="spellEnd"/>
      <w:r w:rsidRPr="000A5D1C">
        <w:rPr>
          <w:lang w:eastAsia="en-US" w:bidi="ar-SA"/>
        </w:rPr>
        <w:t xml:space="preserve">, </w:t>
      </w:r>
      <w:r w:rsidRPr="005D5EAA">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125" w:history="1">
        <w:r w:rsidR="0063615D" w:rsidRPr="000A5D1C">
          <w:rPr>
            <w:rStyle w:val="Hyperlink"/>
            <w:lang w:eastAsia="en-US" w:bidi="ar-SA"/>
          </w:rPr>
          <w:t>https://arena.gov.au/assets/2021/07/upowr-customer-segmentation-research-and-design-for-orchestration-programs.pdf</w:t>
        </w:r>
      </w:hyperlink>
      <w:r w:rsidR="0063615D" w:rsidRPr="000A5D1C">
        <w:rPr>
          <w:lang w:eastAsia="en-US" w:bidi="ar-SA"/>
        </w:rPr>
        <w:t xml:space="preserve"> </w:t>
      </w:r>
    </w:p>
    <w:p w14:paraId="1A76B84B" w14:textId="7CECE8D0" w:rsidR="0063615D" w:rsidRPr="000A5D1C" w:rsidRDefault="00C567AF" w:rsidP="003F223E">
      <w:pPr>
        <w:pStyle w:val="ListParagraph"/>
        <w:numPr>
          <w:ilvl w:val="0"/>
          <w:numId w:val="18"/>
        </w:numPr>
        <w:ind w:left="709"/>
        <w:rPr>
          <w:lang w:eastAsia="en-US" w:bidi="ar-SA"/>
        </w:rPr>
      </w:pPr>
      <w:r w:rsidRPr="000A5D1C">
        <w:rPr>
          <w:lang w:eastAsia="en-US" w:bidi="ar-SA"/>
        </w:rPr>
        <w:t xml:space="preserve">CSIRO and Energy Networks Association, Customer-Centric Networks, 2015. [Online]. Available: </w:t>
      </w:r>
      <w:hyperlink r:id="rId126" w:history="1">
        <w:r w:rsidR="0063615D" w:rsidRPr="000A5D1C">
          <w:rPr>
            <w:rStyle w:val="Hyperlink"/>
            <w:lang w:eastAsia="en-US" w:bidi="ar-SA"/>
          </w:rPr>
          <w:t>https://www.energynetworks.com.au/assets/uploads/roadmap_interim_report_final.pdf</w:t>
        </w:r>
      </w:hyperlink>
      <w:r w:rsidR="00CD3B0A" w:rsidRPr="000A5D1C">
        <w:rPr>
          <w:lang w:eastAsia="en-US" w:bidi="ar-SA"/>
        </w:rPr>
        <w:t>.</w:t>
      </w:r>
      <w:r w:rsidR="0063615D" w:rsidRPr="000A5D1C">
        <w:rPr>
          <w:lang w:eastAsia="en-US" w:bidi="ar-SA"/>
        </w:rPr>
        <w:t xml:space="preserve"> </w:t>
      </w:r>
    </w:p>
    <w:p w14:paraId="43582C07" w14:textId="273FAC5C" w:rsidR="002C3581" w:rsidRPr="000A5D1C" w:rsidRDefault="00DE0F99" w:rsidP="003F223E">
      <w:pPr>
        <w:pStyle w:val="ListParagraph"/>
        <w:numPr>
          <w:ilvl w:val="0"/>
          <w:numId w:val="18"/>
        </w:numPr>
        <w:ind w:left="709"/>
        <w:rPr>
          <w:lang w:eastAsia="en-US" w:bidi="ar-SA"/>
        </w:rPr>
      </w:pPr>
      <w:r w:rsidRPr="000A5D1C">
        <w:rPr>
          <w:lang w:eastAsia="en-US" w:bidi="ar-SA"/>
        </w:rPr>
        <w:t xml:space="preserve">Energy Consumers Australia, </w:t>
      </w:r>
      <w:r w:rsidRPr="005D5EAA">
        <w:rPr>
          <w:i/>
          <w:iCs/>
          <w:lang w:eastAsia="en-US" w:bidi="ar-SA"/>
        </w:rPr>
        <w:t>Social Licence for Control of Distributed Energy Resources: Final Report</w:t>
      </w:r>
      <w:r w:rsidRPr="000A5D1C">
        <w:rPr>
          <w:lang w:eastAsia="en-US" w:bidi="ar-SA"/>
        </w:rPr>
        <w:t xml:space="preserve">, </w:t>
      </w:r>
      <w:proofErr w:type="spellStart"/>
      <w:r w:rsidRPr="000A5D1C">
        <w:rPr>
          <w:lang w:eastAsia="en-US" w:bidi="ar-SA"/>
        </w:rPr>
        <w:t>CutlerMerz</w:t>
      </w:r>
      <w:proofErr w:type="spellEnd"/>
      <w:r w:rsidRPr="000A5D1C">
        <w:rPr>
          <w:lang w:eastAsia="en-US" w:bidi="ar-SA"/>
        </w:rPr>
        <w:t xml:space="preserve"> Pty Ltd, Dec. 2020. [Online]. Available: </w:t>
      </w:r>
      <w:hyperlink r:id="rId127" w:history="1">
        <w:r w:rsidR="00EC0398" w:rsidRPr="000A5D1C">
          <w:rPr>
            <w:rStyle w:val="Hyperlink"/>
            <w:lang w:eastAsia="en-US" w:bidi="ar-SA"/>
          </w:rPr>
          <w:t>https://energyconsumersaustralia.com.au/our-work/research/social-licence-for-control-of-distributed-energy-resources</w:t>
        </w:r>
      </w:hyperlink>
      <w:r w:rsidRPr="000A5D1C">
        <w:rPr>
          <w:lang w:eastAsia="en-US" w:bidi="ar-SA"/>
        </w:rPr>
        <w:t>.</w:t>
      </w:r>
      <w:r w:rsidR="00EC0398" w:rsidRPr="000A5D1C">
        <w:rPr>
          <w:lang w:eastAsia="en-US" w:bidi="ar-SA"/>
        </w:rPr>
        <w:t xml:space="preserve"> </w:t>
      </w:r>
    </w:p>
    <w:p w14:paraId="27BAB9B7" w14:textId="77777777" w:rsidR="002C3581" w:rsidRPr="000A5D1C" w:rsidRDefault="002C3581" w:rsidP="002C3581">
      <w:pPr>
        <w:rPr>
          <w:lang w:eastAsia="en-US" w:bidi="ar-SA"/>
        </w:rPr>
      </w:pPr>
    </w:p>
    <w:p w14:paraId="0FCF68FC" w14:textId="28944C95" w:rsidR="004D4330" w:rsidRPr="000A5D1C" w:rsidRDefault="00ED71B9" w:rsidP="00174809">
      <w:pPr>
        <w:pStyle w:val="Heading2"/>
        <w:rPr>
          <w:lang w:eastAsia="en-US" w:bidi="ar-SA"/>
        </w:rPr>
      </w:pPr>
      <w:bookmarkStart w:id="112" w:name="_Toc195107234"/>
      <w:bookmarkStart w:id="113" w:name="_Toc195206920"/>
      <w:bookmarkStart w:id="114" w:name="_Toc205362709"/>
      <w:bookmarkStart w:id="115" w:name="_Toc205536774"/>
      <w:r w:rsidRPr="000A5D1C">
        <w:rPr>
          <w:lang w:eastAsia="en-US" w:bidi="ar-SA"/>
        </w:rPr>
        <w:t>Other</w:t>
      </w:r>
      <w:bookmarkEnd w:id="112"/>
      <w:bookmarkEnd w:id="113"/>
      <w:bookmarkEnd w:id="114"/>
      <w:bookmarkEnd w:id="115"/>
    </w:p>
    <w:p w14:paraId="60C3FF47" w14:textId="6AC094E2" w:rsidR="00EC0398" w:rsidRPr="000A5D1C" w:rsidRDefault="00E97478" w:rsidP="003F223E">
      <w:pPr>
        <w:pStyle w:val="ListParagraph"/>
        <w:numPr>
          <w:ilvl w:val="0"/>
          <w:numId w:val="19"/>
        </w:numPr>
        <w:ind w:left="709"/>
        <w:rPr>
          <w:lang w:eastAsia="en-US" w:bidi="ar-SA"/>
        </w:rPr>
      </w:pPr>
      <w:r w:rsidRPr="000A5D1C">
        <w:rPr>
          <w:lang w:eastAsia="en-US" w:bidi="ar-SA"/>
        </w:rPr>
        <w:t>P. De Martini,</w:t>
      </w:r>
      <w:r w:rsidR="00C90EBA" w:rsidRPr="000A5D1C">
        <w:rPr>
          <w:lang w:eastAsia="en-US" w:bidi="ar-SA"/>
        </w:rPr>
        <w:t xml:space="preserve"> </w:t>
      </w:r>
      <w:r w:rsidR="00D92EF0" w:rsidRPr="000A5D1C">
        <w:rPr>
          <w:lang w:eastAsia="en-US" w:bidi="ar-SA"/>
        </w:rPr>
        <w:t>et al.,</w:t>
      </w:r>
      <w:r w:rsidRPr="005D5EAA">
        <w:rPr>
          <w:i/>
          <w:iCs/>
          <w:lang w:eastAsia="en-US" w:bidi="ar-SA"/>
        </w:rPr>
        <w:t xml:space="preserve"> Sourcing Distributed Energy Resources for Distribution Grid Services</w:t>
      </w:r>
      <w:r w:rsidRPr="000A5D1C">
        <w:rPr>
          <w:lang w:eastAsia="en-US" w:bidi="ar-SA"/>
        </w:rPr>
        <w:t xml:space="preserve">, U.S. Department of Energy, Office of Electricity, Dec. 2024. [Online]. Available: </w:t>
      </w:r>
      <w:hyperlink r:id="rId128" w:history="1">
        <w:r w:rsidR="00EC0398" w:rsidRPr="000A5D1C">
          <w:rPr>
            <w:rStyle w:val="Hyperlink"/>
            <w:lang w:eastAsia="en-US" w:bidi="ar-SA"/>
          </w:rPr>
          <w:t>https://www.energy.gov/sites/default/files/2024-12/Sourcing%20DER%20for%20Dist%20Services%20final%2012.17.24.pdf</w:t>
        </w:r>
      </w:hyperlink>
      <w:r w:rsidRPr="000A5D1C">
        <w:rPr>
          <w:lang w:eastAsia="en-US" w:bidi="ar-SA"/>
        </w:rPr>
        <w:t>.</w:t>
      </w:r>
    </w:p>
    <w:p w14:paraId="163EA60B" w14:textId="5EF3B0D9" w:rsidR="00EC0398" w:rsidRPr="000A5D1C" w:rsidRDefault="00DF6D37" w:rsidP="003F223E">
      <w:pPr>
        <w:pStyle w:val="ListParagraph"/>
        <w:numPr>
          <w:ilvl w:val="0"/>
          <w:numId w:val="19"/>
        </w:numPr>
        <w:ind w:left="709"/>
        <w:rPr>
          <w:lang w:eastAsia="en-US" w:bidi="ar-SA"/>
        </w:rPr>
      </w:pPr>
      <w:r w:rsidRPr="000A5D1C">
        <w:rPr>
          <w:lang w:eastAsia="en-US" w:bidi="ar-SA"/>
        </w:rPr>
        <w:t xml:space="preserve">Energy Networks Association, </w:t>
      </w:r>
      <w:r w:rsidRPr="005D5EAA">
        <w:rPr>
          <w:i/>
          <w:iCs/>
          <w:lang w:eastAsia="en-US" w:bidi="ar-SA"/>
        </w:rPr>
        <w:t>Primacy Rules for ESO/DNO Coordination – Increment 2</w:t>
      </w:r>
      <w:r w:rsidRPr="000A5D1C">
        <w:rPr>
          <w:lang w:eastAsia="en-US" w:bidi="ar-SA"/>
        </w:rPr>
        <w:t xml:space="preserve">, Open Networks Programme, version 1.0, Oct. 2024. [Online]. Available: </w:t>
      </w:r>
      <w:hyperlink r:id="rId129" w:history="1">
        <w:r w:rsidR="00EC0398" w:rsidRPr="000A5D1C">
          <w:rPr>
            <w:rStyle w:val="Hyperlink"/>
            <w:lang w:eastAsia="en-US" w:bidi="ar-SA"/>
          </w:rPr>
          <w:t>https://www.energynetworks.org/assets/images/primacy-rules-for-eso-dno-coordination-increment-2-v1.0-published.pdf</w:t>
        </w:r>
      </w:hyperlink>
      <w:r w:rsidRPr="000A5D1C">
        <w:rPr>
          <w:lang w:eastAsia="en-US" w:bidi="ar-SA"/>
        </w:rPr>
        <w:t>.</w:t>
      </w:r>
    </w:p>
    <w:p w14:paraId="3DA91E39" w14:textId="77777777" w:rsidR="00013938" w:rsidRPr="000A5D1C" w:rsidRDefault="00227376" w:rsidP="003F223E">
      <w:pPr>
        <w:pStyle w:val="ListParagraph"/>
        <w:numPr>
          <w:ilvl w:val="0"/>
          <w:numId w:val="19"/>
        </w:numPr>
        <w:ind w:left="709"/>
        <w:rPr>
          <w:lang w:eastAsia="en-US" w:bidi="ar-SA"/>
        </w:rPr>
      </w:pPr>
      <w:r w:rsidRPr="000A5D1C">
        <w:rPr>
          <w:lang w:eastAsia="en-US" w:bidi="ar-SA"/>
        </w:rPr>
        <w:t xml:space="preserve">WSP, Imperial College London Consultants, and National Grid, </w:t>
      </w:r>
      <w:r w:rsidRPr="005D5EAA">
        <w:rPr>
          <w:i/>
          <w:iCs/>
          <w:lang w:eastAsia="en-US" w:bidi="ar-SA"/>
        </w:rPr>
        <w:t>Dissemination of Project Findings: Final Dissemination Webinar</w:t>
      </w:r>
      <w:r w:rsidRPr="000A5D1C">
        <w:rPr>
          <w:lang w:eastAsia="en-US" w:bidi="ar-SA"/>
        </w:rPr>
        <w:t xml:space="preserve">, Energy System Operator (ESO), Jul. 2024. </w:t>
      </w:r>
    </w:p>
    <w:p w14:paraId="25A0F739" w14:textId="5A5EE9CC" w:rsidR="00697B23" w:rsidRPr="000A5D1C" w:rsidRDefault="00641676" w:rsidP="003F223E">
      <w:pPr>
        <w:pStyle w:val="ListParagraph"/>
        <w:numPr>
          <w:ilvl w:val="0"/>
          <w:numId w:val="19"/>
        </w:numPr>
        <w:ind w:left="709"/>
        <w:rPr>
          <w:lang w:eastAsia="en-US" w:bidi="ar-SA"/>
        </w:rPr>
      </w:pPr>
      <w:r w:rsidRPr="000A5D1C">
        <w:rPr>
          <w:lang w:eastAsia="en-US" w:bidi="ar-SA"/>
        </w:rPr>
        <w:t>M. Otte, et al</w:t>
      </w:r>
      <w:r w:rsidR="00AD451D" w:rsidRPr="000A5D1C">
        <w:rPr>
          <w:lang w:eastAsia="en-US" w:bidi="ar-SA"/>
        </w:rPr>
        <w:t xml:space="preserve">., </w:t>
      </w:r>
      <w:r w:rsidRPr="005D5EAA">
        <w:rPr>
          <w:i/>
          <w:iCs/>
          <w:lang w:eastAsia="en-US" w:bidi="ar-SA"/>
        </w:rPr>
        <w:t xml:space="preserve">Aggregators in Digitalised Power Systems: How can Aggregators Improve the TSO-DSO-Customer Coordination in Digitalised Power </w:t>
      </w:r>
      <w:proofErr w:type="gramStart"/>
      <w:r w:rsidRPr="005D5EAA">
        <w:rPr>
          <w:i/>
          <w:iCs/>
          <w:lang w:eastAsia="en-US" w:bidi="ar-SA"/>
        </w:rPr>
        <w:t>Systems?</w:t>
      </w:r>
      <w:r w:rsidRPr="000A5D1C">
        <w:rPr>
          <w:lang w:eastAsia="en-US" w:bidi="ar-SA"/>
        </w:rPr>
        <w:t>,</w:t>
      </w:r>
      <w:proofErr w:type="gramEnd"/>
      <w:r w:rsidRPr="000A5D1C">
        <w:rPr>
          <w:lang w:eastAsia="en-US" w:bidi="ar-SA"/>
        </w:rPr>
        <w:t xml:space="preserve"> ISGAN Working Group 6, Jul. 2024. [Online]. Available: </w:t>
      </w:r>
      <w:hyperlink r:id="rId130" w:history="1">
        <w:r w:rsidR="00697B23" w:rsidRPr="000A5D1C">
          <w:rPr>
            <w:rStyle w:val="Hyperlink"/>
            <w:lang w:eastAsia="en-US" w:bidi="ar-SA"/>
          </w:rPr>
          <w:t>https://www.iea-isgan.org/wp-content/uploads/2024/07/ISGAN_Aggregator_final.pdf</w:t>
        </w:r>
      </w:hyperlink>
      <w:r w:rsidRPr="000A5D1C">
        <w:rPr>
          <w:lang w:eastAsia="en-US" w:bidi="ar-SA"/>
        </w:rPr>
        <w:t>.</w:t>
      </w:r>
    </w:p>
    <w:p w14:paraId="0CD92C7B" w14:textId="20A86FD4" w:rsidR="00697B23" w:rsidRPr="000A5D1C" w:rsidRDefault="00A22DF0" w:rsidP="003F223E">
      <w:pPr>
        <w:pStyle w:val="ListParagraph"/>
        <w:numPr>
          <w:ilvl w:val="0"/>
          <w:numId w:val="19"/>
        </w:numPr>
        <w:ind w:left="709"/>
        <w:rPr>
          <w:lang w:eastAsia="en-US" w:bidi="ar-SA"/>
        </w:rPr>
      </w:pPr>
      <w:r w:rsidRPr="000A5D1C">
        <w:rPr>
          <w:lang w:eastAsia="en-US" w:bidi="ar-SA"/>
        </w:rPr>
        <w:t xml:space="preserve">L. Thompson, </w:t>
      </w:r>
      <w:r w:rsidRPr="005D5EAA">
        <w:rPr>
          <w:i/>
          <w:iCs/>
          <w:lang w:eastAsia="en-US" w:bidi="ar-SA"/>
        </w:rPr>
        <w:t>Transmission-Distribution Coordination Working Group: IESO-Administered Markets Communication Interfaces</w:t>
      </w:r>
      <w:r w:rsidRPr="000A5D1C">
        <w:rPr>
          <w:lang w:eastAsia="en-US" w:bidi="ar-SA"/>
        </w:rPr>
        <w:t xml:space="preserve">, Independent Electricity System Operator (IESO), Ontario, Canada, Apr. 2024. [Online]. Available: </w:t>
      </w:r>
      <w:hyperlink r:id="rId131" w:history="1">
        <w:r w:rsidR="00697B23" w:rsidRPr="000A5D1C">
          <w:rPr>
            <w:rStyle w:val="Hyperlink"/>
            <w:lang w:eastAsia="en-US" w:bidi="ar-SA"/>
          </w:rPr>
          <w:t>https://www.ieso.ca/-/media/Files/IESO/Document-Library/engage/Engagement-Updates/ieso-engagement-updates-April-2024.pdf</w:t>
        </w:r>
      </w:hyperlink>
      <w:r w:rsidRPr="000A5D1C">
        <w:rPr>
          <w:lang w:eastAsia="en-US" w:bidi="ar-SA"/>
        </w:rPr>
        <w:t>.</w:t>
      </w:r>
    </w:p>
    <w:p w14:paraId="3F69D526" w14:textId="77777777" w:rsidR="007E3A84" w:rsidRPr="000A5D1C" w:rsidRDefault="00D143C3" w:rsidP="003F223E">
      <w:pPr>
        <w:pStyle w:val="ListParagraph"/>
        <w:numPr>
          <w:ilvl w:val="0"/>
          <w:numId w:val="19"/>
        </w:numPr>
        <w:ind w:left="709"/>
        <w:rPr>
          <w:lang w:eastAsia="en-US" w:bidi="ar-SA"/>
        </w:rPr>
      </w:pPr>
      <w:r w:rsidRPr="000A5D1C">
        <w:rPr>
          <w:lang w:eastAsia="en-US" w:bidi="ar-SA"/>
        </w:rPr>
        <w:t xml:space="preserve">J. W. and L. Schmitt, </w:t>
      </w:r>
      <w:r w:rsidRPr="005D5EAA">
        <w:rPr>
          <w:i/>
          <w:iCs/>
          <w:lang w:eastAsia="en-US" w:bidi="ar-SA"/>
        </w:rPr>
        <w:t>Future Control Room Architectures for Grid and Market Integrated Operation</w:t>
      </w:r>
      <w:r w:rsidRPr="000A5D1C">
        <w:rPr>
          <w:lang w:eastAsia="en-US" w:bidi="ar-SA"/>
        </w:rPr>
        <w:t xml:space="preserve">, </w:t>
      </w:r>
      <w:proofErr w:type="spellStart"/>
      <w:r w:rsidRPr="000A5D1C">
        <w:rPr>
          <w:lang w:eastAsia="en-US" w:bidi="ar-SA"/>
        </w:rPr>
        <w:t>Axual</w:t>
      </w:r>
      <w:proofErr w:type="spellEnd"/>
      <w:r w:rsidRPr="000A5D1C">
        <w:rPr>
          <w:lang w:eastAsia="en-US" w:bidi="ar-SA"/>
        </w:rPr>
        <w:t xml:space="preserve"> and Digital4Grids, Jan. 2025. </w:t>
      </w:r>
    </w:p>
    <w:p w14:paraId="064B053C" w14:textId="25D3F88C" w:rsidR="007E3A84" w:rsidRPr="000A5D1C" w:rsidRDefault="00320A99" w:rsidP="003F223E">
      <w:pPr>
        <w:pStyle w:val="ListParagraph"/>
        <w:numPr>
          <w:ilvl w:val="0"/>
          <w:numId w:val="19"/>
        </w:numPr>
        <w:ind w:left="709"/>
        <w:rPr>
          <w:lang w:eastAsia="en-US" w:bidi="ar-SA"/>
        </w:rPr>
      </w:pPr>
      <w:r w:rsidRPr="000A5D1C">
        <w:rPr>
          <w:lang w:eastAsia="en-US" w:bidi="ar-SA"/>
        </w:rPr>
        <w:t xml:space="preserve">N. Omran and A. Golriz, </w:t>
      </w:r>
      <w:r w:rsidRPr="005D5EAA">
        <w:rPr>
          <w:i/>
          <w:iCs/>
          <w:lang w:eastAsia="en-US" w:bidi="ar-SA"/>
        </w:rPr>
        <w:t>T-D Coordination to Support Reliable Performance of BPS with DER Integration</w:t>
      </w:r>
      <w:r w:rsidRPr="000A5D1C">
        <w:rPr>
          <w:lang w:eastAsia="en-US" w:bidi="ar-SA"/>
        </w:rPr>
        <w:t xml:space="preserve">, Independent Electricity System Operator (IESO), Ontario, Canada, Dec. 2023. [Online]. Available: </w:t>
      </w:r>
      <w:hyperlink r:id="rId132" w:history="1">
        <w:r w:rsidR="007E3A84" w:rsidRPr="000A5D1C">
          <w:rPr>
            <w:rStyle w:val="Hyperlink"/>
            <w:lang w:eastAsia="en-US" w:bidi="ar-SA"/>
          </w:rPr>
          <w:t>https://www.ieso.ca/-/media/Files/IESO/Document-Library/engage/tdwg/TDWG-20231214-T-D-Coordination-to-Support-Reliable-Performance-of-BPS-with-DER-Integration.pdf</w:t>
        </w:r>
      </w:hyperlink>
      <w:r w:rsidRPr="000A5D1C">
        <w:rPr>
          <w:lang w:eastAsia="en-US" w:bidi="ar-SA"/>
        </w:rPr>
        <w:t xml:space="preserve">. </w:t>
      </w:r>
    </w:p>
    <w:p w14:paraId="42C4FD63" w14:textId="402D78E3" w:rsidR="007E3A84" w:rsidRPr="000A5D1C" w:rsidRDefault="00D32DEF" w:rsidP="003F223E">
      <w:pPr>
        <w:pStyle w:val="ListParagraph"/>
        <w:numPr>
          <w:ilvl w:val="0"/>
          <w:numId w:val="19"/>
        </w:numPr>
        <w:ind w:left="709"/>
        <w:rPr>
          <w:lang w:eastAsia="en-US" w:bidi="ar-SA"/>
        </w:rPr>
      </w:pPr>
      <w:r w:rsidRPr="000A5D1C">
        <w:rPr>
          <w:lang w:eastAsia="en-US" w:bidi="ar-SA"/>
        </w:rPr>
        <w:t xml:space="preserve">B. </w:t>
      </w:r>
      <w:proofErr w:type="spellStart"/>
      <w:r w:rsidRPr="000A5D1C">
        <w:rPr>
          <w:lang w:eastAsia="en-US" w:bidi="ar-SA"/>
        </w:rPr>
        <w:t>Herndler</w:t>
      </w:r>
      <w:proofErr w:type="spellEnd"/>
      <w:r w:rsidRPr="000A5D1C">
        <w:rPr>
          <w:lang w:eastAsia="en-US" w:bidi="ar-SA"/>
        </w:rPr>
        <w:t xml:space="preserve">, </w:t>
      </w:r>
      <w:r w:rsidR="00864D10" w:rsidRPr="000A5D1C">
        <w:rPr>
          <w:lang w:eastAsia="en-US" w:bidi="ar-SA"/>
        </w:rPr>
        <w:t>et al.,</w:t>
      </w:r>
      <w:r w:rsidRPr="005D5EAA">
        <w:rPr>
          <w:i/>
          <w:iCs/>
          <w:lang w:eastAsia="en-US" w:bidi="ar-SA"/>
        </w:rPr>
        <w:t xml:space="preserve"> Flexibility Harvesting and Its Impact on Stakeholder Interaction</w:t>
      </w:r>
      <w:r w:rsidRPr="000A5D1C">
        <w:rPr>
          <w:lang w:eastAsia="en-US" w:bidi="ar-SA"/>
        </w:rPr>
        <w:t xml:space="preserve">, ISGAN Working Group 6, Dec. 2022. [Online]. Available: </w:t>
      </w:r>
      <w:hyperlink r:id="rId133" w:history="1">
        <w:r w:rsidR="007E3A84" w:rsidRPr="000A5D1C">
          <w:rPr>
            <w:rStyle w:val="Hyperlink"/>
            <w:lang w:eastAsia="en-US" w:bidi="ar-SA"/>
          </w:rPr>
          <w:t>https://www.iea-isgan.org/flexibility-harvesting-and-its-impact-on-stakeholder-interaction_key-messages/</w:t>
        </w:r>
      </w:hyperlink>
    </w:p>
    <w:p w14:paraId="3728DB12" w14:textId="6FEC5C8B" w:rsidR="007E3A84" w:rsidRPr="000A5D1C" w:rsidRDefault="00AC382F" w:rsidP="003F223E">
      <w:pPr>
        <w:pStyle w:val="ListParagraph"/>
        <w:numPr>
          <w:ilvl w:val="1"/>
          <w:numId w:val="19"/>
        </w:numPr>
        <w:ind w:left="709"/>
        <w:rPr>
          <w:lang w:eastAsia="en-US" w:bidi="ar-SA"/>
        </w:rPr>
      </w:pPr>
      <w:r w:rsidRPr="000A5D1C">
        <w:rPr>
          <w:lang w:eastAsia="en-US" w:bidi="ar-SA"/>
        </w:rPr>
        <w:t xml:space="preserve">Stokes, et al., </w:t>
      </w:r>
      <w:r w:rsidRPr="005D5EAA">
        <w:rPr>
          <w:i/>
          <w:iCs/>
          <w:lang w:eastAsia="en-US" w:bidi="ar-SA"/>
        </w:rPr>
        <w:t>Flexibility Markets: Development and Implementation - TSO-DSO Coordination: The UK Case</w:t>
      </w:r>
      <w:r w:rsidRPr="000A5D1C">
        <w:rPr>
          <w:lang w:eastAsia="en-US" w:bidi="ar-SA"/>
        </w:rPr>
        <w:t xml:space="preserve">, ISGAN Annex 9, Energy Systems Catapult, Mar. 2022. [Online]. Available: </w:t>
      </w:r>
      <w:hyperlink r:id="rId134" w:history="1">
        <w:r w:rsidR="007E3A84" w:rsidRPr="000A5D1C">
          <w:rPr>
            <w:rStyle w:val="Hyperlink"/>
            <w:lang w:eastAsia="en-US" w:bidi="ar-SA"/>
          </w:rPr>
          <w:t>https://www.iea-isgan.org/wp-content/uploads/2022/06/ISGAN-TSO-DSO-InsightReport-2022.pdf</w:t>
        </w:r>
      </w:hyperlink>
      <w:r w:rsidRPr="000A5D1C">
        <w:rPr>
          <w:lang w:eastAsia="en-US" w:bidi="ar-SA"/>
        </w:rPr>
        <w:t>.</w:t>
      </w:r>
    </w:p>
    <w:p w14:paraId="0BB95A66" w14:textId="5BF93325" w:rsidR="007E3A84" w:rsidRPr="000A5D1C" w:rsidRDefault="006C5598" w:rsidP="003F223E">
      <w:pPr>
        <w:pStyle w:val="ListParagraph"/>
        <w:numPr>
          <w:ilvl w:val="0"/>
          <w:numId w:val="19"/>
        </w:numPr>
        <w:ind w:left="709"/>
        <w:rPr>
          <w:lang w:eastAsia="en-US" w:bidi="ar-SA"/>
        </w:rPr>
      </w:pPr>
      <w:r w:rsidRPr="000A5D1C">
        <w:rPr>
          <w:lang w:eastAsia="en-US" w:bidi="ar-SA"/>
        </w:rPr>
        <w:t xml:space="preserve">P. De Martini, S. Patel, and D. Kathan, </w:t>
      </w:r>
      <w:r w:rsidRPr="005D5EAA">
        <w:rPr>
          <w:i/>
          <w:iCs/>
          <w:lang w:eastAsia="en-US" w:bidi="ar-SA"/>
        </w:rPr>
        <w:t>TSO-DSO-Aggregator Market and Operational Coordination Requirements</w:t>
      </w:r>
      <w:r w:rsidRPr="000A5D1C">
        <w:rPr>
          <w:lang w:eastAsia="en-US" w:bidi="ar-SA"/>
        </w:rPr>
        <w:t xml:space="preserve">, U.S. Department of Energy, Office of Electricity, Apr. 2024. [Online]. Available: </w:t>
      </w:r>
      <w:hyperlink r:id="rId135" w:history="1">
        <w:r w:rsidR="007E3A84" w:rsidRPr="000A5D1C">
          <w:rPr>
            <w:rStyle w:val="Hyperlink"/>
            <w:lang w:eastAsia="en-US" w:bidi="ar-SA"/>
          </w:rPr>
          <w:t>https://www.energy.gov/sites/default/files/2024-07/47990_DOE_OE_TDC_Project_Coordination_Platform_v9_RELEASE_508.pdf</w:t>
        </w:r>
      </w:hyperlink>
      <w:r w:rsidRPr="000A5D1C">
        <w:rPr>
          <w:lang w:eastAsia="en-US" w:bidi="ar-SA"/>
        </w:rPr>
        <w:t>.</w:t>
      </w:r>
    </w:p>
    <w:p w14:paraId="487DF379" w14:textId="77777777" w:rsidR="007E3A84" w:rsidRPr="000A5D1C" w:rsidRDefault="0020376E" w:rsidP="003F223E">
      <w:pPr>
        <w:pStyle w:val="ListParagraph"/>
        <w:numPr>
          <w:ilvl w:val="0"/>
          <w:numId w:val="19"/>
        </w:numPr>
        <w:ind w:left="709"/>
        <w:rPr>
          <w:lang w:eastAsia="en-US" w:bidi="ar-SA"/>
        </w:rPr>
      </w:pPr>
      <w:r w:rsidRPr="000A5D1C">
        <w:rPr>
          <w:lang w:eastAsia="en-US" w:bidi="ar-SA"/>
        </w:rPr>
        <w:t xml:space="preserve">G. Morch, et al., "Architectures for Optimised Interaction Between TSOs and DSOs: Compliance </w:t>
      </w:r>
      <w:proofErr w:type="gramStart"/>
      <w:r w:rsidRPr="000A5D1C">
        <w:rPr>
          <w:lang w:eastAsia="en-US" w:bidi="ar-SA"/>
        </w:rPr>
        <w:t>With</w:t>
      </w:r>
      <w:proofErr w:type="gramEnd"/>
      <w:r w:rsidRPr="000A5D1C">
        <w:rPr>
          <w:lang w:eastAsia="en-US" w:bidi="ar-SA"/>
        </w:rPr>
        <w:t xml:space="preserve"> </w:t>
      </w:r>
      <w:proofErr w:type="gramStart"/>
      <w:r w:rsidRPr="000A5D1C">
        <w:rPr>
          <w:lang w:eastAsia="en-US" w:bidi="ar-SA"/>
        </w:rPr>
        <w:t>The</w:t>
      </w:r>
      <w:proofErr w:type="gramEnd"/>
      <w:r w:rsidRPr="000A5D1C">
        <w:rPr>
          <w:lang w:eastAsia="en-US" w:bidi="ar-SA"/>
        </w:rPr>
        <w:t xml:space="preserve"> Present Practice, Regulation </w:t>
      </w:r>
      <w:proofErr w:type="gramStart"/>
      <w:r w:rsidRPr="000A5D1C">
        <w:rPr>
          <w:lang w:eastAsia="en-US" w:bidi="ar-SA"/>
        </w:rPr>
        <w:t>And</w:t>
      </w:r>
      <w:proofErr w:type="gramEnd"/>
      <w:r w:rsidRPr="000A5D1C">
        <w:rPr>
          <w:lang w:eastAsia="en-US" w:bidi="ar-SA"/>
        </w:rPr>
        <w:t xml:space="preserve"> Roadmaps," in Proc. 25th Int. Conf. on Electricity Distribution (CIRED), Madrid, Spain, Jun. 2019.</w:t>
      </w:r>
      <w:r w:rsidRPr="000A5D1C" w:rsidDel="0020376E">
        <w:rPr>
          <w:lang w:eastAsia="en-US" w:bidi="ar-SA"/>
        </w:rPr>
        <w:t xml:space="preserve"> </w:t>
      </w:r>
    </w:p>
    <w:p w14:paraId="22F9D66B" w14:textId="49F49ED3" w:rsidR="00ED71B9" w:rsidRPr="000A5D1C" w:rsidRDefault="0027301F" w:rsidP="003F223E">
      <w:pPr>
        <w:pStyle w:val="ListParagraph"/>
        <w:numPr>
          <w:ilvl w:val="0"/>
          <w:numId w:val="19"/>
        </w:numPr>
        <w:ind w:left="709"/>
        <w:rPr>
          <w:lang w:eastAsia="en-US" w:bidi="ar-SA"/>
        </w:rPr>
      </w:pPr>
      <w:proofErr w:type="spellStart"/>
      <w:r w:rsidRPr="000A5D1C">
        <w:rPr>
          <w:lang w:eastAsia="en-US" w:bidi="ar-SA"/>
        </w:rPr>
        <w:t>GridWise</w:t>
      </w:r>
      <w:proofErr w:type="spellEnd"/>
      <w:r w:rsidRPr="000A5D1C">
        <w:rPr>
          <w:lang w:eastAsia="en-US" w:bidi="ar-SA"/>
        </w:rPr>
        <w:t xml:space="preserve"> Architecture Council, </w:t>
      </w:r>
      <w:r w:rsidRPr="005D5EAA">
        <w:rPr>
          <w:i/>
          <w:iCs/>
          <w:lang w:eastAsia="en-US" w:bidi="ar-SA"/>
        </w:rPr>
        <w:t>A Practical Introduction to Common Grid Architecture Techniques</w:t>
      </w:r>
      <w:r w:rsidRPr="000A5D1C">
        <w:rPr>
          <w:lang w:eastAsia="en-US" w:bidi="ar-SA"/>
        </w:rPr>
        <w:t xml:space="preserve">, Pacific Northwest National Laboratory (PNNL), Apr. 2024. [Online]. Available: </w:t>
      </w:r>
      <w:hyperlink r:id="rId136" w:history="1">
        <w:r w:rsidR="007E3A84" w:rsidRPr="000A5D1C">
          <w:rPr>
            <w:rStyle w:val="Hyperlink"/>
            <w:lang w:eastAsia="en-US" w:bidi="ar-SA"/>
          </w:rPr>
          <w:t>https://gridwiseac.org/wp-content/uploads/PNNL-35073_2024_GridArchitecture_White-Paper-PAL-final.pdf</w:t>
        </w:r>
      </w:hyperlink>
      <w:r w:rsidRPr="000A5D1C">
        <w:rPr>
          <w:lang w:eastAsia="en-US" w:bidi="ar-SA"/>
        </w:rPr>
        <w:t>.</w:t>
      </w:r>
      <w:r w:rsidR="007E3A84" w:rsidRPr="000A5D1C">
        <w:rPr>
          <w:lang w:eastAsia="en-US" w:bidi="ar-SA"/>
        </w:rPr>
        <w:t xml:space="preserve"> </w:t>
      </w:r>
    </w:p>
    <w:p w14:paraId="17DDF585" w14:textId="5320D3FF" w:rsidR="00690F57" w:rsidRPr="000A5D1C" w:rsidRDefault="00BC22D6" w:rsidP="003F223E">
      <w:pPr>
        <w:pStyle w:val="ListParagraph"/>
        <w:numPr>
          <w:ilvl w:val="0"/>
          <w:numId w:val="19"/>
        </w:numPr>
        <w:ind w:left="709"/>
        <w:rPr>
          <w:lang w:eastAsia="en-US" w:bidi="ar-SA"/>
        </w:rPr>
      </w:pPr>
      <w:r w:rsidRPr="000A5D1C">
        <w:rPr>
          <w:lang w:eastAsia="en-US" w:bidi="ar-SA"/>
        </w:rPr>
        <w:t xml:space="preserve">International Renewable Energy Agency (IRENA), </w:t>
      </w:r>
      <w:r w:rsidRPr="005D5EAA">
        <w:rPr>
          <w:i/>
          <w:iCs/>
          <w:lang w:eastAsia="en-US" w:bidi="ar-SA"/>
        </w:rPr>
        <w:t>Innovation Landscape Brief: Future Role of Distribution System Operators</w:t>
      </w:r>
      <w:r w:rsidRPr="000A5D1C">
        <w:rPr>
          <w:lang w:eastAsia="en-US" w:bidi="ar-SA"/>
        </w:rPr>
        <w:t xml:space="preserve">, Abu Dhabi, UAE, 2019. [Online]. Available: </w:t>
      </w:r>
      <w:hyperlink r:id="rId137" w:history="1">
        <w:r w:rsidR="00690F57" w:rsidRPr="000A5D1C">
          <w:rPr>
            <w:rStyle w:val="Hyperlink"/>
            <w:lang w:eastAsia="en-US" w:bidi="ar-SA"/>
          </w:rPr>
          <w:t>https://www.irena.org/-/media/Files/IRENA/Agency/Publication/2019/Feb/IRENA_Landscape_Future_DSOs_2019.pdf?la=en&amp;hash=EDEBEDD537DE4ED1D716F4342F2D55D890EA5B9</w:t>
        </w:r>
      </w:hyperlink>
    </w:p>
    <w:p w14:paraId="0209475D" w14:textId="379FAAD1" w:rsidR="003D5842" w:rsidRPr="000A5D1C" w:rsidRDefault="00BC22D6" w:rsidP="003F223E">
      <w:pPr>
        <w:pStyle w:val="ListParagraph"/>
        <w:numPr>
          <w:ilvl w:val="0"/>
          <w:numId w:val="19"/>
        </w:numPr>
        <w:ind w:left="709"/>
        <w:rPr>
          <w:lang w:eastAsia="en-US" w:bidi="ar-SA"/>
        </w:rPr>
      </w:pPr>
      <w:proofErr w:type="spellStart"/>
      <w:r w:rsidRPr="000A5D1C">
        <w:rPr>
          <w:lang w:eastAsia="en-US" w:bidi="ar-SA"/>
        </w:rPr>
        <w:t>A</w:t>
      </w:r>
      <w:r w:rsidR="00A51540" w:rsidRPr="000A5D1C">
        <w:rPr>
          <w:lang w:eastAsia="en-US" w:bidi="ar-SA"/>
        </w:rPr>
        <w:t>Nederlandse</w:t>
      </w:r>
      <w:proofErr w:type="spellEnd"/>
      <w:r w:rsidR="00A51540" w:rsidRPr="000A5D1C">
        <w:rPr>
          <w:lang w:eastAsia="en-US" w:bidi="ar-SA"/>
        </w:rPr>
        <w:t xml:space="preserve"> </w:t>
      </w:r>
      <w:proofErr w:type="spellStart"/>
      <w:r w:rsidR="00A51540" w:rsidRPr="000A5D1C">
        <w:rPr>
          <w:lang w:eastAsia="en-US" w:bidi="ar-SA"/>
        </w:rPr>
        <w:t>Organisatie</w:t>
      </w:r>
      <w:proofErr w:type="spellEnd"/>
      <w:r w:rsidR="00A51540" w:rsidRPr="000A5D1C">
        <w:rPr>
          <w:lang w:eastAsia="en-US" w:bidi="ar-SA"/>
        </w:rPr>
        <w:t xml:space="preserve"> </w:t>
      </w:r>
      <w:proofErr w:type="spellStart"/>
      <w:r w:rsidR="00A51540" w:rsidRPr="000A5D1C">
        <w:rPr>
          <w:lang w:eastAsia="en-US" w:bidi="ar-SA"/>
        </w:rPr>
        <w:t>voor</w:t>
      </w:r>
      <w:proofErr w:type="spellEnd"/>
      <w:r w:rsidR="00A51540" w:rsidRPr="000A5D1C">
        <w:rPr>
          <w:lang w:eastAsia="en-US" w:bidi="ar-SA"/>
        </w:rPr>
        <w:t xml:space="preserve"> </w:t>
      </w:r>
      <w:proofErr w:type="spellStart"/>
      <w:r w:rsidR="00A51540" w:rsidRPr="000A5D1C">
        <w:rPr>
          <w:lang w:eastAsia="en-US" w:bidi="ar-SA"/>
        </w:rPr>
        <w:t>Toegepast</w:t>
      </w:r>
      <w:proofErr w:type="spellEnd"/>
      <w:r w:rsidR="00A51540" w:rsidRPr="000A5D1C">
        <w:rPr>
          <w:lang w:eastAsia="en-US" w:bidi="ar-SA"/>
        </w:rPr>
        <w:t xml:space="preserve"> </w:t>
      </w:r>
      <w:proofErr w:type="spellStart"/>
      <w:r w:rsidR="00A51540" w:rsidRPr="000A5D1C">
        <w:rPr>
          <w:lang w:eastAsia="en-US" w:bidi="ar-SA"/>
        </w:rPr>
        <w:t>Natuurwetenschappelijk</w:t>
      </w:r>
      <w:proofErr w:type="spellEnd"/>
      <w:r w:rsidR="00A51540" w:rsidRPr="000A5D1C">
        <w:rPr>
          <w:lang w:eastAsia="en-US" w:bidi="ar-SA"/>
        </w:rPr>
        <w:t xml:space="preserve"> </w:t>
      </w:r>
      <w:proofErr w:type="spellStart"/>
      <w:r w:rsidR="00A51540" w:rsidRPr="000A5D1C">
        <w:rPr>
          <w:lang w:eastAsia="en-US" w:bidi="ar-SA"/>
        </w:rPr>
        <w:t>Onderzoek</w:t>
      </w:r>
      <w:proofErr w:type="spellEnd"/>
      <w:r w:rsidR="00A51540" w:rsidRPr="000A5D1C">
        <w:rPr>
          <w:lang w:eastAsia="en-US" w:bidi="ar-SA"/>
        </w:rPr>
        <w:t xml:space="preserve"> (TNO), "Common Information Model Ontology Class Library," [Online]. Available: </w:t>
      </w:r>
      <w:hyperlink r:id="rId138" w:history="1">
        <w:r w:rsidR="003D5842" w:rsidRPr="000A5D1C">
          <w:rPr>
            <w:rStyle w:val="Hyperlink"/>
            <w:lang w:eastAsia="en-US" w:bidi="ar-SA"/>
          </w:rPr>
          <w:t>https://ontology.tno.nl/IEC_CIM/</w:t>
        </w:r>
      </w:hyperlink>
    </w:p>
    <w:p w14:paraId="740F0F09" w14:textId="74998D93" w:rsidR="00B40A49" w:rsidRPr="000A5D1C" w:rsidRDefault="009350D3" w:rsidP="003F223E">
      <w:pPr>
        <w:pStyle w:val="ListParagraph"/>
        <w:numPr>
          <w:ilvl w:val="0"/>
          <w:numId w:val="19"/>
        </w:numPr>
        <w:ind w:left="709"/>
        <w:rPr>
          <w:lang w:eastAsia="en-US" w:bidi="ar-SA"/>
        </w:rPr>
      </w:pPr>
      <w:r w:rsidRPr="000A5D1C">
        <w:rPr>
          <w:lang w:eastAsia="en-US" w:bidi="ar-SA"/>
        </w:rPr>
        <w:t>F. Marten, et al.</w:t>
      </w:r>
      <w:r w:rsidR="00934E8F" w:rsidRPr="000A5D1C">
        <w:rPr>
          <w:lang w:eastAsia="en-US" w:bidi="ar-SA"/>
        </w:rPr>
        <w:t>,</w:t>
      </w:r>
      <w:r w:rsidRPr="000A5D1C">
        <w:rPr>
          <w:lang w:eastAsia="en-US" w:bidi="ar-SA"/>
        </w:rPr>
        <w:t xml:space="preserve"> "CIM CGMES-extensions for the TSO-DSO data exchange in the EU-project ‘TDX-ASSIST’," presented at the ETG Congress 2019, Kassel, Germany, Oct. 2019. [Online]. Available: </w:t>
      </w:r>
      <w:hyperlink r:id="rId139" w:history="1">
        <w:r w:rsidR="00B40A49" w:rsidRPr="000A5D1C">
          <w:rPr>
            <w:rStyle w:val="Hyperlink"/>
            <w:lang w:eastAsia="en-US" w:bidi="ar-SA"/>
          </w:rPr>
          <w:t>https://publica.fraunhofer.de/bitstreams/1724ce77-b639-4e2e-b114-e018df1b1cb4/download</w:t>
        </w:r>
      </w:hyperlink>
    </w:p>
    <w:p w14:paraId="0FB1479A" w14:textId="123B6CDE" w:rsidR="00A754E9" w:rsidRPr="000A5D1C" w:rsidRDefault="00923D29" w:rsidP="003F223E">
      <w:pPr>
        <w:pStyle w:val="ListParagraph"/>
        <w:numPr>
          <w:ilvl w:val="0"/>
          <w:numId w:val="19"/>
        </w:numPr>
        <w:ind w:left="709"/>
        <w:rPr>
          <w:lang w:eastAsia="en-US" w:bidi="ar-SA"/>
        </w:rPr>
      </w:pPr>
      <w:r w:rsidRPr="000A5D1C">
        <w:rPr>
          <w:lang w:eastAsia="en-US" w:bidi="ar-SA"/>
        </w:rPr>
        <w:t xml:space="preserve">BRIDGE Regulation and Data Management Working Groups, </w:t>
      </w:r>
      <w:r w:rsidRPr="005D5EAA">
        <w:rPr>
          <w:i/>
          <w:iCs/>
          <w:lang w:eastAsia="en-US" w:bidi="ar-SA"/>
        </w:rPr>
        <w:t>BRIDGE TSO-DSO Coordination Report</w:t>
      </w:r>
      <w:r w:rsidRPr="000A5D1C">
        <w:rPr>
          <w:lang w:eastAsia="en-US" w:bidi="ar-SA"/>
        </w:rPr>
        <w:t xml:space="preserve">, European Union Horizon 2020, Dec. 2019. [Online]. Available: </w:t>
      </w:r>
      <w:hyperlink r:id="rId140" w:history="1">
        <w:r w:rsidR="00A754E9" w:rsidRPr="000A5D1C">
          <w:rPr>
            <w:rStyle w:val="Hyperlink"/>
            <w:lang w:eastAsia="en-US" w:bidi="ar-SA"/>
          </w:rPr>
          <w:t>https://h2020-bridge.eu/wp-content/uploads/2020/01/D3.12.f_BRIDGE-TSO-DSO-Coordination-report.pdf</w:t>
        </w:r>
      </w:hyperlink>
      <w:r w:rsidRPr="000A5D1C">
        <w:rPr>
          <w:lang w:eastAsia="en-US" w:bidi="ar-SA"/>
        </w:rPr>
        <w:t>.</w:t>
      </w:r>
    </w:p>
    <w:p w14:paraId="00DA7B5E" w14:textId="72E645C4" w:rsidR="00FD1F6D" w:rsidRPr="000A5D1C" w:rsidRDefault="0082696A" w:rsidP="003F223E">
      <w:pPr>
        <w:pStyle w:val="ListParagraph"/>
        <w:numPr>
          <w:ilvl w:val="0"/>
          <w:numId w:val="19"/>
        </w:numPr>
        <w:ind w:left="709"/>
        <w:rPr>
          <w:lang w:eastAsia="en-US" w:bidi="ar-SA"/>
        </w:rPr>
      </w:pPr>
      <w:r w:rsidRPr="000A5D1C">
        <w:rPr>
          <w:lang w:eastAsia="en-US" w:bidi="ar-SA"/>
        </w:rPr>
        <w:t xml:space="preserve">Think Human, </w:t>
      </w:r>
      <w:r w:rsidRPr="005D5EAA">
        <w:rPr>
          <w:i/>
          <w:iCs/>
          <w:lang w:eastAsia="en-US" w:bidi="ar-SA"/>
        </w:rPr>
        <w:t>Future Network Deep Dive Report - SA Power Networks</w:t>
      </w:r>
      <w:r w:rsidRPr="000A5D1C">
        <w:rPr>
          <w:lang w:eastAsia="en-US" w:bidi="ar-SA"/>
        </w:rPr>
        <w:t xml:space="preserve">, SA Power Networks, 2018. [Online]. Available: </w:t>
      </w:r>
      <w:hyperlink r:id="rId141" w:history="1">
        <w:r w:rsidR="00FD1F6D" w:rsidRPr="000A5D1C">
          <w:rPr>
            <w:rStyle w:val="Hyperlink"/>
            <w:lang w:eastAsia="en-US" w:bidi="ar-SA"/>
          </w:rPr>
          <w:t>https://ehq-production-australia.s3.ap-southeast-2.amazonaws.com/df7eb8ff09fb4d6ea16497fbd6b0ec6c661ccbf7/documents/attachments/000/083/130/original/SAPN_DeepDive_Future_Network_2_FINAL_REPORT.pdf</w:t>
        </w:r>
      </w:hyperlink>
    </w:p>
    <w:p w14:paraId="72F9BE53" w14:textId="192D4704" w:rsidR="00FD1F6D" w:rsidRPr="000A5D1C" w:rsidRDefault="00FD1F6D" w:rsidP="003F223E">
      <w:pPr>
        <w:pStyle w:val="ListParagraph"/>
        <w:numPr>
          <w:ilvl w:val="0"/>
          <w:numId w:val="19"/>
        </w:numPr>
        <w:ind w:left="709"/>
        <w:rPr>
          <w:lang w:eastAsia="en-US" w:bidi="ar-SA"/>
        </w:rPr>
      </w:pPr>
      <w:r w:rsidRPr="000A5D1C">
        <w:rPr>
          <w:lang w:eastAsia="en-US" w:bidi="ar-SA"/>
        </w:rPr>
        <w:t>T</w:t>
      </w:r>
      <w:r w:rsidR="00D86644" w:rsidRPr="000A5D1C">
        <w:rPr>
          <w:lang w:eastAsia="en-US" w:bidi="ar-SA"/>
        </w:rPr>
        <w:t xml:space="preserve">. Mai, et al., </w:t>
      </w:r>
      <w:r w:rsidR="00D86644" w:rsidRPr="005D5EAA">
        <w:rPr>
          <w:i/>
          <w:iCs/>
          <w:lang w:eastAsia="en-US" w:bidi="ar-SA"/>
        </w:rPr>
        <w:t>Electrification Futures Study: Scenarios of Electric Technology Adoption and Power Consumption for the United States</w:t>
      </w:r>
      <w:r w:rsidR="00D86644" w:rsidRPr="000A5D1C">
        <w:rPr>
          <w:lang w:eastAsia="en-US" w:bidi="ar-SA"/>
        </w:rPr>
        <w:t xml:space="preserve">, National Renewable Energy Laboratory (NREL), Golden, CO, USA, 2018. [Online]. Available: </w:t>
      </w:r>
      <w:hyperlink r:id="rId142" w:history="1">
        <w:r w:rsidRPr="000A5D1C">
          <w:rPr>
            <w:rStyle w:val="Hyperlink"/>
            <w:lang w:eastAsia="en-US" w:bidi="ar-SA"/>
          </w:rPr>
          <w:t>https://www.nrel.gov/docs/fy18osti/71500.pdf</w:t>
        </w:r>
      </w:hyperlink>
      <w:r w:rsidR="00D86644" w:rsidRPr="000A5D1C">
        <w:rPr>
          <w:lang w:eastAsia="en-US" w:bidi="ar-SA"/>
        </w:rPr>
        <w:t>.</w:t>
      </w:r>
    </w:p>
    <w:p w14:paraId="22DA824C" w14:textId="27262AE7" w:rsidR="00FD1F6D" w:rsidRPr="000A5D1C" w:rsidRDefault="0015459D" w:rsidP="003F223E">
      <w:pPr>
        <w:pStyle w:val="ListParagraph"/>
        <w:numPr>
          <w:ilvl w:val="0"/>
          <w:numId w:val="19"/>
        </w:numPr>
        <w:ind w:left="709"/>
        <w:rPr>
          <w:lang w:eastAsia="en-US" w:bidi="ar-SA"/>
        </w:rPr>
      </w:pPr>
      <w:r w:rsidRPr="000A5D1C">
        <w:rPr>
          <w:lang w:eastAsia="en-US" w:bidi="ar-SA"/>
        </w:rPr>
        <w:t xml:space="preserve">M. Finch, </w:t>
      </w:r>
      <w:r w:rsidRPr="005D5EAA">
        <w:rPr>
          <w:i/>
          <w:iCs/>
          <w:lang w:eastAsia="en-US" w:bidi="ar-SA"/>
        </w:rPr>
        <w:t>Futures of Heat, Light, and Power: Scenarios for the Australian Energy Sector in 2050</w:t>
      </w:r>
      <w:r w:rsidRPr="000A5D1C">
        <w:rPr>
          <w:lang w:eastAsia="en-US" w:bidi="ar-SA"/>
        </w:rPr>
        <w:t xml:space="preserve">, Energy Consumers Australia, Feb. 2020. [Online]. Available: </w:t>
      </w:r>
      <w:hyperlink r:id="rId143" w:history="1">
        <w:r w:rsidR="00FD1F6D" w:rsidRPr="000A5D1C">
          <w:rPr>
            <w:rStyle w:val="Hyperlink"/>
            <w:lang w:eastAsia="en-US" w:bidi="ar-SA"/>
          </w:rPr>
          <w:t>https://energyconsumersaustralia.com.au/news/foresighting-forum-2020-publications-and-resources</w:t>
        </w:r>
      </w:hyperlink>
      <w:r w:rsidR="00FD1F6D" w:rsidRPr="000A5D1C">
        <w:rPr>
          <w:lang w:eastAsia="en-US" w:bidi="ar-SA"/>
        </w:rPr>
        <w:br/>
      </w:r>
      <w:r w:rsidR="00A16244" w:rsidRPr="000A5D1C">
        <w:rPr>
          <w:lang w:eastAsia="en-US" w:bidi="ar-SA"/>
        </w:rPr>
        <w:t xml:space="preserve">Energy Security Board (ESB), </w:t>
      </w:r>
      <w:r w:rsidR="00A16244" w:rsidRPr="005D5EAA">
        <w:rPr>
          <w:i/>
          <w:iCs/>
          <w:lang w:eastAsia="en-US" w:bidi="ar-SA"/>
        </w:rPr>
        <w:t>Customer Insights Collaboration: Synthesis From Workshop 2</w:t>
      </w:r>
      <w:r w:rsidR="00A16244" w:rsidRPr="000A5D1C">
        <w:rPr>
          <w:lang w:eastAsia="en-US" w:bidi="ar-SA"/>
        </w:rPr>
        <w:t xml:space="preserve">, Jun. 2022. [Online]. Available: </w:t>
      </w:r>
      <w:hyperlink r:id="rId144" w:history="1">
        <w:r w:rsidR="00FD1F6D" w:rsidRPr="000A5D1C">
          <w:rPr>
            <w:rStyle w:val="Hyperlink"/>
            <w:lang w:eastAsia="en-US" w:bidi="ar-SA"/>
          </w:rPr>
          <w:t>https://www.datocms-assets.com/32572/1657176767-esb-ssg-release-2.pdf</w:t>
        </w:r>
      </w:hyperlink>
      <w:r w:rsidR="00A16244" w:rsidRPr="000A5D1C">
        <w:rPr>
          <w:lang w:eastAsia="en-US" w:bidi="ar-SA"/>
        </w:rPr>
        <w:t>.</w:t>
      </w:r>
    </w:p>
    <w:p w14:paraId="4DAF900D" w14:textId="77777777" w:rsidR="00FD1F6D" w:rsidRPr="000A5D1C" w:rsidRDefault="00BB65B6" w:rsidP="003F223E">
      <w:pPr>
        <w:pStyle w:val="ListParagraph"/>
        <w:numPr>
          <w:ilvl w:val="0"/>
          <w:numId w:val="19"/>
        </w:numPr>
        <w:ind w:left="709"/>
        <w:rPr>
          <w:lang w:eastAsia="en-US" w:bidi="ar-SA"/>
        </w:rPr>
      </w:pPr>
      <w:r w:rsidRPr="000A5D1C">
        <w:rPr>
          <w:lang w:eastAsia="en-US" w:bidi="ar-SA"/>
        </w:rPr>
        <w:t xml:space="preserve">R. Ford and J. Hardy, "Are we seeing clearly? The need for aligned vision and supporting strategies to deliver net-zero electricity systems," Energy Policy, vol. 147, Jan. 2020. [Online]. Available: </w:t>
      </w:r>
      <w:hyperlink r:id="rId145" w:history="1">
        <w:r w:rsidR="00FD1F6D" w:rsidRPr="000A5D1C">
          <w:rPr>
            <w:rStyle w:val="Hyperlink"/>
            <w:lang w:eastAsia="en-US" w:bidi="ar-SA"/>
          </w:rPr>
          <w:t>https://ideas.repec.org/a/eee/enepol/v147y2020ics0301421520306157.html</w:t>
        </w:r>
      </w:hyperlink>
      <w:r w:rsidR="00FD1F6D" w:rsidRPr="000A5D1C">
        <w:rPr>
          <w:lang w:eastAsia="en-US" w:bidi="ar-SA"/>
        </w:rPr>
        <w:t xml:space="preserve"> </w:t>
      </w:r>
    </w:p>
    <w:p w14:paraId="2D181BD1" w14:textId="77777777" w:rsidR="00FD1F6D" w:rsidRPr="000A5D1C" w:rsidRDefault="00BE0E6E" w:rsidP="003F223E">
      <w:pPr>
        <w:pStyle w:val="ListParagraph"/>
        <w:numPr>
          <w:ilvl w:val="0"/>
          <w:numId w:val="19"/>
        </w:numPr>
        <w:ind w:left="709"/>
        <w:rPr>
          <w:lang w:eastAsia="en-US" w:bidi="ar-SA"/>
        </w:rPr>
      </w:pPr>
      <w:r w:rsidRPr="000A5D1C">
        <w:rPr>
          <w:lang w:eastAsia="en-US" w:bidi="ar-SA"/>
        </w:rPr>
        <w:t xml:space="preserve">J. Webb, R. Wade, S. Tingey, and M. Gill, </w:t>
      </w:r>
      <w:proofErr w:type="gramStart"/>
      <w:r w:rsidRPr="005D5EAA">
        <w:rPr>
          <w:i/>
          <w:iCs/>
          <w:lang w:eastAsia="en-US" w:bidi="ar-SA"/>
        </w:rPr>
        <w:t>What</w:t>
      </w:r>
      <w:proofErr w:type="gramEnd"/>
      <w:r w:rsidRPr="005D5EAA">
        <w:rPr>
          <w:i/>
          <w:iCs/>
          <w:lang w:eastAsia="en-US" w:bidi="ar-SA"/>
        </w:rPr>
        <w:t xml:space="preserve"> is “Local”? Conceptualising local energy in the UK energy system</w:t>
      </w:r>
      <w:r w:rsidRPr="000A5D1C">
        <w:rPr>
          <w:lang w:eastAsia="en-US" w:bidi="ar-SA"/>
        </w:rPr>
        <w:t xml:space="preserve">, </w:t>
      </w:r>
      <w:proofErr w:type="spellStart"/>
      <w:r w:rsidRPr="000A5D1C">
        <w:rPr>
          <w:lang w:eastAsia="en-US" w:bidi="ar-SA"/>
        </w:rPr>
        <w:t>EnergyREV</w:t>
      </w:r>
      <w:proofErr w:type="spellEnd"/>
      <w:r w:rsidRPr="000A5D1C">
        <w:rPr>
          <w:lang w:eastAsia="en-US" w:bidi="ar-SA"/>
        </w:rPr>
        <w:t xml:space="preserve">, Feb. 2022. [Online]. Available: </w:t>
      </w:r>
      <w:hyperlink r:id="rId146" w:tgtFrame="_new" w:history="1">
        <w:r w:rsidRPr="000A5D1C">
          <w:rPr>
            <w:rStyle w:val="Hyperlink"/>
            <w:lang w:eastAsia="en-US" w:bidi="ar-SA"/>
          </w:rPr>
          <w:t>https://www.energyrev.org.uk/media/1915/energyrev_what-is-local_final_202202.pdf</w:t>
        </w:r>
      </w:hyperlink>
    </w:p>
    <w:p w14:paraId="473FA037" w14:textId="66E2A6EF" w:rsidR="00FD1F6D" w:rsidRPr="000A5D1C" w:rsidRDefault="00BB23D9" w:rsidP="003F223E">
      <w:pPr>
        <w:pStyle w:val="ListParagraph"/>
        <w:numPr>
          <w:ilvl w:val="0"/>
          <w:numId w:val="19"/>
        </w:numPr>
        <w:ind w:left="709"/>
        <w:rPr>
          <w:lang w:eastAsia="en-US" w:bidi="ar-SA"/>
        </w:rPr>
      </w:pPr>
      <w:r w:rsidRPr="000A5D1C">
        <w:rPr>
          <w:lang w:eastAsia="en-US" w:bidi="ar-SA"/>
        </w:rPr>
        <w:t>Energy Consumers Australia</w:t>
      </w:r>
      <w:r w:rsidRPr="005D5EAA">
        <w:rPr>
          <w:i/>
          <w:iCs/>
          <w:lang w:eastAsia="en-US" w:bidi="ar-SA"/>
        </w:rPr>
        <w:t>, Energy Consumer Sentiment Survey: Household Topline Results</w:t>
      </w:r>
      <w:r w:rsidRPr="000A5D1C">
        <w:rPr>
          <w:lang w:eastAsia="en-US" w:bidi="ar-SA"/>
        </w:rPr>
        <w:t>, Oct. 2022. [Online]. Available:</w:t>
      </w:r>
      <w:r w:rsidRPr="000A5D1C">
        <w:t xml:space="preserve"> </w:t>
      </w:r>
      <w:hyperlink r:id="rId147" w:history="1">
        <w:r w:rsidR="00FD1F6D" w:rsidRPr="000A5D1C">
          <w:rPr>
            <w:rStyle w:val="Hyperlink"/>
            <w:lang w:eastAsia="en-US" w:bidi="ar-SA"/>
          </w:rPr>
          <w:t>https://energyconsumersaustralia.com.au/sites/default/files/wp-documents/ECBS-W13a-Oct22-Household-Toplines.pdf</w:t>
        </w:r>
      </w:hyperlink>
    </w:p>
    <w:p w14:paraId="5F553C01" w14:textId="6E7FA070" w:rsidR="000A5D1C" w:rsidRPr="000A5D1C" w:rsidRDefault="00E324BB" w:rsidP="003F223E">
      <w:pPr>
        <w:pStyle w:val="ListParagraph"/>
        <w:numPr>
          <w:ilvl w:val="0"/>
          <w:numId w:val="19"/>
        </w:numPr>
        <w:ind w:left="709"/>
        <w:rPr>
          <w:lang w:eastAsia="en-US" w:bidi="ar-SA"/>
        </w:rPr>
      </w:pPr>
      <w:r w:rsidRPr="000A5D1C">
        <w:rPr>
          <w:lang w:eastAsia="en-US" w:bidi="ar-SA"/>
        </w:rPr>
        <w:t>S. Hall, et al</w:t>
      </w:r>
      <w:r w:rsidRPr="005D5EAA">
        <w:rPr>
          <w:i/>
          <w:iCs/>
          <w:lang w:eastAsia="en-US" w:bidi="ar-SA"/>
        </w:rPr>
        <w:t>., Doing business model innovation for sustainability transitions — Bringing in strategic foresight and human centred design, Energy Research &amp; Social Science</w:t>
      </w:r>
      <w:r w:rsidRPr="000A5D1C">
        <w:rPr>
          <w:lang w:eastAsia="en-US" w:bidi="ar-SA"/>
        </w:rPr>
        <w:t xml:space="preserve">, vol. 90, p. 102685, Aug. 2022. [Online]. Available: </w:t>
      </w:r>
      <w:hyperlink r:id="rId148" w:history="1">
        <w:r w:rsidR="000A5D1C" w:rsidRPr="000A5D1C">
          <w:rPr>
            <w:rStyle w:val="Hyperlink"/>
            <w:lang w:eastAsia="en-US" w:bidi="ar-SA"/>
          </w:rPr>
          <w:t>https://doi.org/10.1016/j.erss.2022.102685</w:t>
        </w:r>
      </w:hyperlink>
      <w:r w:rsidRPr="000A5D1C">
        <w:rPr>
          <w:lang w:eastAsia="en-US" w:bidi="ar-SA"/>
        </w:rPr>
        <w:t>.</w:t>
      </w:r>
    </w:p>
    <w:p w14:paraId="27E061A8" w14:textId="69DC99D9" w:rsidR="000A5D1C" w:rsidRPr="000A5D1C" w:rsidRDefault="00A71C65" w:rsidP="003F223E">
      <w:pPr>
        <w:pStyle w:val="ListParagraph"/>
        <w:numPr>
          <w:ilvl w:val="0"/>
          <w:numId w:val="19"/>
        </w:numPr>
        <w:ind w:left="709"/>
        <w:rPr>
          <w:lang w:eastAsia="en-US" w:bidi="ar-SA"/>
        </w:rPr>
      </w:pPr>
      <w:r w:rsidRPr="000A5D1C">
        <w:rPr>
          <w:lang w:eastAsia="en-US" w:bidi="ar-SA"/>
        </w:rPr>
        <w:t xml:space="preserve">S. Hall, </w:t>
      </w:r>
      <w:r w:rsidR="00FD6935" w:rsidRPr="000A5D1C">
        <w:rPr>
          <w:lang w:eastAsia="en-US" w:bidi="ar-SA"/>
        </w:rPr>
        <w:t>et al.</w:t>
      </w:r>
      <w:r w:rsidRPr="000A5D1C">
        <w:rPr>
          <w:lang w:eastAsia="en-US" w:bidi="ar-SA"/>
        </w:rPr>
        <w:t xml:space="preserve">, </w:t>
      </w:r>
      <w:r w:rsidRPr="005D5EAA">
        <w:rPr>
          <w:i/>
          <w:iCs/>
          <w:lang w:eastAsia="en-US" w:bidi="ar-SA"/>
        </w:rPr>
        <w:t>Matching consumer segments to innovative utility business models,</w:t>
      </w:r>
      <w:r w:rsidRPr="000A5D1C">
        <w:rPr>
          <w:lang w:eastAsia="en-US" w:bidi="ar-SA"/>
        </w:rPr>
        <w:t xml:space="preserve"> Nature Energy, vol. 6, no. 1, pp. 337–338, Jan. 2021. [Online]. Available: </w:t>
      </w:r>
      <w:hyperlink r:id="rId149" w:history="1">
        <w:r w:rsidR="000A5D1C" w:rsidRPr="000A5D1C">
          <w:rPr>
            <w:rStyle w:val="Hyperlink"/>
            <w:lang w:eastAsia="en-US" w:bidi="ar-SA"/>
          </w:rPr>
          <w:t>https://www.researchgate.net/publication/348834704_Matching_consumer_segments_to_innovative_utility_business_models</w:t>
        </w:r>
      </w:hyperlink>
    </w:p>
    <w:p w14:paraId="64370A2A" w14:textId="487FA977" w:rsidR="00843F48" w:rsidRPr="000A5D1C" w:rsidRDefault="006216FC" w:rsidP="003F223E">
      <w:pPr>
        <w:pStyle w:val="ListParagraph"/>
        <w:numPr>
          <w:ilvl w:val="0"/>
          <w:numId w:val="19"/>
        </w:numPr>
        <w:ind w:left="709"/>
        <w:rPr>
          <w:lang w:eastAsia="en-US" w:bidi="ar-SA"/>
        </w:rPr>
      </w:pPr>
      <w:r w:rsidRPr="000A5D1C">
        <w:rPr>
          <w:lang w:eastAsia="en-US" w:bidi="ar-SA"/>
        </w:rPr>
        <w:t>S. Adams,</w:t>
      </w:r>
      <w:r w:rsidR="00351D22" w:rsidRPr="000A5D1C">
        <w:rPr>
          <w:lang w:eastAsia="en-US" w:bidi="ar-SA"/>
        </w:rPr>
        <w:t xml:space="preserve"> et.al.,</w:t>
      </w:r>
      <w:r w:rsidRPr="000A5D1C">
        <w:rPr>
          <w:lang w:eastAsia="en-US" w:bidi="ar-SA"/>
        </w:rPr>
        <w:t xml:space="preserve"> </w:t>
      </w:r>
      <w:r w:rsidRPr="005D5EAA">
        <w:rPr>
          <w:i/>
          <w:iCs/>
          <w:lang w:eastAsia="en-US" w:bidi="ar-SA"/>
        </w:rPr>
        <w:t>Social License to Automate: Emerging Approaches to Demand Side Management</w:t>
      </w:r>
      <w:r w:rsidRPr="000A5D1C">
        <w:rPr>
          <w:lang w:eastAsia="en-US" w:bidi="ar-SA"/>
        </w:rPr>
        <w:t xml:space="preserve">, Users TCP Task 1 Report, Oct. 2021. [Online]. Available: </w:t>
      </w:r>
      <w:hyperlink r:id="rId150" w:history="1">
        <w:r w:rsidR="000A5D1C" w:rsidRPr="000A5D1C">
          <w:rPr>
            <w:rStyle w:val="Hyperlink"/>
            <w:lang w:eastAsia="en-US" w:bidi="ar-SA"/>
          </w:rPr>
          <w:t>https://doi.org/10.47568/4XR122</w:t>
        </w:r>
      </w:hyperlink>
      <w:r w:rsidRPr="000A5D1C">
        <w:rPr>
          <w:lang w:eastAsia="en-US" w:bidi="ar-SA"/>
        </w:rPr>
        <w:t>.</w:t>
      </w:r>
      <w:r w:rsidR="000A5D1C" w:rsidRPr="000A5D1C">
        <w:rPr>
          <w:lang w:eastAsia="en-US" w:bidi="ar-SA"/>
        </w:rPr>
        <w:t xml:space="preserve"> </w:t>
      </w:r>
    </w:p>
    <w:p w14:paraId="4CABAB6D" w14:textId="3E63A302" w:rsidR="00104F8E" w:rsidRDefault="00104F8E" w:rsidP="003F223E">
      <w:pPr>
        <w:pStyle w:val="ListParagraph"/>
        <w:numPr>
          <w:ilvl w:val="0"/>
          <w:numId w:val="19"/>
        </w:numPr>
        <w:ind w:left="709"/>
        <w:rPr>
          <w:lang w:eastAsia="en-US" w:bidi="ar-SA"/>
        </w:rPr>
      </w:pPr>
      <w:r w:rsidRPr="00104F8E">
        <w:rPr>
          <w:lang w:eastAsia="en-US" w:bidi="ar-SA"/>
        </w:rPr>
        <w:t xml:space="preserve">Energy Consumers Australia, Three Year Plan 2025–2028, Sydney, Australia, 2025. [Online]. Available: </w:t>
      </w:r>
      <w:hyperlink r:id="rId151" w:history="1">
        <w:r w:rsidRPr="00C42F8A">
          <w:rPr>
            <w:rStyle w:val="Hyperlink"/>
            <w:lang w:eastAsia="en-US" w:bidi="ar-SA"/>
          </w:rPr>
          <w:t>https://www.energyconsumersaustralia.com.au</w:t>
        </w:r>
      </w:hyperlink>
      <w:r>
        <w:rPr>
          <w:lang w:eastAsia="en-US" w:bidi="ar-SA"/>
        </w:rPr>
        <w:t xml:space="preserve"> </w:t>
      </w:r>
    </w:p>
    <w:p w14:paraId="5CD8015A" w14:textId="1AEC1788" w:rsidR="00DE4D9F" w:rsidRDefault="00DE4D9F" w:rsidP="003F223E">
      <w:pPr>
        <w:pStyle w:val="ListParagraph"/>
        <w:numPr>
          <w:ilvl w:val="0"/>
          <w:numId w:val="19"/>
        </w:numPr>
        <w:ind w:left="709"/>
        <w:rPr>
          <w:lang w:eastAsia="en-US" w:bidi="ar-SA"/>
        </w:rPr>
      </w:pPr>
      <w:r w:rsidRPr="00DE4D9F">
        <w:rPr>
          <w:lang w:eastAsia="en-US" w:bidi="ar-SA"/>
        </w:rPr>
        <w:t xml:space="preserve">Energy Consumers Australia, Understanding the Energy Divide – Explainer, Dec. 2023. [Online]. Available: </w:t>
      </w:r>
      <w:hyperlink r:id="rId152" w:history="1">
        <w:r w:rsidRPr="00C42F8A">
          <w:rPr>
            <w:rStyle w:val="Hyperlink"/>
            <w:lang w:eastAsia="en-US" w:bidi="ar-SA"/>
          </w:rPr>
          <w:t>https://www.energyconsumersaustralia.com.au</w:t>
        </w:r>
      </w:hyperlink>
      <w:r>
        <w:rPr>
          <w:lang w:eastAsia="en-US" w:bidi="ar-SA"/>
        </w:rPr>
        <w:t xml:space="preserve"> </w:t>
      </w:r>
    </w:p>
    <w:p w14:paraId="7B030B63" w14:textId="48331398" w:rsidR="007D7E83" w:rsidRPr="000A5D1C" w:rsidRDefault="007D7E83" w:rsidP="003F223E">
      <w:pPr>
        <w:pStyle w:val="ListParagraph"/>
        <w:numPr>
          <w:ilvl w:val="0"/>
          <w:numId w:val="19"/>
        </w:numPr>
        <w:ind w:left="709"/>
        <w:rPr>
          <w:lang w:eastAsia="en-US" w:bidi="ar-SA"/>
        </w:rPr>
      </w:pPr>
      <w:r w:rsidRPr="007D7E83">
        <w:rPr>
          <w:lang w:eastAsia="en-US" w:bidi="ar-SA"/>
        </w:rPr>
        <w:t xml:space="preserve">Energy Consumers Australia, </w:t>
      </w:r>
      <w:proofErr w:type="spellStart"/>
      <w:r w:rsidRPr="007D7E83">
        <w:rPr>
          <w:lang w:eastAsia="en-US" w:bidi="ar-SA"/>
        </w:rPr>
        <w:t>PowerUp</w:t>
      </w:r>
      <w:proofErr w:type="spellEnd"/>
      <w:r w:rsidRPr="007D7E83">
        <w:rPr>
          <w:lang w:eastAsia="en-US" w:bidi="ar-SA"/>
        </w:rPr>
        <w:t xml:space="preserve">: Consumer Voices in the Energy Transition, Jul. 2024. [Online]. Available: </w:t>
      </w:r>
      <w:hyperlink r:id="rId153" w:history="1">
        <w:r w:rsidRPr="00C42F8A">
          <w:rPr>
            <w:rStyle w:val="Hyperlink"/>
            <w:lang w:eastAsia="en-US" w:bidi="ar-SA"/>
          </w:rPr>
          <w:t>https://www.energyconsumersaustralia.com.au</w:t>
        </w:r>
      </w:hyperlink>
      <w:r>
        <w:rPr>
          <w:lang w:eastAsia="en-US" w:bidi="ar-SA"/>
        </w:rPr>
        <w:t xml:space="preserve"> </w:t>
      </w:r>
    </w:p>
    <w:p w14:paraId="6FBAF04B" w14:textId="77777777" w:rsidR="00B714B7" w:rsidRPr="00050A5B" w:rsidRDefault="00B714B7" w:rsidP="00B714B7">
      <w:pPr>
        <w:rPr>
          <w:lang w:eastAsia="en-US" w:bidi="ar-SA"/>
        </w:rPr>
      </w:pPr>
    </w:p>
    <w:p w14:paraId="56EE1D99" w14:textId="77777777" w:rsidR="00B714B7" w:rsidRPr="00050A5B" w:rsidRDefault="00B714B7" w:rsidP="00B714B7">
      <w:pPr>
        <w:rPr>
          <w:lang w:eastAsia="en-US" w:bidi="ar-SA"/>
        </w:rPr>
      </w:pPr>
    </w:p>
    <w:p w14:paraId="1893E99B" w14:textId="77777777" w:rsidR="00306E16" w:rsidRPr="00050A5B" w:rsidRDefault="00306E16">
      <w:pPr>
        <w:spacing w:before="0" w:after="160" w:line="259" w:lineRule="auto"/>
        <w:rPr>
          <w:rFonts w:ascii="PP Mori SemiBold" w:eastAsiaTheme="majorEastAsia" w:hAnsi="PP Mori SemiBold" w:cstheme="majorBidi"/>
          <w:color w:val="013C4C" w:themeColor="text1"/>
          <w:sz w:val="32"/>
          <w:szCs w:val="40"/>
          <w:lang w:eastAsia="en-US" w:bidi="ar-SA"/>
        </w:rPr>
      </w:pPr>
      <w:r w:rsidRPr="00050A5B">
        <w:rPr>
          <w:lang w:eastAsia="en-US" w:bidi="ar-SA"/>
        </w:rPr>
        <w:br w:type="page"/>
      </w:r>
    </w:p>
    <w:p w14:paraId="1646D1A4" w14:textId="70F93BAB" w:rsidR="00E420AF" w:rsidRPr="00050A5B" w:rsidRDefault="00E420AF" w:rsidP="0097658D">
      <w:pPr>
        <w:pStyle w:val="Heading1"/>
        <w:numPr>
          <w:ilvl w:val="0"/>
          <w:numId w:val="0"/>
        </w:numPr>
        <w:rPr>
          <w:lang w:eastAsia="en-US" w:bidi="ar-SA"/>
        </w:rPr>
      </w:pPr>
      <w:bookmarkStart w:id="116" w:name="_Toc205536775"/>
      <w:bookmarkStart w:id="117" w:name="Appendix_A"/>
      <w:r w:rsidRPr="00050A5B">
        <w:rPr>
          <w:lang w:eastAsia="en-US" w:bidi="ar-SA"/>
        </w:rPr>
        <w:t>Appendi</w:t>
      </w:r>
      <w:r w:rsidR="00725454" w:rsidRPr="00050A5B">
        <w:rPr>
          <w:lang w:eastAsia="en-US" w:bidi="ar-SA"/>
        </w:rPr>
        <w:t>x A</w:t>
      </w:r>
      <w:r w:rsidR="00891295">
        <w:rPr>
          <w:lang w:eastAsia="en-US" w:bidi="ar-SA"/>
        </w:rPr>
        <w:t xml:space="preserve">: </w:t>
      </w:r>
      <w:r w:rsidR="00D62B6C" w:rsidRPr="00050A5B">
        <w:rPr>
          <w:lang w:eastAsia="en-US" w:bidi="ar-SA"/>
        </w:rPr>
        <w:t xml:space="preserve">Detailed </w:t>
      </w:r>
      <w:r w:rsidRPr="00050A5B">
        <w:rPr>
          <w:lang w:eastAsia="en-US" w:bidi="ar-SA"/>
        </w:rPr>
        <w:t>overview of the source material</w:t>
      </w:r>
      <w:bookmarkEnd w:id="116"/>
      <w:r w:rsidRPr="00050A5B">
        <w:rPr>
          <w:lang w:eastAsia="en-US" w:bidi="ar-SA"/>
        </w:rPr>
        <w:t xml:space="preserve"> </w:t>
      </w:r>
    </w:p>
    <w:bookmarkEnd w:id="117"/>
    <w:p w14:paraId="7E71D4F5" w14:textId="69E57B22" w:rsidR="00FA0887" w:rsidRPr="00050A5B" w:rsidRDefault="00FA0887" w:rsidP="00FA0887">
      <w:pPr>
        <w:spacing w:before="120" w:after="120" w:line="288" w:lineRule="auto"/>
        <w:rPr>
          <w:szCs w:val="18"/>
          <w:lang w:eastAsia="en-US" w:bidi="ar-SA"/>
        </w:rPr>
      </w:pPr>
      <w:r w:rsidRPr="00050A5B">
        <w:rPr>
          <w:szCs w:val="18"/>
          <w:lang w:eastAsia="en-US" w:bidi="ar-SA"/>
        </w:rPr>
        <w:t>The following tables provide a summary of the underpinning Australian and global literature from which the eight future objectives are derived. Note that each entry may be applicable to several objectives, but for simplicity has only been listed against one objective. For consistency, each excerpt has been reframed to read as a future oriented objective. In many cases, the future objective has been inferred from current or nearer-term priorities described in the source content that are applicable to longer-term objectives for the power system.</w:t>
      </w:r>
    </w:p>
    <w:tbl>
      <w:tblPr>
        <w:tblStyle w:val="TableGrid1"/>
        <w:tblW w:w="5002" w:type="pct"/>
        <w:tblBorders>
          <w:top w:val="single" w:sz="4" w:space="0" w:color="013C4C" w:themeColor="accent1"/>
          <w:left w:val="single" w:sz="4" w:space="0" w:color="013C4C" w:themeColor="accent1"/>
          <w:bottom w:val="single" w:sz="4" w:space="0" w:color="013C4C" w:themeColor="accent1"/>
          <w:right w:val="single" w:sz="4" w:space="0" w:color="013C4C" w:themeColor="accent1"/>
          <w:insideH w:val="single" w:sz="4" w:space="0" w:color="013C4C" w:themeColor="accent1"/>
          <w:insideV w:val="single" w:sz="4" w:space="0" w:color="013C4C" w:themeColor="accent1"/>
        </w:tblBorders>
        <w:tblCellMar>
          <w:left w:w="0" w:type="dxa"/>
          <w:right w:w="0" w:type="dxa"/>
        </w:tblCellMar>
        <w:tblLook w:val="0420" w:firstRow="1" w:lastRow="0" w:firstColumn="0" w:lastColumn="0" w:noHBand="0" w:noVBand="1"/>
      </w:tblPr>
      <w:tblGrid>
        <w:gridCol w:w="2255"/>
        <w:gridCol w:w="5958"/>
      </w:tblGrid>
      <w:tr w:rsidR="00FA0887" w:rsidRPr="00050A5B" w14:paraId="5782B0D5"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003A94C" w14:textId="77777777" w:rsidR="00FA0887" w:rsidRPr="00050A5B" w:rsidRDefault="00FA0887" w:rsidP="003F223E">
            <w:pPr>
              <w:pStyle w:val="Heading2"/>
              <w:numPr>
                <w:ilvl w:val="1"/>
                <w:numId w:val="9"/>
              </w:numPr>
              <w:spacing w:before="120"/>
              <w:ind w:left="578" w:hanging="578"/>
              <w:jc w:val="center"/>
              <w:rPr>
                <w:color w:val="FAFAFA" w:themeColor="background1"/>
                <w:sz w:val="20"/>
                <w:szCs w:val="24"/>
                <w:lang w:eastAsia="en-US" w:bidi="ar-SA"/>
              </w:rPr>
            </w:pPr>
            <w:bookmarkStart w:id="118" w:name="_Toc205362711"/>
            <w:bookmarkStart w:id="119" w:name="_Toc205536776"/>
            <w:r w:rsidRPr="00050A5B">
              <w:rPr>
                <w:caps/>
                <w:color w:val="FAFAFA" w:themeColor="background1"/>
                <w:sz w:val="20"/>
                <w:szCs w:val="24"/>
                <w:lang w:eastAsia="en-US" w:bidi="ar-SA"/>
              </w:rPr>
              <w:t>Dependable</w:t>
            </w:r>
            <w:r w:rsidRPr="00050A5B">
              <w:rPr>
                <w:color w:val="FAFAFA" w:themeColor="background1"/>
                <w:sz w:val="20"/>
                <w:szCs w:val="24"/>
                <w:lang w:eastAsia="en-US" w:bidi="ar-SA"/>
              </w:rPr>
              <w:t>: Safe, secure, adequate, reliable, and resilient</w:t>
            </w:r>
            <w:bookmarkEnd w:id="118"/>
            <w:bookmarkEnd w:id="119"/>
          </w:p>
        </w:tc>
      </w:tr>
      <w:tr w:rsidR="00FA0887" w:rsidRPr="00050A5B" w14:paraId="4AEFD0AB" w14:textId="77777777">
        <w:trPr>
          <w:trHeight w:val="454"/>
          <w:tblHeader/>
        </w:trPr>
        <w:tc>
          <w:tcPr>
            <w:tcW w:w="1373"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4BC6CEB1" w14:textId="77777777" w:rsidR="00FA0887" w:rsidRPr="00050A5B" w:rsidRDefault="00FA0887">
            <w:pPr>
              <w:spacing w:before="120" w:after="120" w:line="288" w:lineRule="auto"/>
              <w:jc w:val="center"/>
              <w:rPr>
                <w:rFonts w:eastAsia="SimSun" w:cs="Calibri"/>
                <w:b/>
                <w:szCs w:val="18"/>
              </w:rPr>
            </w:pPr>
            <w:bookmarkStart w:id="120" w:name="_Toc130207558"/>
            <w:r w:rsidRPr="00050A5B">
              <w:rPr>
                <w:rFonts w:eastAsia="SimSun" w:cs="Calibri"/>
                <w:b/>
                <w:szCs w:val="18"/>
              </w:rPr>
              <w:t>Source</w:t>
            </w:r>
            <w:bookmarkEnd w:id="120"/>
          </w:p>
        </w:tc>
        <w:tc>
          <w:tcPr>
            <w:tcW w:w="3627"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4F44B0C" w14:textId="77777777" w:rsidR="00FA0887" w:rsidRPr="00050A5B" w:rsidRDefault="00FA0887">
            <w:pPr>
              <w:spacing w:before="120" w:after="120" w:line="288" w:lineRule="auto"/>
              <w:jc w:val="center"/>
              <w:rPr>
                <w:rFonts w:eastAsia="SimSun" w:cs="Calibri"/>
                <w:b/>
                <w:szCs w:val="18"/>
              </w:rPr>
            </w:pPr>
            <w:bookmarkStart w:id="121" w:name="_Toc130207559"/>
            <w:r w:rsidRPr="00050A5B">
              <w:rPr>
                <w:rFonts w:eastAsia="SimSun" w:cs="Calibri"/>
                <w:b/>
                <w:szCs w:val="18"/>
              </w:rPr>
              <w:t>Stated or Inferred Objectives (Future Tense)</w:t>
            </w:r>
            <w:bookmarkEnd w:id="121"/>
          </w:p>
        </w:tc>
      </w:tr>
      <w:tr w:rsidR="00FA0887" w:rsidRPr="00050A5B" w14:paraId="7D47B61C" w14:textId="77777777">
        <w:trPr>
          <w:trHeight w:val="2230"/>
        </w:trPr>
        <w:tc>
          <w:tcPr>
            <w:tcW w:w="1373" w:type="pct"/>
            <w:tcBorders>
              <w:top w:val="single" w:sz="4" w:space="0" w:color="FAFAFA" w:themeColor="background1"/>
            </w:tcBorders>
            <w:tcMar>
              <w:top w:w="113" w:type="dxa"/>
              <w:left w:w="113" w:type="dxa"/>
              <w:bottom w:w="113" w:type="dxa"/>
              <w:right w:w="113" w:type="dxa"/>
            </w:tcMar>
          </w:tcPr>
          <w:p w14:paraId="6D250AA2" w14:textId="77777777" w:rsidR="00FA0887" w:rsidRPr="00050A5B" w:rsidRDefault="00FA0887">
            <w:pPr>
              <w:spacing w:before="120" w:after="120" w:line="288" w:lineRule="auto"/>
              <w:rPr>
                <w:rFonts w:eastAsia="SimSun" w:cs="Calibri"/>
                <w:szCs w:val="18"/>
              </w:rPr>
            </w:pPr>
            <w:r w:rsidRPr="00050A5B">
              <w:rPr>
                <w:rFonts w:eastAsia="SimSun" w:cs="Calibri"/>
                <w:szCs w:val="18"/>
              </w:rPr>
              <w:t>2022-06 ECA -– Energy Consumer Sentiment Survey -– Small Business</w:t>
            </w:r>
          </w:p>
        </w:tc>
        <w:tc>
          <w:tcPr>
            <w:tcW w:w="3627" w:type="pct"/>
            <w:tcBorders>
              <w:top w:val="single" w:sz="4" w:space="0" w:color="FAFAFA" w:themeColor="background1"/>
            </w:tcBorders>
            <w:tcMar>
              <w:top w:w="113" w:type="dxa"/>
              <w:left w:w="113" w:type="dxa"/>
              <w:bottom w:w="113" w:type="dxa"/>
              <w:right w:w="113" w:type="dxa"/>
            </w:tcMar>
          </w:tcPr>
          <w:p w14:paraId="4115D2E0" w14:textId="77777777" w:rsidR="00FA0887" w:rsidRPr="00050A5B" w:rsidRDefault="00FA0887">
            <w:pPr>
              <w:spacing w:before="120" w:after="120" w:line="288" w:lineRule="auto"/>
              <w:rPr>
                <w:rFonts w:eastAsia="SimSun" w:cs="Calibri"/>
                <w:szCs w:val="18"/>
              </w:rPr>
            </w:pPr>
            <w:r w:rsidRPr="00050A5B">
              <w:rPr>
                <w:rFonts w:eastAsia="SimSun" w:cs="Calibri"/>
                <w:szCs w:val="18"/>
              </w:rPr>
              <w:t>Small businesses are satisfied with their interaction and experience of the power system across the following areas: provision of electricity, customer service, billing platforms and arrangements, value for money, time to restore following outages, advances in technology, future reliability, ability to access information and tools, ability to make choices, confidence in the market, and dispute resolution.</w:t>
            </w:r>
          </w:p>
        </w:tc>
      </w:tr>
      <w:tr w:rsidR="00FA0887" w:rsidRPr="00050A5B" w14:paraId="66153FD9" w14:textId="77777777">
        <w:tc>
          <w:tcPr>
            <w:tcW w:w="1373" w:type="pct"/>
            <w:tcMar>
              <w:top w:w="113" w:type="dxa"/>
              <w:left w:w="113" w:type="dxa"/>
              <w:bottom w:w="113" w:type="dxa"/>
              <w:right w:w="113" w:type="dxa"/>
            </w:tcMar>
          </w:tcPr>
          <w:p w14:paraId="43224F1A" w14:textId="77777777" w:rsidR="00FA0887" w:rsidRPr="00050A5B" w:rsidRDefault="00FA0887">
            <w:pPr>
              <w:spacing w:before="120" w:after="120" w:line="288" w:lineRule="auto"/>
              <w:rPr>
                <w:rFonts w:eastAsia="SimSun" w:cs="Calibri"/>
                <w:szCs w:val="18"/>
              </w:rPr>
            </w:pPr>
            <w:r w:rsidRPr="00050A5B">
              <w:rPr>
                <w:rFonts w:eastAsia="SimSun" w:cs="Calibri"/>
                <w:szCs w:val="18"/>
              </w:rPr>
              <w:t>2022-04 ESB -– Customer Insights Collaboration Workshop 2 -– Exploring the issues</w:t>
            </w:r>
          </w:p>
        </w:tc>
        <w:tc>
          <w:tcPr>
            <w:tcW w:w="3627" w:type="pct"/>
            <w:tcMar>
              <w:top w:w="113" w:type="dxa"/>
              <w:left w:w="113" w:type="dxa"/>
              <w:bottom w:w="113" w:type="dxa"/>
              <w:right w:w="113" w:type="dxa"/>
            </w:tcMar>
          </w:tcPr>
          <w:p w14:paraId="164166E6" w14:textId="77777777" w:rsidR="00FA0887" w:rsidRPr="00050A5B" w:rsidRDefault="00FA0887">
            <w:pPr>
              <w:spacing w:before="120" w:after="120" w:line="288" w:lineRule="auto"/>
              <w:rPr>
                <w:rFonts w:eastAsia="SimSun" w:cs="Calibri"/>
                <w:szCs w:val="18"/>
              </w:rPr>
            </w:pPr>
            <w:r w:rsidRPr="00050A5B">
              <w:rPr>
                <w:rFonts w:eastAsia="SimSun" w:cs="Calibri"/>
                <w:szCs w:val="18"/>
              </w:rPr>
              <w:t>Data regarding the customers' energy usage patterns and interfacing with energy management platforms is carefully, privately, and securely collected. This data is readily and easily accessible and interpretable for customers, such that customers are meaningfully informed and able to and feel confident making decisions which will positively impact both themselves and the collective society.</w:t>
            </w:r>
          </w:p>
        </w:tc>
      </w:tr>
      <w:tr w:rsidR="00FA0887" w:rsidRPr="00050A5B" w14:paraId="23CA27D3" w14:textId="77777777">
        <w:tc>
          <w:tcPr>
            <w:tcW w:w="1373" w:type="pct"/>
            <w:tcMar>
              <w:top w:w="113" w:type="dxa"/>
              <w:left w:w="113" w:type="dxa"/>
              <w:bottom w:w="113" w:type="dxa"/>
              <w:right w:w="113" w:type="dxa"/>
            </w:tcMar>
          </w:tcPr>
          <w:p w14:paraId="583F4DCF" w14:textId="77777777" w:rsidR="00FA0887" w:rsidRPr="00050A5B" w:rsidRDefault="00FA0887">
            <w:pPr>
              <w:spacing w:before="120" w:after="120" w:line="288" w:lineRule="auto"/>
              <w:rPr>
                <w:rFonts w:eastAsia="SimSun" w:cs="Calibri"/>
                <w:szCs w:val="18"/>
              </w:rPr>
            </w:pPr>
            <w:r w:rsidRPr="00050A5B">
              <w:rPr>
                <w:rFonts w:eastAsia="SimSun" w:cs="Calibri"/>
                <w:szCs w:val="18"/>
              </w:rPr>
              <w:t>2022-02 Our Power – A vision for clean, affordable, dependable energy for all</w:t>
            </w:r>
          </w:p>
        </w:tc>
        <w:tc>
          <w:tcPr>
            <w:tcW w:w="3627" w:type="pct"/>
            <w:tcMar>
              <w:top w:w="113" w:type="dxa"/>
              <w:left w:w="113" w:type="dxa"/>
              <w:bottom w:w="113" w:type="dxa"/>
              <w:right w:w="113" w:type="dxa"/>
            </w:tcMar>
          </w:tcPr>
          <w:p w14:paraId="0F98E03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that the energy system can operate safely and securely regardless of how energy is produced. Engage with people and communities on investment and services so that energy is delivered in line with expectations, particularly when it comes to price, reliability and resilience. </w:t>
            </w:r>
          </w:p>
          <w:p w14:paraId="76DE1B3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Improve the resilience of people, communities, businesses and institutions as well as the energy system to manage the increasing frequency and intensity of severe weather events as well as cybersecurity and other unforeseeable or ‘black swan’ events such as Covid-19. </w:t>
            </w:r>
          </w:p>
          <w:p w14:paraId="41C6A4CF"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Develop metrics for resilience, especially relating to localised long duration outages caused by severe weather events. Ensure the transparency of reliability, security and resilience data to inform decision-making and efficient investment. </w:t>
            </w:r>
          </w:p>
          <w:p w14:paraId="7CAD6A0B" w14:textId="77777777" w:rsidR="00FA0887" w:rsidRPr="00050A5B" w:rsidRDefault="00FA0887">
            <w:pPr>
              <w:spacing w:before="120" w:after="120" w:line="288" w:lineRule="auto"/>
              <w:rPr>
                <w:rFonts w:eastAsia="SimHei" w:cs="Calibri"/>
                <w:b/>
                <w:caps/>
                <w:color w:val="FAFAFA" w:themeColor="background1"/>
                <w:szCs w:val="18"/>
              </w:rPr>
            </w:pPr>
            <w:r w:rsidRPr="00050A5B">
              <w:rPr>
                <w:rFonts w:eastAsia="SimSun" w:cs="Calibri"/>
                <w:szCs w:val="18"/>
              </w:rPr>
              <w:t>Strong and well-supported regulators to work with people, communities and energy participants to design, implement and oversee affordable, clean dependable energy.</w:t>
            </w:r>
          </w:p>
        </w:tc>
      </w:tr>
      <w:tr w:rsidR="00FA0887" w:rsidRPr="00050A5B" w14:paraId="33695B3F" w14:textId="77777777">
        <w:trPr>
          <w:trHeight w:val="2225"/>
        </w:trPr>
        <w:tc>
          <w:tcPr>
            <w:tcW w:w="1373" w:type="pct"/>
            <w:tcMar>
              <w:top w:w="113" w:type="dxa"/>
              <w:left w:w="113" w:type="dxa"/>
              <w:bottom w:w="113" w:type="dxa"/>
              <w:right w:w="113" w:type="dxa"/>
            </w:tcMar>
          </w:tcPr>
          <w:p w14:paraId="7BE010E4"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5DF5006C" w14:textId="77777777" w:rsidR="00FA0887" w:rsidRPr="00050A5B" w:rsidRDefault="00FA0887">
            <w:pPr>
              <w:spacing w:before="120" w:after="120" w:line="288" w:lineRule="auto"/>
              <w:rPr>
                <w:rFonts w:eastAsia="SimSun" w:cs="Calibri"/>
                <w:szCs w:val="18"/>
              </w:rPr>
            </w:pPr>
          </w:p>
        </w:tc>
        <w:tc>
          <w:tcPr>
            <w:tcW w:w="3627" w:type="pct"/>
            <w:tcMar>
              <w:top w:w="113" w:type="dxa"/>
              <w:left w:w="113" w:type="dxa"/>
              <w:bottom w:w="113" w:type="dxa"/>
              <w:right w:w="113" w:type="dxa"/>
            </w:tcMar>
          </w:tcPr>
          <w:p w14:paraId="1B1E2A58"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experience cheaper and more reliable electricity supply from a modern power system that incorporates hardware and software that increases the speed and breadth of communication, artificial intelligences that delivers improved optimisation and responsiveness, monitoring and data that make delivering electricity more efficient.</w:t>
            </w:r>
          </w:p>
          <w:p w14:paraId="6F4B3627" w14:textId="77777777" w:rsidR="00FA0887" w:rsidRPr="00050A5B" w:rsidRDefault="00FA0887">
            <w:pPr>
              <w:spacing w:before="120" w:after="120" w:line="288" w:lineRule="auto"/>
              <w:rPr>
                <w:rFonts w:eastAsia="SimSun" w:cs="Calibri"/>
                <w:szCs w:val="18"/>
              </w:rPr>
            </w:pPr>
            <w:r w:rsidRPr="00050A5B">
              <w:rPr>
                <w:rFonts w:eastAsia="SimSun" w:cs="Calibri"/>
                <w:szCs w:val="18"/>
              </w:rPr>
              <w:t>Households and small businesses benefit from a modernised system that can reduce the frequency and duration of power outages and restore service faster when outages do occur.</w:t>
            </w:r>
          </w:p>
        </w:tc>
      </w:tr>
      <w:tr w:rsidR="00FA0887" w:rsidRPr="00050A5B" w14:paraId="0460C3F3" w14:textId="77777777">
        <w:tc>
          <w:tcPr>
            <w:tcW w:w="1373" w:type="pct"/>
            <w:tcMar>
              <w:top w:w="113" w:type="dxa"/>
              <w:left w:w="113" w:type="dxa"/>
              <w:bottom w:w="113" w:type="dxa"/>
              <w:right w:w="113" w:type="dxa"/>
            </w:tcMar>
          </w:tcPr>
          <w:p w14:paraId="6BDE5B12"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tc>
        <w:tc>
          <w:tcPr>
            <w:tcW w:w="3627" w:type="pct"/>
            <w:tcMar>
              <w:top w:w="113" w:type="dxa"/>
              <w:left w:w="113" w:type="dxa"/>
              <w:bottom w:w="113" w:type="dxa"/>
              <w:right w:w="113" w:type="dxa"/>
            </w:tcMar>
          </w:tcPr>
          <w:p w14:paraId="4C58C3EA" w14:textId="77777777" w:rsidR="00FA0887" w:rsidRPr="00050A5B" w:rsidRDefault="00FA0887">
            <w:pPr>
              <w:spacing w:before="120" w:after="120" w:line="288" w:lineRule="auto"/>
              <w:rPr>
                <w:rFonts w:eastAsia="SimSun" w:cs="Calibri"/>
                <w:szCs w:val="18"/>
              </w:rPr>
            </w:pPr>
            <w:r w:rsidRPr="00050A5B">
              <w:rPr>
                <w:rFonts w:eastAsia="SimSun" w:cs="Calibri"/>
                <w:szCs w:val="18"/>
              </w:rPr>
              <w:t>Technology enables customers to automate when things turn on and off to save energy and money.</w:t>
            </w:r>
          </w:p>
        </w:tc>
      </w:tr>
      <w:tr w:rsidR="00FA0887" w:rsidRPr="00050A5B" w14:paraId="51B65284" w14:textId="77777777">
        <w:tc>
          <w:tcPr>
            <w:tcW w:w="1373" w:type="pct"/>
            <w:tcMar>
              <w:top w:w="113" w:type="dxa"/>
              <w:left w:w="113" w:type="dxa"/>
              <w:bottom w:w="113" w:type="dxa"/>
              <w:right w:w="113" w:type="dxa"/>
            </w:tcMar>
          </w:tcPr>
          <w:p w14:paraId="0F49EFE3" w14:textId="77777777" w:rsidR="00FA0887" w:rsidRPr="00050A5B" w:rsidRDefault="00FA0887">
            <w:pPr>
              <w:spacing w:before="120" w:after="120" w:line="288" w:lineRule="auto"/>
              <w:rPr>
                <w:rFonts w:eastAsia="SimSun" w:cs="Calibri"/>
                <w:szCs w:val="18"/>
              </w:rPr>
            </w:pPr>
            <w:r w:rsidRPr="00050A5B">
              <w:rPr>
                <w:rFonts w:eastAsia="SimSun" w:cs="Calibri"/>
                <w:szCs w:val="18"/>
              </w:rPr>
              <w:t>2020-11 ACOSS -– New Energy Compact Consultation Draft 5</w:t>
            </w:r>
          </w:p>
        </w:tc>
        <w:tc>
          <w:tcPr>
            <w:tcW w:w="3627" w:type="pct"/>
            <w:tcMar>
              <w:top w:w="113" w:type="dxa"/>
              <w:left w:w="113" w:type="dxa"/>
              <w:bottom w:w="113" w:type="dxa"/>
              <w:right w:w="113" w:type="dxa"/>
            </w:tcMar>
          </w:tcPr>
          <w:p w14:paraId="22848A32"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Consumers can depend on energy system resilience and efficiency across the supply </w:t>
            </w:r>
            <w:proofErr w:type="gramStart"/>
            <w:r w:rsidRPr="00050A5B">
              <w:rPr>
                <w:rFonts w:eastAsia="SimSun" w:cs="Calibri"/>
                <w:szCs w:val="18"/>
              </w:rPr>
              <w:t>chain,</w:t>
            </w:r>
            <w:proofErr w:type="gramEnd"/>
            <w:r w:rsidRPr="00050A5B">
              <w:rPr>
                <w:rFonts w:eastAsia="SimSun" w:cs="Calibri"/>
                <w:szCs w:val="18"/>
              </w:rPr>
              <w:t xml:space="preserve"> efficient energy use and new technologies and services are promoted for the benefit of people and the environment.</w:t>
            </w:r>
          </w:p>
        </w:tc>
      </w:tr>
      <w:tr w:rsidR="00FA0887" w:rsidRPr="00050A5B" w14:paraId="4EC84AC3" w14:textId="77777777">
        <w:tc>
          <w:tcPr>
            <w:tcW w:w="1373" w:type="pct"/>
            <w:tcMar>
              <w:top w:w="113" w:type="dxa"/>
              <w:left w:w="113" w:type="dxa"/>
              <w:bottom w:w="113" w:type="dxa"/>
              <w:right w:w="113" w:type="dxa"/>
            </w:tcMar>
          </w:tcPr>
          <w:p w14:paraId="5A886E30" w14:textId="77777777" w:rsidR="00FA0887" w:rsidRPr="00050A5B" w:rsidRDefault="00FA0887">
            <w:pPr>
              <w:spacing w:before="120" w:after="120" w:line="288" w:lineRule="auto"/>
              <w:rPr>
                <w:rFonts w:eastAsia="SimSun" w:cs="Calibri"/>
                <w:szCs w:val="18"/>
              </w:rPr>
            </w:pPr>
            <w:r w:rsidRPr="00050A5B">
              <w:rPr>
                <w:rFonts w:eastAsia="SimSun" w:cs="Calibri"/>
                <w:szCs w:val="18"/>
              </w:rPr>
              <w:t>2020-11 ACOSS - New Energy Compact Consultation Draft 5</w:t>
            </w:r>
          </w:p>
        </w:tc>
        <w:tc>
          <w:tcPr>
            <w:tcW w:w="3627" w:type="pct"/>
            <w:tcMar>
              <w:top w:w="113" w:type="dxa"/>
              <w:left w:w="113" w:type="dxa"/>
              <w:bottom w:w="113" w:type="dxa"/>
              <w:right w:w="113" w:type="dxa"/>
            </w:tcMar>
          </w:tcPr>
          <w:p w14:paraId="3EF81848" w14:textId="77777777" w:rsidR="00FA0887" w:rsidRPr="00050A5B" w:rsidRDefault="00FA0887">
            <w:pPr>
              <w:spacing w:before="120" w:after="120" w:line="288" w:lineRule="auto"/>
              <w:rPr>
                <w:rFonts w:eastAsia="SimSun" w:cs="Calibri"/>
                <w:szCs w:val="18"/>
              </w:rPr>
            </w:pPr>
            <w:r w:rsidRPr="00050A5B">
              <w:rPr>
                <w:rFonts w:eastAsia="SimSun" w:cs="Calibri"/>
                <w:szCs w:val="18"/>
              </w:rPr>
              <w:t>The power system is flexible, innovative, responsive, and based on consumers' expectations.</w:t>
            </w:r>
          </w:p>
        </w:tc>
      </w:tr>
      <w:tr w:rsidR="00FA0887" w:rsidRPr="00050A5B" w14:paraId="38933105" w14:textId="77777777">
        <w:tc>
          <w:tcPr>
            <w:tcW w:w="1373" w:type="pct"/>
            <w:tcMar>
              <w:top w:w="113" w:type="dxa"/>
              <w:left w:w="113" w:type="dxa"/>
              <w:bottom w:w="113" w:type="dxa"/>
              <w:right w:w="113" w:type="dxa"/>
            </w:tcMar>
          </w:tcPr>
          <w:p w14:paraId="74E8F50D" w14:textId="77777777" w:rsidR="00FA0887" w:rsidRPr="00050A5B" w:rsidRDefault="00FA0887">
            <w:pPr>
              <w:spacing w:before="120" w:after="120" w:line="288" w:lineRule="auto"/>
              <w:rPr>
                <w:rFonts w:eastAsia="SimSun" w:cs="Calibri"/>
                <w:szCs w:val="18"/>
              </w:rPr>
            </w:pPr>
            <w:r w:rsidRPr="00050A5B">
              <w:rPr>
                <w:rFonts w:eastAsia="SimSun" w:cs="Calibri"/>
                <w:szCs w:val="18"/>
              </w:rPr>
              <w:t>2020-05 Monash -– Ron Ben-David on Two Sided Markets</w:t>
            </w:r>
          </w:p>
        </w:tc>
        <w:tc>
          <w:tcPr>
            <w:tcW w:w="3627" w:type="pct"/>
            <w:tcMar>
              <w:top w:w="113" w:type="dxa"/>
              <w:left w:w="113" w:type="dxa"/>
              <w:bottom w:w="113" w:type="dxa"/>
              <w:right w:w="113" w:type="dxa"/>
            </w:tcMar>
          </w:tcPr>
          <w:p w14:paraId="280DE83D"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Energy is provided to customers as an essential service. </w:t>
            </w:r>
            <w:proofErr w:type="gramStart"/>
            <w:r w:rsidRPr="00050A5B">
              <w:rPr>
                <w:rFonts w:eastAsia="SimSun" w:cs="Calibri"/>
                <w:szCs w:val="18"/>
              </w:rPr>
              <w:t>Similar to</w:t>
            </w:r>
            <w:proofErr w:type="gramEnd"/>
            <w:r w:rsidRPr="00050A5B">
              <w:rPr>
                <w:rFonts w:eastAsia="SimSun" w:cs="Calibri"/>
                <w:szCs w:val="18"/>
              </w:rPr>
              <w:t xml:space="preserve"> other essential services, the provision is reliable, sustainable, and affordable, and enabled by effective policy.</w:t>
            </w:r>
          </w:p>
        </w:tc>
      </w:tr>
      <w:tr w:rsidR="00FA0887" w:rsidRPr="00050A5B" w14:paraId="1645E0D5" w14:textId="77777777">
        <w:tc>
          <w:tcPr>
            <w:tcW w:w="1373" w:type="pct"/>
            <w:tcMar>
              <w:top w:w="113" w:type="dxa"/>
              <w:left w:w="113" w:type="dxa"/>
              <w:bottom w:w="113" w:type="dxa"/>
              <w:right w:w="113" w:type="dxa"/>
            </w:tcMar>
          </w:tcPr>
          <w:p w14:paraId="01CC63E3" w14:textId="77777777" w:rsidR="00FA0887" w:rsidRPr="00050A5B" w:rsidRDefault="00FA0887">
            <w:pPr>
              <w:spacing w:before="120" w:after="120" w:line="288" w:lineRule="auto"/>
              <w:rPr>
                <w:rFonts w:eastAsia="SimSun" w:cs="Calibri"/>
                <w:szCs w:val="18"/>
              </w:rPr>
            </w:pPr>
            <w:r w:rsidRPr="00050A5B">
              <w:rPr>
                <w:rFonts w:eastAsia="SimSun" w:cs="Calibri"/>
                <w:szCs w:val="18"/>
              </w:rPr>
              <w:t>2019-10 FFRC -– Electrification in a Peer-to-Peer Society</w:t>
            </w:r>
          </w:p>
        </w:tc>
        <w:tc>
          <w:tcPr>
            <w:tcW w:w="3627" w:type="pct"/>
            <w:tcMar>
              <w:top w:w="113" w:type="dxa"/>
              <w:left w:w="113" w:type="dxa"/>
              <w:bottom w:w="113" w:type="dxa"/>
              <w:right w:w="113" w:type="dxa"/>
            </w:tcMar>
          </w:tcPr>
          <w:p w14:paraId="1920B17E"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perceived as ubiquitous and abundant by participants in the energy system, which changes how they use energy personally, what business models arise, and how the system is coordinated.</w:t>
            </w:r>
          </w:p>
        </w:tc>
      </w:tr>
      <w:tr w:rsidR="00FA0887" w:rsidRPr="00050A5B" w14:paraId="58D3AF6E" w14:textId="77777777">
        <w:tc>
          <w:tcPr>
            <w:tcW w:w="1373" w:type="pct"/>
            <w:tcMar>
              <w:top w:w="113" w:type="dxa"/>
              <w:left w:w="113" w:type="dxa"/>
              <w:bottom w:w="113" w:type="dxa"/>
              <w:right w:w="113" w:type="dxa"/>
            </w:tcMar>
          </w:tcPr>
          <w:p w14:paraId="11CEFC63" w14:textId="77777777" w:rsidR="00FA0887" w:rsidRPr="00050A5B" w:rsidRDefault="00FA0887">
            <w:pPr>
              <w:spacing w:before="120" w:after="120" w:line="288" w:lineRule="auto"/>
              <w:rPr>
                <w:rFonts w:eastAsia="SimSun" w:cs="Calibri"/>
                <w:szCs w:val="18"/>
              </w:rPr>
            </w:pPr>
            <w:r w:rsidRPr="00050A5B">
              <w:rPr>
                <w:rFonts w:eastAsia="SimSun" w:cs="Calibri"/>
                <w:szCs w:val="18"/>
              </w:rPr>
              <w:t>2015-12 CSIRO &amp; ENA -– Customer-centric Networks</w:t>
            </w:r>
          </w:p>
        </w:tc>
        <w:tc>
          <w:tcPr>
            <w:tcW w:w="3627" w:type="pct"/>
            <w:tcMar>
              <w:top w:w="113" w:type="dxa"/>
              <w:left w:w="113" w:type="dxa"/>
              <w:bottom w:w="113" w:type="dxa"/>
              <w:right w:w="113" w:type="dxa"/>
            </w:tcMar>
          </w:tcPr>
          <w:p w14:paraId="4CB50D7F" w14:textId="77777777" w:rsidR="00FA0887" w:rsidRPr="00050A5B" w:rsidRDefault="00FA0887">
            <w:pPr>
              <w:spacing w:before="120" w:after="120" w:line="288" w:lineRule="auto"/>
              <w:rPr>
                <w:rFonts w:eastAsia="SimSun" w:cs="Calibri"/>
                <w:szCs w:val="18"/>
              </w:rPr>
            </w:pPr>
            <w:proofErr w:type="spellStart"/>
            <w:r w:rsidRPr="00050A5B">
              <w:rPr>
                <w:rFonts w:eastAsia="SimSun" w:cs="Calibri"/>
                <w:szCs w:val="18"/>
              </w:rPr>
              <w:t>Customer'’s</w:t>
            </w:r>
            <w:proofErr w:type="spellEnd"/>
            <w:r w:rsidRPr="00050A5B">
              <w:rPr>
                <w:rFonts w:eastAsia="SimSun" w:cs="Calibri"/>
                <w:szCs w:val="18"/>
              </w:rPr>
              <w:t xml:space="preserve"> value electricity solutions that provide secure and reliable electricity, given their dependence on increasingly automated and digitised economy and lifestyle</w:t>
            </w:r>
          </w:p>
        </w:tc>
      </w:tr>
    </w:tbl>
    <w:p w14:paraId="4BFDF730" w14:textId="77777777" w:rsidR="00FA0887" w:rsidRPr="00050A5B" w:rsidRDefault="00FA0887" w:rsidP="00FA0887">
      <w:pPr>
        <w:spacing w:before="120" w:after="120" w:line="288" w:lineRule="auto"/>
        <w:rPr>
          <w:szCs w:val="18"/>
          <w:lang w:eastAsia="en-US" w:bidi="ar-SA"/>
        </w:rPr>
      </w:pPr>
    </w:p>
    <w:p w14:paraId="6900B950" w14:textId="77777777" w:rsidR="00FA0887" w:rsidRPr="00050A5B" w:rsidRDefault="00FA0887" w:rsidP="00FA0887">
      <w:bookmarkStart w:id="122" w:name="_Toc130207560"/>
      <w:r w:rsidRPr="00050A5B">
        <w:br w:type="page"/>
      </w:r>
    </w:p>
    <w:tbl>
      <w:tblPr>
        <w:tblStyle w:val="TableGrid2"/>
        <w:tblW w:w="5002"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5"/>
        <w:gridCol w:w="5958"/>
      </w:tblGrid>
      <w:tr w:rsidR="00FA0887" w:rsidRPr="00050A5B" w14:paraId="26361689"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5BD219D6"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23" w:name="_Toc205362712"/>
            <w:bookmarkStart w:id="124" w:name="_Toc205536777"/>
            <w:r w:rsidRPr="00050A5B">
              <w:rPr>
                <w:caps/>
                <w:color w:val="FAFAFA" w:themeColor="background1"/>
                <w:sz w:val="20"/>
                <w:szCs w:val="24"/>
                <w:lang w:eastAsia="en-US" w:bidi="ar-SA"/>
              </w:rPr>
              <w:t xml:space="preserve">Affordable: </w:t>
            </w:r>
            <w:r w:rsidRPr="00050A5B">
              <w:rPr>
                <w:color w:val="FAFAFA" w:themeColor="background1"/>
                <w:sz w:val="20"/>
                <w:szCs w:val="24"/>
                <w:lang w:eastAsia="en-US" w:bidi="ar-SA"/>
              </w:rPr>
              <w:t>Efficient and cost-effective</w:t>
            </w:r>
            <w:bookmarkEnd w:id="122"/>
            <w:bookmarkEnd w:id="123"/>
            <w:bookmarkEnd w:id="124"/>
          </w:p>
        </w:tc>
      </w:tr>
      <w:tr w:rsidR="00FA0887" w:rsidRPr="00050A5B" w14:paraId="02D671ED" w14:textId="77777777">
        <w:trPr>
          <w:trHeight w:val="454"/>
        </w:trPr>
        <w:tc>
          <w:tcPr>
            <w:tcW w:w="1373"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040B5FEA" w14:textId="77777777" w:rsidR="00FA0887" w:rsidRPr="00050A5B" w:rsidRDefault="00FA0887">
            <w:pPr>
              <w:spacing w:before="120" w:after="120" w:line="288" w:lineRule="auto"/>
              <w:jc w:val="center"/>
              <w:rPr>
                <w:rFonts w:eastAsia="SimSun" w:cs="Calibri"/>
                <w:b/>
                <w:szCs w:val="18"/>
              </w:rPr>
            </w:pPr>
            <w:bookmarkStart w:id="125" w:name="_Toc130207561"/>
            <w:r w:rsidRPr="00050A5B">
              <w:rPr>
                <w:rFonts w:eastAsia="SimSun" w:cs="Calibri"/>
                <w:b/>
                <w:szCs w:val="18"/>
              </w:rPr>
              <w:t>Source</w:t>
            </w:r>
            <w:bookmarkEnd w:id="125"/>
          </w:p>
        </w:tc>
        <w:tc>
          <w:tcPr>
            <w:tcW w:w="3627"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436B34D4" w14:textId="77777777" w:rsidR="00FA0887" w:rsidRPr="00050A5B" w:rsidRDefault="00FA0887">
            <w:pPr>
              <w:spacing w:before="120" w:after="120" w:line="288" w:lineRule="auto"/>
              <w:jc w:val="center"/>
              <w:rPr>
                <w:rFonts w:eastAsia="SimSun" w:cs="Calibri"/>
                <w:b/>
                <w:szCs w:val="18"/>
              </w:rPr>
            </w:pPr>
            <w:bookmarkStart w:id="126" w:name="_Toc130207562"/>
            <w:r w:rsidRPr="00050A5B">
              <w:rPr>
                <w:rFonts w:eastAsia="SimSun" w:cs="Calibri"/>
                <w:b/>
                <w:szCs w:val="18"/>
              </w:rPr>
              <w:t>Stated or Inferred Objectives (Future Tense)</w:t>
            </w:r>
            <w:bookmarkEnd w:id="126"/>
          </w:p>
        </w:tc>
      </w:tr>
      <w:tr w:rsidR="00FA0887" w:rsidRPr="00050A5B" w14:paraId="2FBB2B0E"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7DD3A74" w14:textId="77777777" w:rsidR="00FA0887" w:rsidRPr="00050A5B" w:rsidRDefault="00FA0887">
            <w:pPr>
              <w:spacing w:before="120" w:after="120" w:line="288" w:lineRule="auto"/>
              <w:rPr>
                <w:rFonts w:eastAsia="SimSun" w:cs="Calibri"/>
                <w:szCs w:val="18"/>
              </w:rPr>
            </w:pPr>
            <w:r w:rsidRPr="00050A5B">
              <w:rPr>
                <w:rFonts w:eastAsia="SimSun" w:cs="Calibri"/>
                <w:szCs w:val="18"/>
              </w:rPr>
              <w:t>2022-03 ECA - Feedback on the Draft AER Consumer Vulnerability Strategy</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D187E88" w14:textId="77777777" w:rsidR="00FA0887" w:rsidRPr="00050A5B" w:rsidRDefault="00FA0887">
            <w:pPr>
              <w:spacing w:before="120" w:after="120" w:line="288" w:lineRule="auto"/>
              <w:rPr>
                <w:rFonts w:eastAsia="SimSun" w:cs="Calibri"/>
                <w:szCs w:val="18"/>
              </w:rPr>
            </w:pPr>
            <w:r w:rsidRPr="00050A5B">
              <w:rPr>
                <w:rFonts w:eastAsia="SimSun" w:cs="Calibri"/>
                <w:szCs w:val="18"/>
              </w:rPr>
              <w:t>Rigorous attention is paid to ensure there is efficient investment and effectively utilising the capacity of the transmission and distribution networks as part of a collective commitment to improve affordability for consumers.</w:t>
            </w:r>
          </w:p>
        </w:tc>
      </w:tr>
      <w:tr w:rsidR="00FA0887" w:rsidRPr="00050A5B" w14:paraId="7757B4DD"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A6F9778" w14:textId="77777777" w:rsidR="00FA0887" w:rsidRPr="00050A5B" w:rsidRDefault="00FA0887">
            <w:pPr>
              <w:spacing w:before="120" w:after="120" w:line="288" w:lineRule="auto"/>
              <w:rPr>
                <w:rFonts w:eastAsia="SimSun" w:cs="Calibri"/>
                <w:szCs w:val="18"/>
              </w:rPr>
            </w:pPr>
            <w:r w:rsidRPr="00050A5B">
              <w:rPr>
                <w:rFonts w:eastAsia="SimSun" w:cs="Calibri"/>
                <w:szCs w:val="18"/>
              </w:rPr>
              <w:t>2022-03 ECA - Feedback on the Draft AER Consumer Vulnerability Strategy</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612B933"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The overall cost to serve is minimised through an effective balancing of energy products and services affordability and consumer protections. </w:t>
            </w:r>
          </w:p>
        </w:tc>
      </w:tr>
      <w:tr w:rsidR="00FA0887" w:rsidRPr="00050A5B" w14:paraId="0E5ACD16"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AC26C3B" w14:textId="77777777" w:rsidR="00FA0887" w:rsidRPr="00050A5B" w:rsidRDefault="00FA0887">
            <w:pPr>
              <w:spacing w:before="120" w:after="120" w:line="288" w:lineRule="auto"/>
              <w:rPr>
                <w:rFonts w:eastAsia="SimSun" w:cs="Calibri"/>
                <w:szCs w:val="18"/>
              </w:rPr>
            </w:pPr>
            <w:r w:rsidRPr="00050A5B">
              <w:rPr>
                <w:rFonts w:eastAsia="SimSun" w:cs="Calibri"/>
                <w:szCs w:val="18"/>
              </w:rPr>
              <w:t>2022-02 Our Power – A vision for clean, affordable, dependable energy for all</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FBF0DA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that investment in, and the operation of, the energy system is economically efficient and avoids wasting money and resources. There should be fair and efficient allocation of costs, which should be borne first by the beneficiaries of the energy transition. There should be fair allocation of risks, which should be borne by those who are best able to manage and mitigate them in the interests of energy users. </w:t>
            </w:r>
          </w:p>
          <w:p w14:paraId="2F7B304F"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that the energy system can operate safely and securely regardless of how energy is produced. Engage with people and communities on investment and services so that energy is delivered in line with expectations, particularly when it comes to price, reliability and resilience. </w:t>
            </w:r>
          </w:p>
          <w:p w14:paraId="23F91779"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Improve the resilience of people, communities, businesses and institutions as well as the energy system to manage the increasing frequency and intensity of severe weather events as well as cybersecurity and other unforeseeable or ‘black swan’ events such as Covid-19. Provide incentives and prioritise energy solutions relating to energy demand including energy efficiency. </w:t>
            </w:r>
          </w:p>
          <w:p w14:paraId="26064F74"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Improve the utilisation of existing generation and network infrastructure. </w:t>
            </w:r>
          </w:p>
          <w:p w14:paraId="5B22EE74"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Enable energy management technology and behaviour that enhances outcomes for energy users and reduces the costs of the energy system. </w:t>
            </w:r>
          </w:p>
          <w:p w14:paraId="6622C5C2"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Develop metrics for resilience, especially relating to localised long duration outages caused by severe weather events. Ensure the transparency of reliability, security and resilience data to inform decision-making and efficient investment. </w:t>
            </w:r>
          </w:p>
          <w:p w14:paraId="5F0999B6" w14:textId="77777777" w:rsidR="00FA0887" w:rsidRPr="00050A5B" w:rsidRDefault="00FA0887">
            <w:pPr>
              <w:spacing w:before="120" w:after="120" w:line="288" w:lineRule="auto"/>
              <w:rPr>
                <w:rFonts w:eastAsia="SimSun" w:cs="Calibri"/>
                <w:szCs w:val="18"/>
              </w:rPr>
            </w:pPr>
            <w:r w:rsidRPr="00050A5B">
              <w:rPr>
                <w:rFonts w:eastAsia="SimSun" w:cs="Calibri"/>
                <w:szCs w:val="18"/>
              </w:rPr>
              <w:t>Strong and well-supported regulators to work with people, communities and energy participants to design, implement and oversee affordable, clean dependable energy.</w:t>
            </w:r>
          </w:p>
        </w:tc>
      </w:tr>
      <w:tr w:rsidR="00FA0887" w:rsidRPr="00050A5B" w14:paraId="3E9F8289"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C7A8308" w14:textId="77777777" w:rsidR="00FA0887" w:rsidRPr="00050A5B" w:rsidRDefault="00FA0887">
            <w:pPr>
              <w:spacing w:before="120" w:after="120" w:line="288" w:lineRule="auto"/>
              <w:rPr>
                <w:rFonts w:eastAsia="SimSun" w:cs="Calibri"/>
                <w:szCs w:val="18"/>
              </w:rPr>
            </w:pPr>
            <w:r w:rsidRPr="00050A5B">
              <w:rPr>
                <w:rFonts w:eastAsia="SimSun" w:cs="Calibri"/>
                <w:szCs w:val="18"/>
              </w:rPr>
              <w:t>2021-12 Race for 2030 - Tariffs for Rewarding Flexible Demand</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1301B309"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Customer friendly cost reflective tariffs and incentives enhance flexibility of household electricity use and generation, resulting in increased capacity for renewable generation and reduced costs for consumers, while still maintaining affordability for high cost-to-serve locations. </w:t>
            </w:r>
          </w:p>
          <w:p w14:paraId="433E0DAD" w14:textId="77777777" w:rsidR="00FA0887" w:rsidRPr="00050A5B" w:rsidRDefault="00FA0887">
            <w:pPr>
              <w:spacing w:before="120" w:after="120" w:line="288" w:lineRule="auto"/>
              <w:rPr>
                <w:rFonts w:eastAsia="SimSun" w:cs="Calibri"/>
                <w:szCs w:val="18"/>
              </w:rPr>
            </w:pPr>
            <w:r w:rsidRPr="00050A5B">
              <w:rPr>
                <w:rFonts w:eastAsia="SimSun" w:cs="Calibri"/>
                <w:szCs w:val="18"/>
              </w:rPr>
              <w:t>Incentives are appropriately designed around household diversity, abilities, opportunities and values and availability of controllable discretionary loads to time-shift via automation or otherwise.</w:t>
            </w:r>
          </w:p>
        </w:tc>
      </w:tr>
      <w:tr w:rsidR="00FA0887" w:rsidRPr="00050A5B" w14:paraId="61C0A1EB" w14:textId="77777777">
        <w:trPr>
          <w:trHeight w:val="3443"/>
        </w:trPr>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85F8FB3"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551875E8" w14:textId="77777777" w:rsidR="00FA0887" w:rsidRPr="00050A5B" w:rsidRDefault="00FA0887">
            <w:pPr>
              <w:spacing w:before="120" w:after="120" w:line="288" w:lineRule="auto"/>
              <w:rPr>
                <w:rFonts w:eastAsia="SimSun" w:cs="Calibri"/>
                <w:szCs w:val="18"/>
              </w:rPr>
            </w:pP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67021BF"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can rely on having affordable energy for comfortable homes and competitive businesses.</w:t>
            </w:r>
          </w:p>
          <w:p w14:paraId="36CB5568" w14:textId="77777777" w:rsidR="00FA0887" w:rsidRPr="00050A5B" w:rsidRDefault="00FA0887">
            <w:pPr>
              <w:spacing w:before="120" w:after="120" w:line="288" w:lineRule="auto"/>
              <w:rPr>
                <w:rFonts w:eastAsia="SimSun" w:cs="Calibri"/>
                <w:szCs w:val="18"/>
              </w:rPr>
            </w:pPr>
            <w:r w:rsidRPr="00050A5B">
              <w:rPr>
                <w:rFonts w:eastAsia="SimSun" w:cs="Calibri"/>
                <w:szCs w:val="18"/>
              </w:rPr>
              <w:t>Greater automation offers stress-free and seamless time-shifting in ways that consumers barely notice, leading to lower bills.</w:t>
            </w:r>
          </w:p>
          <w:p w14:paraId="31985963" w14:textId="77777777" w:rsidR="00FA0887" w:rsidRPr="00050A5B" w:rsidRDefault="00FA0887">
            <w:pPr>
              <w:spacing w:before="120" w:after="120" w:line="288" w:lineRule="auto"/>
              <w:rPr>
                <w:rFonts w:eastAsia="SimSun" w:cs="Calibri"/>
                <w:szCs w:val="18"/>
              </w:rPr>
            </w:pPr>
            <w:r w:rsidRPr="00050A5B">
              <w:rPr>
                <w:rFonts w:eastAsia="SimSun" w:cs="Calibri"/>
                <w:szCs w:val="18"/>
              </w:rPr>
              <w:t>Demand side solutions moderate investment in new bulk generation and storage, backed by a robust understanding of consumers.</w:t>
            </w:r>
          </w:p>
          <w:p w14:paraId="3CAA064E"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experience cheaper and more reliable electricity supply from a modern power system that incorporates hardware and software that increases the speed and breadth of communication, artificial intelligences that delivers improved optimisation and responsiveness, monitoring and data that make delivering electricity more efficient.</w:t>
            </w:r>
          </w:p>
        </w:tc>
      </w:tr>
      <w:tr w:rsidR="00FA0887" w:rsidRPr="00050A5B" w14:paraId="00F9E375" w14:textId="77777777">
        <w:trPr>
          <w:trHeight w:val="1479"/>
        </w:trPr>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610AE6E"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p w14:paraId="390087AE" w14:textId="77777777" w:rsidR="00FA0887" w:rsidRPr="00050A5B" w:rsidRDefault="00FA0887">
            <w:pPr>
              <w:spacing w:before="120" w:after="120" w:line="288" w:lineRule="auto"/>
              <w:rPr>
                <w:rFonts w:eastAsia="SimSun" w:cs="Calibri"/>
                <w:szCs w:val="18"/>
              </w:rPr>
            </w:pP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461F041"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affordable: household consumers are satisfied that what they are being is fair and reasonable and represents value for money.</w:t>
            </w:r>
          </w:p>
          <w:p w14:paraId="1C4AE9D9" w14:textId="77777777" w:rsidR="00FA0887" w:rsidRPr="00050A5B" w:rsidRDefault="00FA0887">
            <w:pPr>
              <w:spacing w:before="120" w:after="120" w:line="288" w:lineRule="auto"/>
              <w:rPr>
                <w:rFonts w:eastAsia="SimSun" w:cs="Calibri"/>
                <w:szCs w:val="18"/>
              </w:rPr>
            </w:pPr>
            <w:r w:rsidRPr="00050A5B">
              <w:rPr>
                <w:rFonts w:eastAsia="SimSun" w:cs="Calibri"/>
                <w:szCs w:val="18"/>
              </w:rPr>
              <w:t>Technology enables customers to automate when things turn on and off to save energy and money.</w:t>
            </w:r>
          </w:p>
        </w:tc>
      </w:tr>
      <w:tr w:rsidR="00FA0887" w:rsidRPr="00050A5B" w14:paraId="4EFAFD99"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D97A6C5" w14:textId="77777777" w:rsidR="00FA0887" w:rsidRPr="00050A5B" w:rsidRDefault="00FA0887">
            <w:pPr>
              <w:spacing w:before="120" w:after="120" w:line="288" w:lineRule="auto"/>
              <w:rPr>
                <w:rFonts w:eastAsia="SimSun" w:cs="Calibri"/>
                <w:szCs w:val="18"/>
              </w:rPr>
            </w:pPr>
            <w:r w:rsidRPr="00050A5B">
              <w:rPr>
                <w:rFonts w:eastAsia="SimSun" w:cs="Calibri"/>
                <w:szCs w:val="18"/>
              </w:rPr>
              <w:t>2020-09 Energy Charter - Maturity Model</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DE58DF1"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Energy companies improve energy affordability for customers to the point that customers consider energy to be good value, and there is significant evidence supporting this collective customer sentiment. </w:t>
            </w:r>
          </w:p>
          <w:p w14:paraId="3A830246" w14:textId="77777777" w:rsidR="00FA0887" w:rsidRPr="00050A5B" w:rsidRDefault="00FA0887">
            <w:pPr>
              <w:spacing w:before="120" w:after="120" w:line="288" w:lineRule="auto"/>
              <w:rPr>
                <w:rFonts w:eastAsia="SimSun" w:cs="Calibri"/>
                <w:szCs w:val="18"/>
              </w:rPr>
            </w:pPr>
            <w:r w:rsidRPr="00050A5B">
              <w:rPr>
                <w:rFonts w:eastAsia="SimSun" w:cs="Calibri"/>
                <w:szCs w:val="18"/>
              </w:rPr>
              <w:t>Investment decisions are demonstrably optimised for the benefit of the customers by the given company, which is working cooperatively across the supply chain.</w:t>
            </w:r>
          </w:p>
        </w:tc>
      </w:tr>
      <w:tr w:rsidR="00FA0887" w:rsidRPr="00050A5B" w14:paraId="13D471AC"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DDFC7BA" w14:textId="77777777" w:rsidR="00FA0887" w:rsidRPr="00050A5B" w:rsidRDefault="00FA0887">
            <w:pPr>
              <w:spacing w:before="120" w:after="120" w:line="288" w:lineRule="auto"/>
              <w:rPr>
                <w:rFonts w:eastAsia="SimSun" w:cs="Calibri"/>
                <w:szCs w:val="18"/>
              </w:rPr>
            </w:pPr>
            <w:r w:rsidRPr="00050A5B">
              <w:rPr>
                <w:rFonts w:eastAsia="SimSun" w:cs="Calibri"/>
                <w:szCs w:val="18"/>
              </w:rPr>
              <w:t>2020-05 Monash - Ron Ben-David on Two Sided Markets</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CFDE8AF" w14:textId="77777777" w:rsidR="00FA0887" w:rsidRPr="00050A5B" w:rsidRDefault="00FA0887">
            <w:pPr>
              <w:spacing w:before="120" w:after="120" w:line="288" w:lineRule="auto"/>
              <w:rPr>
                <w:rFonts w:eastAsia="SimSun" w:cs="Calibri"/>
                <w:szCs w:val="18"/>
              </w:rPr>
            </w:pPr>
            <w:r w:rsidRPr="00050A5B">
              <w:rPr>
                <w:rFonts w:eastAsia="SimSun" w:cs="Calibri"/>
                <w:szCs w:val="18"/>
              </w:rPr>
              <w:t>Efficient allocation (or rationing) of services, including reliability of electricity supply, to the parties who attach the greatest value to those services, reduces the cost of electricity for all consumers.</w:t>
            </w:r>
          </w:p>
        </w:tc>
      </w:tr>
      <w:tr w:rsidR="00FA0887" w:rsidRPr="00050A5B" w14:paraId="44A4E0E4"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8197CC5" w14:textId="77777777" w:rsidR="00FA0887" w:rsidRPr="00050A5B" w:rsidRDefault="00FA0887">
            <w:pPr>
              <w:spacing w:before="120" w:after="120" w:line="288" w:lineRule="auto"/>
              <w:rPr>
                <w:rFonts w:eastAsia="SimSun" w:cs="Calibri"/>
                <w:szCs w:val="18"/>
              </w:rPr>
            </w:pPr>
            <w:r w:rsidRPr="00050A5B">
              <w:rPr>
                <w:rFonts w:eastAsia="SimSun" w:cs="Calibri"/>
                <w:szCs w:val="18"/>
              </w:rPr>
              <w:t>2015-12 CSIRO &amp; ENA - Customer-centric Networks</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4D46EA0"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Customers are offered value options allowing them to trade off electricity service </w:t>
            </w:r>
            <w:proofErr w:type="spellStart"/>
            <w:r w:rsidRPr="00050A5B">
              <w:rPr>
                <w:rFonts w:eastAsia="SimSun" w:cs="Calibri"/>
                <w:szCs w:val="18"/>
              </w:rPr>
              <w:t>featuresv</w:t>
            </w:r>
            <w:proofErr w:type="spellEnd"/>
            <w:r w:rsidRPr="00050A5B">
              <w:rPr>
                <w:rFonts w:eastAsia="SimSun" w:cs="Calibri"/>
                <w:szCs w:val="18"/>
              </w:rPr>
              <w:t xml:space="preserve"> that were previously standardised, in exchange for a financial benefit, such as being more responsible for their own reliability of supply (by choosing to install on-site energy storage, for example).</w:t>
            </w:r>
          </w:p>
        </w:tc>
      </w:tr>
    </w:tbl>
    <w:p w14:paraId="045472D5" w14:textId="77777777" w:rsidR="00FA0887" w:rsidRPr="00050A5B" w:rsidRDefault="00FA0887" w:rsidP="00FA0887">
      <w:pPr>
        <w:spacing w:before="120" w:after="120" w:line="288" w:lineRule="auto"/>
        <w:rPr>
          <w:szCs w:val="18"/>
          <w:lang w:eastAsia="en-US" w:bidi="ar-SA"/>
        </w:rPr>
      </w:pPr>
    </w:p>
    <w:p w14:paraId="36C60D5A" w14:textId="77777777" w:rsidR="00FA0887" w:rsidRPr="00050A5B" w:rsidRDefault="00FA0887" w:rsidP="00FA0887">
      <w:bookmarkStart w:id="127" w:name="_Toc130207563"/>
      <w:r w:rsidRPr="00050A5B">
        <w:br w:type="page"/>
      </w:r>
    </w:p>
    <w:tbl>
      <w:tblPr>
        <w:tblStyle w:val="TableGrid3"/>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tblCellMar>
          <w:left w:w="0" w:type="dxa"/>
          <w:right w:w="0" w:type="dxa"/>
        </w:tblCellMar>
        <w:tblLook w:val="04A0" w:firstRow="1" w:lastRow="0" w:firstColumn="1" w:lastColumn="0" w:noHBand="0" w:noVBand="1"/>
      </w:tblPr>
      <w:tblGrid>
        <w:gridCol w:w="2256"/>
        <w:gridCol w:w="5954"/>
      </w:tblGrid>
      <w:tr w:rsidR="00FA0887" w:rsidRPr="00050A5B" w14:paraId="46C10143" w14:textId="77777777">
        <w:trPr>
          <w:trHeight w:val="454"/>
          <w:tblHeader/>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66FB0378"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28" w:name="_Toc205362713"/>
            <w:bookmarkStart w:id="129" w:name="_Toc205536778"/>
            <w:r w:rsidRPr="00050A5B">
              <w:rPr>
                <w:caps/>
                <w:color w:val="FAFAFA" w:themeColor="background1"/>
                <w:sz w:val="20"/>
                <w:szCs w:val="20"/>
                <w:lang w:eastAsia="en-US" w:bidi="ar-SA"/>
              </w:rPr>
              <w:t>Sustainable</w:t>
            </w:r>
            <w:r w:rsidRPr="00050A5B">
              <w:rPr>
                <w:rFonts w:eastAsia="SimHei" w:cs="Calibri"/>
                <w:b/>
                <w:color w:val="FAFAFA" w:themeColor="background1"/>
                <w:sz w:val="20"/>
                <w:szCs w:val="20"/>
                <w:lang w:bidi="ar-SA"/>
              </w:rPr>
              <w:t>: Enables 2030 and 2050 decarbonisation goals</w:t>
            </w:r>
            <w:bookmarkEnd w:id="127"/>
            <w:bookmarkEnd w:id="128"/>
            <w:bookmarkEnd w:id="129"/>
          </w:p>
        </w:tc>
      </w:tr>
      <w:tr w:rsidR="00FA0887" w:rsidRPr="00050A5B" w14:paraId="1904AA37" w14:textId="77777777">
        <w:trPr>
          <w:trHeight w:val="454"/>
          <w:tblHeader/>
        </w:trPr>
        <w:tc>
          <w:tcPr>
            <w:tcW w:w="137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55A4C0A" w14:textId="3F10C74A" w:rsidR="00FA0887" w:rsidRPr="00050A5B" w:rsidRDefault="00FA0887">
            <w:pPr>
              <w:spacing w:before="120" w:after="120" w:line="288" w:lineRule="auto"/>
              <w:jc w:val="center"/>
              <w:rPr>
                <w:rFonts w:eastAsia="SimSun" w:cs="Calibri"/>
                <w:b/>
                <w:szCs w:val="18"/>
              </w:rPr>
            </w:pPr>
            <w:r w:rsidRPr="00050A5B">
              <w:rPr>
                <w:rFonts w:eastAsia="SimSun" w:cs="Calibri"/>
                <w:b/>
                <w:szCs w:val="18"/>
              </w:rPr>
              <w:t>Source</w:t>
            </w:r>
          </w:p>
        </w:tc>
        <w:tc>
          <w:tcPr>
            <w:tcW w:w="362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42420A2" w14:textId="77777777" w:rsidR="00FA0887" w:rsidRPr="00050A5B" w:rsidRDefault="00FA0887">
            <w:pPr>
              <w:spacing w:before="120" w:after="120" w:line="288" w:lineRule="auto"/>
              <w:jc w:val="center"/>
              <w:rPr>
                <w:rFonts w:eastAsia="SimSun" w:cs="Calibri"/>
                <w:b/>
                <w:szCs w:val="18"/>
              </w:rPr>
            </w:pPr>
            <w:bookmarkStart w:id="130" w:name="_Toc130207565"/>
            <w:r w:rsidRPr="00050A5B">
              <w:rPr>
                <w:rFonts w:eastAsia="SimSun" w:cs="Calibri"/>
                <w:b/>
                <w:szCs w:val="18"/>
              </w:rPr>
              <w:t>Stated or Inferred Objectives (Future Tense)</w:t>
            </w:r>
            <w:bookmarkEnd w:id="130"/>
          </w:p>
        </w:tc>
      </w:tr>
      <w:tr w:rsidR="00FA0887" w:rsidRPr="00050A5B" w14:paraId="0C490065" w14:textId="77777777">
        <w:tc>
          <w:tcPr>
            <w:tcW w:w="1374" w:type="pct"/>
            <w:tcBorders>
              <w:top w:val="single" w:sz="4" w:space="0" w:color="FAFAFA" w:themeColor="background1"/>
            </w:tcBorders>
            <w:tcMar>
              <w:top w:w="113" w:type="dxa"/>
              <w:left w:w="113" w:type="dxa"/>
              <w:bottom w:w="113" w:type="dxa"/>
              <w:right w:w="113" w:type="dxa"/>
            </w:tcMar>
          </w:tcPr>
          <w:p w14:paraId="6302BEC5" w14:textId="77777777" w:rsidR="00FA0887" w:rsidRPr="00050A5B" w:rsidRDefault="00FA0887">
            <w:pPr>
              <w:spacing w:before="120" w:after="120" w:line="288" w:lineRule="auto"/>
              <w:rPr>
                <w:rFonts w:eastAsia="SimSun" w:cs="Calibri"/>
                <w:szCs w:val="18"/>
              </w:rPr>
            </w:pPr>
            <w:r w:rsidRPr="00050A5B">
              <w:rPr>
                <w:rFonts w:eastAsia="SimSun" w:cs="Calibri"/>
                <w:szCs w:val="18"/>
              </w:rPr>
              <w:t>2022-02 Our Power – A vision for clean, affordable, dependable energy for all</w:t>
            </w:r>
          </w:p>
        </w:tc>
        <w:tc>
          <w:tcPr>
            <w:tcW w:w="3626" w:type="pct"/>
            <w:tcBorders>
              <w:top w:val="single" w:sz="4" w:space="0" w:color="FAFAFA" w:themeColor="background1"/>
            </w:tcBorders>
            <w:tcMar>
              <w:top w:w="113" w:type="dxa"/>
              <w:left w:w="113" w:type="dxa"/>
              <w:bottom w:w="113" w:type="dxa"/>
              <w:right w:w="113" w:type="dxa"/>
            </w:tcMar>
          </w:tcPr>
          <w:p w14:paraId="7B5D6DA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Energy sources that negatively impact the health and wellbeing of people and communities are avoided and as are those detrimental to the environment in their production and use (including global heating, coal dust, diesel particulates, noxious fumes from burning coal and gas, wood smoke, and groundwater pollution) </w:t>
            </w:r>
          </w:p>
          <w:p w14:paraId="4A444A3A"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Incentivise energy solutions that improve the health and well-being of people - for example, by improving the energy efficiency and energy productivity of homes, hospitals, schools, offices and other workplaces. </w:t>
            </w:r>
          </w:p>
          <w:p w14:paraId="38E07381"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Implement policies and strategies in line with the transition to net zero emissions by a date consistent with the scientific evidence to limit global warming to 1.5 degrees, including incentives to decarbonise, prioritising investment in zero-emissions technology and deploying clean energy production. </w:t>
            </w:r>
          </w:p>
          <w:p w14:paraId="15BBECF0"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Be transparent and accountable in reporting on environmental performance. </w:t>
            </w:r>
          </w:p>
          <w:p w14:paraId="657D7B31"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people, businesses and communities can play a role in the transition to zero-carbon energy. </w:t>
            </w:r>
          </w:p>
          <w:p w14:paraId="19EBF5FF" w14:textId="77777777" w:rsidR="00FA0887" w:rsidRPr="00050A5B" w:rsidRDefault="00FA0887">
            <w:pPr>
              <w:spacing w:before="120" w:after="120" w:line="288" w:lineRule="auto"/>
              <w:rPr>
                <w:rFonts w:eastAsia="SimSun" w:cs="Calibri"/>
                <w:szCs w:val="18"/>
              </w:rPr>
            </w:pPr>
            <w:r w:rsidRPr="00050A5B">
              <w:rPr>
                <w:rFonts w:eastAsia="SimSun" w:cs="Calibri"/>
                <w:szCs w:val="18"/>
              </w:rPr>
              <w:t>Build and dispose of energy infrastructure and components in a socially responsible and environmentally sustainable way.</w:t>
            </w:r>
          </w:p>
        </w:tc>
      </w:tr>
      <w:tr w:rsidR="00FA0887" w:rsidRPr="00050A5B" w14:paraId="0303D92C" w14:textId="77777777">
        <w:tc>
          <w:tcPr>
            <w:tcW w:w="1374" w:type="pct"/>
            <w:vMerge w:val="restart"/>
            <w:tcMar>
              <w:top w:w="113" w:type="dxa"/>
              <w:left w:w="113" w:type="dxa"/>
              <w:bottom w:w="113" w:type="dxa"/>
              <w:right w:w="113" w:type="dxa"/>
            </w:tcMar>
          </w:tcPr>
          <w:p w14:paraId="67A0E47A"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p w14:paraId="226A0898" w14:textId="77777777" w:rsidR="00FA0887" w:rsidRPr="00050A5B" w:rsidRDefault="00FA0887">
            <w:pPr>
              <w:spacing w:before="120" w:after="120" w:line="288" w:lineRule="auto"/>
              <w:rPr>
                <w:rFonts w:eastAsia="SimSun" w:cs="Calibri"/>
                <w:szCs w:val="18"/>
              </w:rPr>
            </w:pPr>
          </w:p>
        </w:tc>
        <w:tc>
          <w:tcPr>
            <w:tcW w:w="3626" w:type="pct"/>
            <w:tcMar>
              <w:top w:w="113" w:type="dxa"/>
              <w:left w:w="113" w:type="dxa"/>
              <w:bottom w:w="113" w:type="dxa"/>
              <w:right w:w="113" w:type="dxa"/>
            </w:tcMar>
          </w:tcPr>
          <w:p w14:paraId="58D874C0"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can choose to source their electricity from sustainable sources at cheaper prices.</w:t>
            </w:r>
          </w:p>
        </w:tc>
      </w:tr>
      <w:tr w:rsidR="00FA0887" w:rsidRPr="00050A5B" w14:paraId="555D56F3" w14:textId="77777777">
        <w:tc>
          <w:tcPr>
            <w:tcW w:w="1374" w:type="pct"/>
            <w:vMerge/>
            <w:tcMar>
              <w:top w:w="113" w:type="dxa"/>
              <w:left w:w="113" w:type="dxa"/>
              <w:bottom w:w="113" w:type="dxa"/>
              <w:right w:w="113" w:type="dxa"/>
            </w:tcMar>
          </w:tcPr>
          <w:p w14:paraId="45AF2448" w14:textId="77777777" w:rsidR="00FA0887" w:rsidRPr="00050A5B" w:rsidRDefault="00FA0887">
            <w:pPr>
              <w:spacing w:before="120" w:after="120" w:line="288" w:lineRule="auto"/>
              <w:rPr>
                <w:rFonts w:eastAsia="SimSun" w:cs="Calibri"/>
                <w:szCs w:val="18"/>
              </w:rPr>
            </w:pPr>
          </w:p>
        </w:tc>
        <w:tc>
          <w:tcPr>
            <w:tcW w:w="3626" w:type="pct"/>
            <w:tcMar>
              <w:top w:w="113" w:type="dxa"/>
              <w:left w:w="113" w:type="dxa"/>
              <w:bottom w:w="113" w:type="dxa"/>
              <w:right w:w="113" w:type="dxa"/>
            </w:tcMar>
          </w:tcPr>
          <w:p w14:paraId="6B0FB9F2"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clean: energy comes from sustainable carbon-free energy sources.</w:t>
            </w:r>
          </w:p>
        </w:tc>
      </w:tr>
      <w:tr w:rsidR="00FA0887" w:rsidRPr="00050A5B" w14:paraId="51B196C4" w14:textId="77777777">
        <w:tc>
          <w:tcPr>
            <w:tcW w:w="1374" w:type="pct"/>
            <w:tcMar>
              <w:top w:w="113" w:type="dxa"/>
              <w:left w:w="113" w:type="dxa"/>
              <w:bottom w:w="113" w:type="dxa"/>
              <w:right w:w="113" w:type="dxa"/>
            </w:tcMar>
          </w:tcPr>
          <w:p w14:paraId="78DD809D" w14:textId="77777777" w:rsidR="00FA0887" w:rsidRPr="00050A5B" w:rsidRDefault="00FA0887">
            <w:pPr>
              <w:spacing w:before="120" w:after="120" w:line="288" w:lineRule="auto"/>
              <w:rPr>
                <w:rFonts w:eastAsia="SimSun" w:cs="Calibri"/>
                <w:szCs w:val="18"/>
              </w:rPr>
            </w:pPr>
            <w:r w:rsidRPr="00050A5B">
              <w:rPr>
                <w:rFonts w:eastAsia="SimSun" w:cs="Calibri"/>
                <w:szCs w:val="18"/>
              </w:rPr>
              <w:t>2020-11 ACOSS - New Energy Compact Consultation Draft 5</w:t>
            </w:r>
          </w:p>
        </w:tc>
        <w:tc>
          <w:tcPr>
            <w:tcW w:w="3626" w:type="pct"/>
            <w:tcMar>
              <w:top w:w="113" w:type="dxa"/>
              <w:left w:w="113" w:type="dxa"/>
              <w:bottom w:w="113" w:type="dxa"/>
              <w:right w:w="113" w:type="dxa"/>
            </w:tcMar>
          </w:tcPr>
          <w:p w14:paraId="649C0D28"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assume a shared responsibility for the power system to achieve Net Zero Emissions through the sustainable production and use of energy.</w:t>
            </w:r>
          </w:p>
        </w:tc>
      </w:tr>
      <w:tr w:rsidR="000A4B9B" w:rsidRPr="00050A5B" w14:paraId="3DDE241B" w14:textId="77777777">
        <w:tc>
          <w:tcPr>
            <w:tcW w:w="1374" w:type="pct"/>
            <w:tcMar>
              <w:top w:w="113" w:type="dxa"/>
              <w:left w:w="113" w:type="dxa"/>
              <w:bottom w:w="113" w:type="dxa"/>
              <w:right w:w="113" w:type="dxa"/>
            </w:tcMar>
          </w:tcPr>
          <w:p w14:paraId="5BE27922" w14:textId="244F54D4" w:rsidR="000A4B9B" w:rsidRPr="00050A5B" w:rsidRDefault="001C4BBB">
            <w:pPr>
              <w:spacing w:before="120" w:after="120" w:line="288" w:lineRule="auto"/>
              <w:rPr>
                <w:rFonts w:eastAsia="SimSun" w:cs="Calibri"/>
                <w:szCs w:val="18"/>
              </w:rPr>
            </w:pPr>
            <w:r w:rsidRPr="00050A5B">
              <w:rPr>
                <w:rFonts w:eastAsia="SimSun" w:cs="Calibri"/>
                <w:szCs w:val="18"/>
              </w:rPr>
              <w:t>World Economic Forum and Boston Consulting Group – The Net Zero Challenge: Fast-Forward to Decisive Climate Action, 2020</w:t>
            </w:r>
          </w:p>
        </w:tc>
        <w:tc>
          <w:tcPr>
            <w:tcW w:w="3626" w:type="pct"/>
            <w:tcMar>
              <w:top w:w="113" w:type="dxa"/>
              <w:left w:w="113" w:type="dxa"/>
              <w:bottom w:w="113" w:type="dxa"/>
              <w:right w:w="113" w:type="dxa"/>
            </w:tcMar>
          </w:tcPr>
          <w:p w14:paraId="1A4E0337" w14:textId="6AA6B6D7" w:rsidR="000A4B9B" w:rsidRPr="00050A5B" w:rsidRDefault="00AF27E5">
            <w:pPr>
              <w:spacing w:before="120" w:after="120" w:line="288" w:lineRule="auto"/>
              <w:rPr>
                <w:rFonts w:eastAsia="SimSun" w:cs="Calibri"/>
                <w:szCs w:val="18"/>
              </w:rPr>
            </w:pPr>
            <w:r w:rsidRPr="00050A5B">
              <w:rPr>
                <w:rFonts w:eastAsia="SimSun" w:cs="Calibri"/>
                <w:szCs w:val="18"/>
              </w:rPr>
              <w:t xml:space="preserve">The energy system is built on long-term decarbonisation certainty. Investors are confident, public-private partnerships have matured, and capital flows towards net-zero technologies at unprecedented scale. Businesses compete to reduce </w:t>
            </w:r>
            <w:r w:rsidR="000A0CEF" w:rsidRPr="00050A5B">
              <w:rPr>
                <w:rFonts w:eastAsia="SimSun" w:cs="Calibri"/>
                <w:szCs w:val="18"/>
              </w:rPr>
              <w:t>emissions and</w:t>
            </w:r>
            <w:r w:rsidRPr="00050A5B">
              <w:rPr>
                <w:rFonts w:eastAsia="SimSun" w:cs="Calibri"/>
                <w:szCs w:val="18"/>
              </w:rPr>
              <w:t xml:space="preserve"> motivated by consistent policy signals and international alignment. Markets reward decarbonisation, and the societal case for climate action is no longer debated but embodied in new infrastructure projects, supply chains, and cultural norms.</w:t>
            </w:r>
          </w:p>
        </w:tc>
      </w:tr>
      <w:tr w:rsidR="00FD4315" w:rsidRPr="00050A5B" w14:paraId="53033F0F" w14:textId="77777777">
        <w:tc>
          <w:tcPr>
            <w:tcW w:w="1374" w:type="pct"/>
            <w:tcMar>
              <w:top w:w="113" w:type="dxa"/>
              <w:left w:w="113" w:type="dxa"/>
              <w:bottom w:w="113" w:type="dxa"/>
              <w:right w:w="113" w:type="dxa"/>
            </w:tcMar>
          </w:tcPr>
          <w:p w14:paraId="55B6FAB5" w14:textId="644D694A" w:rsidR="00FD4315" w:rsidRPr="00050A5B" w:rsidRDefault="00C27670">
            <w:pPr>
              <w:spacing w:before="120" w:after="120" w:line="288" w:lineRule="auto"/>
              <w:rPr>
                <w:rFonts w:eastAsia="SimSun" w:cs="Calibri"/>
                <w:szCs w:val="18"/>
              </w:rPr>
            </w:pPr>
            <w:r w:rsidRPr="00050A5B">
              <w:rPr>
                <w:rFonts w:eastAsia="SimSun" w:cs="Calibri"/>
                <w:szCs w:val="18"/>
              </w:rPr>
              <w:t>International Energy Agenc</w:t>
            </w:r>
            <w:r w:rsidR="004C1DFF" w:rsidRPr="00050A5B">
              <w:rPr>
                <w:rFonts w:eastAsia="SimSun" w:cs="Calibri"/>
                <w:szCs w:val="18"/>
              </w:rPr>
              <w:t>y</w:t>
            </w:r>
            <w:r w:rsidRPr="00050A5B">
              <w:rPr>
                <w:rFonts w:eastAsia="SimSun" w:cs="Calibri"/>
                <w:szCs w:val="18"/>
              </w:rPr>
              <w:t xml:space="preserve"> - Net Zero by 2050: A Roadmap for the Global Energy Sector, October 2021</w:t>
            </w:r>
          </w:p>
        </w:tc>
        <w:tc>
          <w:tcPr>
            <w:tcW w:w="3626" w:type="pct"/>
            <w:tcMar>
              <w:top w:w="113" w:type="dxa"/>
              <w:left w:w="113" w:type="dxa"/>
              <w:bottom w:w="113" w:type="dxa"/>
              <w:right w:w="113" w:type="dxa"/>
            </w:tcMar>
          </w:tcPr>
          <w:p w14:paraId="67BCD9FA" w14:textId="2A1BC654" w:rsidR="00FD4315" w:rsidRPr="00050A5B" w:rsidRDefault="000656BD">
            <w:pPr>
              <w:spacing w:before="120" w:after="120" w:line="288" w:lineRule="auto"/>
              <w:rPr>
                <w:rFonts w:eastAsia="SimSun" w:cs="Calibri"/>
                <w:szCs w:val="18"/>
              </w:rPr>
            </w:pPr>
            <w:r w:rsidRPr="00050A5B">
              <w:rPr>
                <w:rFonts w:eastAsia="SimSun" w:cs="Calibri"/>
                <w:szCs w:val="18"/>
              </w:rPr>
              <w:t xml:space="preserve">Governments, citizens, and businesses are unified in their efforts to decarbonise the energy system. There is universal access to clean electricity, air pollution has dropped significantly, and </w:t>
            </w:r>
            <w:proofErr w:type="gramStart"/>
            <w:r w:rsidRPr="00050A5B">
              <w:rPr>
                <w:rFonts w:eastAsia="SimSun" w:cs="Calibri"/>
                <w:szCs w:val="18"/>
              </w:rPr>
              <w:t>a majority of</w:t>
            </w:r>
            <w:proofErr w:type="gramEnd"/>
            <w:r w:rsidRPr="00050A5B">
              <w:rPr>
                <w:rFonts w:eastAsia="SimSun" w:cs="Calibri"/>
                <w:szCs w:val="18"/>
              </w:rPr>
              <w:t xml:space="preserve"> global car sales are for electric vehicles. Advanced economies have phased out coal-fired power generation, and solar and wind dominate electricity generation. Again, renewables and clean energy account for </w:t>
            </w:r>
            <w:proofErr w:type="gramStart"/>
            <w:r w:rsidRPr="00050A5B">
              <w:rPr>
                <w:rFonts w:eastAsia="SimSun" w:cs="Calibri"/>
                <w:szCs w:val="18"/>
              </w:rPr>
              <w:t>a majority of</w:t>
            </w:r>
            <w:proofErr w:type="gramEnd"/>
            <w:r w:rsidRPr="00050A5B">
              <w:rPr>
                <w:rFonts w:eastAsia="SimSun" w:cs="Calibri"/>
                <w:szCs w:val="18"/>
              </w:rPr>
              <w:t xml:space="preserve"> global generation capacity. All new buildings are zero-carbon-ready and energy efficient, and non-energy industries have broadly adopted low-emissions production technologies. The energy transition has not only met climate targets—it has delivered economic growth, new job creation, and improved public health and environmental outcomes</w:t>
            </w:r>
            <w:r w:rsidRPr="00050A5B">
              <w:rPr>
                <w:rFonts w:ascii="Cambria Math" w:eastAsia="SimSun" w:hAnsi="Cambria Math" w:cs="Cambria Math"/>
                <w:szCs w:val="18"/>
              </w:rPr>
              <w:t>​</w:t>
            </w:r>
            <w:r w:rsidRPr="00050A5B">
              <w:rPr>
                <w:rFonts w:eastAsia="SimSun" w:cs="Calibri"/>
                <w:szCs w:val="18"/>
              </w:rPr>
              <w:t>.</w:t>
            </w:r>
          </w:p>
        </w:tc>
      </w:tr>
    </w:tbl>
    <w:p w14:paraId="24F1B1E0" w14:textId="77777777" w:rsidR="00FA0887" w:rsidRPr="00050A5B" w:rsidRDefault="00FA0887" w:rsidP="00FA0887">
      <w:bookmarkStart w:id="131" w:name="_Toc130207566"/>
    </w:p>
    <w:p w14:paraId="00286562" w14:textId="77777777" w:rsidR="000366C9" w:rsidRPr="00050A5B" w:rsidRDefault="000366C9">
      <w:r w:rsidRPr="00050A5B">
        <w:br w:type="page"/>
      </w:r>
    </w:p>
    <w:tbl>
      <w:tblPr>
        <w:tblStyle w:val="TableGrid4"/>
        <w:tblpPr w:leftFromText="180" w:rightFromText="180" w:vertAnchor="text" w:tblpY="1"/>
        <w:tblOverlap w:val="never"/>
        <w:tblW w:w="5000"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6"/>
        <w:gridCol w:w="5954"/>
      </w:tblGrid>
      <w:tr w:rsidR="00FA0887" w:rsidRPr="00050A5B" w14:paraId="5AFAD90E"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67419B97" w14:textId="48AF1794"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32" w:name="_Toc205362714"/>
            <w:bookmarkStart w:id="133" w:name="_Toc205536779"/>
            <w:r w:rsidRPr="00050A5B">
              <w:rPr>
                <w:caps/>
                <w:color w:val="FAFAFA" w:themeColor="background1"/>
                <w:sz w:val="20"/>
                <w:szCs w:val="24"/>
                <w:lang w:eastAsia="en-US" w:bidi="ar-SA"/>
              </w:rPr>
              <w:t xml:space="preserve">Equitable: </w:t>
            </w:r>
            <w:r w:rsidRPr="00050A5B">
              <w:rPr>
                <w:color w:val="FAFAFA" w:themeColor="background1"/>
                <w:sz w:val="20"/>
                <w:szCs w:val="24"/>
                <w:lang w:eastAsia="en-US" w:bidi="ar-SA"/>
              </w:rPr>
              <w:t>Broad access to benefits and the fair sharing of costs</w:t>
            </w:r>
            <w:bookmarkEnd w:id="131"/>
            <w:bookmarkEnd w:id="132"/>
            <w:bookmarkEnd w:id="133"/>
          </w:p>
        </w:tc>
      </w:tr>
      <w:tr w:rsidR="00FA0887" w:rsidRPr="00050A5B" w14:paraId="447875A5" w14:textId="77777777">
        <w:trPr>
          <w:trHeight w:val="454"/>
          <w:tblHeader/>
        </w:trPr>
        <w:tc>
          <w:tcPr>
            <w:tcW w:w="1374"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6465C8D2" w14:textId="77777777" w:rsidR="00FA0887" w:rsidRPr="00050A5B" w:rsidRDefault="00FA0887">
            <w:pPr>
              <w:spacing w:before="120" w:after="120" w:line="288" w:lineRule="auto"/>
              <w:jc w:val="center"/>
              <w:rPr>
                <w:rFonts w:eastAsia="SimSun" w:cs="Calibri"/>
                <w:b/>
                <w:szCs w:val="18"/>
              </w:rPr>
            </w:pPr>
            <w:bookmarkStart w:id="134" w:name="_Toc130207567"/>
            <w:r w:rsidRPr="00050A5B">
              <w:rPr>
                <w:rFonts w:eastAsia="SimSun" w:cs="Calibri"/>
                <w:b/>
                <w:szCs w:val="18"/>
              </w:rPr>
              <w:t>Source</w:t>
            </w:r>
            <w:bookmarkEnd w:id="134"/>
          </w:p>
        </w:tc>
        <w:tc>
          <w:tcPr>
            <w:tcW w:w="3626"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2FD61F38" w14:textId="77777777" w:rsidR="00FA0887" w:rsidRPr="00050A5B" w:rsidRDefault="00FA0887">
            <w:pPr>
              <w:spacing w:before="120" w:after="120" w:line="288" w:lineRule="auto"/>
              <w:jc w:val="center"/>
              <w:rPr>
                <w:rFonts w:eastAsia="SimSun" w:cs="Calibri"/>
                <w:b/>
                <w:szCs w:val="18"/>
              </w:rPr>
            </w:pPr>
            <w:bookmarkStart w:id="135" w:name="_Toc130207568"/>
            <w:r w:rsidRPr="00050A5B">
              <w:rPr>
                <w:rFonts w:eastAsia="SimSun" w:cs="Calibri"/>
                <w:b/>
                <w:szCs w:val="18"/>
              </w:rPr>
              <w:t>Stated or Inferred Objectives (Future Tense)</w:t>
            </w:r>
            <w:bookmarkEnd w:id="135"/>
          </w:p>
        </w:tc>
      </w:tr>
      <w:tr w:rsidR="00FA0887" w:rsidRPr="00050A5B" w14:paraId="03493A4C"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C460DA9" w14:textId="77777777" w:rsidR="00FA0887" w:rsidRPr="00050A5B" w:rsidRDefault="00FA0887">
            <w:pPr>
              <w:spacing w:before="120" w:after="120" w:line="288" w:lineRule="auto"/>
              <w:rPr>
                <w:rFonts w:eastAsia="SimSun" w:cs="Calibri"/>
                <w:szCs w:val="18"/>
              </w:rPr>
            </w:pPr>
            <w:r w:rsidRPr="00050A5B">
              <w:rPr>
                <w:rFonts w:eastAsia="SimSun" w:cs="Calibri"/>
                <w:szCs w:val="18"/>
              </w:rPr>
              <w:t>2022-06 ICL - Applying strategic foresight and human centred design to business model innovation</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686FA9E" w14:textId="77777777" w:rsidR="00FA0887" w:rsidRPr="00050A5B" w:rsidRDefault="00FA0887">
            <w:pPr>
              <w:spacing w:before="120" w:after="120" w:line="288" w:lineRule="auto"/>
              <w:rPr>
                <w:rFonts w:eastAsia="SimSun" w:cs="Calibri"/>
                <w:szCs w:val="18"/>
              </w:rPr>
            </w:pPr>
            <w:r w:rsidRPr="00050A5B">
              <w:rPr>
                <w:rFonts w:eastAsia="SimSun" w:cs="Calibri"/>
                <w:szCs w:val="18"/>
              </w:rPr>
              <w:t>Business models are aligned with what consumers find desirable, as uncovered by human-centred design.</w:t>
            </w:r>
          </w:p>
        </w:tc>
      </w:tr>
      <w:tr w:rsidR="00FA0887" w:rsidRPr="00050A5B" w14:paraId="2234B98D" w14:textId="77777777">
        <w:trPr>
          <w:trHeight w:val="1468"/>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B4E203F" w14:textId="77777777" w:rsidR="00FA0887" w:rsidRPr="00050A5B" w:rsidRDefault="00FA0887">
            <w:pPr>
              <w:spacing w:before="120" w:after="120" w:line="288" w:lineRule="auto"/>
              <w:rPr>
                <w:rFonts w:eastAsia="SimSun" w:cs="Calibri"/>
                <w:szCs w:val="18"/>
              </w:rPr>
            </w:pPr>
            <w:r w:rsidRPr="00050A5B">
              <w:rPr>
                <w:rFonts w:eastAsia="SimSun" w:cs="Calibri"/>
                <w:szCs w:val="18"/>
              </w:rPr>
              <w:t>2022-06 ECA - A fit-for-purpose consumer agency and protection</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F37D1ED"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 protection and rights are comprehensively covered by consumer law and aligned with the two-way dynamic functioning of the power system.</w:t>
            </w:r>
          </w:p>
          <w:p w14:paraId="4B7D550D"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have universal access to free and independent dispute resolution whatever their arrangements for consuming and producing electricity.</w:t>
            </w:r>
          </w:p>
        </w:tc>
      </w:tr>
      <w:tr w:rsidR="00FA0887" w:rsidRPr="00050A5B" w14:paraId="5DB18C4C" w14:textId="77777777">
        <w:trPr>
          <w:trHeight w:val="3219"/>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BBF2A4A" w14:textId="77777777" w:rsidR="00FA0887" w:rsidRPr="00050A5B" w:rsidRDefault="00FA0887">
            <w:pPr>
              <w:spacing w:before="120" w:after="120" w:line="288" w:lineRule="auto"/>
              <w:rPr>
                <w:rFonts w:eastAsia="SimSun" w:cs="Calibri"/>
                <w:szCs w:val="18"/>
              </w:rPr>
            </w:pPr>
            <w:r w:rsidRPr="00050A5B">
              <w:rPr>
                <w:rFonts w:eastAsia="SimSun" w:cs="Calibri"/>
                <w:szCs w:val="18"/>
              </w:rPr>
              <w:t>2022-04 ESB - Customer Insights Collaboration Workshop 2 - Exploring the issues</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FC65171"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companies develop equitable and productive automation processes that reduce costs for customers and businesses and enable customers' agency and reduce barriers to entry. These automation processes are collaboratively developed in parallel with relevant hardware to ensure coherent and modular implementation and integration of interoperability practices and standards.</w:t>
            </w:r>
          </w:p>
          <w:p w14:paraId="062F3FDC" w14:textId="77777777" w:rsidR="00FA0887" w:rsidRPr="00050A5B" w:rsidRDefault="00FA0887">
            <w:pPr>
              <w:spacing w:before="120" w:after="120" w:line="288" w:lineRule="auto"/>
              <w:rPr>
                <w:rFonts w:eastAsia="SimSun" w:cs="Calibri"/>
                <w:szCs w:val="18"/>
              </w:rPr>
            </w:pPr>
            <w:r w:rsidRPr="00050A5B">
              <w:rPr>
                <w:rFonts w:eastAsia="SimSun" w:cs="Calibri"/>
                <w:szCs w:val="18"/>
              </w:rPr>
              <w:t>Landlords are incentivised to install/provide flexible DER/demand response technologies on their properties to enable increased access for tenants to meaningfully participate in energy markets and demand response incentive programs. Effective processes are in place to ensure both landlord and tenant benefit from the use and consistent maintenance of the technologies.</w:t>
            </w:r>
          </w:p>
        </w:tc>
      </w:tr>
      <w:tr w:rsidR="00FA0887" w:rsidRPr="00050A5B" w14:paraId="2B9DEDFE"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F603458"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2022-02 Our Power – A vision for clean, affordable, dependable energy for all</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8C51406"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Ensure energy rules, policies and measures are designed to enable access to clean, affordable, dependable </w:t>
            </w:r>
            <w:r w:rsidRPr="00050A5B">
              <w:rPr>
                <w:rFonts w:eastAsia="SimSun" w:cs="Calibri"/>
                <w:szCs w:val="18"/>
              </w:rPr>
              <w:t>energy for everyone</w:t>
            </w:r>
            <w:r w:rsidRPr="00050A5B">
              <w:rPr>
                <w:rFonts w:eastAsia="Proxima Nova Light" w:cs="Calibri"/>
                <w:szCs w:val="18"/>
              </w:rPr>
              <w:t xml:space="preserve">. Ensure energy rules, policies and measures do not disadvantage people if they cannot or do not want to participate in new energy products and services. Be </w:t>
            </w:r>
            <w:r w:rsidRPr="00050A5B">
              <w:rPr>
                <w:rFonts w:eastAsia="SimSun" w:cs="Calibri"/>
                <w:szCs w:val="18"/>
              </w:rPr>
              <w:t>honest</w:t>
            </w:r>
            <w:r w:rsidRPr="00050A5B">
              <w:rPr>
                <w:rFonts w:eastAsia="Proxima Nova Light" w:cs="Calibri"/>
                <w:szCs w:val="18"/>
              </w:rPr>
              <w:t xml:space="preserve">, ethical </w:t>
            </w:r>
            <w:r w:rsidRPr="00050A5B">
              <w:rPr>
                <w:rFonts w:eastAsia="SimSun" w:cs="Calibri"/>
                <w:szCs w:val="18"/>
              </w:rPr>
              <w:t>and</w:t>
            </w:r>
            <w:r w:rsidRPr="00050A5B">
              <w:rPr>
                <w:rFonts w:eastAsia="Proxima Nova Light" w:cs="Calibri"/>
                <w:szCs w:val="18"/>
              </w:rPr>
              <w:t xml:space="preserve"> transparent </w:t>
            </w:r>
            <w:r w:rsidRPr="00050A5B">
              <w:rPr>
                <w:rFonts w:eastAsia="SimSun" w:cs="Calibri"/>
                <w:szCs w:val="18"/>
              </w:rPr>
              <w:t>to build trust</w:t>
            </w:r>
            <w:r w:rsidRPr="00050A5B">
              <w:rPr>
                <w:rFonts w:eastAsia="Proxima Nova Light" w:cs="Calibri"/>
                <w:szCs w:val="18"/>
              </w:rPr>
              <w:t xml:space="preserve">. Understand and engage with people, businesses and communities to meet their needs, provide real choices and improve outcomes. Provide education to inform and support people to access and manage energy to meet their needs. Enable real choice and decision-making by ensuring options and tools are ethical, clear, transparent, learnable, in plain language and accessible. Enable people, businesses and communities to contribute to society, economic development and a sustainable environment. Give energy users control over how their data is used and shared in a way that is consistent with community expectations as well as privacy and other legal frameworks. Ensure energy </w:t>
            </w:r>
            <w:r w:rsidRPr="00050A5B">
              <w:rPr>
                <w:rFonts w:eastAsia="SimSun" w:cs="Calibri"/>
                <w:szCs w:val="18"/>
              </w:rPr>
              <w:t>service platforms are open and people can move between them without being locked in</w:t>
            </w:r>
            <w:r w:rsidRPr="00050A5B">
              <w:rPr>
                <w:rFonts w:eastAsia="Proxima Nova Light" w:cs="Calibri"/>
                <w:szCs w:val="18"/>
              </w:rPr>
              <w:t xml:space="preserve">, to support innovation and provide real choices. Implement </w:t>
            </w:r>
            <w:r w:rsidRPr="00050A5B">
              <w:rPr>
                <w:rFonts w:eastAsia="SimSun" w:cs="Calibri"/>
                <w:szCs w:val="18"/>
              </w:rPr>
              <w:t>human-centred co-design</w:t>
            </w:r>
            <w:r w:rsidRPr="00050A5B">
              <w:rPr>
                <w:rFonts w:eastAsia="Proxima Nova Light" w:cs="Calibri"/>
                <w:szCs w:val="18"/>
              </w:rPr>
              <w:t xml:space="preserve"> processes when developing new policy, regulation, services and products, to ensure diversity of energy users views and needs. </w:t>
            </w:r>
            <w:r w:rsidRPr="00050A5B">
              <w:rPr>
                <w:rFonts w:eastAsia="SimSun" w:cs="Calibri"/>
                <w:szCs w:val="18"/>
              </w:rPr>
              <w:t>Ensure adequate protections are in place to enable full participation</w:t>
            </w:r>
            <w:r w:rsidRPr="00050A5B">
              <w:rPr>
                <w:rFonts w:eastAsia="Proxima Nova Light" w:cs="Calibri"/>
                <w:szCs w:val="18"/>
              </w:rPr>
              <w:t xml:space="preserve"> in the energy system. Ensure that people understand their responsibilities and the impacts on others of their energy choices.</w:t>
            </w:r>
          </w:p>
        </w:tc>
      </w:tr>
      <w:tr w:rsidR="00FA0887" w:rsidRPr="00050A5B" w14:paraId="65E21C15"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4BFEB82"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2021-12 Race for 2030 - Tariffs for Rewarding Flexible Demand</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1BAC9F2"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service providers have considered approaches to vulnerable customers</w:t>
            </w:r>
            <w:r w:rsidRPr="00050A5B">
              <w:rPr>
                <w:rFonts w:eastAsia="Proxima Nova Light" w:cs="Calibri"/>
                <w:szCs w:val="18"/>
              </w:rPr>
              <w:t xml:space="preserve"> and design flexibility schemes such that they are not disadvantaged or adversely impacted.</w:t>
            </w:r>
          </w:p>
        </w:tc>
      </w:tr>
      <w:tr w:rsidR="00FA0887" w:rsidRPr="00050A5B" w14:paraId="35DC9B02" w14:textId="77777777">
        <w:trPr>
          <w:trHeight w:val="3219"/>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E5C434C"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248E8324" w14:textId="77777777" w:rsidR="00FA0887" w:rsidRPr="00050A5B" w:rsidRDefault="00FA0887">
            <w:pPr>
              <w:spacing w:before="120" w:after="120" w:line="288" w:lineRule="auto"/>
              <w:rPr>
                <w:rFonts w:eastAsia="SimSun" w:cs="Calibri"/>
                <w:szCs w:val="18"/>
              </w:rPr>
            </w:pP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A49CF54"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participate in demand-side decision-making in ways that prioritise reward over punishment, and which do not ask them to trade-off core needs, such as being warm in winter and cool in summer. Utilities also benefit, enjoying improved security, reduced peak loads, increased integration of renewables, and lower operational costs.</w:t>
            </w:r>
          </w:p>
          <w:p w14:paraId="4CA3756C" w14:textId="764723FF" w:rsidR="00FA0887" w:rsidRPr="00050A5B" w:rsidRDefault="00FA0887">
            <w:pPr>
              <w:spacing w:before="120" w:after="120" w:line="288" w:lineRule="auto"/>
              <w:rPr>
                <w:rFonts w:eastAsia="SimSun" w:cs="Calibri"/>
                <w:szCs w:val="18"/>
              </w:rPr>
            </w:pPr>
            <w:r w:rsidRPr="00050A5B">
              <w:rPr>
                <w:rFonts w:eastAsia="SimSun" w:cs="Calibri"/>
                <w:szCs w:val="18"/>
              </w:rPr>
              <w:t>Energy services are individualised, and accessing electricity as an essential service is no longer provided as one-size-fits-all. A least-cost future energy system is enabled by providing genuine choices and control to households and small businesses, who have a range of motivations, abilities and opportunities to contribute to, and benefit from, technologies, new energy services and markets.</w:t>
            </w:r>
          </w:p>
        </w:tc>
      </w:tr>
    </w:tbl>
    <w:p w14:paraId="4F28B587" w14:textId="77777777" w:rsidR="000366C9" w:rsidRPr="00050A5B" w:rsidRDefault="000366C9">
      <w:r w:rsidRPr="00050A5B">
        <w:br w:type="page"/>
      </w:r>
    </w:p>
    <w:tbl>
      <w:tblPr>
        <w:tblStyle w:val="TableGrid4"/>
        <w:tblpPr w:leftFromText="180" w:rightFromText="180" w:vertAnchor="text" w:tblpY="1"/>
        <w:tblOverlap w:val="never"/>
        <w:tblW w:w="5000"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6"/>
        <w:gridCol w:w="5954"/>
      </w:tblGrid>
      <w:tr w:rsidR="00FA0887" w:rsidRPr="00050A5B" w14:paraId="4A6293DF"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B336F58" w14:textId="28C60132" w:rsidR="00FA0887" w:rsidRPr="00050A5B" w:rsidRDefault="00FA0887">
            <w:pPr>
              <w:spacing w:before="120" w:after="120" w:line="288" w:lineRule="auto"/>
              <w:rPr>
                <w:rFonts w:eastAsia="SimSun" w:cs="Calibri"/>
                <w:szCs w:val="18"/>
              </w:rPr>
            </w:pPr>
            <w:r w:rsidRPr="00050A5B">
              <w:rPr>
                <w:rFonts w:eastAsia="SimSun" w:cs="Calibri"/>
                <w:szCs w:val="18"/>
              </w:rPr>
              <w:t>2021-05 US DOE - A National Roadmap for Grid-Interactive Efficient Buildings</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F437815" w14:textId="77777777" w:rsidR="00FA0887" w:rsidRPr="00050A5B" w:rsidRDefault="00FA0887">
            <w:pPr>
              <w:spacing w:before="120" w:after="120" w:line="288" w:lineRule="auto"/>
              <w:rPr>
                <w:rFonts w:eastAsia="SimSun" w:cs="Calibri"/>
                <w:szCs w:val="18"/>
              </w:rPr>
            </w:pPr>
            <w:r w:rsidRPr="00050A5B">
              <w:rPr>
                <w:rFonts w:eastAsia="SimSun" w:cs="Calibri"/>
                <w:szCs w:val="18"/>
              </w:rPr>
              <w:t>The building design and construction industry have deep expertise in energy and incorporate relevant technologies and design tools into projects, maximising customer choice, smart building capability, customer convenience, control and safety.</w:t>
            </w:r>
          </w:p>
        </w:tc>
      </w:tr>
      <w:tr w:rsidR="00FA0887" w:rsidRPr="00050A5B" w14:paraId="47F94B8D" w14:textId="77777777">
        <w:trPr>
          <w:trHeight w:val="1728"/>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2CFAE79"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p w14:paraId="34653757" w14:textId="77777777" w:rsidR="00FA0887" w:rsidRPr="00050A5B" w:rsidRDefault="00FA0887">
            <w:pPr>
              <w:spacing w:before="120" w:after="120" w:line="288" w:lineRule="auto"/>
              <w:rPr>
                <w:rFonts w:eastAsia="SimSun" w:cs="Calibri"/>
                <w:szCs w:val="18"/>
              </w:rPr>
            </w:pP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A08E736"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inclusive: Household consumers are empowered by readily available information about the energy system and their choices.</w:t>
            </w:r>
          </w:p>
          <w:p w14:paraId="329ADDF5"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on limited incomes have access to assistance or subsidies to pay for their energy use.</w:t>
            </w:r>
          </w:p>
          <w:p w14:paraId="7A41C396"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affordable: household consumers are satisfied that what they are being is fair and reasonable and represents value for money.</w:t>
            </w:r>
          </w:p>
        </w:tc>
      </w:tr>
      <w:tr w:rsidR="00FA0887" w:rsidRPr="00050A5B" w14:paraId="13699D58"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1D43604" w14:textId="77777777" w:rsidR="00FA0887" w:rsidRPr="00050A5B" w:rsidRDefault="00FA0887">
            <w:pPr>
              <w:spacing w:before="120" w:after="120" w:line="288" w:lineRule="auto"/>
              <w:rPr>
                <w:rFonts w:eastAsia="SimSun" w:cs="Calibri"/>
                <w:szCs w:val="18"/>
              </w:rPr>
            </w:pPr>
            <w:r w:rsidRPr="00050A5B">
              <w:rPr>
                <w:rFonts w:eastAsia="SimSun" w:cs="Calibri"/>
                <w:szCs w:val="18"/>
              </w:rPr>
              <w:t>2020-12 ECA - Social License for DER Control FINAL v2.0</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5291079" w14:textId="74E45683" w:rsidR="00FA0887" w:rsidRPr="00050A5B" w:rsidRDefault="00FA0887">
            <w:pPr>
              <w:spacing w:before="120" w:after="120" w:line="288" w:lineRule="auto"/>
              <w:rPr>
                <w:rFonts w:eastAsia="SimSun" w:cs="Calibri"/>
                <w:szCs w:val="18"/>
              </w:rPr>
            </w:pPr>
            <w:r w:rsidRPr="00050A5B">
              <w:rPr>
                <w:rFonts w:eastAsia="SimSun" w:cs="Calibri"/>
                <w:szCs w:val="18"/>
              </w:rPr>
              <w:t>DER control programs equitably distribute net private benefit to ensure that consumers that do</w:t>
            </w:r>
            <w:r w:rsidR="00046FD8">
              <w:rPr>
                <w:rFonts w:eastAsia="SimSun" w:cs="Calibri"/>
                <w:szCs w:val="18"/>
              </w:rPr>
              <w:t xml:space="preserve"> not</w:t>
            </w:r>
            <w:r w:rsidRPr="00050A5B">
              <w:rPr>
                <w:rFonts w:eastAsia="SimSun" w:cs="Calibri"/>
                <w:szCs w:val="18"/>
              </w:rPr>
              <w:t xml:space="preserve"> have the ability to install DER (such as renters, or households living in dwellings without access to adequate roof space) are still able to participate.</w:t>
            </w:r>
          </w:p>
        </w:tc>
      </w:tr>
      <w:tr w:rsidR="00FA0887" w:rsidRPr="00050A5B" w14:paraId="5B5B593F"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60A4A9F" w14:textId="77777777" w:rsidR="00FA0887" w:rsidRPr="00050A5B" w:rsidRDefault="00FA0887">
            <w:pPr>
              <w:spacing w:before="120" w:after="120" w:line="288" w:lineRule="auto"/>
              <w:rPr>
                <w:rFonts w:eastAsia="SimSun" w:cs="Calibri"/>
                <w:szCs w:val="18"/>
              </w:rPr>
            </w:pPr>
            <w:r w:rsidRPr="00050A5B">
              <w:rPr>
                <w:rFonts w:eastAsia="SimSun" w:cs="Calibri"/>
                <w:szCs w:val="18"/>
              </w:rPr>
              <w:t>2020-05 Monash - Ron Ben-David on Two Sided Markets</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3DDB451" w14:textId="77777777" w:rsidR="00FA0887" w:rsidRPr="00050A5B" w:rsidRDefault="00FA0887">
            <w:pPr>
              <w:spacing w:before="120" w:after="120" w:line="288" w:lineRule="auto"/>
              <w:rPr>
                <w:rFonts w:eastAsia="SimSun" w:cs="Calibri"/>
                <w:szCs w:val="18"/>
              </w:rPr>
            </w:pPr>
            <w:r w:rsidRPr="00050A5B">
              <w:rPr>
                <w:rFonts w:eastAsia="SimSun" w:cs="Calibri"/>
                <w:szCs w:val="18"/>
              </w:rPr>
              <w:t>There is an increase in fairness, through the elimination of cross-subsidies and prohibitions that protect consumers from certain types of conduct that harm effective competition</w:t>
            </w:r>
          </w:p>
        </w:tc>
      </w:tr>
      <w:tr w:rsidR="00FA0887" w:rsidRPr="00050A5B" w14:paraId="7D19BC3B"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A7BAD36" w14:textId="77777777" w:rsidR="00FA0887" w:rsidRPr="00050A5B" w:rsidRDefault="00FA0887">
            <w:pPr>
              <w:spacing w:before="120" w:after="120" w:line="288" w:lineRule="auto"/>
              <w:rPr>
                <w:rFonts w:eastAsia="SimSun" w:cs="Calibri"/>
                <w:szCs w:val="18"/>
              </w:rPr>
            </w:pPr>
            <w:r w:rsidRPr="00050A5B">
              <w:rPr>
                <w:rFonts w:eastAsia="SimSun" w:cs="Calibri"/>
                <w:szCs w:val="18"/>
              </w:rPr>
              <w:t>2019-10 FFRC - Electrification in a Peer-to-Peer Society</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5B0DCF6"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Engaging with energy is readily understandable to modern consumers as it is conceptually </w:t>
            </w:r>
            <w:proofErr w:type="gramStart"/>
            <w:r w:rsidRPr="00050A5B">
              <w:rPr>
                <w:rFonts w:eastAsia="SimSun" w:cs="Calibri"/>
                <w:szCs w:val="18"/>
              </w:rPr>
              <w:t>similar to</w:t>
            </w:r>
            <w:proofErr w:type="gramEnd"/>
            <w:r w:rsidRPr="00050A5B">
              <w:rPr>
                <w:rFonts w:eastAsia="SimSun" w:cs="Calibri"/>
                <w:szCs w:val="18"/>
              </w:rPr>
              <w:t xml:space="preserve"> other existing familiar peer-to-peer exchange platforms like social media, and shares many of the same features (self-organisation, absence of traditional hierarchies and social structures, open collaboration, self-expression, bottom-up creativity).</w:t>
            </w:r>
          </w:p>
        </w:tc>
      </w:tr>
      <w:tr w:rsidR="00FA0887" w:rsidRPr="00050A5B" w14:paraId="538ABC02"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1E5DD37" w14:textId="77777777" w:rsidR="00FA0887" w:rsidRPr="00050A5B" w:rsidRDefault="00FA0887">
            <w:pPr>
              <w:spacing w:before="120" w:after="120" w:line="288" w:lineRule="auto"/>
              <w:rPr>
                <w:rFonts w:eastAsia="SimSun" w:cs="Calibri"/>
                <w:szCs w:val="18"/>
              </w:rPr>
            </w:pPr>
            <w:r w:rsidRPr="00050A5B">
              <w:rPr>
                <w:rFonts w:eastAsia="SimSun" w:cs="Calibri"/>
                <w:szCs w:val="18"/>
              </w:rPr>
              <w:t>2022-11 R. Ben-David – Minimising Consumer Harm for a Successful Energy Transition</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A6443D2" w14:textId="77777777" w:rsidR="00FA0887" w:rsidRPr="00050A5B" w:rsidRDefault="00FA0887">
            <w:pPr>
              <w:spacing w:before="120" w:after="120" w:line="288" w:lineRule="auto"/>
              <w:rPr>
                <w:rFonts w:eastAsia="SimSun" w:cs="Calibri"/>
                <w:szCs w:val="18"/>
              </w:rPr>
            </w:pPr>
            <w:r w:rsidRPr="00050A5B">
              <w:rPr>
                <w:rFonts w:eastAsia="SimSun" w:cs="Calibri"/>
                <w:szCs w:val="18"/>
              </w:rPr>
              <w:t>Regulatory frameworks are designed with the cognitive and time-based limitations faced by consumers in mind, rather than assuming fair outcomes are enabled by full engagement as a default requirement. The regulation is oriented toward protecting consumers from undue complexity and decision fatigue, recognising that most households do not have the ability or desire to continuously manage dynamic pricing, variable products, or energy risk on a multi time scale basis. Consumers do not feel that complexity is a barrier to participation, or that successful interaction with the power system requires them to navigate overwhelming optionality.</w:t>
            </w:r>
          </w:p>
        </w:tc>
      </w:tr>
      <w:tr w:rsidR="00FA0887" w:rsidRPr="00050A5B" w14:paraId="2306A10E"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C5B8813" w14:textId="77777777" w:rsidR="00FA0887" w:rsidRPr="00050A5B" w:rsidRDefault="00FA0887">
            <w:pPr>
              <w:spacing w:before="120" w:after="120" w:line="288" w:lineRule="auto"/>
              <w:rPr>
                <w:rFonts w:eastAsia="SimSun" w:cs="Calibri"/>
                <w:szCs w:val="18"/>
              </w:rPr>
            </w:pPr>
            <w:r w:rsidRPr="00050A5B">
              <w:rPr>
                <w:rFonts w:eastAsia="SimSun" w:cs="Calibri"/>
                <w:szCs w:val="18"/>
              </w:rPr>
              <w:t>2023-12 Energy Consumers Australia – Understanding the Energy Divide – Explainer</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E7FF13C" w14:textId="77777777" w:rsidR="00FA0887" w:rsidRPr="00050A5B" w:rsidRDefault="00FA0887">
            <w:pPr>
              <w:spacing w:before="120" w:after="120" w:line="288" w:lineRule="auto"/>
              <w:rPr>
                <w:rFonts w:eastAsia="SimSun" w:cs="Calibri"/>
                <w:szCs w:val="18"/>
              </w:rPr>
            </w:pPr>
            <w:r w:rsidRPr="00050A5B">
              <w:rPr>
                <w:rFonts w:eastAsia="SimSun" w:cs="Calibri"/>
                <w:szCs w:val="18"/>
              </w:rPr>
              <w:t>The energy system ensures that complexity does not act as a barrier to fair participation, particularly for those already facing social or financial disadvantage. Systems are simplified and coordinated to ensure that all consumers, regardless of technical knowledge or time, can navigate their energy choices with confidence and ease.</w:t>
            </w:r>
          </w:p>
          <w:p w14:paraId="7D564457" w14:textId="77777777" w:rsidR="00FA0887" w:rsidRPr="00050A5B" w:rsidRDefault="00FA0887">
            <w:pPr>
              <w:spacing w:before="120" w:after="120" w:line="288" w:lineRule="auto"/>
              <w:rPr>
                <w:rFonts w:eastAsia="SimSun" w:cs="Calibri"/>
                <w:szCs w:val="18"/>
              </w:rPr>
            </w:pPr>
            <w:r w:rsidRPr="00050A5B">
              <w:rPr>
                <w:rFonts w:eastAsia="SimSun" w:cs="Calibri"/>
                <w:szCs w:val="18"/>
              </w:rPr>
              <w:t>Market actors demonstrate proactive efforts to minimise ‘</w:t>
            </w:r>
            <w:proofErr w:type="spellStart"/>
            <w:r w:rsidRPr="00050A5B">
              <w:rPr>
                <w:rFonts w:eastAsia="SimSun" w:cs="Calibri"/>
                <w:szCs w:val="18"/>
              </w:rPr>
              <w:t>confusopoly</w:t>
            </w:r>
            <w:proofErr w:type="spellEnd"/>
            <w:r w:rsidRPr="00050A5B">
              <w:rPr>
                <w:rFonts w:eastAsia="SimSun" w:cs="Calibri"/>
                <w:szCs w:val="18"/>
              </w:rPr>
              <w:t>’ effects, by streamlining interactions across retailers, installers, tradespeople, and technology providers. Information and support are intuitive for people not familiar with the industry, and there is no requirement for consumers to actively manage multiple energy-related decisions and contracts in real time.</w:t>
            </w:r>
          </w:p>
          <w:p w14:paraId="7188AAA0" w14:textId="77777777" w:rsidR="00FA0887" w:rsidRPr="00050A5B" w:rsidRDefault="00FA0887">
            <w:pPr>
              <w:spacing w:before="120" w:after="120" w:line="288" w:lineRule="auto"/>
              <w:rPr>
                <w:rFonts w:eastAsia="SimSun" w:cs="Calibri"/>
                <w:szCs w:val="18"/>
              </w:rPr>
            </w:pPr>
            <w:r w:rsidRPr="00050A5B">
              <w:rPr>
                <w:rFonts w:eastAsia="SimSun" w:cs="Calibri"/>
                <w:szCs w:val="18"/>
              </w:rPr>
              <w:t>Special attention is given to protecting vulnerable households, recognising that those most affected by rising energy costs and inefficient housing generally have the least capacity to absorb such impacts.</w:t>
            </w:r>
          </w:p>
        </w:tc>
      </w:tr>
    </w:tbl>
    <w:p w14:paraId="505D6356" w14:textId="77777777" w:rsidR="00FA0887" w:rsidRPr="00050A5B" w:rsidRDefault="00FA0887" w:rsidP="00FA0887">
      <w:pPr>
        <w:spacing w:before="120" w:after="120" w:line="288" w:lineRule="auto"/>
        <w:rPr>
          <w:szCs w:val="18"/>
          <w:lang w:eastAsia="en-US" w:bidi="ar-SA"/>
        </w:rPr>
      </w:pPr>
    </w:p>
    <w:p w14:paraId="29B8BE7F" w14:textId="77777777" w:rsidR="00FA0887" w:rsidRPr="00050A5B" w:rsidRDefault="00FA0887" w:rsidP="00FA0887">
      <w:bookmarkStart w:id="136" w:name="_Toc130207569"/>
      <w:r w:rsidRPr="00050A5B">
        <w:br w:type="page"/>
      </w:r>
    </w:p>
    <w:tbl>
      <w:tblPr>
        <w:tblStyle w:val="TableGrid5"/>
        <w:tblW w:w="5002"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4"/>
        <w:gridCol w:w="5959"/>
      </w:tblGrid>
      <w:tr w:rsidR="00FA0887" w:rsidRPr="00050A5B" w14:paraId="19B3F12B"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F70E953" w14:textId="77777777" w:rsidR="00FA0887" w:rsidRPr="00050A5B" w:rsidRDefault="00FA0887" w:rsidP="003F223E">
            <w:pPr>
              <w:pStyle w:val="Heading2"/>
              <w:numPr>
                <w:ilvl w:val="1"/>
                <w:numId w:val="9"/>
              </w:numPr>
              <w:spacing w:before="120"/>
              <w:ind w:left="578" w:right="313" w:hanging="556"/>
              <w:jc w:val="center"/>
              <w:rPr>
                <w:rFonts w:eastAsia="SimHei" w:cs="Calibri"/>
                <w:b/>
                <w:caps/>
                <w:color w:val="FAFAFA" w:themeColor="background1"/>
                <w:sz w:val="20"/>
                <w:szCs w:val="20"/>
              </w:rPr>
            </w:pPr>
            <w:bookmarkStart w:id="137" w:name="_Toc205362715"/>
            <w:bookmarkStart w:id="138" w:name="_Toc205536780"/>
            <w:bookmarkEnd w:id="136"/>
            <w:r w:rsidRPr="00050A5B">
              <w:rPr>
                <w:caps/>
                <w:color w:val="FAFAFA" w:themeColor="background1"/>
                <w:sz w:val="20"/>
                <w:szCs w:val="24"/>
                <w:lang w:eastAsia="en-US" w:bidi="ar-SA"/>
              </w:rPr>
              <w:t>Empowering</w:t>
            </w:r>
            <w:r w:rsidRPr="00050A5B">
              <w:rPr>
                <w:color w:val="FAFAFA" w:themeColor="background1"/>
                <w:sz w:val="20"/>
                <w:szCs w:val="24"/>
                <w:lang w:eastAsia="en-US" w:bidi="ar-SA"/>
              </w:rPr>
              <w:t>: Advances Customer and Community Agency, Optionality, and Customisation</w:t>
            </w:r>
            <w:bookmarkEnd w:id="137"/>
            <w:bookmarkEnd w:id="138"/>
          </w:p>
        </w:tc>
      </w:tr>
      <w:tr w:rsidR="00FA0887" w:rsidRPr="00050A5B" w14:paraId="2C666C71" w14:textId="77777777">
        <w:trPr>
          <w:trHeight w:val="454"/>
          <w:tblHeader/>
        </w:trPr>
        <w:tc>
          <w:tcPr>
            <w:tcW w:w="1372"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737B432" w14:textId="77777777" w:rsidR="00FA0887" w:rsidRPr="00050A5B" w:rsidRDefault="00FA0887">
            <w:pPr>
              <w:spacing w:before="120" w:after="120" w:line="288" w:lineRule="auto"/>
              <w:jc w:val="center"/>
              <w:rPr>
                <w:rFonts w:eastAsia="Proxima Nova Light" w:cs="Calibri"/>
                <w:b/>
                <w:szCs w:val="18"/>
              </w:rPr>
            </w:pPr>
            <w:bookmarkStart w:id="139" w:name="_Toc130207570"/>
            <w:r w:rsidRPr="00050A5B">
              <w:rPr>
                <w:rFonts w:eastAsia="Proxima Nova Light" w:cs="Calibri"/>
                <w:b/>
                <w:szCs w:val="18"/>
              </w:rPr>
              <w:t>Source</w:t>
            </w:r>
            <w:bookmarkEnd w:id="139"/>
          </w:p>
        </w:tc>
        <w:tc>
          <w:tcPr>
            <w:tcW w:w="3628"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1F08B723" w14:textId="77777777" w:rsidR="00FA0887" w:rsidRPr="00050A5B" w:rsidRDefault="00FA0887">
            <w:pPr>
              <w:spacing w:before="120" w:after="120" w:line="288" w:lineRule="auto"/>
              <w:jc w:val="center"/>
              <w:rPr>
                <w:rFonts w:eastAsia="Proxima Nova Light" w:cs="Calibri"/>
                <w:b/>
                <w:szCs w:val="18"/>
              </w:rPr>
            </w:pPr>
            <w:bookmarkStart w:id="140" w:name="_Toc130207571"/>
            <w:r w:rsidRPr="00050A5B">
              <w:rPr>
                <w:rFonts w:eastAsia="Proxima Nova Light" w:cs="Calibri"/>
                <w:b/>
                <w:szCs w:val="18"/>
              </w:rPr>
              <w:t>Stated Or Inferred Objectives (Future Tense)</w:t>
            </w:r>
            <w:bookmarkEnd w:id="140"/>
          </w:p>
        </w:tc>
      </w:tr>
      <w:tr w:rsidR="00FA0887" w:rsidRPr="00050A5B" w14:paraId="2A3CA0F6" w14:textId="77777777">
        <w:trPr>
          <w:trHeight w:val="737"/>
        </w:trPr>
        <w:tc>
          <w:tcPr>
            <w:tcW w:w="1372" w:type="pct"/>
            <w:tcBorders>
              <w:top w:val="single" w:sz="4" w:space="0" w:color="FAFAFA" w:themeColor="background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705B03C3"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2022-06 ECA - A fit-for-purpose consumer agency and protection</w:t>
            </w:r>
          </w:p>
        </w:tc>
        <w:tc>
          <w:tcPr>
            <w:tcW w:w="3628" w:type="pct"/>
            <w:tcBorders>
              <w:top w:val="single" w:sz="4" w:space="0" w:color="FAFAFA" w:themeColor="background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6EAC5270"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Consumer </w:t>
            </w:r>
            <w:r w:rsidRPr="00050A5B">
              <w:rPr>
                <w:rFonts w:eastAsia="SimSun" w:cs="Calibri"/>
                <w:szCs w:val="18"/>
              </w:rPr>
              <w:t>agency is enshrined in the regulation</w:t>
            </w:r>
            <w:r w:rsidRPr="00050A5B">
              <w:rPr>
                <w:rFonts w:eastAsia="Proxima Nova Light" w:cs="Calibri"/>
                <w:szCs w:val="18"/>
              </w:rPr>
              <w:t xml:space="preserve"> of the power system.</w:t>
            </w:r>
          </w:p>
          <w:p w14:paraId="63E3839A"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Business models arise from out of familiarity with how energy services are bought - starting with consumers' diverse needs and preferences including: convenience, minimising entities consumers contract with, shared services such as local storage and bulk hot water, pricing optionality so consumers can manage their own risk.</w:t>
            </w:r>
          </w:p>
        </w:tc>
      </w:tr>
      <w:tr w:rsidR="00FA0887" w:rsidRPr="00050A5B" w14:paraId="17CBB932" w14:textId="77777777">
        <w:trPr>
          <w:trHeight w:val="4226"/>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0CEB93EB"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2022-03 ECA - Feedback on the Draft AER Consumer Vulnerability Strategy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4496633B"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Energy companies enable potential and existing customers to make informed tariff and consumption choices. Suppliers provide consumers with information, services, and/or tools that help customers:</w:t>
            </w:r>
          </w:p>
          <w:p w14:paraId="5869A580" w14:textId="77777777" w:rsidR="00FA0887" w:rsidRPr="00050A5B" w:rsidRDefault="00FA0887" w:rsidP="003F223E">
            <w:pPr>
              <w:numPr>
                <w:ilvl w:val="0"/>
                <w:numId w:val="4"/>
              </w:numPr>
              <w:spacing w:before="120" w:after="120" w:line="288" w:lineRule="auto"/>
              <w:contextualSpacing/>
              <w:rPr>
                <w:rFonts w:eastAsia="SimSun" w:cs="Calibri"/>
                <w:szCs w:val="18"/>
              </w:rPr>
            </w:pPr>
            <w:r w:rsidRPr="00050A5B">
              <w:rPr>
                <w:rFonts w:eastAsia="Proxima Nova Light" w:cs="Calibri"/>
                <w:szCs w:val="18"/>
              </w:rPr>
              <w:t>Understand the key features of the product/service offering, including any charges, fees, and associated payments</w:t>
            </w:r>
          </w:p>
          <w:p w14:paraId="67FEFBE2" w14:textId="77777777" w:rsidR="00FA0887" w:rsidRPr="00050A5B" w:rsidRDefault="00FA0887" w:rsidP="003F223E">
            <w:pPr>
              <w:numPr>
                <w:ilvl w:val="0"/>
                <w:numId w:val="4"/>
              </w:numPr>
              <w:spacing w:before="120" w:after="120" w:line="288" w:lineRule="auto"/>
              <w:contextualSpacing/>
              <w:rPr>
                <w:rFonts w:eastAsia="SimSun" w:cs="Calibri"/>
                <w:szCs w:val="18"/>
              </w:rPr>
            </w:pPr>
            <w:r w:rsidRPr="00050A5B">
              <w:rPr>
                <w:rFonts w:eastAsia="Proxima Nova Light" w:cs="Calibri"/>
                <w:szCs w:val="18"/>
              </w:rPr>
              <w:t xml:space="preserve">Make informed choices about how they manage their costs and consumption, including when and how much energy they consume, and other significant relevant quantified factors, such as efficiency and flexibility. </w:t>
            </w:r>
            <w:r w:rsidRPr="00050A5B">
              <w:rPr>
                <w:rFonts w:eastAsia="SimSun" w:cs="Calibri"/>
                <w:szCs w:val="18"/>
              </w:rPr>
              <w:br/>
            </w:r>
          </w:p>
          <w:p w14:paraId="3C120BE1"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Further, energy companies provide consumers with clear and accessible information that helps them understand that they can switch their current product/service offering and supplier.</w:t>
            </w:r>
          </w:p>
          <w:p w14:paraId="1B5E9D78"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Customer agency goes beyond simply regulating suppliers and the information they need to provide, and transitions to considering what is needed for consumer decision making and building customer confidence and trust. Revised energy market structures provide a wide range of competitive, affordable, and accessible options for consumers.</w:t>
            </w:r>
          </w:p>
        </w:tc>
      </w:tr>
      <w:tr w:rsidR="00FA0887" w:rsidRPr="00050A5B" w14:paraId="33D7E452" w14:textId="77777777" w:rsidTr="00E54A95">
        <w:trPr>
          <w:trHeight w:val="3988"/>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7D8C7A45" w14:textId="5EDD2A71" w:rsidR="00FA0887" w:rsidRPr="00050A5B" w:rsidRDefault="00FA0887">
            <w:pPr>
              <w:spacing w:before="120" w:after="120" w:line="288" w:lineRule="auto"/>
              <w:rPr>
                <w:rFonts w:eastAsia="SimSun" w:cs="Calibri"/>
                <w:szCs w:val="18"/>
              </w:rPr>
            </w:pPr>
            <w:r w:rsidRPr="00050A5B">
              <w:rPr>
                <w:rFonts w:eastAsia="SimSun" w:cs="Calibri"/>
                <w:szCs w:val="18"/>
              </w:rPr>
              <w:t xml:space="preserve">2021-12 </w:t>
            </w:r>
            <w:r w:rsidR="00E54A95" w:rsidRPr="00050A5B">
              <w:rPr>
                <w:rFonts w:eastAsia="SimSun" w:cs="Calibri"/>
                <w:szCs w:val="18"/>
              </w:rPr>
              <w:t>RACE</w:t>
            </w:r>
            <w:r w:rsidRPr="00050A5B">
              <w:rPr>
                <w:rFonts w:eastAsia="SimSun" w:cs="Calibri"/>
                <w:szCs w:val="18"/>
              </w:rPr>
              <w:t xml:space="preserve"> for 2030 - Tariffs for Rewarding Flexible Demand</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13B915F" w14:textId="77777777" w:rsidR="00FA0887" w:rsidRPr="00050A5B" w:rsidRDefault="00FA0887">
            <w:pPr>
              <w:spacing w:before="120" w:after="120" w:line="288" w:lineRule="auto"/>
              <w:rPr>
                <w:rFonts w:eastAsia="SimSun" w:cs="Calibri"/>
                <w:szCs w:val="18"/>
              </w:rPr>
            </w:pPr>
            <w:r w:rsidRPr="00050A5B">
              <w:rPr>
                <w:rFonts w:eastAsia="SimSun" w:cs="Calibri"/>
                <w:szCs w:val="18"/>
              </w:rPr>
              <w:t>Incentives are appropriately designed around household diversity, abilities, opportunities and values and availability of controllable discretionary loads to time-shift via automation or otherwise.</w:t>
            </w:r>
          </w:p>
          <w:p w14:paraId="354496FF"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Consumers are </w:t>
            </w:r>
            <w:r w:rsidRPr="00050A5B">
              <w:rPr>
                <w:rFonts w:eastAsia="SimSun" w:cs="Calibri"/>
                <w:szCs w:val="18"/>
              </w:rPr>
              <w:t>comfortable with using enabling technologies</w:t>
            </w:r>
            <w:r w:rsidRPr="00050A5B">
              <w:rPr>
                <w:rFonts w:eastAsia="Proxima Nova Light" w:cs="Calibri"/>
                <w:szCs w:val="18"/>
              </w:rPr>
              <w:t xml:space="preserve"> </w:t>
            </w:r>
            <w:r w:rsidRPr="00050A5B">
              <w:rPr>
                <w:rFonts w:eastAsia="SimSun" w:cs="Calibri"/>
                <w:szCs w:val="18"/>
              </w:rPr>
              <w:t>to manage flexible loads</w:t>
            </w:r>
            <w:r w:rsidRPr="00050A5B">
              <w:rPr>
                <w:rFonts w:eastAsia="Proxima Nova Light" w:cs="Calibri"/>
                <w:szCs w:val="18"/>
              </w:rPr>
              <w:t>, such as inputting default energy use priorities and choices for autonomous management, integrating smart appliances into home energy setup, and remote activation of discretionary loads.</w:t>
            </w:r>
          </w:p>
          <w:p w14:paraId="6C5C8143"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Consumers use advanced but simple monitoring tools that provide visualisation of energy use (and/or generation) which support households in understanding the energy use and costs of their appliances and in assessing the impact of load-shifting.</w:t>
            </w:r>
          </w:p>
        </w:tc>
      </w:tr>
      <w:tr w:rsidR="00FA0887" w:rsidRPr="00050A5B" w14:paraId="115CEEA9" w14:textId="77777777">
        <w:trPr>
          <w:trHeight w:val="862"/>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7C5EF6BA"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622C2EB6" w14:textId="77777777" w:rsidR="00FA0887" w:rsidRPr="00050A5B" w:rsidRDefault="00FA0887">
            <w:pPr>
              <w:spacing w:before="120" w:after="120" w:line="288" w:lineRule="auto"/>
              <w:rPr>
                <w:rFonts w:eastAsia="Proxima Nova Light" w:cs="Calibri"/>
                <w:szCs w:val="18"/>
              </w:rPr>
            </w:pP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5408E0BF" w14:textId="77777777" w:rsidR="00FA0887" w:rsidRPr="00050A5B" w:rsidRDefault="00FA0887">
            <w:pPr>
              <w:spacing w:before="120" w:after="120" w:line="288" w:lineRule="auto"/>
              <w:rPr>
                <w:rFonts w:eastAsia="SimSun" w:cs="Calibri"/>
                <w:szCs w:val="18"/>
              </w:rPr>
            </w:pPr>
            <w:r w:rsidRPr="00050A5B">
              <w:rPr>
                <w:rFonts w:eastAsia="SimSun" w:cs="Calibri"/>
                <w:szCs w:val="18"/>
              </w:rPr>
              <w:t>Demand side solutions moderate investment in new bulk generation and storage, backed by a robust understanding of consumers.</w:t>
            </w:r>
          </w:p>
          <w:p w14:paraId="73A2D70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Advanced </w:t>
            </w:r>
            <w:r w:rsidRPr="00050A5B">
              <w:rPr>
                <w:rFonts w:eastAsia="SimSun" w:cs="Calibri"/>
                <w:szCs w:val="18"/>
              </w:rPr>
              <w:t>metering makes consumption more</w:t>
            </w:r>
            <w:r w:rsidRPr="00050A5B">
              <w:rPr>
                <w:rFonts w:eastAsia="Proxima Nova Light" w:cs="Calibri"/>
                <w:szCs w:val="18"/>
              </w:rPr>
              <w:t xml:space="preserve"> transparent, allowing consumers who wish to do so to be more actively involved in the energy market.</w:t>
            </w:r>
          </w:p>
          <w:p w14:paraId="4920FB7E"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User-friendly phone apps can make real-time decision making around energy consumption as quick and easy as checking your bank balance or arranging a date.</w:t>
            </w:r>
          </w:p>
        </w:tc>
      </w:tr>
      <w:tr w:rsidR="00FA0887" w:rsidRPr="00050A5B" w14:paraId="6FA271F2" w14:textId="77777777">
        <w:trPr>
          <w:trHeight w:val="1243"/>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353C93B9"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2021-09 ECA - </w:t>
            </w:r>
            <w:proofErr w:type="spellStart"/>
            <w:r w:rsidRPr="00050A5B">
              <w:rPr>
                <w:rFonts w:eastAsia="Proxima Nova Light" w:cs="Calibri"/>
                <w:szCs w:val="18"/>
              </w:rPr>
              <w:t>Foresighting</w:t>
            </w:r>
            <w:proofErr w:type="spellEnd"/>
            <w:r w:rsidRPr="00050A5B">
              <w:rPr>
                <w:rFonts w:eastAsia="Proxima Nova Light" w:cs="Calibri"/>
                <w:szCs w:val="18"/>
              </w:rPr>
              <w:t xml:space="preserve"> Forum - System Design Webinar</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6FFC013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Consumers are granted autonomy as to the degree of participation and the decisions they make about supporting grid objectives.</w:t>
            </w:r>
          </w:p>
          <w:p w14:paraId="31C8639E"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People and communities are empowered to implement local solutions to their energy needs.</w:t>
            </w:r>
          </w:p>
        </w:tc>
      </w:tr>
      <w:tr w:rsidR="00FA0887" w:rsidRPr="00050A5B" w14:paraId="7B0B6339" w14:textId="77777777">
        <w:trPr>
          <w:trHeight w:val="1134"/>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45FA510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2021-05 US DOE - A National Roadmap for Grid-Interactive Efficient Buildings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F03DDDA"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understand and are compelled to adoption by the value proposition of Grid-Interactive Efficient Buildings as capital costs decrease and maintenance requirements are better understood.</w:t>
            </w:r>
          </w:p>
          <w:p w14:paraId="4262B948"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understand and are comfortable with the risks of investment in Grid-Interactive Efficient Buildings and participation in the greater energy system through a mature familiarity with technologies assisted by broad dissemination of relevant information that supports decision making.</w:t>
            </w:r>
          </w:p>
          <w:p w14:paraId="606AC4C3"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Federal, state, and local codes and regulations regarding energy devices and systems are aligned and consistent, decreasing Grid-Interactive Efficient Building project costs and complexity.</w:t>
            </w:r>
          </w:p>
        </w:tc>
      </w:tr>
      <w:tr w:rsidR="00FA0887" w:rsidRPr="00050A5B" w14:paraId="4632CE25"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DD65872"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2020-09 ICL - The need for aligned vision and supporting strategies to deliver NZE grids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30BC936" w14:textId="77777777" w:rsidR="00FA0887" w:rsidRPr="00050A5B" w:rsidRDefault="00FA0887">
            <w:pPr>
              <w:spacing w:before="120" w:after="120" w:line="288" w:lineRule="auto"/>
              <w:rPr>
                <w:rFonts w:eastAsia="Proxima Nova Light" w:cs="Calibri"/>
                <w:szCs w:val="18"/>
              </w:rPr>
            </w:pPr>
            <w:proofErr w:type="gramStart"/>
            <w:r w:rsidRPr="00050A5B">
              <w:rPr>
                <w:rFonts w:eastAsia="Proxima Nova Light" w:cs="Calibri"/>
                <w:szCs w:val="18"/>
              </w:rPr>
              <w:t>The vast majority of</w:t>
            </w:r>
            <w:proofErr w:type="gramEnd"/>
            <w:r w:rsidRPr="00050A5B">
              <w:rPr>
                <w:rFonts w:eastAsia="Proxima Nova Light" w:cs="Calibri"/>
                <w:szCs w:val="18"/>
              </w:rPr>
              <w:t xml:space="preserve"> customers are engaging effectively </w:t>
            </w:r>
            <w:r w:rsidRPr="00050A5B">
              <w:rPr>
                <w:rFonts w:eastAsia="SimSun" w:cs="Calibri"/>
                <w:szCs w:val="18"/>
              </w:rPr>
              <w:t>in demand side management programs</w:t>
            </w:r>
            <w:r w:rsidRPr="00050A5B">
              <w:rPr>
                <w:rFonts w:eastAsia="Proxima Nova Light" w:cs="Calibri"/>
                <w:szCs w:val="18"/>
              </w:rPr>
              <w:t>. This mass participation is enabled by appropriately designed markets and technical infrastructures (e.g., smart meters and batteries) to deliver demand side management without the loss of individual comfort or experience or societal benefits.</w:t>
            </w:r>
          </w:p>
        </w:tc>
      </w:tr>
      <w:tr w:rsidR="00FA0887" w:rsidRPr="00050A5B" w14:paraId="35C5E6CC"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261B3DC1"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2020-05 Monash - Ron Ben-David on Two Sided Markets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7E1CE68F"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Consumers can efficiently, and with minimal pressure, process the choices they face, and feel confident in making the decision that is best for their personal circumstances that balances societal needs. The degree to which customers monitor electricity precises and decide how or when to participate is entirely based on their preferences of engagement frequency and intensity, rather than limited by the service or product offering of the businesses and technologies with which they are interacting.</w:t>
            </w:r>
          </w:p>
        </w:tc>
      </w:tr>
      <w:tr w:rsidR="00FA0887" w:rsidRPr="00050A5B" w14:paraId="68C62A5A"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0433FADA"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2019-10 FFRC - Electrification in a Peer-to-Peer Society</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592B2F6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The energy system is democratised as users are empowered to realise their personal and societal ambitions for energy, aided by the ability to form peer networks of like-minded energy users and jointly act in line with their values and priorities.</w:t>
            </w:r>
          </w:p>
        </w:tc>
      </w:tr>
      <w:tr w:rsidR="00FA0887" w:rsidRPr="00050A5B" w14:paraId="67FDF1D8"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1553B7C8"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2018-12 NREL - Electrification Futures Study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47BE3B83"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Energy companies have advanced consumer choice models for an expansive list of end-use technologies, to provide insights on the drivers of electric technology adoption. These models capture economic trade-offs between different technologies, customer preferences and behaviour, supply chain and infrastructure impacts, risks, financing, and integrated challenges and opportunities. These consumer choice models inform policymakers, guide R&amp;D strategies that lower costs and improve desirability and motivate engineering design to influence appropriate adoption.</w:t>
            </w:r>
          </w:p>
        </w:tc>
      </w:tr>
      <w:tr w:rsidR="00FA0887" w:rsidRPr="00050A5B" w14:paraId="5FE6A494" w14:textId="77777777">
        <w:trPr>
          <w:trHeight w:val="1134"/>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433E2D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2015-12 CSIRO &amp; ENA - Customer-centric Networks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591C66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Customers </w:t>
            </w:r>
            <w:r w:rsidRPr="00050A5B">
              <w:rPr>
                <w:rFonts w:eastAsia="SimSun" w:cs="Calibri"/>
                <w:szCs w:val="18"/>
              </w:rPr>
              <w:t>can compare competing electricity solutions</w:t>
            </w:r>
            <w:r w:rsidRPr="00050A5B">
              <w:rPr>
                <w:rFonts w:eastAsia="Proxima Nova Light" w:cs="Calibri"/>
                <w:szCs w:val="18"/>
              </w:rPr>
              <w:t xml:space="preserve"> based on each option’s ability to perform the combination of ‘jobs’ that they uniquely want done (including functional and financial ‘jobs’ as well as social and emotional ‘</w:t>
            </w:r>
            <w:proofErr w:type="gramStart"/>
            <w:r w:rsidRPr="00050A5B">
              <w:rPr>
                <w:rFonts w:eastAsia="Proxima Nova Light" w:cs="Calibri"/>
                <w:szCs w:val="18"/>
              </w:rPr>
              <w:t>jobs’</w:t>
            </w:r>
            <w:proofErr w:type="gramEnd"/>
            <w:r w:rsidRPr="00050A5B">
              <w:rPr>
                <w:rFonts w:eastAsia="Proxima Nova Light" w:cs="Calibri"/>
                <w:szCs w:val="18"/>
              </w:rPr>
              <w:t>)</w:t>
            </w:r>
          </w:p>
          <w:p w14:paraId="6475C3D2"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Customers are offered </w:t>
            </w:r>
            <w:r w:rsidRPr="00050A5B">
              <w:rPr>
                <w:rFonts w:eastAsia="SimSun" w:cs="Calibri"/>
                <w:szCs w:val="18"/>
              </w:rPr>
              <w:t>energy solutions that are highly</w:t>
            </w:r>
            <w:r w:rsidRPr="00050A5B">
              <w:rPr>
                <w:rFonts w:eastAsia="Proxima Nova Light" w:cs="Calibri"/>
                <w:szCs w:val="18"/>
              </w:rPr>
              <w:t xml:space="preserve"> customised and delivered in the emotionally and socially engaging ways that customers already expect from service providers outside the energy sector.</w:t>
            </w:r>
          </w:p>
          <w:p w14:paraId="14E63E09"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are offered simple, accessible choices, with the option of bundled products and services that conveniently combine technologies, data access and/or entertainment</w:t>
            </w:r>
          </w:p>
        </w:tc>
      </w:tr>
      <w:tr w:rsidR="00FA0887" w:rsidRPr="00050A5B" w14:paraId="057A4791"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2E449C48"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2014-05 CSIRO - Applying behavioural economics to understand energy consumer decision-making and behaviour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92C39D2"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Energy companies and policymakers ethically and effectively utilise social psychology learnings to inform the development of more efficient marketing, more user-friendly platform interfaces and processes, and more customer-focused regulation development.</w:t>
            </w:r>
          </w:p>
          <w:p w14:paraId="50B2E197"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Research indicates that Consumer choices and behaviour are </w:t>
            </w:r>
            <w:proofErr w:type="gramStart"/>
            <w:r w:rsidRPr="00050A5B">
              <w:rPr>
                <w:rFonts w:eastAsia="Proxima Nova Light" w:cs="Calibri"/>
                <w:szCs w:val="18"/>
              </w:rPr>
              <w:t>to a large extent understood</w:t>
            </w:r>
            <w:proofErr w:type="gramEnd"/>
            <w:r w:rsidRPr="00050A5B">
              <w:rPr>
                <w:rFonts w:eastAsia="Proxima Nova Light" w:cs="Calibri"/>
                <w:szCs w:val="18"/>
              </w:rPr>
              <w:t xml:space="preserve"> to be driven by cognitive biases, heuristics and other 'predictably irrational' tendencies. For example, people use mental shortcuts to cut through complexity, they dislike losses more than they like gains, prefer lower value certainties over higher-value risks, evaluate things in relative rather than absolute terms, and are heavily influenced by the people around them. However, these cognitive biases and motivational factors are often overlooked by practitioners and policymakers seeking to promote energy efficiency and conservation. </w:t>
            </w:r>
          </w:p>
          <w:p w14:paraId="79852F73"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To ensure cost-effectiveness and maximise return on investment, the objective is that energy companies and policies take these phenomena into account when developing strategies for encouraging renewable and sustainable energy use, and for motivating pro-environmental behaviour more broadly. By understanding these predictable deviations from economically rational behaviour, policymakers will be better placed to craft interventions that successfully bridge the gap between pro-environmental knowledge, values, attitudes and intentions, and the everyday energy-related behaviour of consumers.</w:t>
            </w:r>
          </w:p>
        </w:tc>
      </w:tr>
      <w:tr w:rsidR="00FA0887" w:rsidRPr="00050A5B" w14:paraId="15A2DA6E"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3F1831A9"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2023-02 Y. </w:t>
            </w:r>
            <w:proofErr w:type="spellStart"/>
            <w:r w:rsidRPr="00050A5B">
              <w:rPr>
                <w:rFonts w:eastAsia="Proxima Nova A Light" w:cs="Calibri"/>
                <w:szCs w:val="18"/>
              </w:rPr>
              <w:t>Strengers</w:t>
            </w:r>
            <w:proofErr w:type="spellEnd"/>
            <w:r w:rsidRPr="00050A5B">
              <w:rPr>
                <w:rFonts w:eastAsia="Proxima Nova A Light" w:cs="Calibri"/>
                <w:szCs w:val="18"/>
              </w:rPr>
              <w:t>, F. Kaviani, K. Dahlgren, H. Korsmeyer, S. Pink, L. Nicholls, and R. Martin – Digital Energy Futures: Scenarios for Future Living</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E35EBC6"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Customers are equipped with intuitive tools, accessible information, and sufficient agency to engage with the system in ways that match their preferences and capacities. Energy offerings reflect a range of engagement levels, allowing people to participate deeply, opt out, or automate decisions without penalty. System design anticipates and adapts to diverse customer </w:t>
            </w:r>
            <w:proofErr w:type="gramStart"/>
            <w:r w:rsidRPr="00050A5B">
              <w:rPr>
                <w:rFonts w:eastAsia="Proxima Nova Light" w:cs="Calibri"/>
                <w:szCs w:val="18"/>
              </w:rPr>
              <w:t>behaviours, and</w:t>
            </w:r>
            <w:proofErr w:type="gramEnd"/>
            <w:r w:rsidRPr="00050A5B">
              <w:rPr>
                <w:rFonts w:eastAsia="Proxima Nova Light" w:cs="Calibri"/>
                <w:szCs w:val="18"/>
              </w:rPr>
              <w:t xml:space="preserve"> avoids default assumptions about technical literacy or willingness to engage. This socially attuned approach to planning supports customer empowerment by ensuring the future grid evolves in ways that reflect, rather than overlook, the diversity of lived experience.</w:t>
            </w:r>
          </w:p>
        </w:tc>
      </w:tr>
      <w:tr w:rsidR="00FA0887" w:rsidRPr="00050A5B" w14:paraId="08515F78"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23A27D16"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2024-07 Energy Consumers Australia – </w:t>
            </w:r>
            <w:proofErr w:type="spellStart"/>
            <w:r w:rsidRPr="00050A5B">
              <w:rPr>
                <w:rFonts w:eastAsia="Proxima Nova A Light" w:cs="Calibri"/>
                <w:szCs w:val="18"/>
              </w:rPr>
              <w:t>PowerUp</w:t>
            </w:r>
            <w:proofErr w:type="spellEnd"/>
            <w:r w:rsidRPr="00050A5B">
              <w:rPr>
                <w:rFonts w:eastAsia="Proxima Nova A Light" w:cs="Calibri"/>
                <w:szCs w:val="18"/>
              </w:rPr>
              <w:t>: Consumer Voices in the Energy Transition</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BA587A4"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Consumers have confidence that they retain autonomy over their energy use and data. Regulatory guardrails ensure that networked technologies and third-party control mechanisms protect customer privacy, uphold consent, and are trusted by users. </w:t>
            </w:r>
          </w:p>
        </w:tc>
      </w:tr>
      <w:tr w:rsidR="00FA0887" w:rsidRPr="00050A5B" w14:paraId="3BEC07B8"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34C83D9C"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2024-12 Australian Council of Social Service, Australian Industry Group, Energy Efficiency Council, and Property Council of Australia – Demanding Better: A Reform Agenda for Harnessing the Power and Flexibility of Demand Side Energy Resources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00F05A4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Policy and regulatory frameworks intrinsically advocate the rights of all consumers to access affordable energy. Governance structures remove barriers to engagement and provide customers with clear, coordinated, and supportive mechanisms for contributing demand-side services, that reinforce their role as a partner in the energy transition.</w:t>
            </w:r>
          </w:p>
          <w:p w14:paraId="1FC4DA2C"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Australia’s energy governance evolves to incorporate whole-of-system planning and learning from leading international models. New institutions or capabilities enable proactive coordination across regulatory and policy domains to support demand-side integration. Governance structures are responsive and forward-looking, able to adapt as consumer technologies, services, and needs evolve.</w:t>
            </w:r>
          </w:p>
          <w:p w14:paraId="5DF2852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A reformed regulatory framework explicitly reflects the public-good purpose of the energy system. By prioritising outcomes such as affordability, accessibility, environmental sustainability, and energy literacy, reforms rebuild public trust and ensure the energy system delivers meaningful benefits to current and future consumers. Demand-side governance is treated as a core pillar of a socially responsible energy system.</w:t>
            </w:r>
          </w:p>
        </w:tc>
      </w:tr>
    </w:tbl>
    <w:p w14:paraId="68F10372" w14:textId="77777777" w:rsidR="00FA0887" w:rsidRPr="00050A5B" w:rsidRDefault="00FA0887" w:rsidP="00FA0887">
      <w:pPr>
        <w:spacing w:before="120" w:after="120" w:line="288" w:lineRule="auto"/>
        <w:rPr>
          <w:szCs w:val="18"/>
          <w:lang w:eastAsia="en-US" w:bidi="ar-SA"/>
        </w:rPr>
      </w:pPr>
    </w:p>
    <w:p w14:paraId="011E11F2" w14:textId="77777777" w:rsidR="00FA0887" w:rsidRPr="00050A5B" w:rsidRDefault="00FA0887" w:rsidP="00FA0887">
      <w:bookmarkStart w:id="141" w:name="_Toc130207572"/>
      <w:r w:rsidRPr="00050A5B">
        <w:br w:type="page"/>
      </w:r>
    </w:p>
    <w:tbl>
      <w:tblPr>
        <w:tblStyle w:val="TableGrid7"/>
        <w:tblpPr w:leftFromText="180" w:rightFromText="180" w:vertAnchor="text" w:tblpY="1"/>
        <w:tblOverlap w:val="never"/>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shd w:val="clear" w:color="auto" w:fill="013C4C" w:themeFill="accent1"/>
        <w:tblCellMar>
          <w:left w:w="0" w:type="dxa"/>
          <w:right w:w="0" w:type="dxa"/>
        </w:tblCellMar>
        <w:tblLook w:val="04A0" w:firstRow="1" w:lastRow="0" w:firstColumn="1" w:lastColumn="0" w:noHBand="0" w:noVBand="1"/>
      </w:tblPr>
      <w:tblGrid>
        <w:gridCol w:w="2256"/>
        <w:gridCol w:w="5954"/>
      </w:tblGrid>
      <w:tr w:rsidR="00FA0887" w:rsidRPr="00050A5B" w14:paraId="036CF9DC" w14:textId="77777777">
        <w:trPr>
          <w:trHeight w:val="454"/>
          <w:tblHeader/>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9A3291B"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42" w:name="_Toc205362716"/>
            <w:bookmarkStart w:id="143" w:name="_Toc205536781"/>
            <w:bookmarkEnd w:id="141"/>
            <w:r w:rsidRPr="00050A5B">
              <w:rPr>
                <w:color w:val="FAFAFA" w:themeColor="background1"/>
                <w:sz w:val="20"/>
                <w:szCs w:val="24"/>
                <w:lang w:eastAsia="en-US" w:bidi="ar-SA"/>
              </w:rPr>
              <w:t>EXPANDABLE: Enables electrification of transport, building services and industrial processes</w:t>
            </w:r>
            <w:bookmarkEnd w:id="142"/>
            <w:bookmarkEnd w:id="143"/>
          </w:p>
        </w:tc>
      </w:tr>
      <w:tr w:rsidR="00FA0887" w:rsidRPr="00050A5B" w14:paraId="16E05DA4" w14:textId="77777777">
        <w:trPr>
          <w:trHeight w:val="454"/>
          <w:tblHeader/>
        </w:trPr>
        <w:tc>
          <w:tcPr>
            <w:tcW w:w="137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06BA0E1E" w14:textId="77777777" w:rsidR="00FA0887" w:rsidRPr="00050A5B" w:rsidRDefault="00FA0887">
            <w:pPr>
              <w:spacing w:before="120" w:after="120" w:line="288" w:lineRule="auto"/>
              <w:jc w:val="center"/>
              <w:rPr>
                <w:rFonts w:eastAsia="Proxima Nova Light" w:cs="Calibri"/>
                <w:b/>
                <w:szCs w:val="18"/>
              </w:rPr>
            </w:pPr>
            <w:r w:rsidRPr="00050A5B">
              <w:rPr>
                <w:rFonts w:eastAsia="Proxima Nova Light" w:cs="Calibri"/>
                <w:b/>
                <w:szCs w:val="18"/>
              </w:rPr>
              <w:t>Source</w:t>
            </w:r>
          </w:p>
        </w:tc>
        <w:tc>
          <w:tcPr>
            <w:tcW w:w="362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ABC5A49" w14:textId="77777777" w:rsidR="00FA0887" w:rsidRPr="00050A5B" w:rsidRDefault="00FA0887">
            <w:pPr>
              <w:spacing w:before="120" w:after="120" w:line="288" w:lineRule="auto"/>
              <w:jc w:val="center"/>
              <w:rPr>
                <w:rFonts w:eastAsia="Proxima Nova Light" w:cs="Calibri"/>
                <w:b/>
                <w:szCs w:val="18"/>
              </w:rPr>
            </w:pPr>
            <w:r w:rsidRPr="00050A5B">
              <w:rPr>
                <w:rFonts w:eastAsia="Proxima Nova Light" w:cs="Calibri"/>
                <w:b/>
                <w:szCs w:val="18"/>
              </w:rPr>
              <w:t>Stated or Inferred Objectives (Future Tense)</w:t>
            </w:r>
          </w:p>
        </w:tc>
      </w:tr>
    </w:tbl>
    <w:tbl>
      <w:tblPr>
        <w:tblStyle w:val="TableGrid6"/>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tblCellMar>
          <w:left w:w="0" w:type="dxa"/>
          <w:right w:w="0" w:type="dxa"/>
        </w:tblCellMar>
        <w:tblLook w:val="04A0" w:firstRow="1" w:lastRow="0" w:firstColumn="1" w:lastColumn="0" w:noHBand="0" w:noVBand="1"/>
      </w:tblPr>
      <w:tblGrid>
        <w:gridCol w:w="2256"/>
        <w:gridCol w:w="5954"/>
      </w:tblGrid>
      <w:tr w:rsidR="00FA0887" w:rsidRPr="00050A5B" w14:paraId="31531644" w14:textId="77777777">
        <w:tc>
          <w:tcPr>
            <w:tcW w:w="1374" w:type="pct"/>
            <w:shd w:val="clear" w:color="auto" w:fill="FFFFFF"/>
            <w:tcMar>
              <w:top w:w="113" w:type="dxa"/>
              <w:left w:w="113" w:type="dxa"/>
              <w:bottom w:w="113" w:type="dxa"/>
              <w:right w:w="113" w:type="dxa"/>
            </w:tcMar>
          </w:tcPr>
          <w:p w14:paraId="38751C1E"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2022-06 Caltech Energy - Cutting US global warming gas emissions in half by 2030 </w:t>
            </w:r>
            <w:r w:rsidRPr="00050A5B">
              <w:rPr>
                <w:rFonts w:eastAsia="Proxima Nova Light" w:cs="Calibri"/>
                <w:szCs w:val="18"/>
              </w:rPr>
              <w:t xml:space="preserve"> </w:t>
            </w:r>
          </w:p>
        </w:tc>
        <w:tc>
          <w:tcPr>
            <w:tcW w:w="3626" w:type="pct"/>
            <w:tcMar>
              <w:top w:w="113" w:type="dxa"/>
              <w:left w:w="113" w:type="dxa"/>
              <w:bottom w:w="113" w:type="dxa"/>
              <w:right w:w="113" w:type="dxa"/>
            </w:tcMar>
          </w:tcPr>
          <w:p w14:paraId="7FC485EF"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Current consumer-based products that have high demand are replaced with demand-flexible products at the end of their lifetime over the next 5-10 years. These products include water heaters, pumps, dishwashers, cars, etc. End-users and consumers are educated and empowered to make more and better decisions around making their own household net zero. If each household has their own net zero plan, then the community will collectively achieve it as a cumulation of micro-incremental step functions.</w:t>
            </w:r>
          </w:p>
        </w:tc>
      </w:tr>
      <w:tr w:rsidR="00FA0887" w:rsidRPr="00050A5B" w14:paraId="75E701AE" w14:textId="77777777">
        <w:tc>
          <w:tcPr>
            <w:tcW w:w="1374" w:type="pct"/>
            <w:shd w:val="clear" w:color="auto" w:fill="FFFFFF"/>
            <w:tcMar>
              <w:top w:w="113" w:type="dxa"/>
              <w:left w:w="113" w:type="dxa"/>
              <w:bottom w:w="113" w:type="dxa"/>
              <w:right w:w="113" w:type="dxa"/>
            </w:tcMar>
          </w:tcPr>
          <w:p w14:paraId="5B89ECA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2021-10 ECA - Strategic Plan 2021-2024</w:t>
            </w:r>
          </w:p>
        </w:tc>
        <w:tc>
          <w:tcPr>
            <w:tcW w:w="3626" w:type="pct"/>
            <w:tcMar>
              <w:top w:w="113" w:type="dxa"/>
              <w:left w:w="113" w:type="dxa"/>
              <w:bottom w:w="113" w:type="dxa"/>
              <w:right w:w="113" w:type="dxa"/>
            </w:tcMar>
          </w:tcPr>
          <w:p w14:paraId="55493E47"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Localised, community-centred forms of generation, while more complex, are critical to a more robust system that is less radial and more networked. Community batteries, virtual power plants and co-located small-scale generation and storage facilities are embedded within communities. Power comes from </w:t>
            </w:r>
            <w:proofErr w:type="gramStart"/>
            <w:r w:rsidRPr="00050A5B">
              <w:rPr>
                <w:rFonts w:eastAsia="Proxima Nova Light" w:cs="Calibri"/>
                <w:szCs w:val="18"/>
              </w:rPr>
              <w:t>a large number of</w:t>
            </w:r>
            <w:proofErr w:type="gramEnd"/>
            <w:r w:rsidRPr="00050A5B">
              <w:rPr>
                <w:rFonts w:eastAsia="Proxima Nova Light" w:cs="Calibri"/>
                <w:szCs w:val="18"/>
              </w:rPr>
              <w:t xml:space="preserve"> diffuse and diverse sources such that the system is less vulnerable to failure caused by a single catastrophic event and therefore more resilient.</w:t>
            </w:r>
          </w:p>
        </w:tc>
      </w:tr>
      <w:tr w:rsidR="00FA0887" w:rsidRPr="00050A5B" w14:paraId="67476690" w14:textId="77777777">
        <w:tc>
          <w:tcPr>
            <w:tcW w:w="1374" w:type="pct"/>
            <w:shd w:val="clear" w:color="auto" w:fill="FFFFFF"/>
            <w:tcMar>
              <w:top w:w="113" w:type="dxa"/>
              <w:left w:w="113" w:type="dxa"/>
              <w:bottom w:w="113" w:type="dxa"/>
              <w:right w:w="113" w:type="dxa"/>
            </w:tcMar>
          </w:tcPr>
          <w:p w14:paraId="3A3872E3"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2021-10 UoM - EV Charging Consumer Survey</w:t>
            </w:r>
          </w:p>
        </w:tc>
        <w:tc>
          <w:tcPr>
            <w:tcW w:w="3626" w:type="pct"/>
            <w:tcMar>
              <w:top w:w="113" w:type="dxa"/>
              <w:left w:w="113" w:type="dxa"/>
              <w:bottom w:w="113" w:type="dxa"/>
              <w:right w:w="113" w:type="dxa"/>
            </w:tcMar>
          </w:tcPr>
          <w:p w14:paraId="229C3FEA"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Managed EV smart charging is widely adopted, supported by:</w:t>
            </w:r>
          </w:p>
          <w:p w14:paraId="5F4CB87E"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Clear and simple communication of monetary savings on offer.</w:t>
            </w:r>
          </w:p>
          <w:p w14:paraId="1D4E945D"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 xml:space="preserve">Third-party management and control that is performed via Apps that increase users’ sense of control over charging and decrease their feeling of uncertainty. </w:t>
            </w:r>
          </w:p>
          <w:p w14:paraId="6A9E7E69"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 xml:space="preserve">Clarity in data sharing and user privacy policies. </w:t>
            </w:r>
          </w:p>
          <w:p w14:paraId="5D647F0C"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 xml:space="preserve">Consumer awareness of environmental and community benefits. </w:t>
            </w:r>
          </w:p>
          <w:p w14:paraId="736AE7B1"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A perception that public charging is an easy and accessible backup plan.</w:t>
            </w:r>
          </w:p>
        </w:tc>
      </w:tr>
      <w:tr w:rsidR="00FA0887" w:rsidRPr="00050A5B" w14:paraId="5152E768" w14:textId="77777777">
        <w:tc>
          <w:tcPr>
            <w:tcW w:w="1374" w:type="pct"/>
            <w:shd w:val="clear" w:color="auto" w:fill="FFFFFF"/>
            <w:tcMar>
              <w:top w:w="113" w:type="dxa"/>
              <w:left w:w="113" w:type="dxa"/>
              <w:bottom w:w="113" w:type="dxa"/>
              <w:right w:w="113" w:type="dxa"/>
            </w:tcMar>
          </w:tcPr>
          <w:p w14:paraId="3936867E"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 xml:space="preserve">2021-09 ECA - </w:t>
            </w:r>
            <w:proofErr w:type="spellStart"/>
            <w:r w:rsidRPr="00050A5B">
              <w:rPr>
                <w:rFonts w:eastAsia="Proxima Nova Light" w:cs="Calibri"/>
                <w:szCs w:val="18"/>
              </w:rPr>
              <w:t>Foresighting</w:t>
            </w:r>
            <w:proofErr w:type="spellEnd"/>
            <w:r w:rsidRPr="00050A5B">
              <w:rPr>
                <w:rFonts w:eastAsia="Proxima Nova Light" w:cs="Calibri"/>
                <w:szCs w:val="18"/>
              </w:rPr>
              <w:t xml:space="preserve"> Forum - System Design Webinar</w:t>
            </w:r>
          </w:p>
        </w:tc>
        <w:tc>
          <w:tcPr>
            <w:tcW w:w="3626" w:type="pct"/>
            <w:tcMar>
              <w:top w:w="113" w:type="dxa"/>
              <w:left w:w="113" w:type="dxa"/>
              <w:bottom w:w="113" w:type="dxa"/>
              <w:right w:w="113" w:type="dxa"/>
            </w:tcMar>
          </w:tcPr>
          <w:p w14:paraId="7BD263FD"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Mechanisms to identify and understand consumer aspirations, expectations, concerns and emerging issues are in place.</w:t>
            </w:r>
          </w:p>
        </w:tc>
      </w:tr>
    </w:tbl>
    <w:p w14:paraId="74845C6A" w14:textId="77777777" w:rsidR="00FA0887" w:rsidRPr="00050A5B" w:rsidRDefault="00FA0887" w:rsidP="00FA0887">
      <w:bookmarkStart w:id="144" w:name="_Toc130207575"/>
    </w:p>
    <w:bookmarkEnd w:id="144"/>
    <w:p w14:paraId="14DA5455" w14:textId="77777777" w:rsidR="00FA0887" w:rsidRPr="00050A5B" w:rsidRDefault="00FA0887" w:rsidP="00FA0887">
      <w:r w:rsidRPr="00050A5B">
        <w:br w:type="page"/>
      </w:r>
    </w:p>
    <w:tbl>
      <w:tblPr>
        <w:tblStyle w:val="TableGrid7"/>
        <w:tblpPr w:leftFromText="180" w:rightFromText="180" w:vertAnchor="text" w:tblpY="1"/>
        <w:tblOverlap w:val="never"/>
        <w:tblW w:w="5003"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shd w:val="clear" w:color="auto" w:fill="013C4C" w:themeFill="accent1"/>
        <w:tblCellMar>
          <w:left w:w="0" w:type="dxa"/>
          <w:right w:w="0" w:type="dxa"/>
        </w:tblCellMar>
        <w:tblLook w:val="04A0" w:firstRow="1" w:lastRow="0" w:firstColumn="1" w:lastColumn="0" w:noHBand="0" w:noVBand="1"/>
      </w:tblPr>
      <w:tblGrid>
        <w:gridCol w:w="2261"/>
        <w:gridCol w:w="5954"/>
      </w:tblGrid>
      <w:tr w:rsidR="00FA0887" w:rsidRPr="00050A5B" w14:paraId="77C97D4F"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16E2043E" w14:textId="2B5D94E2"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kern w:val="2"/>
                <w:sz w:val="20"/>
                <w:szCs w:val="20"/>
                <w14:ligatures w14:val="standardContextual"/>
              </w:rPr>
            </w:pPr>
            <w:bookmarkStart w:id="145" w:name="_Toc205362717"/>
            <w:bookmarkStart w:id="146" w:name="_Toc205536782"/>
            <w:r w:rsidRPr="00050A5B">
              <w:rPr>
                <w:color w:val="FAFAFA" w:themeColor="background1"/>
                <w:sz w:val="20"/>
                <w:szCs w:val="24"/>
                <w:lang w:eastAsia="en-US" w:bidi="ar-SA"/>
              </w:rPr>
              <w:t>ADAPTABLE: Flexible and adaptive to change, including technological, regulatory and business model innovation</w:t>
            </w:r>
            <w:bookmarkEnd w:id="145"/>
            <w:bookmarkEnd w:id="146"/>
          </w:p>
        </w:tc>
      </w:tr>
      <w:tr w:rsidR="00FA0887" w:rsidRPr="00050A5B" w14:paraId="7632A416" w14:textId="77777777">
        <w:trPr>
          <w:trHeight w:val="454"/>
          <w:tblHeader/>
        </w:trPr>
        <w:tc>
          <w:tcPr>
            <w:tcW w:w="137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07D94826" w14:textId="77777777" w:rsidR="00FA0887" w:rsidRPr="00050A5B" w:rsidRDefault="00FA0887">
            <w:pPr>
              <w:spacing w:before="120" w:after="120" w:line="288" w:lineRule="auto"/>
              <w:jc w:val="center"/>
              <w:rPr>
                <w:rFonts w:eastAsia="Proxima Nova Light" w:cs="Calibri"/>
                <w:b/>
                <w:bCs/>
                <w:szCs w:val="18"/>
              </w:rPr>
            </w:pPr>
            <w:r w:rsidRPr="00050A5B">
              <w:rPr>
                <w:rFonts w:eastAsia="Proxima Nova Light" w:cs="Calibri"/>
                <w:b/>
                <w:bCs/>
                <w:szCs w:val="18"/>
              </w:rPr>
              <w:t>Source</w:t>
            </w:r>
          </w:p>
        </w:tc>
        <w:tc>
          <w:tcPr>
            <w:tcW w:w="362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35B18471" w14:textId="77777777" w:rsidR="00FA0887" w:rsidRPr="00050A5B" w:rsidRDefault="00FA0887">
            <w:pPr>
              <w:spacing w:before="120" w:after="120" w:line="288" w:lineRule="auto"/>
              <w:jc w:val="center"/>
              <w:rPr>
                <w:rFonts w:eastAsia="Proxima Nova Light" w:cs="Calibri"/>
                <w:b/>
                <w:bCs/>
                <w:szCs w:val="18"/>
              </w:rPr>
            </w:pPr>
            <w:r w:rsidRPr="00050A5B">
              <w:rPr>
                <w:rFonts w:eastAsia="Proxima Nova Light" w:cs="Calibri"/>
                <w:b/>
                <w:bCs/>
                <w:szCs w:val="18"/>
              </w:rPr>
              <w:t>Stated or Inferred Objectives (Future Tense)</w:t>
            </w:r>
          </w:p>
        </w:tc>
      </w:tr>
      <w:tr w:rsidR="00FA0887" w:rsidRPr="00050A5B" w14:paraId="650038CE" w14:textId="77777777">
        <w:tblPrEx>
          <w:shd w:val="clear" w:color="auto" w:fill="auto"/>
        </w:tblPrEx>
        <w:tc>
          <w:tcPr>
            <w:tcW w:w="1376" w:type="pct"/>
            <w:tcBorders>
              <w:top w:val="single" w:sz="4" w:space="0" w:color="FAFAFA" w:themeColor="background1"/>
            </w:tcBorders>
            <w:shd w:val="clear" w:color="auto" w:fill="FFFFFF"/>
            <w:tcMar>
              <w:top w:w="113" w:type="dxa"/>
              <w:left w:w="113" w:type="dxa"/>
              <w:bottom w:w="113" w:type="dxa"/>
              <w:right w:w="113" w:type="dxa"/>
            </w:tcMar>
          </w:tcPr>
          <w:p w14:paraId="0FCDD34F"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2021-01 ECA - Future Energy Vision Research - Households</w:t>
            </w:r>
          </w:p>
        </w:tc>
        <w:tc>
          <w:tcPr>
            <w:tcW w:w="3624" w:type="pct"/>
            <w:tcBorders>
              <w:top w:val="single" w:sz="4" w:space="0" w:color="FAFAFA" w:themeColor="background1"/>
            </w:tcBorders>
            <w:tcMar>
              <w:top w:w="113" w:type="dxa"/>
              <w:left w:w="113" w:type="dxa"/>
              <w:bottom w:w="113" w:type="dxa"/>
              <w:right w:w="113" w:type="dxa"/>
            </w:tcMar>
          </w:tcPr>
          <w:p w14:paraId="66304627"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Energy service providers align and adapt their products and services with the evolving and changing values across life-stages and generations.</w:t>
            </w:r>
          </w:p>
        </w:tc>
      </w:tr>
      <w:tr w:rsidR="00FA0887" w:rsidRPr="00050A5B" w14:paraId="558F90E3" w14:textId="77777777">
        <w:tblPrEx>
          <w:shd w:val="clear" w:color="auto" w:fill="auto"/>
        </w:tblPrEx>
        <w:trPr>
          <w:trHeight w:val="6948"/>
        </w:trPr>
        <w:tc>
          <w:tcPr>
            <w:tcW w:w="1376" w:type="pct"/>
            <w:shd w:val="clear" w:color="auto" w:fill="FFFFFF"/>
            <w:tcMar>
              <w:top w:w="113" w:type="dxa"/>
              <w:left w:w="113" w:type="dxa"/>
              <w:bottom w:w="113" w:type="dxa"/>
              <w:right w:w="113" w:type="dxa"/>
            </w:tcMar>
          </w:tcPr>
          <w:p w14:paraId="54903397"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2020-12 ECA - Social License for DER Control FINAL v2.0  </w:t>
            </w:r>
          </w:p>
        </w:tc>
        <w:tc>
          <w:tcPr>
            <w:tcW w:w="3624" w:type="pct"/>
            <w:tcMar>
              <w:top w:w="113" w:type="dxa"/>
              <w:left w:w="113" w:type="dxa"/>
              <w:bottom w:w="113" w:type="dxa"/>
              <w:right w:w="113" w:type="dxa"/>
            </w:tcMar>
          </w:tcPr>
          <w:p w14:paraId="3B181241"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Technical standards for hardware enable informed and competitive consumer choice to more interoperable </w:t>
            </w:r>
            <w:r w:rsidRPr="00050A5B">
              <w:rPr>
                <w:rFonts w:eastAsia="Proxima Nova Light" w:cs="Calibri"/>
                <w:szCs w:val="18"/>
              </w:rPr>
              <w:t>and</w:t>
            </w:r>
            <w:r w:rsidRPr="00050A5B">
              <w:rPr>
                <w:rFonts w:eastAsia="Proxima Nova A Light" w:cs="Calibri"/>
                <w:szCs w:val="18"/>
              </w:rPr>
              <w:t xml:space="preserve"> easily accessible product and services options. Hardware standards positively dictate the way in which consumers interact with their DER systems in terms of provision of information and manual over-rides to enable permanent or event-based opt-in or opt-out. The increased choice provided by well-designed hardware standards also reduces the effort/costs of gaining and maintaining a social licence.</w:t>
            </w:r>
          </w:p>
          <w:p w14:paraId="25811EC2" w14:textId="5401F22A" w:rsidR="00FA0887" w:rsidRPr="00050A5B" w:rsidRDefault="00FA0887">
            <w:pPr>
              <w:spacing w:before="120" w:after="120" w:line="288" w:lineRule="auto"/>
              <w:rPr>
                <w:rFonts w:eastAsia="SimSun" w:cs="Calibri"/>
                <w:szCs w:val="18"/>
              </w:rPr>
            </w:pPr>
            <w:r w:rsidRPr="00050A5B">
              <w:rPr>
                <w:rFonts w:eastAsia="Proxima Nova A Light" w:cs="Calibri"/>
                <w:szCs w:val="18"/>
              </w:rPr>
              <w:t>DER control programs are supported by technical standards that play a key role in ensuring that hardware and software limitations do not restrict the ability for consumers to opt-out, or that they do</w:t>
            </w:r>
            <w:r w:rsidR="00046FD8">
              <w:rPr>
                <w:rFonts w:eastAsia="Proxima Nova A Light" w:cs="Calibri"/>
                <w:szCs w:val="18"/>
              </w:rPr>
              <w:t xml:space="preserve"> not</w:t>
            </w:r>
            <w:r w:rsidRPr="00050A5B">
              <w:rPr>
                <w:rFonts w:eastAsia="Proxima Nova A Light" w:cs="Calibri"/>
                <w:szCs w:val="18"/>
              </w:rPr>
              <w:t xml:space="preserve"> increase the costs of opting-in. Interoperability and modular interfacing standards and practices are prioritised and enforced, so that DER controlled exclusively by proprietary communications technologies does not occur.  </w:t>
            </w:r>
          </w:p>
          <w:p w14:paraId="6585B577" w14:textId="77777777" w:rsidR="00FA0887" w:rsidRPr="00050A5B" w:rsidRDefault="00FA0887">
            <w:pPr>
              <w:spacing w:before="120" w:after="120" w:line="288" w:lineRule="auto"/>
              <w:rPr>
                <w:rFonts w:eastAsia="SimSun" w:cs="Calibri"/>
                <w:szCs w:val="18"/>
              </w:rPr>
            </w:pPr>
            <w:r w:rsidRPr="00050A5B">
              <w:rPr>
                <w:rFonts w:eastAsia="Proxima Nova A Light" w:cs="Calibri"/>
                <w:szCs w:val="18"/>
              </w:rPr>
              <w:t xml:space="preserve">A lack of interoperability has the potential to </w:t>
            </w:r>
            <w:r w:rsidRPr="00050A5B">
              <w:rPr>
                <w:rFonts w:eastAsia="Proxima Nova Light" w:cs="Calibri"/>
                <w:szCs w:val="18"/>
              </w:rPr>
              <w:t>lock a consumer with DER into a particular service arrangement</w:t>
            </w:r>
            <w:r w:rsidRPr="00050A5B">
              <w:rPr>
                <w:rFonts w:eastAsia="Proxima Nova A Light" w:cs="Calibri"/>
                <w:szCs w:val="18"/>
              </w:rPr>
              <w:t xml:space="preserve">. Should the consumer wish to change service provider, or integrate multiple DER systems from different brands, they may find that this is not technically possible without completely replacing one or </w:t>
            </w:r>
            <w:proofErr w:type="gramStart"/>
            <w:r w:rsidRPr="00050A5B">
              <w:rPr>
                <w:rFonts w:eastAsia="Proxima Nova A Light" w:cs="Calibri"/>
                <w:szCs w:val="18"/>
              </w:rPr>
              <w:t>all of</w:t>
            </w:r>
            <w:proofErr w:type="gramEnd"/>
            <w:r w:rsidRPr="00050A5B">
              <w:rPr>
                <w:rFonts w:eastAsia="Proxima Nova A Light" w:cs="Calibri"/>
                <w:szCs w:val="18"/>
              </w:rPr>
              <w:t xml:space="preserve"> their DER systems. A lack of interoperability has the potential to increase the costs of the DER control program by effectively forcing a consumer to stay with a higher cost or lower value provider. For example, a consumer with a non-interoperable solar and battery system who is receiving unacceptable service from the party undertaking the control, may have no option but to opt-out completely from the DER control program (or buy a new solar and battery system).</w:t>
            </w:r>
          </w:p>
        </w:tc>
      </w:tr>
      <w:tr w:rsidR="00FA0887" w:rsidRPr="00050A5B" w14:paraId="42F966E2" w14:textId="77777777">
        <w:tblPrEx>
          <w:shd w:val="clear" w:color="auto" w:fill="auto"/>
        </w:tblPrEx>
        <w:tc>
          <w:tcPr>
            <w:tcW w:w="1376" w:type="pct"/>
            <w:shd w:val="clear" w:color="auto" w:fill="FFFFFF"/>
            <w:tcMar>
              <w:top w:w="113" w:type="dxa"/>
              <w:left w:w="113" w:type="dxa"/>
              <w:bottom w:w="113" w:type="dxa"/>
              <w:right w:w="113" w:type="dxa"/>
            </w:tcMar>
          </w:tcPr>
          <w:p w14:paraId="7FB63B90" w14:textId="77777777" w:rsidR="00FA0887" w:rsidRPr="00050A5B" w:rsidRDefault="00FA0887">
            <w:pPr>
              <w:spacing w:before="120" w:after="120" w:line="288" w:lineRule="auto"/>
              <w:rPr>
                <w:rFonts w:eastAsia="Proxima Nova A Light" w:cs="Calibri"/>
                <w:szCs w:val="18"/>
              </w:rPr>
            </w:pPr>
            <w:r w:rsidRPr="00050A5B">
              <w:rPr>
                <w:rFonts w:eastAsia="SimSun" w:cs="Calibri"/>
                <w:szCs w:val="18"/>
              </w:rPr>
              <w:t>2020-11 ACOSS - New Energy Compact Consultation Draft 5</w:t>
            </w:r>
          </w:p>
        </w:tc>
        <w:tc>
          <w:tcPr>
            <w:tcW w:w="3624" w:type="pct"/>
            <w:tcMar>
              <w:top w:w="113" w:type="dxa"/>
              <w:left w:w="113" w:type="dxa"/>
              <w:bottom w:w="113" w:type="dxa"/>
              <w:right w:w="113" w:type="dxa"/>
            </w:tcMar>
          </w:tcPr>
          <w:p w14:paraId="0D18011F" w14:textId="77777777" w:rsidR="00FA0887" w:rsidRPr="00050A5B" w:rsidRDefault="00FA0887">
            <w:pPr>
              <w:spacing w:before="120" w:after="120" w:line="288" w:lineRule="auto"/>
              <w:rPr>
                <w:rFonts w:eastAsia="SimSun" w:cs="Calibri"/>
                <w:szCs w:val="18"/>
              </w:rPr>
            </w:pPr>
            <w:r w:rsidRPr="00050A5B">
              <w:rPr>
                <w:rFonts w:eastAsia="SimSun" w:cs="Calibri"/>
                <w:szCs w:val="18"/>
              </w:rPr>
              <w:t>The power system is flexible, innovative, responsive, and based on consumers' expectations.</w:t>
            </w:r>
          </w:p>
          <w:p w14:paraId="6CEFB4D6" w14:textId="77777777" w:rsidR="00FA0887" w:rsidRPr="00050A5B" w:rsidRDefault="00FA0887">
            <w:pPr>
              <w:spacing w:before="120" w:after="120" w:line="288" w:lineRule="auto"/>
              <w:rPr>
                <w:rFonts w:eastAsia="SimSun" w:cs="Calibri"/>
                <w:szCs w:val="18"/>
              </w:rPr>
            </w:pPr>
          </w:p>
        </w:tc>
      </w:tr>
      <w:tr w:rsidR="00FA0887" w:rsidRPr="00050A5B" w14:paraId="66073E3F" w14:textId="77777777">
        <w:tblPrEx>
          <w:shd w:val="clear" w:color="auto" w:fill="auto"/>
        </w:tblPrEx>
        <w:tc>
          <w:tcPr>
            <w:tcW w:w="1376" w:type="pct"/>
            <w:shd w:val="clear" w:color="auto" w:fill="FFFFFF"/>
            <w:tcMar>
              <w:top w:w="113" w:type="dxa"/>
              <w:left w:w="113" w:type="dxa"/>
              <w:bottom w:w="113" w:type="dxa"/>
              <w:right w:w="113" w:type="dxa"/>
            </w:tcMar>
          </w:tcPr>
          <w:p w14:paraId="74ECD0BA" w14:textId="77777777" w:rsidR="00FA0887" w:rsidRPr="00050A5B" w:rsidRDefault="00FA0887">
            <w:pPr>
              <w:spacing w:before="120" w:after="120" w:line="288" w:lineRule="auto"/>
              <w:rPr>
                <w:rFonts w:eastAsia="SimSun" w:cs="Calibri"/>
                <w:szCs w:val="18"/>
              </w:rPr>
            </w:pPr>
            <w:r w:rsidRPr="00050A5B">
              <w:rPr>
                <w:rFonts w:eastAsia="SimSun" w:cs="Calibri"/>
                <w:szCs w:val="18"/>
              </w:rPr>
              <w:t>2024-10 R. Ben-David – Submission to the Select Committee on Energy Planning and Regulation in Australia</w:t>
            </w:r>
          </w:p>
        </w:tc>
        <w:tc>
          <w:tcPr>
            <w:tcW w:w="3624" w:type="pct"/>
            <w:tcMar>
              <w:top w:w="113" w:type="dxa"/>
              <w:left w:w="113" w:type="dxa"/>
              <w:bottom w:w="113" w:type="dxa"/>
              <w:right w:w="113" w:type="dxa"/>
            </w:tcMar>
          </w:tcPr>
          <w:p w14:paraId="3C106D9A" w14:textId="77777777" w:rsidR="00FA0887" w:rsidRPr="00050A5B" w:rsidRDefault="00FA0887">
            <w:pPr>
              <w:spacing w:before="120" w:after="120" w:line="288" w:lineRule="auto"/>
              <w:rPr>
                <w:rFonts w:eastAsia="SimSun" w:cs="Calibri"/>
                <w:szCs w:val="18"/>
              </w:rPr>
            </w:pPr>
            <w:r w:rsidRPr="00050A5B">
              <w:rPr>
                <w:rFonts w:eastAsia="SimSun" w:cs="Calibri"/>
                <w:szCs w:val="18"/>
              </w:rPr>
              <w:t>The regulatory environment governing the power system operates with greater coherence and clarity, having moved beyond its previous tendency to “hedge bets” by keeping all future options indefinitely open. While technological innovation continues to accelerate, the system maintains a clear and adaptable framework that supports progress without overwhelming consumers or creating unnecessary uncertainty.</w:t>
            </w:r>
          </w:p>
          <w:p w14:paraId="5D497480"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Regulatory bodies coordinate more effectively across sociocultural and institutional boundaries, focussing on a more unified and future-ready approach to planning. Long-term strategies are underpinned by a shared understanding of emerging risks (from action and inaction), rather than divergent regulatory philosophies. In this context, customers navigate a healthy breadth of offerings without being burdened by incoherent or unstable market rules. </w:t>
            </w:r>
          </w:p>
        </w:tc>
      </w:tr>
      <w:tr w:rsidR="00FA0887" w:rsidRPr="00050A5B" w14:paraId="682D3C0E" w14:textId="77777777">
        <w:tblPrEx>
          <w:shd w:val="clear" w:color="auto" w:fill="auto"/>
        </w:tblPrEx>
        <w:tc>
          <w:tcPr>
            <w:tcW w:w="1376" w:type="pct"/>
            <w:shd w:val="clear" w:color="auto" w:fill="FFFFFF"/>
            <w:tcMar>
              <w:top w:w="113" w:type="dxa"/>
              <w:left w:w="113" w:type="dxa"/>
              <w:bottom w:w="113" w:type="dxa"/>
              <w:right w:w="113" w:type="dxa"/>
            </w:tcMar>
          </w:tcPr>
          <w:p w14:paraId="3EEBD85E" w14:textId="77777777" w:rsidR="00FA0887" w:rsidRPr="00050A5B" w:rsidRDefault="00FA0887">
            <w:pPr>
              <w:spacing w:before="120" w:after="120" w:line="288" w:lineRule="auto"/>
              <w:rPr>
                <w:rFonts w:eastAsia="SimSun" w:cs="Calibri"/>
                <w:szCs w:val="18"/>
              </w:rPr>
            </w:pPr>
            <w:r w:rsidRPr="00050A5B">
              <w:rPr>
                <w:rFonts w:eastAsia="SimSun" w:cs="Calibri"/>
                <w:szCs w:val="18"/>
              </w:rPr>
              <w:t>2024-07 V. L. McLeod – Developing Policy for Australia’s Clean Energy Transition Using a Systems Thinking Approach</w:t>
            </w:r>
          </w:p>
        </w:tc>
        <w:tc>
          <w:tcPr>
            <w:tcW w:w="3624" w:type="pct"/>
            <w:tcMar>
              <w:top w:w="113" w:type="dxa"/>
              <w:left w:w="113" w:type="dxa"/>
              <w:bottom w:w="113" w:type="dxa"/>
              <w:right w:w="113" w:type="dxa"/>
            </w:tcMar>
          </w:tcPr>
          <w:p w14:paraId="78D8740C"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The system fosters a shift from reactive policy patchwork to integrated, whole-system design. Place-based innovation is supported through structures like Local Renewable Energy Zones (LREZs), which serve as policy, regulatory, and technical ‘sandboxes’. </w:t>
            </w:r>
          </w:p>
          <w:p w14:paraId="22E8F1C3"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actively participate in flexible demand services through partnerships with aggregators and non-traditional business models, with clear pathways to opt in and out. Their energy resources are enrolled in programs that generate value for the grid and for themselves, without requiring constant management or causing disruptions to daily life. Energy services are designed around customer autonomy, convenience, and trust.</w:t>
            </w:r>
          </w:p>
          <w:p w14:paraId="5D8F93FD"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The system avoids reinforcing inequity by ensuring that DER deployment does not trigger network upgrades that then drive further bills upward. Instead, policy design ensures that flexibility is recognised, valued, and traded before defaulting to costly infrastructure expansion. </w:t>
            </w:r>
          </w:p>
        </w:tc>
      </w:tr>
      <w:tr w:rsidR="00FA0887" w:rsidRPr="00050A5B" w14:paraId="5E917030" w14:textId="77777777">
        <w:tblPrEx>
          <w:shd w:val="clear" w:color="auto" w:fill="auto"/>
        </w:tblPrEx>
        <w:tc>
          <w:tcPr>
            <w:tcW w:w="1376" w:type="pct"/>
            <w:shd w:val="clear" w:color="auto" w:fill="FFFFFF"/>
            <w:tcMar>
              <w:top w:w="113" w:type="dxa"/>
              <w:left w:w="113" w:type="dxa"/>
              <w:bottom w:w="113" w:type="dxa"/>
              <w:right w:w="113" w:type="dxa"/>
            </w:tcMar>
          </w:tcPr>
          <w:p w14:paraId="2A65DB8D" w14:textId="77777777" w:rsidR="00FA0887" w:rsidRPr="00050A5B" w:rsidRDefault="00FA0887">
            <w:pPr>
              <w:spacing w:before="120" w:after="120" w:line="288" w:lineRule="auto"/>
              <w:rPr>
                <w:rFonts w:eastAsia="SimSun" w:cs="Calibri"/>
                <w:szCs w:val="18"/>
              </w:rPr>
            </w:pPr>
            <w:r w:rsidRPr="00050A5B">
              <w:rPr>
                <w:rFonts w:eastAsia="SimSun" w:cs="Calibri"/>
                <w:szCs w:val="18"/>
              </w:rPr>
              <w:t>2024E. Brown, M. Frerk, R. Hey, L. Sandys, S. Steer, and A. Whitehead – Addressing Waste and Inefficiencies: Delivering Customer, Cost, Carbon and Connections Dividends</w:t>
            </w:r>
          </w:p>
        </w:tc>
        <w:tc>
          <w:tcPr>
            <w:tcW w:w="3624" w:type="pct"/>
            <w:tcMar>
              <w:top w:w="113" w:type="dxa"/>
              <w:left w:w="113" w:type="dxa"/>
              <w:bottom w:w="113" w:type="dxa"/>
              <w:right w:w="113" w:type="dxa"/>
            </w:tcMar>
          </w:tcPr>
          <w:p w14:paraId="20A46A5F" w14:textId="77777777" w:rsidR="00FA0887" w:rsidRPr="00050A5B" w:rsidRDefault="00FA0887">
            <w:pPr>
              <w:spacing w:before="120" w:after="120" w:line="288" w:lineRule="auto"/>
              <w:rPr>
                <w:rFonts w:eastAsia="SimSun" w:cs="Calibri"/>
                <w:szCs w:val="18"/>
              </w:rPr>
            </w:pPr>
            <w:r w:rsidRPr="00050A5B">
              <w:rPr>
                <w:rFonts w:eastAsia="SimSun" w:cs="Calibri"/>
                <w:szCs w:val="18"/>
              </w:rPr>
              <w:t>The energy system adopts modular reform pathways that enable efficient progress in discrete areas without being delayed by contentious issues in others. For contentious issues, policy frameworks support flexible implementation, allowing for iterative innovation and learning-by-doing. This staged and pragmatic approach to reform fosters a culture of continuous improvement across market, regulatory, and planning domains.</w:t>
            </w:r>
          </w:p>
        </w:tc>
      </w:tr>
    </w:tbl>
    <w:p w14:paraId="0C89CBB0" w14:textId="77777777" w:rsidR="00FA0887" w:rsidRPr="00050A5B" w:rsidRDefault="00FA0887" w:rsidP="00FA0887"/>
    <w:p w14:paraId="1D57E825" w14:textId="77777777" w:rsidR="00FA0887" w:rsidRPr="00050A5B" w:rsidRDefault="00FA0887" w:rsidP="00FA0887">
      <w:pPr>
        <w:spacing w:before="120" w:after="120" w:line="288" w:lineRule="auto"/>
        <w:rPr>
          <w:szCs w:val="18"/>
          <w:lang w:eastAsia="en-US" w:bidi="ar-SA"/>
        </w:rPr>
      </w:pPr>
    </w:p>
    <w:p w14:paraId="507198AD" w14:textId="77777777" w:rsidR="00FA0887" w:rsidRPr="00050A5B" w:rsidRDefault="00FA0887" w:rsidP="00FA0887">
      <w:bookmarkStart w:id="147" w:name="_Toc130207578"/>
      <w:r w:rsidRPr="00050A5B">
        <w:br w:type="page"/>
      </w:r>
    </w:p>
    <w:tbl>
      <w:tblPr>
        <w:tblStyle w:val="TableGrid8"/>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tblCellMar>
          <w:left w:w="0" w:type="dxa"/>
          <w:right w:w="0" w:type="dxa"/>
        </w:tblCellMar>
        <w:tblLook w:val="04A0" w:firstRow="1" w:lastRow="0" w:firstColumn="1" w:lastColumn="0" w:noHBand="0" w:noVBand="1"/>
      </w:tblPr>
      <w:tblGrid>
        <w:gridCol w:w="2256"/>
        <w:gridCol w:w="5954"/>
      </w:tblGrid>
      <w:tr w:rsidR="00FA0887" w:rsidRPr="00050A5B" w14:paraId="27180279"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30FAF865"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48" w:name="_Toc205362718"/>
            <w:bookmarkStart w:id="149" w:name="_Toc205536783"/>
            <w:r w:rsidRPr="00050A5B">
              <w:rPr>
                <w:caps/>
                <w:color w:val="FAFAFA" w:themeColor="background1"/>
                <w:sz w:val="20"/>
                <w:szCs w:val="24"/>
                <w:lang w:eastAsia="en-US" w:bidi="ar-SA"/>
              </w:rPr>
              <w:t>Beneficial</w:t>
            </w:r>
            <w:r w:rsidRPr="00050A5B">
              <w:rPr>
                <w:color w:val="FAFAFA" w:themeColor="background1"/>
                <w:sz w:val="20"/>
                <w:szCs w:val="24"/>
                <w:lang w:eastAsia="en-US" w:bidi="ar-SA"/>
              </w:rPr>
              <w:t>: Socially trust, public good/benefits, commercially investable and financeable</w:t>
            </w:r>
            <w:bookmarkEnd w:id="147"/>
            <w:bookmarkEnd w:id="148"/>
            <w:bookmarkEnd w:id="149"/>
          </w:p>
        </w:tc>
      </w:tr>
      <w:tr w:rsidR="00FA0887" w:rsidRPr="00050A5B" w14:paraId="1AF06164" w14:textId="77777777">
        <w:trPr>
          <w:trHeight w:val="454"/>
        </w:trPr>
        <w:tc>
          <w:tcPr>
            <w:tcW w:w="137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5F23B63E" w14:textId="77777777" w:rsidR="00FA0887" w:rsidRPr="00050A5B" w:rsidRDefault="00FA0887">
            <w:pPr>
              <w:spacing w:before="120" w:after="120" w:line="288" w:lineRule="auto"/>
              <w:jc w:val="center"/>
              <w:rPr>
                <w:rFonts w:eastAsia="Proxima Nova Light" w:cs="Calibri"/>
                <w:b/>
                <w:szCs w:val="18"/>
              </w:rPr>
            </w:pPr>
            <w:bookmarkStart w:id="150" w:name="_Toc130207579"/>
            <w:r w:rsidRPr="00050A5B">
              <w:rPr>
                <w:rFonts w:eastAsia="Proxima Nova Light" w:cs="Calibri"/>
                <w:b/>
                <w:szCs w:val="18"/>
              </w:rPr>
              <w:t>Source</w:t>
            </w:r>
            <w:bookmarkEnd w:id="150"/>
          </w:p>
        </w:tc>
        <w:tc>
          <w:tcPr>
            <w:tcW w:w="362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8136401" w14:textId="77777777" w:rsidR="00FA0887" w:rsidRPr="00050A5B" w:rsidRDefault="00FA0887">
            <w:pPr>
              <w:spacing w:before="120" w:after="120" w:line="288" w:lineRule="auto"/>
              <w:jc w:val="center"/>
              <w:rPr>
                <w:rFonts w:eastAsia="Proxima Nova Light" w:cs="Calibri"/>
                <w:b/>
                <w:szCs w:val="18"/>
              </w:rPr>
            </w:pPr>
            <w:bookmarkStart w:id="151" w:name="_Toc130207580"/>
            <w:r w:rsidRPr="00050A5B">
              <w:rPr>
                <w:rFonts w:eastAsia="Proxima Nova Light" w:cs="Calibri"/>
                <w:b/>
                <w:szCs w:val="18"/>
              </w:rPr>
              <w:t>Stated or Inferred Objectives (Future Tense)</w:t>
            </w:r>
            <w:bookmarkEnd w:id="151"/>
          </w:p>
        </w:tc>
      </w:tr>
      <w:tr w:rsidR="00FA0887" w:rsidRPr="00050A5B" w14:paraId="62CA5A4C" w14:textId="77777777">
        <w:trPr>
          <w:trHeight w:val="1989"/>
        </w:trPr>
        <w:tc>
          <w:tcPr>
            <w:tcW w:w="1374" w:type="pct"/>
            <w:tcBorders>
              <w:top w:val="single" w:sz="4" w:space="0" w:color="FAFAFA" w:themeColor="background1"/>
            </w:tcBorders>
            <w:shd w:val="clear" w:color="auto" w:fill="FFFFFF"/>
            <w:tcMar>
              <w:top w:w="113" w:type="dxa"/>
              <w:left w:w="113" w:type="dxa"/>
              <w:bottom w:w="113" w:type="dxa"/>
              <w:right w:w="113" w:type="dxa"/>
            </w:tcMar>
          </w:tcPr>
          <w:p w14:paraId="12D509E1"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2022-06 ECA - Energy Consumer Sentiment Survey - Households</w:t>
            </w:r>
          </w:p>
        </w:tc>
        <w:tc>
          <w:tcPr>
            <w:tcW w:w="3626" w:type="pct"/>
            <w:tcBorders>
              <w:top w:val="single" w:sz="4" w:space="0" w:color="FAFAFA" w:themeColor="background1"/>
            </w:tcBorders>
            <w:tcMar>
              <w:top w:w="113" w:type="dxa"/>
              <w:left w:w="113" w:type="dxa"/>
              <w:bottom w:w="113" w:type="dxa"/>
              <w:right w:w="113" w:type="dxa"/>
            </w:tcMar>
          </w:tcPr>
          <w:p w14:paraId="11E8BA5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Households are satisfied with their interaction and experience of the power system across the following areas: provision of electricity, customer service, billing platforms and arrangements, value for money, time to restore following outages, advances in technology, future reliability, ability to access information and tools, ability to make choices, confidence in the market, and dispute resolution.</w:t>
            </w:r>
          </w:p>
          <w:p w14:paraId="28410E32"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Electricity suppliers have sufficient trust from consumers to be happy to hand over control of their load/devices.</w:t>
            </w:r>
          </w:p>
        </w:tc>
      </w:tr>
      <w:tr w:rsidR="00FA0887" w:rsidRPr="00050A5B" w14:paraId="202BCB8A" w14:textId="77777777">
        <w:tc>
          <w:tcPr>
            <w:tcW w:w="1374" w:type="pct"/>
            <w:shd w:val="clear" w:color="auto" w:fill="FFFFFF"/>
            <w:tcMar>
              <w:top w:w="113" w:type="dxa"/>
              <w:left w:w="113" w:type="dxa"/>
              <w:bottom w:w="113" w:type="dxa"/>
              <w:right w:w="113" w:type="dxa"/>
            </w:tcMar>
          </w:tcPr>
          <w:p w14:paraId="07F6F00D"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2022-03 ESB - Customer Insights Collaboration Workshop 1 - Defining the problem  </w:t>
            </w:r>
          </w:p>
        </w:tc>
        <w:tc>
          <w:tcPr>
            <w:tcW w:w="3626" w:type="pct"/>
            <w:tcMar>
              <w:top w:w="113" w:type="dxa"/>
              <w:left w:w="113" w:type="dxa"/>
              <w:bottom w:w="113" w:type="dxa"/>
              <w:right w:w="113" w:type="dxa"/>
            </w:tcMar>
          </w:tcPr>
          <w:p w14:paraId="2763DF6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All customers can realise the value of flexible demand and DER for both individual and collective benefit. The barrier of perceived complexity of DER demand response processes is removed or mitigated. Customers' effective understanding of these processes is enabled by clearer language, communication, and information and technology that is designed to be user friendly.</w:t>
            </w:r>
          </w:p>
          <w:p w14:paraId="3D7EC44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realise the value of flexible demand through more relevant incentives. These incentives respond to customer needs and improve the customer experiences. Energy companies provide different incentives for different customers, where the incentives are tailored to suit the customers' circumstances and financial and energy goals. Barriers such as lack of value certainty and transparency are removed or mitigated by providing clear, informative, and easy to understand information which is easily accessible on user friendly platforms.</w:t>
            </w:r>
          </w:p>
          <w:p w14:paraId="433D4278"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Further, there are significant improvements to the customer experience through the building of trust in energy companies and the building of consumers' confidence in their choice and capability to participate.</w:t>
            </w:r>
          </w:p>
        </w:tc>
      </w:tr>
      <w:tr w:rsidR="00FA0887" w:rsidRPr="00050A5B" w14:paraId="3213B63A" w14:textId="77777777">
        <w:tc>
          <w:tcPr>
            <w:tcW w:w="1374" w:type="pct"/>
            <w:shd w:val="clear" w:color="auto" w:fill="FFFFFF"/>
            <w:tcMar>
              <w:top w:w="113" w:type="dxa"/>
              <w:left w:w="113" w:type="dxa"/>
              <w:bottom w:w="113" w:type="dxa"/>
              <w:right w:w="113" w:type="dxa"/>
            </w:tcMar>
          </w:tcPr>
          <w:p w14:paraId="4B2C2DB8"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2022-03 ECA - Feedback on the Draft AER Consumer Vulnerability Strategy </w:t>
            </w:r>
            <w:r w:rsidRPr="00050A5B">
              <w:rPr>
                <w:rFonts w:eastAsia="Proxima Nova Light" w:cs="Calibri"/>
                <w:szCs w:val="18"/>
              </w:rPr>
              <w:t xml:space="preserve"> </w:t>
            </w:r>
          </w:p>
        </w:tc>
        <w:tc>
          <w:tcPr>
            <w:tcW w:w="3626" w:type="pct"/>
            <w:tcMar>
              <w:top w:w="113" w:type="dxa"/>
              <w:left w:w="113" w:type="dxa"/>
              <w:bottom w:w="113" w:type="dxa"/>
              <w:right w:w="113" w:type="dxa"/>
            </w:tcMar>
          </w:tcPr>
          <w:p w14:paraId="78E2DBB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 voice and lived experience inform and refine regulatory design and change.</w:t>
            </w:r>
          </w:p>
        </w:tc>
      </w:tr>
      <w:tr w:rsidR="00FA0887" w:rsidRPr="00050A5B" w14:paraId="2118720E" w14:textId="77777777">
        <w:trPr>
          <w:trHeight w:val="1896"/>
        </w:trPr>
        <w:tc>
          <w:tcPr>
            <w:tcW w:w="1374" w:type="pct"/>
            <w:shd w:val="clear" w:color="auto" w:fill="FFFFFF"/>
            <w:tcMar>
              <w:top w:w="113" w:type="dxa"/>
              <w:left w:w="113" w:type="dxa"/>
              <w:bottom w:w="113" w:type="dxa"/>
              <w:right w:w="113" w:type="dxa"/>
            </w:tcMar>
          </w:tcPr>
          <w:p w14:paraId="39429222"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2021-12 Race for 2030 - Tariffs for Rewarding Flexible Demand</w:t>
            </w:r>
          </w:p>
        </w:tc>
        <w:tc>
          <w:tcPr>
            <w:tcW w:w="3626" w:type="pct"/>
            <w:tcMar>
              <w:top w:w="113" w:type="dxa"/>
              <w:left w:w="113" w:type="dxa"/>
              <w:bottom w:w="113" w:type="dxa"/>
              <w:right w:w="113" w:type="dxa"/>
            </w:tcMar>
          </w:tcPr>
          <w:p w14:paraId="49ECEBA2"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Energy service providers have built trust with consumers and broadly addressed concerns over participation in flexibility schemes, including time constraints, loss and risk aversion, status quo bias, low perceived benefit, information or choice overload, more pressing priorities, decreased comfort or convenience, safety risks, lack of control or autonomy, data security or loss of privacy.</w:t>
            </w:r>
          </w:p>
        </w:tc>
      </w:tr>
      <w:tr w:rsidR="00FA0887" w:rsidRPr="00050A5B" w14:paraId="520BFD27" w14:textId="77777777">
        <w:tc>
          <w:tcPr>
            <w:tcW w:w="1374" w:type="pct"/>
            <w:shd w:val="clear" w:color="auto" w:fill="FFFFFF"/>
            <w:tcMar>
              <w:top w:w="113" w:type="dxa"/>
              <w:left w:w="113" w:type="dxa"/>
              <w:bottom w:w="113" w:type="dxa"/>
              <w:right w:w="113" w:type="dxa"/>
            </w:tcMar>
          </w:tcPr>
          <w:p w14:paraId="41DC5283"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2021-12 PEI - Customer Load Management Evolution &amp; Revolution</w:t>
            </w:r>
          </w:p>
        </w:tc>
        <w:tc>
          <w:tcPr>
            <w:tcW w:w="3626" w:type="pct"/>
            <w:tcMar>
              <w:top w:w="113" w:type="dxa"/>
              <w:left w:w="113" w:type="dxa"/>
              <w:bottom w:w="113" w:type="dxa"/>
              <w:right w:w="113" w:type="dxa"/>
            </w:tcMar>
          </w:tcPr>
          <w:p w14:paraId="3C5633BF"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are encouraged to participate in problem-solving and program design processes to produce mutually valued outcomes for customers and the power system.</w:t>
            </w:r>
          </w:p>
        </w:tc>
      </w:tr>
      <w:tr w:rsidR="00FA0887" w:rsidRPr="00050A5B" w14:paraId="312BB46C" w14:textId="77777777">
        <w:tc>
          <w:tcPr>
            <w:tcW w:w="1374" w:type="pct"/>
            <w:shd w:val="clear" w:color="auto" w:fill="FFFFFF"/>
            <w:tcMar>
              <w:top w:w="113" w:type="dxa"/>
              <w:left w:w="113" w:type="dxa"/>
              <w:bottom w:w="113" w:type="dxa"/>
              <w:right w:w="113" w:type="dxa"/>
            </w:tcMar>
          </w:tcPr>
          <w:p w14:paraId="30FBA80C"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2021-10 IEA - Social License to Automate</w:t>
            </w:r>
          </w:p>
        </w:tc>
        <w:tc>
          <w:tcPr>
            <w:tcW w:w="3626" w:type="pct"/>
            <w:tcMar>
              <w:top w:w="113" w:type="dxa"/>
              <w:left w:w="113" w:type="dxa"/>
              <w:bottom w:w="113" w:type="dxa"/>
              <w:right w:w="113" w:type="dxa"/>
            </w:tcMar>
          </w:tcPr>
          <w:p w14:paraId="416A96E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The dynamics of trust and other social dimensions are favourable to user engagement with automation technologies used in demand side management.</w:t>
            </w:r>
          </w:p>
        </w:tc>
      </w:tr>
      <w:tr w:rsidR="00FA0887" w:rsidRPr="00050A5B" w14:paraId="2A7E4643" w14:textId="77777777">
        <w:tc>
          <w:tcPr>
            <w:tcW w:w="1374" w:type="pct"/>
            <w:shd w:val="clear" w:color="auto" w:fill="FFFFFF"/>
            <w:tcMar>
              <w:top w:w="113" w:type="dxa"/>
              <w:left w:w="113" w:type="dxa"/>
              <w:bottom w:w="113" w:type="dxa"/>
              <w:right w:w="113" w:type="dxa"/>
            </w:tcMar>
          </w:tcPr>
          <w:p w14:paraId="74B555EB"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2021-10 ECA - Strategic Plan 2021-2024</w:t>
            </w:r>
          </w:p>
        </w:tc>
        <w:tc>
          <w:tcPr>
            <w:tcW w:w="3626" w:type="pct"/>
            <w:tcMar>
              <w:top w:w="113" w:type="dxa"/>
              <w:left w:w="113" w:type="dxa"/>
              <w:bottom w:w="113" w:type="dxa"/>
              <w:right w:w="113" w:type="dxa"/>
            </w:tcMar>
          </w:tcPr>
          <w:p w14:paraId="6BAE0B89"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Consumers are willing participants in flexibility schemes, agreeing to adjust their energy use in ways that help their community, themselves, and the system. The process of doing this is simple and frictionless and does not require expert knowledge or high-level engagement.</w:t>
            </w:r>
          </w:p>
          <w:p w14:paraId="0EFD67A8"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Consumers have sufficient trust in the system and goodwill towards key actors within it that they respond to system events when invited. They have a clear understanding of what they are being asked to do and what their options are, and the way they respond is intuitive and easy.</w:t>
            </w:r>
          </w:p>
        </w:tc>
      </w:tr>
      <w:tr w:rsidR="00FA0887" w:rsidRPr="00050A5B" w14:paraId="42EA56F2" w14:textId="77777777">
        <w:tc>
          <w:tcPr>
            <w:tcW w:w="1374" w:type="pct"/>
            <w:shd w:val="clear" w:color="auto" w:fill="FFFFFF"/>
            <w:tcMar>
              <w:top w:w="113" w:type="dxa"/>
              <w:left w:w="113" w:type="dxa"/>
              <w:bottom w:w="113" w:type="dxa"/>
              <w:right w:w="113" w:type="dxa"/>
            </w:tcMar>
          </w:tcPr>
          <w:p w14:paraId="495A54F3"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 xml:space="preserve">2021-09 ECA - </w:t>
            </w:r>
            <w:proofErr w:type="spellStart"/>
            <w:r w:rsidRPr="00050A5B">
              <w:rPr>
                <w:rFonts w:eastAsia="Proxima Nova Light" w:cs="Calibri"/>
                <w:szCs w:val="18"/>
              </w:rPr>
              <w:t>Foresighting</w:t>
            </w:r>
            <w:proofErr w:type="spellEnd"/>
            <w:r w:rsidRPr="00050A5B">
              <w:rPr>
                <w:rFonts w:eastAsia="Proxima Nova Light" w:cs="Calibri"/>
                <w:szCs w:val="18"/>
              </w:rPr>
              <w:t xml:space="preserve"> Forum - System Design Webinar</w:t>
            </w:r>
          </w:p>
        </w:tc>
        <w:tc>
          <w:tcPr>
            <w:tcW w:w="3626" w:type="pct"/>
            <w:tcMar>
              <w:top w:w="113" w:type="dxa"/>
              <w:left w:w="113" w:type="dxa"/>
              <w:bottom w:w="113" w:type="dxa"/>
              <w:right w:w="113" w:type="dxa"/>
            </w:tcMar>
          </w:tcPr>
          <w:p w14:paraId="2979DB99"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Clear and valuable information is available to inform energy choices as they navigate the changing energy landscape.</w:t>
            </w:r>
          </w:p>
        </w:tc>
      </w:tr>
      <w:tr w:rsidR="00FA0887" w:rsidRPr="00050A5B" w14:paraId="1A5F7D22" w14:textId="77777777">
        <w:tc>
          <w:tcPr>
            <w:tcW w:w="1374" w:type="pct"/>
            <w:shd w:val="clear" w:color="auto" w:fill="FFFFFF"/>
            <w:tcMar>
              <w:top w:w="113" w:type="dxa"/>
              <w:left w:w="113" w:type="dxa"/>
              <w:bottom w:w="113" w:type="dxa"/>
              <w:right w:w="113" w:type="dxa"/>
            </w:tcMar>
          </w:tcPr>
          <w:p w14:paraId="33165E01"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2021-05 US DOE - A National Roadmap for Grid-Interactive Efficient Buildings</w:t>
            </w:r>
          </w:p>
        </w:tc>
        <w:tc>
          <w:tcPr>
            <w:tcW w:w="3626" w:type="pct"/>
            <w:tcMar>
              <w:top w:w="113" w:type="dxa"/>
              <w:left w:w="113" w:type="dxa"/>
              <w:bottom w:w="113" w:type="dxa"/>
              <w:right w:w="113" w:type="dxa"/>
            </w:tcMar>
          </w:tcPr>
          <w:p w14:paraId="7C2108E7"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Technology maturity has grown such that customers have confidence to invest in Grid-Interactive Efficient Buildings without fear of obsolescence.</w:t>
            </w:r>
          </w:p>
        </w:tc>
      </w:tr>
      <w:tr w:rsidR="00FA0887" w:rsidRPr="00050A5B" w14:paraId="5CE0E3C3" w14:textId="77777777">
        <w:tc>
          <w:tcPr>
            <w:tcW w:w="1374" w:type="pct"/>
            <w:shd w:val="clear" w:color="auto" w:fill="FFFFFF"/>
            <w:tcMar>
              <w:top w:w="113" w:type="dxa"/>
              <w:left w:w="113" w:type="dxa"/>
              <w:bottom w:w="113" w:type="dxa"/>
              <w:right w:w="113" w:type="dxa"/>
            </w:tcMar>
          </w:tcPr>
          <w:p w14:paraId="5C503487"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 xml:space="preserve">2021-04 </w:t>
            </w:r>
            <w:proofErr w:type="spellStart"/>
            <w:r w:rsidRPr="00050A5B">
              <w:rPr>
                <w:rFonts w:eastAsia="Proxima Nova Light" w:cs="Calibri"/>
                <w:szCs w:val="18"/>
              </w:rPr>
              <w:t>Upowr</w:t>
            </w:r>
            <w:proofErr w:type="spellEnd"/>
            <w:r w:rsidRPr="00050A5B">
              <w:rPr>
                <w:rFonts w:eastAsia="Proxima Nova Light" w:cs="Calibri"/>
                <w:szCs w:val="18"/>
              </w:rPr>
              <w:t xml:space="preserve"> - Customer Segmentation Research and Design for DER Orchestration Programs</w:t>
            </w:r>
          </w:p>
        </w:tc>
        <w:tc>
          <w:tcPr>
            <w:tcW w:w="3626" w:type="pct"/>
            <w:tcMar>
              <w:top w:w="113" w:type="dxa"/>
              <w:left w:w="113" w:type="dxa"/>
              <w:bottom w:w="113" w:type="dxa"/>
              <w:right w:w="113" w:type="dxa"/>
            </w:tcMar>
          </w:tcPr>
          <w:p w14:paraId="0BFBFB3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DER/CER orchestration programs, including how they are communicated and understood (the why), cater to and appeal to a broad range of customer types from "innovators" to "laggards", as they are aligned with customer motivations, emotions and values. This has resulted in deep participation in such programs, increased technology adoption, and greater contribution of distributed assets to whole-of-system objectives.</w:t>
            </w:r>
          </w:p>
        </w:tc>
      </w:tr>
      <w:tr w:rsidR="00FA0887" w:rsidRPr="00050A5B" w14:paraId="7AA549B1" w14:textId="77777777">
        <w:tc>
          <w:tcPr>
            <w:tcW w:w="1374" w:type="pct"/>
            <w:shd w:val="clear" w:color="auto" w:fill="FFFFFF"/>
            <w:tcMar>
              <w:top w:w="113" w:type="dxa"/>
              <w:left w:w="113" w:type="dxa"/>
              <w:bottom w:w="113" w:type="dxa"/>
              <w:right w:w="113" w:type="dxa"/>
            </w:tcMar>
          </w:tcPr>
          <w:p w14:paraId="3A8EA2EE"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2020-12 ECA - Social License for DER Control FINAL v2.0 </w:t>
            </w:r>
            <w:r w:rsidRPr="00050A5B">
              <w:rPr>
                <w:rFonts w:eastAsia="Proxima Nova Light" w:cs="Calibri"/>
                <w:szCs w:val="18"/>
              </w:rPr>
              <w:t xml:space="preserve"> </w:t>
            </w:r>
          </w:p>
        </w:tc>
        <w:tc>
          <w:tcPr>
            <w:tcW w:w="3626" w:type="pct"/>
            <w:tcMar>
              <w:top w:w="113" w:type="dxa"/>
              <w:left w:w="113" w:type="dxa"/>
              <w:bottom w:w="113" w:type="dxa"/>
              <w:right w:w="113" w:type="dxa"/>
            </w:tcMar>
          </w:tcPr>
          <w:p w14:paraId="0D0D5E4E" w14:textId="33015156"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A </w:t>
            </w:r>
            <w:r w:rsidRPr="00050A5B">
              <w:rPr>
                <w:rFonts w:eastAsia="Proxima Nova Light" w:cs="Calibri"/>
                <w:szCs w:val="18"/>
              </w:rPr>
              <w:t>social licence to control DER is acquired</w:t>
            </w:r>
            <w:r w:rsidRPr="00050A5B">
              <w:rPr>
                <w:rFonts w:eastAsia="Proxima Nova A Light" w:cs="Calibri"/>
                <w:szCs w:val="18"/>
              </w:rPr>
              <w:t xml:space="preserve">, and results in individual consumers perceiving the </w:t>
            </w:r>
            <w:r w:rsidRPr="00050A5B">
              <w:rPr>
                <w:rFonts w:eastAsia="Proxima Nova Light" w:cs="Calibri"/>
                <w:szCs w:val="18"/>
              </w:rPr>
              <w:t>private and public benefits of DER control to be greater than the private costs</w:t>
            </w:r>
            <w:r w:rsidRPr="00050A5B">
              <w:rPr>
                <w:rFonts w:eastAsia="Proxima Nova A Light" w:cs="Calibri"/>
                <w:szCs w:val="18"/>
              </w:rPr>
              <w:t>. The social licen</w:t>
            </w:r>
            <w:r w:rsidR="00B61956">
              <w:rPr>
                <w:rFonts w:eastAsia="Proxima Nova A Light" w:cs="Calibri"/>
                <w:szCs w:val="18"/>
              </w:rPr>
              <w:t>c</w:t>
            </w:r>
            <w:r w:rsidRPr="00050A5B">
              <w:rPr>
                <w:rFonts w:eastAsia="Proxima Nova A Light" w:cs="Calibri"/>
                <w:szCs w:val="18"/>
              </w:rPr>
              <w:t>e increases participation in voluntary DER control programs and the uptake of DER more broadly. Further, where a social licence for mandatory programs is obtained, it increases compliance and therefore decreases non-compliance and enforcement costs. The government or institution enabling the DER control (through policy, regulation or via programs) requires the licence. This body may not ultimately be directly doing the control</w:t>
            </w:r>
            <w:r w:rsidR="005B116B" w:rsidRPr="00050A5B">
              <w:rPr>
                <w:rFonts w:eastAsia="Proxima Nova A Light" w:cs="Calibri"/>
                <w:szCs w:val="18"/>
              </w:rPr>
              <w:t>;</w:t>
            </w:r>
            <w:r w:rsidRPr="00050A5B">
              <w:rPr>
                <w:rFonts w:eastAsia="Proxima Nova A Light" w:cs="Calibri"/>
                <w:szCs w:val="18"/>
              </w:rPr>
              <w:t xml:space="preserve"> however, it generally regulates the way in which the third party must undertake the control, communicate with and reward consumers and provide data and information to monitor the effectiveness of the DER control program. </w:t>
            </w:r>
          </w:p>
          <w:p w14:paraId="54E781A5" w14:textId="3E243A4C" w:rsidR="00FA0887" w:rsidRPr="00050A5B" w:rsidRDefault="00FA0887">
            <w:pPr>
              <w:spacing w:before="120" w:after="120" w:line="288" w:lineRule="auto"/>
              <w:rPr>
                <w:rFonts w:eastAsia="SimSun" w:cs="Calibri"/>
                <w:szCs w:val="18"/>
              </w:rPr>
            </w:pPr>
            <w:r w:rsidRPr="00050A5B">
              <w:rPr>
                <w:rFonts w:eastAsia="Proxima Nova A Light" w:cs="Calibri"/>
                <w:szCs w:val="18"/>
              </w:rPr>
              <w:t>The three different levels of social licence for control of DER are obtained by parties which reasonably require a social licen</w:t>
            </w:r>
            <w:r w:rsidR="00B61956">
              <w:rPr>
                <w:rFonts w:eastAsia="Proxima Nova A Light" w:cs="Calibri"/>
                <w:szCs w:val="18"/>
              </w:rPr>
              <w:t>c</w:t>
            </w:r>
            <w:r w:rsidRPr="00050A5B">
              <w:rPr>
                <w:rFonts w:eastAsia="Proxima Nova A Light" w:cs="Calibri"/>
                <w:szCs w:val="18"/>
              </w:rPr>
              <w:t xml:space="preserve">e to manage their respective initiative: </w:t>
            </w:r>
          </w:p>
          <w:p w14:paraId="50657055" w14:textId="77777777" w:rsidR="00FA0887" w:rsidRPr="00050A5B" w:rsidRDefault="00FA0887" w:rsidP="003F223E">
            <w:pPr>
              <w:numPr>
                <w:ilvl w:val="0"/>
                <w:numId w:val="5"/>
              </w:numPr>
              <w:spacing w:before="120" w:after="120" w:line="288" w:lineRule="auto"/>
              <w:rPr>
                <w:rFonts w:eastAsia="SimSun" w:cs="Calibri"/>
                <w:szCs w:val="18"/>
              </w:rPr>
            </w:pPr>
            <w:r w:rsidRPr="00050A5B">
              <w:rPr>
                <w:rFonts w:eastAsia="Proxima Nova Light" w:cs="Calibri"/>
                <w:szCs w:val="18"/>
              </w:rPr>
              <w:t>Acceptance</w:t>
            </w:r>
            <w:r w:rsidRPr="00050A5B">
              <w:rPr>
                <w:rFonts w:eastAsia="Proxima Nova A Light" w:cs="Calibri"/>
                <w:szCs w:val="18"/>
              </w:rPr>
              <w:t xml:space="preserve">: Whereby the consumers subject to DER control perceive that the private benefits of the control outweigh the private costs of the control. </w:t>
            </w:r>
          </w:p>
          <w:p w14:paraId="5E933B1A" w14:textId="77777777" w:rsidR="00FA0887" w:rsidRPr="00050A5B" w:rsidRDefault="00FA0887" w:rsidP="003F223E">
            <w:pPr>
              <w:numPr>
                <w:ilvl w:val="0"/>
                <w:numId w:val="5"/>
              </w:numPr>
              <w:spacing w:before="120" w:after="120" w:line="288" w:lineRule="auto"/>
              <w:rPr>
                <w:rFonts w:eastAsia="SimSun" w:cs="Calibri"/>
                <w:szCs w:val="18"/>
              </w:rPr>
            </w:pPr>
            <w:r w:rsidRPr="00050A5B">
              <w:rPr>
                <w:rFonts w:eastAsia="Proxima Nova Light" w:cs="Calibri"/>
                <w:szCs w:val="18"/>
              </w:rPr>
              <w:t>Approval</w:t>
            </w:r>
            <w:r w:rsidRPr="00050A5B">
              <w:rPr>
                <w:rFonts w:eastAsia="Proxima Nova A Light" w:cs="Calibri"/>
                <w:szCs w:val="18"/>
              </w:rPr>
              <w:t xml:space="preserve">: Whereby to the extent practicable, consumers and consumer representatives perceive that: </w:t>
            </w:r>
          </w:p>
          <w:p w14:paraId="514F468F" w14:textId="77777777" w:rsidR="00FA0887" w:rsidRPr="00050A5B" w:rsidRDefault="00FA0887" w:rsidP="003F223E">
            <w:pPr>
              <w:numPr>
                <w:ilvl w:val="0"/>
                <w:numId w:val="5"/>
              </w:numPr>
              <w:spacing w:before="120" w:after="120" w:line="288" w:lineRule="auto"/>
              <w:rPr>
                <w:rFonts w:eastAsia="Proxima Nova Light" w:cs="Calibri"/>
                <w:szCs w:val="18"/>
              </w:rPr>
            </w:pPr>
            <w:r w:rsidRPr="00050A5B">
              <w:rPr>
                <w:rFonts w:eastAsia="Proxima Nova Light" w:cs="Calibri"/>
                <w:szCs w:val="18"/>
              </w:rPr>
              <w:t xml:space="preserve">The benefits of the DER control are allocated according to their views of fairness </w:t>
            </w:r>
          </w:p>
          <w:p w14:paraId="6952CE4A" w14:textId="77777777" w:rsidR="00FA0887" w:rsidRPr="00050A5B" w:rsidRDefault="00FA0887" w:rsidP="003F223E">
            <w:pPr>
              <w:numPr>
                <w:ilvl w:val="0"/>
                <w:numId w:val="5"/>
              </w:numPr>
              <w:spacing w:before="120" w:after="120" w:line="288" w:lineRule="auto"/>
              <w:rPr>
                <w:rFonts w:eastAsia="Proxima Nova Light" w:cs="Calibri"/>
                <w:szCs w:val="18"/>
              </w:rPr>
            </w:pPr>
            <w:r w:rsidRPr="00050A5B">
              <w:rPr>
                <w:rFonts w:eastAsia="Proxima Nova Light" w:cs="Calibri"/>
                <w:szCs w:val="18"/>
              </w:rPr>
              <w:t xml:space="preserve">The institution enabling the DER control program engages in two-way dialogue with consumers (both those subject to control and those receiving the broader system benefits of the control). </w:t>
            </w:r>
          </w:p>
          <w:p w14:paraId="28C0CDC4" w14:textId="77777777" w:rsidR="00FA0887" w:rsidRPr="00050A5B" w:rsidRDefault="00FA0887" w:rsidP="003F223E">
            <w:pPr>
              <w:numPr>
                <w:ilvl w:val="0"/>
                <w:numId w:val="5"/>
              </w:numPr>
              <w:spacing w:before="120" w:after="120" w:line="288" w:lineRule="auto"/>
              <w:rPr>
                <w:rFonts w:eastAsia="Proxima Nova Light" w:cs="Calibri"/>
                <w:szCs w:val="18"/>
              </w:rPr>
            </w:pPr>
            <w:r w:rsidRPr="00050A5B">
              <w:rPr>
                <w:rFonts w:eastAsia="Proxima Nova Light" w:cs="Calibri"/>
                <w:szCs w:val="18"/>
              </w:rPr>
              <w:t xml:space="preserve">Psychological Identification: Whereby consumer representatives and the institution enabling the DER control program </w:t>
            </w:r>
            <w:proofErr w:type="gramStart"/>
            <w:r w:rsidRPr="00050A5B">
              <w:rPr>
                <w:rFonts w:eastAsia="Proxima Nova Light" w:cs="Calibri"/>
                <w:szCs w:val="18"/>
              </w:rPr>
              <w:t>develop</w:t>
            </w:r>
            <w:proofErr w:type="gramEnd"/>
            <w:r w:rsidRPr="00050A5B">
              <w:rPr>
                <w:rFonts w:eastAsia="Proxima Nova Light" w:cs="Calibri"/>
                <w:szCs w:val="18"/>
              </w:rPr>
              <w:t xml:space="preserve"> enduring regard for each other over the course of DER control program design, implementation, evaluation and modification.</w:t>
            </w:r>
          </w:p>
          <w:p w14:paraId="07A2ACBA"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The cost/effort required to gain and maintain a social licence for control of DER is directly related to the consumer’s choice (in terms of the mandatory/voluntary nature of the program) and the extent to which the private costs are outweighed by private benefits for all consumers with DER subject to control. The more mandatory and the higher the private costs, the more difficult it is to achieve a social licence. </w:t>
            </w:r>
          </w:p>
          <w:p w14:paraId="06C90ADB"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To obtain a social licence, close to 100% of consumers with DER subject to control must perceive the benefits of the control to outweigh the private costs. This is achieved where the program enables the energy system (public) benefits to be directly transferred to the DER consumer via an incentive payment, rebate or bill reduction or by personalising the public value to infer an indirect or perceived benefit. In consideration of the role of choice, the level of participation/uptake required to deliver the benefits must be </w:t>
            </w:r>
            <w:proofErr w:type="gramStart"/>
            <w:r w:rsidRPr="00050A5B">
              <w:rPr>
                <w:rFonts w:eastAsia="Proxima Nova Light" w:cs="Calibri"/>
                <w:szCs w:val="18"/>
              </w:rPr>
              <w:t>taken into account</w:t>
            </w:r>
            <w:proofErr w:type="gramEnd"/>
            <w:r w:rsidRPr="00050A5B">
              <w:rPr>
                <w:rFonts w:eastAsia="Proxima Nova Light" w:cs="Calibri"/>
                <w:szCs w:val="18"/>
              </w:rPr>
              <w:t xml:space="preserve">. Mandatory participation has the potential to drive the greatest uptake and therefore deliver the greatest benefit. However, where a DER control program is made mandatory, a social licence must be obtained from close to 100% of consumers with DER subject to control. </w:t>
            </w:r>
          </w:p>
          <w:p w14:paraId="69B21845"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DER consumers tend to fall into four main categories when it comes to the perceived private cost and benefits of DER: </w:t>
            </w:r>
          </w:p>
          <w:p w14:paraId="705A0F6A"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Derives personal satisfaction in adopting modern technology and automation and perceives little to no disbenefit of control </w:t>
            </w:r>
          </w:p>
          <w:p w14:paraId="4A0E5B7B"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Willing to absorb any private costs where the DER control provides for financial benefits and/or solves a practical problem </w:t>
            </w:r>
          </w:p>
          <w:p w14:paraId="23D84ED5"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Places a high value on social/environmental outcomes, perceives DER control as in alignment with these values, and is therefore willing to absorb reasonable costs </w:t>
            </w:r>
          </w:p>
          <w:p w14:paraId="3C55105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Place a high value on social/environmental outcomes but perceives DER control (and often technology generally) as in conflict with these values and is therefore unlikely to adopt DER control. </w:t>
            </w:r>
          </w:p>
          <w:p w14:paraId="266137C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Consideration of these four groups, in terms of the </w:t>
            </w:r>
            <w:proofErr w:type="spellStart"/>
            <w:r w:rsidRPr="00050A5B">
              <w:rPr>
                <w:rFonts w:eastAsia="Proxima Nova Light" w:cs="Calibri"/>
                <w:szCs w:val="18"/>
              </w:rPr>
              <w:t>make up</w:t>
            </w:r>
            <w:proofErr w:type="spellEnd"/>
            <w:r w:rsidRPr="00050A5B">
              <w:rPr>
                <w:rFonts w:eastAsia="Proxima Nova Light" w:cs="Calibri"/>
                <w:szCs w:val="18"/>
              </w:rPr>
              <w:t xml:space="preserve"> of each for any given DER control program, is a critical component in the processes of obtaining a social licence and/or increasing uptake and effectiveness.</w:t>
            </w:r>
          </w:p>
        </w:tc>
      </w:tr>
      <w:tr w:rsidR="00FA0887" w:rsidRPr="00050A5B" w14:paraId="6E4A4248" w14:textId="77777777">
        <w:tc>
          <w:tcPr>
            <w:tcW w:w="1374" w:type="pct"/>
            <w:shd w:val="clear" w:color="auto" w:fill="FFFFFF"/>
            <w:tcMar>
              <w:top w:w="113" w:type="dxa"/>
              <w:left w:w="113" w:type="dxa"/>
              <w:bottom w:w="113" w:type="dxa"/>
              <w:right w:w="113" w:type="dxa"/>
            </w:tcMar>
          </w:tcPr>
          <w:p w14:paraId="3209164B"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2020-11 ACOSS - New Energy Compact Consultation Draft 5</w:t>
            </w:r>
          </w:p>
        </w:tc>
        <w:tc>
          <w:tcPr>
            <w:tcW w:w="3626" w:type="pct"/>
            <w:tcMar>
              <w:top w:w="113" w:type="dxa"/>
              <w:left w:w="113" w:type="dxa"/>
              <w:bottom w:w="113" w:type="dxa"/>
              <w:right w:w="113" w:type="dxa"/>
            </w:tcMar>
          </w:tcPr>
          <w:p w14:paraId="21A912F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The power system is consumer focused, and everyone can access clean, affordable, dependable energy.</w:t>
            </w:r>
          </w:p>
        </w:tc>
      </w:tr>
      <w:tr w:rsidR="00FA0887" w:rsidRPr="00050A5B" w14:paraId="2705B133" w14:textId="77777777">
        <w:tc>
          <w:tcPr>
            <w:tcW w:w="1374" w:type="pct"/>
            <w:shd w:val="clear" w:color="auto" w:fill="FFFFFF"/>
            <w:tcMar>
              <w:top w:w="113" w:type="dxa"/>
              <w:left w:w="113" w:type="dxa"/>
              <w:bottom w:w="113" w:type="dxa"/>
              <w:right w:w="113" w:type="dxa"/>
            </w:tcMar>
          </w:tcPr>
          <w:p w14:paraId="31DDC436"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2020-05 Monash - Ron Ben-David on Two Sided Markets</w:t>
            </w:r>
          </w:p>
        </w:tc>
        <w:tc>
          <w:tcPr>
            <w:tcW w:w="3626" w:type="pct"/>
            <w:tcMar>
              <w:top w:w="113" w:type="dxa"/>
              <w:left w:w="113" w:type="dxa"/>
              <w:bottom w:w="113" w:type="dxa"/>
              <w:right w:w="113" w:type="dxa"/>
            </w:tcMar>
          </w:tcPr>
          <w:p w14:paraId="23BD0F6E"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Market mechanisms and structures operate in a manner which reflects the broader society's standards of fairness. Great care is taken by energy companies and policymakers to understand and articulate the community's standard of fairness, and to ensure that market design, development, and implementation are built out of and satisfy these standards. Further, consumers have confidence in the alignment and integration of these standards throughout the whole process. Market designers, policy makers and regulators have access to tools that allow models and related assumptions to be tested in high definition, and experimental economics applies laboratory methods to economic questions. At the same time, behavioural economists help market designers peer into market participants’ true decision-making processes. Likewise, economic theorists in the fields such as industrial organisation, game theory and institutional design apply their own assumption-bending techniques to theoretical models of proposed markets. The full arsenal of economic methods </w:t>
            </w:r>
            <w:proofErr w:type="gramStart"/>
            <w:r w:rsidRPr="00050A5B">
              <w:rPr>
                <w:rFonts w:eastAsia="Proxima Nova Light" w:cs="Calibri"/>
                <w:szCs w:val="18"/>
              </w:rPr>
              <w:t>are</w:t>
            </w:r>
            <w:proofErr w:type="gramEnd"/>
            <w:r w:rsidRPr="00050A5B">
              <w:rPr>
                <w:rFonts w:eastAsia="Proxima Nova Light" w:cs="Calibri"/>
                <w:szCs w:val="18"/>
              </w:rPr>
              <w:t xml:space="preserve"> openly deployed in search of comprehensive questions and equally comprehensive, satisfactory, and community confidence building answers.</w:t>
            </w:r>
          </w:p>
        </w:tc>
      </w:tr>
      <w:tr w:rsidR="00FA0887" w:rsidRPr="00050A5B" w14:paraId="3C93881E" w14:textId="77777777">
        <w:tc>
          <w:tcPr>
            <w:tcW w:w="1374" w:type="pct"/>
            <w:shd w:val="clear" w:color="auto" w:fill="FFFFFF"/>
            <w:tcMar>
              <w:top w:w="113" w:type="dxa"/>
              <w:left w:w="113" w:type="dxa"/>
              <w:bottom w:w="113" w:type="dxa"/>
              <w:right w:w="113" w:type="dxa"/>
            </w:tcMar>
          </w:tcPr>
          <w:p w14:paraId="206BBAE2"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2018-05 </w:t>
            </w:r>
            <w:proofErr w:type="spellStart"/>
            <w:r w:rsidRPr="00050A5B">
              <w:rPr>
                <w:rFonts w:eastAsia="Proxima Nova A Light" w:cs="Calibri"/>
                <w:szCs w:val="18"/>
              </w:rPr>
              <w:t>ThinkPlace</w:t>
            </w:r>
            <w:proofErr w:type="spellEnd"/>
            <w:r w:rsidRPr="00050A5B">
              <w:rPr>
                <w:rFonts w:eastAsia="Proxima Nova A Light" w:cs="Calibri"/>
                <w:szCs w:val="18"/>
              </w:rPr>
              <w:t xml:space="preserve"> - Demand Response Consumer Insights Report</w:t>
            </w:r>
          </w:p>
        </w:tc>
        <w:tc>
          <w:tcPr>
            <w:tcW w:w="3626" w:type="pct"/>
            <w:tcMar>
              <w:top w:w="113" w:type="dxa"/>
              <w:left w:w="113" w:type="dxa"/>
              <w:bottom w:w="113" w:type="dxa"/>
              <w:right w:w="113" w:type="dxa"/>
            </w:tcMar>
          </w:tcPr>
          <w:p w14:paraId="5FED4345"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Demand response mechanisms:</w:t>
            </w:r>
          </w:p>
          <w:p w14:paraId="2C3A9FBC"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Enable families to easily adapt their energy use habits and routines</w:t>
            </w:r>
          </w:p>
          <w:p w14:paraId="600EB7D3"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Connect people with energy management techniques that are of interest and benefit to them</w:t>
            </w:r>
          </w:p>
          <w:p w14:paraId="2FAF1343"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Support experimental learning and self-improvement to allow consumers to optimise their energy management</w:t>
            </w:r>
          </w:p>
          <w:p w14:paraId="6A82C39C"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Balance the desire of people to contribute to the greater good with equitable energy balancing</w:t>
            </w:r>
          </w:p>
          <w:p w14:paraId="35972272"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Balance the perceived and actual effort with the perceived and actual significance of demand response</w:t>
            </w:r>
          </w:p>
          <w:p w14:paraId="0211430A"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Allow customers to connect their individual demand response to longer-term energy user patterns and affirm customers that they are valuable contributors to the results of collective demand management</w:t>
            </w:r>
          </w:p>
          <w:p w14:paraId="6B457F04"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Tap into Australians' dominant social preferences if it is to attract and engage them, and change their long-term behaviour</w:t>
            </w:r>
          </w:p>
          <w:p w14:paraId="6426B8FC"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Allow users to share their experience of the program with family/friends and let them know the operational methodology and positive impacts it brings</w:t>
            </w:r>
          </w:p>
        </w:tc>
      </w:tr>
      <w:tr w:rsidR="00FA0887" w:rsidRPr="00050A5B" w14:paraId="5FB1046F" w14:textId="77777777">
        <w:tc>
          <w:tcPr>
            <w:tcW w:w="1374" w:type="pct"/>
            <w:shd w:val="clear" w:color="auto" w:fill="FFFFFF"/>
            <w:tcMar>
              <w:top w:w="113" w:type="dxa"/>
              <w:left w:w="113" w:type="dxa"/>
              <w:bottom w:w="113" w:type="dxa"/>
              <w:right w:w="113" w:type="dxa"/>
            </w:tcMar>
          </w:tcPr>
          <w:p w14:paraId="02D9C84F" w14:textId="77777777" w:rsidR="00FA0887" w:rsidRPr="00050A5B" w:rsidRDefault="00FA0887" w:rsidP="00B67E6B">
            <w:pPr>
              <w:spacing w:before="60" w:after="60" w:line="288" w:lineRule="auto"/>
              <w:rPr>
                <w:rFonts w:eastAsia="Proxima Nova A Light" w:cs="Calibri"/>
                <w:szCs w:val="18"/>
              </w:rPr>
            </w:pPr>
            <w:r w:rsidRPr="00050A5B">
              <w:rPr>
                <w:rFonts w:eastAsia="Proxima Nova A Light" w:cs="Calibri"/>
                <w:szCs w:val="18"/>
              </w:rPr>
              <w:t>2024-05 R. Russell-Bennett, R. Gordon, K. Letheren, R. McAndrew, F. Mathmann, A. van Hummel, and N. Bowring – Benchmarking Customer Priorities and Trust in the Energy Sector: Final Report</w:t>
            </w:r>
          </w:p>
        </w:tc>
        <w:tc>
          <w:tcPr>
            <w:tcW w:w="3626" w:type="pct"/>
            <w:tcMar>
              <w:top w:w="113" w:type="dxa"/>
              <w:left w:w="113" w:type="dxa"/>
              <w:bottom w:w="113" w:type="dxa"/>
              <w:right w:w="113" w:type="dxa"/>
            </w:tcMar>
          </w:tcPr>
          <w:p w14:paraId="77E63744"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 xml:space="preserve">A clearly articulated long-term national vision, led by government, provides customers with confidence in the direction of the energy transition. This vision enforces the essential nature of electricity and safeguards the public interest. This includes ensuring that system design choices are not overly driven by for-profit imperatives at the expense of customer outcomes. </w:t>
            </w:r>
          </w:p>
          <w:p w14:paraId="55E3313A"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Trust is no longer viewed as a soft, intangible value, but as a system-critical enabler of customer participation and social licence. Energy actors prioritise reducing perceived malevolence or deceit and actively addressing historical sources of customer distrust.</w:t>
            </w:r>
          </w:p>
          <w:p w14:paraId="07E462DA"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 xml:space="preserve">Customers experience the energy system as cohesive and navigable, supported by trusted institutions and/or single points of contact that </w:t>
            </w:r>
            <w:proofErr w:type="gramStart"/>
            <w:r w:rsidRPr="00050A5B">
              <w:rPr>
                <w:rFonts w:eastAsia="Proxima Nova Light" w:cs="Calibri"/>
                <w:szCs w:val="18"/>
              </w:rPr>
              <w:t>provide assistance</w:t>
            </w:r>
            <w:proofErr w:type="gramEnd"/>
            <w:r w:rsidRPr="00050A5B">
              <w:rPr>
                <w:rFonts w:eastAsia="Proxima Nova Light" w:cs="Calibri"/>
                <w:szCs w:val="18"/>
              </w:rPr>
              <w:t xml:space="preserve">, information, and accountability. </w:t>
            </w:r>
          </w:p>
        </w:tc>
      </w:tr>
      <w:tr w:rsidR="00FA0887" w:rsidRPr="00050A5B" w14:paraId="10009C0E" w14:textId="77777777">
        <w:tc>
          <w:tcPr>
            <w:tcW w:w="1374" w:type="pct"/>
            <w:shd w:val="clear" w:color="auto" w:fill="FFFFFF"/>
            <w:tcMar>
              <w:top w:w="113" w:type="dxa"/>
              <w:left w:w="113" w:type="dxa"/>
              <w:bottom w:w="113" w:type="dxa"/>
              <w:right w:w="113" w:type="dxa"/>
            </w:tcMar>
          </w:tcPr>
          <w:p w14:paraId="2503FBDB" w14:textId="77777777" w:rsidR="00FA0887" w:rsidRPr="00050A5B" w:rsidRDefault="00FA0887" w:rsidP="00B67E6B">
            <w:pPr>
              <w:spacing w:before="60" w:after="60" w:line="288" w:lineRule="auto"/>
              <w:rPr>
                <w:rFonts w:eastAsia="Proxima Nova A Light" w:cs="Calibri"/>
                <w:szCs w:val="18"/>
              </w:rPr>
            </w:pPr>
            <w:r w:rsidRPr="00050A5B">
              <w:rPr>
                <w:rFonts w:eastAsia="Proxima Nova A Light" w:cs="Calibri"/>
                <w:szCs w:val="18"/>
              </w:rPr>
              <w:t>2025 Energy Consumers Australia – Three Year Plan 2025–2028</w:t>
            </w:r>
          </w:p>
        </w:tc>
        <w:tc>
          <w:tcPr>
            <w:tcW w:w="3626" w:type="pct"/>
            <w:tcMar>
              <w:top w:w="113" w:type="dxa"/>
              <w:left w:w="113" w:type="dxa"/>
              <w:bottom w:w="113" w:type="dxa"/>
              <w:right w:w="113" w:type="dxa"/>
            </w:tcMar>
          </w:tcPr>
          <w:p w14:paraId="24E1B8C2"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The energy transition is guided by a clear and cohesive national narrative that builds public trust and unites consumers, governments, and industry under a shared vision. This overarching story is communicated transparently, enabling households and communities to understand what decarbonisation means for them and what actions they are expected to take.</w:t>
            </w:r>
          </w:p>
          <w:p w14:paraId="0279A6CC" w14:textId="4E9CBC93"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Eliminating ambiguity and proactively addressing misinformation has strengthened social licen</w:t>
            </w:r>
            <w:r w:rsidR="00B61956">
              <w:rPr>
                <w:rFonts w:eastAsia="Proxima Nova Light" w:cs="Calibri"/>
                <w:szCs w:val="18"/>
              </w:rPr>
              <w:t>c</w:t>
            </w:r>
            <w:r w:rsidRPr="00050A5B">
              <w:rPr>
                <w:rFonts w:eastAsia="Proxima Nova Light" w:cs="Calibri"/>
                <w:szCs w:val="18"/>
              </w:rPr>
              <w:t>e and mitigated the erosion of goodwill. Governments and industry take coordinated responsibility for providing timely, honest communication that helps consumers feel confident, informed, and connected to the broader purpose and benefits of the transition.</w:t>
            </w:r>
          </w:p>
        </w:tc>
      </w:tr>
    </w:tbl>
    <w:p w14:paraId="46DFE451" w14:textId="6935378C" w:rsidR="0016399E" w:rsidRDefault="0016399E" w:rsidP="002B0476">
      <w:pPr>
        <w:spacing w:before="120" w:after="120" w:line="288" w:lineRule="auto"/>
        <w:rPr>
          <w:rFonts w:ascii="Proxima Nova Light" w:eastAsia="SimSun" w:hAnsi="Proxima Nova Light" w:cs="Angsana New"/>
          <w:color w:val="2F2F2F"/>
          <w:kern w:val="0"/>
          <w:szCs w:val="18"/>
          <w14:ligatures w14:val="none"/>
        </w:rPr>
      </w:pPr>
    </w:p>
    <w:p w14:paraId="39A0E760" w14:textId="77777777" w:rsidR="0016399E" w:rsidRDefault="0016399E">
      <w:pPr>
        <w:spacing w:before="0" w:after="160" w:line="259" w:lineRule="auto"/>
        <w:rPr>
          <w:rFonts w:ascii="Proxima Nova Light" w:eastAsia="SimSun" w:hAnsi="Proxima Nova Light" w:cs="Angsana New"/>
          <w:color w:val="2F2F2F"/>
          <w:kern w:val="0"/>
          <w:szCs w:val="18"/>
          <w14:ligatures w14:val="none"/>
        </w:rPr>
      </w:pPr>
      <w:r>
        <w:rPr>
          <w:rFonts w:ascii="Proxima Nova Light" w:eastAsia="SimSun" w:hAnsi="Proxima Nova Light" w:cs="Angsana New"/>
          <w:color w:val="2F2F2F"/>
          <w:kern w:val="0"/>
          <w:szCs w:val="18"/>
          <w14:ligatures w14:val="none"/>
        </w:rPr>
        <w:br w:type="page"/>
      </w:r>
    </w:p>
    <w:p w14:paraId="6E3F7F37" w14:textId="7CBED2D3" w:rsidR="00891295" w:rsidRPr="00891295" w:rsidRDefault="00891295" w:rsidP="00891295">
      <w:pPr>
        <w:pStyle w:val="Heading1"/>
        <w:numPr>
          <w:ilvl w:val="0"/>
          <w:numId w:val="0"/>
        </w:numPr>
        <w:rPr>
          <w:lang w:eastAsia="en-US" w:bidi="ar-SA"/>
        </w:rPr>
      </w:pPr>
      <w:bookmarkStart w:id="152" w:name="_Toc205372234"/>
      <w:bookmarkStart w:id="153" w:name="_Toc205529039"/>
      <w:bookmarkStart w:id="154" w:name="_Toc205536784"/>
      <w:r w:rsidRPr="00891295">
        <w:rPr>
          <w:lang w:eastAsia="en-US" w:bidi="ar-SA"/>
        </w:rPr>
        <w:t xml:space="preserve">Appendix </w:t>
      </w:r>
      <w:r w:rsidR="0037294F">
        <w:rPr>
          <w:lang w:eastAsia="en-US" w:bidi="ar-SA"/>
        </w:rPr>
        <w:t>B</w:t>
      </w:r>
      <w:r w:rsidRPr="00891295">
        <w:rPr>
          <w:lang w:eastAsia="en-US" w:bidi="ar-SA"/>
        </w:rPr>
        <w:t>: Principles</w:t>
      </w:r>
      <w:bookmarkEnd w:id="152"/>
      <w:r w:rsidRPr="00891295">
        <w:rPr>
          <w:lang w:eastAsia="en-US" w:bidi="ar-SA"/>
        </w:rPr>
        <w:t>, Methodologies &amp; Acknowledgements</w:t>
      </w:r>
      <w:bookmarkEnd w:id="153"/>
      <w:bookmarkEnd w:id="154"/>
      <w:r w:rsidRPr="00891295">
        <w:rPr>
          <w:lang w:eastAsia="en-US" w:bidi="ar-SA"/>
        </w:rPr>
        <w:t xml:space="preserve"> </w:t>
      </w:r>
    </w:p>
    <w:p w14:paraId="1500574C" w14:textId="77777777" w:rsidR="00891295" w:rsidRPr="00891295" w:rsidRDefault="00891295" w:rsidP="00891295">
      <w:pPr>
        <w:spacing w:before="120" w:after="120" w:line="264" w:lineRule="auto"/>
        <w:rPr>
          <w:lang w:eastAsia="en-US" w:bidi="ar-SA"/>
        </w:rPr>
      </w:pPr>
      <w:bookmarkStart w:id="155" w:name="_Toc204765454"/>
      <w:r w:rsidRPr="00891295">
        <w:rPr>
          <w:lang w:eastAsia="en-US" w:bidi="ar-SA"/>
        </w:rPr>
        <w:t xml:space="preserve">This section provides an overview of the guiding principles and integrated disciplines and tools employed in the development of this reference set. </w:t>
      </w:r>
    </w:p>
    <w:p w14:paraId="4921AAE4" w14:textId="6D6BDBD4" w:rsidR="00891295" w:rsidRPr="00891295" w:rsidRDefault="00D55F8F" w:rsidP="00891295">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eastAsia="en-US" w:bidi="ar-SA"/>
        </w:rPr>
      </w:pPr>
      <w:bookmarkStart w:id="156" w:name="_Toc205372235"/>
      <w:bookmarkStart w:id="157" w:name="_Toc205529040"/>
      <w:bookmarkStart w:id="158" w:name="_Toc205536785"/>
      <w:r>
        <w:rPr>
          <w:rFonts w:ascii="PP Mori SemiBold" w:eastAsiaTheme="majorEastAsia" w:hAnsi="PP Mori SemiBold" w:cstheme="majorBidi"/>
          <w:color w:val="002C38" w:themeColor="accent1" w:themeShade="BF"/>
          <w:sz w:val="26"/>
          <w:szCs w:val="33"/>
          <w:lang w:eastAsia="en-US" w:bidi="ar-SA"/>
        </w:rPr>
        <w:t>B</w:t>
      </w:r>
      <w:r w:rsidR="00891295" w:rsidRPr="00891295">
        <w:rPr>
          <w:rFonts w:ascii="PP Mori SemiBold" w:eastAsiaTheme="majorEastAsia" w:hAnsi="PP Mori SemiBold" w:cstheme="majorBidi"/>
          <w:color w:val="002C38" w:themeColor="accent1" w:themeShade="BF"/>
          <w:sz w:val="26"/>
          <w:szCs w:val="33"/>
          <w:lang w:eastAsia="en-US" w:bidi="ar-SA"/>
        </w:rPr>
        <w:t>1</w:t>
      </w:r>
      <w:r w:rsidR="00891295" w:rsidRPr="00891295">
        <w:rPr>
          <w:rFonts w:ascii="PP Mori SemiBold" w:eastAsiaTheme="majorEastAsia" w:hAnsi="PP Mori SemiBold" w:cstheme="majorBidi"/>
          <w:color w:val="002C38" w:themeColor="accent1" w:themeShade="BF"/>
          <w:sz w:val="26"/>
          <w:szCs w:val="33"/>
          <w:lang w:eastAsia="en-US" w:bidi="ar-SA"/>
        </w:rPr>
        <w:tab/>
        <w:t>Guiding Principles</w:t>
      </w:r>
      <w:bookmarkEnd w:id="155"/>
      <w:bookmarkEnd w:id="156"/>
      <w:bookmarkEnd w:id="157"/>
      <w:bookmarkEnd w:id="158"/>
    </w:p>
    <w:p w14:paraId="2BA5D415" w14:textId="77777777" w:rsidR="00891295" w:rsidRPr="00891295" w:rsidRDefault="00891295" w:rsidP="00891295">
      <w:pPr>
        <w:spacing w:before="120" w:after="120" w:line="264" w:lineRule="auto"/>
        <w:rPr>
          <w:lang w:eastAsia="en-US" w:bidi="ar-SA"/>
        </w:rPr>
      </w:pPr>
      <w:r w:rsidRPr="00891295">
        <w:rPr>
          <w:lang w:eastAsia="en-US" w:bidi="ar-SA"/>
        </w:rPr>
        <w:t xml:space="preserve">Following are a set of principles and characteristics embedded in the Power System Architecture discipline that have guided the development of this reference set. </w:t>
      </w:r>
    </w:p>
    <w:p w14:paraId="13C5E8A6"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Stakeholder / User-centric:</w:t>
      </w:r>
      <w:r w:rsidRPr="00891295">
        <w:rPr>
          <w:color w:val="013C4C" w:themeColor="text1"/>
          <w:lang w:eastAsia="en-US" w:bidi="ar-SA"/>
        </w:rPr>
        <w:t xml:space="preserve"> </w:t>
      </w:r>
      <w:r w:rsidRPr="00891295">
        <w:rPr>
          <w:lang w:eastAsia="en-US" w:bidi="ar-SA"/>
        </w:rPr>
        <w:t xml:space="preserve">Systems architecture methodologies are grounded in a detailed exploration of the </w:t>
      </w:r>
      <w:r w:rsidRPr="00891295">
        <w:rPr>
          <w:i/>
          <w:iCs/>
          <w:lang w:eastAsia="en-US" w:bidi="ar-SA"/>
        </w:rPr>
        <w:t>Future Customer &amp; Societal Objectives (Report 1)</w:t>
      </w:r>
      <w:r w:rsidRPr="00891295">
        <w:rPr>
          <w:lang w:eastAsia="en-US" w:bidi="ar-SA"/>
        </w:rPr>
        <w:t xml:space="preserve"> for the power system to ensure the grid can deliver a balanced scorecard of societal outcomes. </w:t>
      </w:r>
    </w:p>
    <w:p w14:paraId="2A7AD291"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 xml:space="preserve">Contextually Informed: </w:t>
      </w:r>
      <w:r w:rsidRPr="00891295">
        <w:rPr>
          <w:lang w:eastAsia="en-US" w:bidi="ar-SA"/>
        </w:rPr>
        <w:t xml:space="preserve">Systems architecture methodologies give priority to examining the full range of </w:t>
      </w:r>
      <w:r w:rsidRPr="00891295">
        <w:rPr>
          <w:i/>
          <w:iCs/>
          <w:lang w:eastAsia="en-US" w:bidi="ar-SA"/>
        </w:rPr>
        <w:t>Emerging Trends Driving Transformation (Report 2)</w:t>
      </w:r>
      <w:r w:rsidRPr="00891295">
        <w:rPr>
          <w:lang w:eastAsia="en-US" w:bidi="ar-SA"/>
        </w:rPr>
        <w:t xml:space="preserve"> that are driving significant change together with the resulting Systemic Issues that must be addressed if stakeholder expectations of the future system are to be made achievable. </w:t>
      </w:r>
    </w:p>
    <w:p w14:paraId="44ECC93C"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Structural Focus:</w:t>
      </w:r>
      <w:r w:rsidRPr="00891295">
        <w:rPr>
          <w:color w:val="013C4C" w:themeColor="text1"/>
          <w:lang w:eastAsia="en-US" w:bidi="ar-SA"/>
        </w:rPr>
        <w:t xml:space="preserve"> </w:t>
      </w:r>
      <w:r w:rsidRPr="00891295">
        <w:rPr>
          <w:lang w:eastAsia="en-US" w:bidi="ar-SA"/>
        </w:rPr>
        <w:t xml:space="preserve">Systems architecture methodologies give particular attention to examining the underpinning legacy structure or ‘architecture’ of a complex system due to the disproportionate influence it has on what the system can safely, reliably and cost-efficiently do (i.e. the ‘performance envelope’ of the system). </w:t>
      </w:r>
    </w:p>
    <w:p w14:paraId="4AF0E45A"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Principles-based:</w:t>
      </w:r>
      <w:r w:rsidRPr="00891295">
        <w:rPr>
          <w:color w:val="013C4C" w:themeColor="text1"/>
          <w:lang w:eastAsia="en-US" w:bidi="ar-SA"/>
        </w:rPr>
        <w:t xml:space="preserve"> </w:t>
      </w:r>
      <w:r w:rsidRPr="00891295">
        <w:rPr>
          <w:lang w:eastAsia="en-US" w:bidi="ar-SA"/>
        </w:rPr>
        <w:t xml:space="preserve">Systems architecture methodologies are grounded in established principles and formal bases, ensuring conceptual integrity through consistent, traceable and verifiable processes, that enhance multi-stakeholder trust, and minimise the potential for unintended consequences. </w:t>
      </w:r>
    </w:p>
    <w:p w14:paraId="16753D92"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Whole-system Perspective:</w:t>
      </w:r>
      <w:r w:rsidRPr="00891295">
        <w:rPr>
          <w:color w:val="013C4C" w:themeColor="text1"/>
          <w:lang w:eastAsia="en-US" w:bidi="ar-SA"/>
        </w:rPr>
        <w:t xml:space="preserve"> </w:t>
      </w:r>
      <w:r w:rsidRPr="00891295">
        <w:rPr>
          <w:lang w:eastAsia="en-US" w:bidi="ar-SA"/>
        </w:rPr>
        <w:t>Systems architecture methodologies provide a holistic view of the entire system as the primary basis for considering the interdependencies between its many tiers/layers, subsystems and components.</w:t>
      </w:r>
    </w:p>
    <w:p w14:paraId="2AC7BA98"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Decadal Time Horizon</w:t>
      </w:r>
      <w:r w:rsidRPr="00891295">
        <w:rPr>
          <w:color w:val="013C4C" w:themeColor="text1"/>
          <w:lang w:eastAsia="en-US" w:bidi="ar-SA"/>
        </w:rPr>
        <w:t xml:space="preserve">: </w:t>
      </w:r>
      <w:r w:rsidRPr="00891295">
        <w:rPr>
          <w:lang w:eastAsia="en-US" w:bidi="ar-SA"/>
        </w:rPr>
        <w:t>By identifying structural options that enhance (rather than constrain) multi-year optionality, systems architecture methodologies ensure the system is robust, adaptable, scalable and extensible across a range of alternate future scenarios and maximise the ‘</w:t>
      </w:r>
      <w:proofErr w:type="gramStart"/>
      <w:r w:rsidRPr="00891295">
        <w:rPr>
          <w:lang w:eastAsia="en-US" w:bidi="ar-SA"/>
        </w:rPr>
        <w:t>future-proofing</w:t>
      </w:r>
      <w:proofErr w:type="gramEnd"/>
      <w:r w:rsidRPr="00891295">
        <w:rPr>
          <w:lang w:eastAsia="en-US" w:bidi="ar-SA"/>
        </w:rPr>
        <w:t xml:space="preserve">’ of investments. </w:t>
      </w:r>
    </w:p>
    <w:p w14:paraId="4B4E27AB"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 xml:space="preserve">Technology &amp; Business Model Agnostic: </w:t>
      </w:r>
      <w:r w:rsidRPr="00891295">
        <w:rPr>
          <w:lang w:eastAsia="en-US" w:bidi="ar-SA"/>
        </w:rPr>
        <w:t xml:space="preserve">By focusing on the required outcomes of the current and future system, systems architecture actively identifies alternative implementation pathways, supports technology innovation and avoids dependence on any one proprietary solution or commercial model. </w:t>
      </w:r>
    </w:p>
    <w:p w14:paraId="1054ABC8"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 xml:space="preserve">Complexity Management: </w:t>
      </w:r>
      <w:r w:rsidRPr="00891295">
        <w:rPr>
          <w:lang w:eastAsia="en-US" w:bidi="ar-SA"/>
        </w:rPr>
        <w:t xml:space="preserve">By making the underpinning structures of a legacy system explicitly articulated, systems architecture enables the decomposition of inherent complexity, identification of legacy structural constraints, and proposed changes to be accurately targeted and avoid complexity escalation. </w:t>
      </w:r>
    </w:p>
    <w:p w14:paraId="1B4ED746"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Subsystem Analysis:</w:t>
      </w:r>
      <w:r w:rsidRPr="00891295">
        <w:rPr>
          <w:color w:val="013C4C" w:themeColor="text1"/>
          <w:lang w:eastAsia="en-US" w:bidi="ar-SA"/>
        </w:rPr>
        <w:t xml:space="preserve"> </w:t>
      </w:r>
      <w:r w:rsidRPr="00891295">
        <w:rPr>
          <w:lang w:eastAsia="en-US" w:bidi="ar-SA"/>
        </w:rPr>
        <w:t xml:space="preserve">By providing formal analytical tools, systems architecture enables the detailed interrogation of all current Subsystems and Components, their individual form and function, boundaries, interfaces and functional interdependencies to holistically consider potential future enhancements in the context of the whole system. </w:t>
      </w:r>
    </w:p>
    <w:p w14:paraId="3AA55413"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Stakeholder Empowerment:</w:t>
      </w:r>
      <w:r w:rsidRPr="00891295">
        <w:rPr>
          <w:color w:val="013C4C" w:themeColor="text1"/>
          <w:lang w:eastAsia="en-US" w:bidi="ar-SA"/>
        </w:rPr>
        <w:t xml:space="preserve"> </w:t>
      </w:r>
      <w:r w:rsidRPr="00891295">
        <w:rPr>
          <w:lang w:eastAsia="en-US" w:bidi="ar-SA"/>
        </w:rPr>
        <w:t>By providing an objective and evidence-based set of tools that can be learned, systems architecture empowers diverse stakeholders – both technical and non-technical – to collectively reason about current and future options and better contribute to key trade-off decisions.</w:t>
      </w:r>
    </w:p>
    <w:p w14:paraId="739726DB" w14:textId="0F8A335E" w:rsidR="00891295" w:rsidRPr="00891295" w:rsidRDefault="00D55F8F" w:rsidP="00891295">
      <w:pPr>
        <w:keepNext/>
        <w:keepLines/>
        <w:spacing w:before="360" w:line="264" w:lineRule="auto"/>
        <w:outlineLvl w:val="1"/>
        <w:rPr>
          <w:rFonts w:ascii="PP Mori SemiBold" w:eastAsiaTheme="majorEastAsia" w:hAnsi="PP Mori SemiBold" w:cstheme="majorBidi"/>
          <w:color w:val="002C38" w:themeColor="accent1" w:themeShade="BF"/>
          <w:sz w:val="26"/>
          <w:szCs w:val="33"/>
          <w:lang w:eastAsia="en-US" w:bidi="ar-SA"/>
        </w:rPr>
      </w:pPr>
      <w:bookmarkStart w:id="159" w:name="_Toc205372236"/>
      <w:bookmarkStart w:id="160" w:name="_Toc205529041"/>
      <w:bookmarkStart w:id="161" w:name="_Toc205536786"/>
      <w:r>
        <w:rPr>
          <w:rFonts w:ascii="PP Mori SemiBold" w:eastAsiaTheme="majorEastAsia" w:hAnsi="PP Mori SemiBold" w:cstheme="majorBidi"/>
          <w:color w:val="002C38" w:themeColor="accent1" w:themeShade="BF"/>
          <w:sz w:val="26"/>
          <w:szCs w:val="33"/>
          <w:lang w:eastAsia="en-US" w:bidi="ar-SA"/>
        </w:rPr>
        <w:t>B</w:t>
      </w:r>
      <w:r w:rsidR="00891295" w:rsidRPr="00891295">
        <w:rPr>
          <w:rFonts w:ascii="PP Mori SemiBold" w:eastAsiaTheme="majorEastAsia" w:hAnsi="PP Mori SemiBold" w:cstheme="majorBidi"/>
          <w:color w:val="002C38" w:themeColor="accent1" w:themeShade="BF"/>
          <w:sz w:val="26"/>
          <w:szCs w:val="33"/>
          <w:lang w:eastAsia="en-US" w:bidi="ar-SA"/>
        </w:rPr>
        <w:t>2</w:t>
      </w:r>
      <w:r w:rsidR="00891295" w:rsidRPr="00891295">
        <w:rPr>
          <w:rFonts w:ascii="PP Mori SemiBold" w:eastAsiaTheme="majorEastAsia" w:hAnsi="PP Mori SemiBold" w:cstheme="majorBidi"/>
          <w:color w:val="002C38" w:themeColor="accent1" w:themeShade="BF"/>
          <w:sz w:val="26"/>
          <w:szCs w:val="33"/>
          <w:lang w:eastAsia="en-US" w:bidi="ar-SA"/>
        </w:rPr>
        <w:tab/>
        <w:t>Integrated Disciplines &amp; Tools</w:t>
      </w:r>
      <w:bookmarkEnd w:id="159"/>
      <w:bookmarkEnd w:id="160"/>
      <w:bookmarkEnd w:id="161"/>
    </w:p>
    <w:p w14:paraId="08BA841E" w14:textId="77777777" w:rsidR="00891295" w:rsidRPr="00891295" w:rsidRDefault="00891295" w:rsidP="00891295">
      <w:pPr>
        <w:spacing w:line="264" w:lineRule="auto"/>
        <w:rPr>
          <w:lang w:eastAsia="en-US" w:bidi="ar-SA"/>
        </w:rPr>
      </w:pPr>
      <w:r w:rsidRPr="00891295">
        <w:rPr>
          <w:lang w:eastAsia="en-US" w:bidi="ar-SA"/>
        </w:rPr>
        <w:t xml:space="preserve">Following are a set of disciplines and tools that have informed and enabled the development of this reference set. </w:t>
      </w:r>
    </w:p>
    <w:tbl>
      <w:tblPr>
        <w:tblStyle w:val="TableGrid11"/>
        <w:tblW w:w="8505" w:type="dxa"/>
        <w:tblInd w:w="-5" w:type="dxa"/>
        <w:tblLook w:val="04A0" w:firstRow="1" w:lastRow="0" w:firstColumn="1" w:lastColumn="0" w:noHBand="0" w:noVBand="1"/>
      </w:tblPr>
      <w:tblGrid>
        <w:gridCol w:w="2127"/>
        <w:gridCol w:w="6378"/>
      </w:tblGrid>
      <w:tr w:rsidR="00891295" w:rsidRPr="00891295" w14:paraId="3BE8EB85" w14:textId="77777777" w:rsidTr="009B2757">
        <w:tc>
          <w:tcPr>
            <w:tcW w:w="2127" w:type="dxa"/>
            <w:shd w:val="clear" w:color="auto" w:fill="067296" w:themeFill="text2"/>
          </w:tcPr>
          <w:p w14:paraId="766B1D61" w14:textId="77777777" w:rsidR="00891295" w:rsidRPr="00891295" w:rsidRDefault="00891295" w:rsidP="00891295">
            <w:pPr>
              <w:spacing w:before="120" w:after="120" w:line="288" w:lineRule="auto"/>
              <w:jc w:val="center"/>
              <w:rPr>
                <w:rFonts w:ascii="PP Mori SemiBold" w:eastAsia="Segoe UI" w:hAnsi="PP Mori SemiBold"/>
                <w:color w:val="FAFAFA" w:themeColor="background1"/>
                <w:szCs w:val="18"/>
              </w:rPr>
            </w:pPr>
            <w:r w:rsidRPr="00891295">
              <w:rPr>
                <w:rFonts w:ascii="PP Mori SemiBold" w:eastAsia="Segoe UI" w:hAnsi="PP Mori SemiBold"/>
                <w:color w:val="FAFAFA" w:themeColor="background1"/>
                <w:szCs w:val="18"/>
              </w:rPr>
              <w:t>Design Thinking</w:t>
            </w:r>
          </w:p>
        </w:tc>
        <w:tc>
          <w:tcPr>
            <w:tcW w:w="6378" w:type="dxa"/>
          </w:tcPr>
          <w:p w14:paraId="06531212" w14:textId="77777777" w:rsidR="00891295" w:rsidRPr="00891295" w:rsidRDefault="00891295" w:rsidP="00891295">
            <w:pPr>
              <w:spacing w:before="120" w:after="120" w:line="288" w:lineRule="auto"/>
              <w:ind w:left="176" w:right="176"/>
              <w:rPr>
                <w:szCs w:val="18"/>
                <w:lang w:eastAsia="en-US" w:bidi="ar-SA"/>
              </w:rPr>
            </w:pPr>
            <w:r w:rsidRPr="00891295">
              <w:rPr>
                <w:szCs w:val="18"/>
                <w:lang w:eastAsia="en-US" w:bidi="ar-SA"/>
              </w:rPr>
              <w:t>A human-centered, iterative methodology for solving complex problems through empathetic understanding, creative ideation, and rapid experimentation.  The purpose of Design Thinking is to foster innovation by prioritising human needs, reframing challenges as opportunities, and developing actionable solutions that balance desirability (user appeal), feasibility (technical viability), and viability (economic sustainability). It functions as a non-linear process that bridges creative exploration with practical implementation, enabling teams across disciplines to navigate ambiguity and deliver user-centric outcomes.</w:t>
            </w:r>
          </w:p>
        </w:tc>
      </w:tr>
      <w:tr w:rsidR="00891295" w:rsidRPr="00891295" w14:paraId="014BD437" w14:textId="77777777" w:rsidTr="009B2757">
        <w:tc>
          <w:tcPr>
            <w:tcW w:w="2127" w:type="dxa"/>
            <w:shd w:val="clear" w:color="auto" w:fill="067296" w:themeFill="text2"/>
          </w:tcPr>
          <w:p w14:paraId="71A022E2"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eastAsia="Segoe UI" w:hAnsi="PP Mori SemiBold"/>
                <w:color w:val="FAFAFA" w:themeColor="background1"/>
                <w:szCs w:val="18"/>
              </w:rPr>
              <w:t>Model-Based Systems Engineering (MBSE)</w:t>
            </w:r>
          </w:p>
          <w:p w14:paraId="27672294" w14:textId="77777777" w:rsidR="00891295" w:rsidRPr="00891295" w:rsidRDefault="00891295" w:rsidP="00891295">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3AA63F96" w14:textId="77777777" w:rsidR="00891295" w:rsidRPr="00891295" w:rsidRDefault="00891295" w:rsidP="00891295">
            <w:pPr>
              <w:spacing w:before="120" w:after="120" w:line="288" w:lineRule="auto"/>
              <w:ind w:left="176" w:right="176"/>
              <w:rPr>
                <w:lang w:bidi="ar-SA"/>
              </w:rPr>
            </w:pPr>
            <w:r w:rsidRPr="00891295">
              <w:rPr>
                <w:szCs w:val="18"/>
                <w:lang w:eastAsia="en-US" w:bidi="ar-SA"/>
              </w:rPr>
              <w:t xml:space="preserve">An approach to Systems Engineering that uses software-based models to represent various aspects and behaviours of a complex System. It provides dynamic modelling of System requirements, design, analysis, verification and validation activities in a manner that ensures requirements traceability, reduced errors and enhances multi-stakeholder collaboration in near real-time. </w:t>
            </w:r>
          </w:p>
          <w:p w14:paraId="16E243B2" w14:textId="77777777" w:rsidR="00891295" w:rsidRPr="00891295" w:rsidRDefault="00891295" w:rsidP="00891295">
            <w:pPr>
              <w:spacing w:before="120" w:after="120" w:line="288" w:lineRule="auto"/>
              <w:ind w:left="176" w:right="176"/>
              <w:rPr>
                <w:lang w:eastAsia="en-US" w:bidi="ar-SA"/>
              </w:rPr>
            </w:pPr>
            <w:r w:rsidRPr="00891295">
              <w:rPr>
                <w:szCs w:val="18"/>
                <w:lang w:eastAsia="en-US" w:bidi="ar-SA"/>
              </w:rPr>
              <w:t>MBSE leverages graphical and textual representations to capture, analyse, simulate, and communicate the requirements, designs, and behaviours of the System. Applied from the conceptual design phase and continuing throughout development and later life cycle phases, it enhances traditional Systems Engineering processes by providing a more structured, integrated, and visual representation of the</w:t>
            </w:r>
            <w:r w:rsidRPr="00891295">
              <w:rPr>
                <w:rFonts w:ascii="Calibri" w:hAnsi="Calibri" w:cs="Calibri"/>
                <w:szCs w:val="18"/>
                <w:lang w:eastAsia="en-US" w:bidi="ar-SA"/>
              </w:rPr>
              <w:t> </w:t>
            </w:r>
            <w:r w:rsidRPr="00891295">
              <w:rPr>
                <w:szCs w:val="18"/>
                <w:lang w:eastAsia="en-US" w:bidi="ar-SA"/>
              </w:rPr>
              <w:t>Architecture and Functions of a System.</w:t>
            </w:r>
            <w:r w:rsidRPr="00891295">
              <w:rPr>
                <w:rFonts w:ascii="Calibri" w:hAnsi="Calibri" w:cs="Calibri"/>
                <w:szCs w:val="18"/>
                <w:lang w:eastAsia="en-US" w:bidi="ar-SA"/>
              </w:rPr>
              <w:t> </w:t>
            </w:r>
          </w:p>
        </w:tc>
      </w:tr>
    </w:tbl>
    <w:p w14:paraId="5518FF92" w14:textId="77777777" w:rsidR="00891295" w:rsidRPr="00891295" w:rsidRDefault="00891295" w:rsidP="00891295">
      <w:pPr>
        <w:rPr>
          <w:sz w:val="22"/>
          <w:szCs w:val="22"/>
        </w:rPr>
      </w:pPr>
      <w:r w:rsidRPr="00891295">
        <w:rPr>
          <w:sz w:val="22"/>
          <w:szCs w:val="22"/>
        </w:rPr>
        <w:br w:type="page"/>
      </w:r>
    </w:p>
    <w:tbl>
      <w:tblPr>
        <w:tblStyle w:val="TableGrid11"/>
        <w:tblW w:w="8505" w:type="dxa"/>
        <w:tblInd w:w="-5" w:type="dxa"/>
        <w:tblLook w:val="04A0" w:firstRow="1" w:lastRow="0" w:firstColumn="1" w:lastColumn="0" w:noHBand="0" w:noVBand="1"/>
      </w:tblPr>
      <w:tblGrid>
        <w:gridCol w:w="2127"/>
        <w:gridCol w:w="6378"/>
      </w:tblGrid>
      <w:tr w:rsidR="00891295" w:rsidRPr="00891295" w14:paraId="09B274A1" w14:textId="77777777" w:rsidTr="009B2757">
        <w:trPr>
          <w:trHeight w:val="747"/>
        </w:trPr>
        <w:tc>
          <w:tcPr>
            <w:tcW w:w="2127" w:type="dxa"/>
            <w:shd w:val="clear" w:color="auto" w:fill="067296" w:themeFill="text2"/>
          </w:tcPr>
          <w:p w14:paraId="3B1169B8" w14:textId="77777777" w:rsidR="00891295" w:rsidRPr="00891295" w:rsidRDefault="00891295" w:rsidP="00891295">
            <w:pPr>
              <w:spacing w:before="120" w:after="120" w:line="288" w:lineRule="auto"/>
              <w:ind w:left="176" w:right="170"/>
              <w:jc w:val="center"/>
              <w:rPr>
                <w:rFonts w:ascii="PP Mori SemiBold" w:hAnsi="PP Mori SemiBold"/>
                <w:bCs/>
                <w:color w:val="FAFAFA" w:themeColor="background1"/>
                <w:szCs w:val="18"/>
              </w:rPr>
            </w:pPr>
            <w:r w:rsidRPr="00891295">
              <w:rPr>
                <w:rFonts w:ascii="PP Mori SemiBold" w:hAnsi="PP Mori SemiBold"/>
                <w:bCs/>
                <w:color w:val="FAFAFA" w:themeColor="background1"/>
                <w:szCs w:val="18"/>
              </w:rPr>
              <w:t>Power Systems Architecture (PSA)</w:t>
            </w:r>
          </w:p>
        </w:tc>
        <w:tc>
          <w:tcPr>
            <w:tcW w:w="6378" w:type="dxa"/>
          </w:tcPr>
          <w:p w14:paraId="26118971" w14:textId="77777777" w:rsidR="00891295" w:rsidRPr="00891295" w:rsidRDefault="00891295" w:rsidP="00891295">
            <w:pPr>
              <w:spacing w:before="120" w:after="120" w:line="288" w:lineRule="auto"/>
              <w:ind w:left="176" w:right="176"/>
              <w:rPr>
                <w:szCs w:val="18"/>
                <w:lang w:bidi="ar-SA"/>
              </w:rPr>
            </w:pPr>
            <w:r w:rsidRPr="00891295">
              <w:rPr>
                <w:szCs w:val="18"/>
                <w:lang w:bidi="ar-SA"/>
              </w:rPr>
              <w:t xml:space="preserve">An integrated set of disciplines that support the structural transformation of legacy power systems, enabling them to more effectively serve evolving customer and societal objectives.  </w:t>
            </w:r>
          </w:p>
          <w:p w14:paraId="09D2867A" w14:textId="77777777" w:rsidR="00891295" w:rsidRPr="00891295" w:rsidRDefault="00891295" w:rsidP="00891295">
            <w:pPr>
              <w:spacing w:before="120" w:after="120" w:line="288" w:lineRule="auto"/>
              <w:ind w:left="176" w:right="176"/>
              <w:rPr>
                <w:szCs w:val="18"/>
                <w:lang w:bidi="ar-SA"/>
              </w:rPr>
            </w:pPr>
            <w:r w:rsidRPr="00891295">
              <w:rPr>
                <w:szCs w:val="18"/>
                <w:lang w:bidi="ar-SA"/>
              </w:rPr>
              <w:t>At its most fundamental, PSA reflects the application of systems engineering to the transformation of the power system.  In recognising each power system as a complex Network of Structures, the PSA methodologies are uniquely designed to provide:</w:t>
            </w:r>
            <w:r w:rsidRPr="00891295">
              <w:rPr>
                <w:rFonts w:ascii="Calibri" w:hAnsi="Calibri" w:cs="Calibri"/>
                <w:szCs w:val="18"/>
                <w:lang w:bidi="ar-SA"/>
              </w:rPr>
              <w:t> </w:t>
            </w:r>
          </w:p>
          <w:p w14:paraId="6C7DA24D" w14:textId="77777777" w:rsidR="00891295" w:rsidRPr="00891295" w:rsidRDefault="00891295" w:rsidP="00891295">
            <w:pPr>
              <w:numPr>
                <w:ilvl w:val="0"/>
                <w:numId w:val="40"/>
              </w:numPr>
              <w:tabs>
                <w:tab w:val="num" w:pos="720"/>
              </w:tabs>
              <w:spacing w:before="60" w:after="60" w:line="288" w:lineRule="auto"/>
              <w:ind w:left="714" w:hanging="357"/>
              <w:rPr>
                <w:rFonts w:eastAsia="Segoe UI"/>
                <w:bCs/>
                <w:color w:val="252423"/>
                <w:szCs w:val="18"/>
              </w:rPr>
            </w:pPr>
            <w:r w:rsidRPr="00891295">
              <w:rPr>
                <w:rFonts w:eastAsia="Segoe UI"/>
                <w:color w:val="252423"/>
                <w:szCs w:val="18"/>
              </w:rPr>
              <w:t xml:space="preserve">Whole-system insight over 5, 10 and 20-year time horizons, enabling the interrogation and mapping of current, emerging and future </w:t>
            </w:r>
            <w:r w:rsidRPr="00891295">
              <w:rPr>
                <w:rFonts w:eastAsia="Segoe UI"/>
                <w:bCs/>
                <w:color w:val="252423"/>
                <w:szCs w:val="18"/>
              </w:rPr>
              <w:t>system</w:t>
            </w:r>
            <w:r w:rsidRPr="00891295">
              <w:rPr>
                <w:rFonts w:eastAsia="Segoe UI"/>
                <w:color w:val="252423"/>
                <w:szCs w:val="18"/>
              </w:rPr>
              <w:t xml:space="preserve"> priorities and objectives including the </w:t>
            </w:r>
            <w:r w:rsidRPr="00891295">
              <w:rPr>
                <w:rFonts w:eastAsia="Segoe UI"/>
                <w:bCs/>
                <w:color w:val="252423"/>
                <w:szCs w:val="18"/>
              </w:rPr>
              <w:t>role</w:t>
            </w:r>
            <w:r w:rsidRPr="00891295">
              <w:rPr>
                <w:rFonts w:eastAsia="Segoe UI"/>
                <w:color w:val="252423"/>
                <w:szCs w:val="18"/>
              </w:rPr>
              <w:t xml:space="preserve"> and </w:t>
            </w:r>
            <w:r w:rsidRPr="00891295">
              <w:rPr>
                <w:rFonts w:eastAsia="Segoe UI"/>
                <w:bCs/>
                <w:color w:val="252423"/>
                <w:szCs w:val="18"/>
              </w:rPr>
              <w:t>responsibilities, operational coordination and co</w:t>
            </w:r>
            <w:r w:rsidRPr="00891295">
              <w:rPr>
                <w:rFonts w:eastAsia="Segoe UI"/>
                <w:color w:val="252423"/>
                <w:szCs w:val="18"/>
              </w:rPr>
              <w:t xml:space="preserve">-optimisation across all vertical </w:t>
            </w:r>
            <w:r w:rsidRPr="00891295">
              <w:rPr>
                <w:rFonts w:eastAsia="Segoe UI"/>
                <w:bCs/>
                <w:color w:val="252423"/>
                <w:szCs w:val="18"/>
              </w:rPr>
              <w:t xml:space="preserve">tiers/layers. </w:t>
            </w:r>
          </w:p>
          <w:p w14:paraId="2AC855B7" w14:textId="77777777" w:rsidR="00891295" w:rsidRPr="00891295" w:rsidRDefault="00891295" w:rsidP="00891295">
            <w:pPr>
              <w:numPr>
                <w:ilvl w:val="0"/>
                <w:numId w:val="40"/>
              </w:numPr>
              <w:tabs>
                <w:tab w:val="num" w:pos="720"/>
              </w:tabs>
              <w:spacing w:before="60" w:after="60" w:line="288" w:lineRule="auto"/>
              <w:ind w:left="714" w:hanging="357"/>
              <w:rPr>
                <w:rFonts w:eastAsia="Segoe UI"/>
                <w:bCs/>
                <w:color w:val="252423"/>
                <w:szCs w:val="18"/>
              </w:rPr>
            </w:pPr>
            <w:r w:rsidRPr="00891295">
              <w:rPr>
                <w:rFonts w:eastAsia="Segoe UI"/>
                <w:bCs/>
                <w:color w:val="252423"/>
                <w:szCs w:val="18"/>
              </w:rPr>
              <w:t xml:space="preserve">Evidence-based tools to identify, analyse and shortlist key transformational options through the combination of systems architecture, network theory, control theory, systems science and Model-based Systems Engineering (MBSE). </w:t>
            </w:r>
          </w:p>
          <w:p w14:paraId="628D1D21" w14:textId="77777777" w:rsidR="00891295" w:rsidRPr="00891295" w:rsidRDefault="00891295" w:rsidP="00891295">
            <w:pPr>
              <w:numPr>
                <w:ilvl w:val="0"/>
                <w:numId w:val="40"/>
              </w:numPr>
              <w:tabs>
                <w:tab w:val="num" w:pos="720"/>
              </w:tabs>
              <w:spacing w:before="60" w:after="60" w:line="288" w:lineRule="auto"/>
              <w:ind w:left="714" w:hanging="357"/>
              <w:rPr>
                <w:rFonts w:eastAsia="Segoe UI"/>
                <w:color w:val="252423"/>
                <w:szCs w:val="18"/>
              </w:rPr>
            </w:pPr>
            <w:r w:rsidRPr="00891295">
              <w:rPr>
                <w:rFonts w:eastAsia="Segoe UI"/>
                <w:color w:val="252423"/>
                <w:szCs w:val="18"/>
              </w:rPr>
              <w:t xml:space="preserve">Future-resilient decision making by surfacing hidden structural constraints early which may otherwise propagate a range of </w:t>
            </w:r>
            <w:r w:rsidRPr="00891295">
              <w:rPr>
                <w:rFonts w:eastAsia="Segoe UI"/>
                <w:bCs/>
                <w:color w:val="252423"/>
                <w:szCs w:val="18"/>
              </w:rPr>
              <w:t>architectural</w:t>
            </w:r>
            <w:r w:rsidRPr="00891295">
              <w:rPr>
                <w:rFonts w:eastAsia="Segoe UI"/>
                <w:color w:val="252423"/>
                <w:szCs w:val="18"/>
              </w:rPr>
              <w:t xml:space="preserve"> Issues including computational constraints, latency cascading and cyber-security vulnerabilities, providing greater assurance that new investments will be </w:t>
            </w:r>
            <w:r w:rsidRPr="00891295">
              <w:rPr>
                <w:rFonts w:eastAsia="Segoe UI"/>
                <w:bCs/>
                <w:color w:val="252423"/>
                <w:szCs w:val="18"/>
              </w:rPr>
              <w:t>scalable and extensible</w:t>
            </w:r>
            <w:r w:rsidRPr="00891295">
              <w:rPr>
                <w:rFonts w:eastAsia="Segoe UI"/>
                <w:color w:val="252423"/>
                <w:szCs w:val="18"/>
              </w:rPr>
              <w:t xml:space="preserve"> under all plausible futures.</w:t>
            </w:r>
          </w:p>
          <w:p w14:paraId="5AA3580C" w14:textId="77777777" w:rsidR="00891295" w:rsidRPr="00891295" w:rsidRDefault="00891295" w:rsidP="00891295">
            <w:pPr>
              <w:spacing w:before="120" w:after="120" w:line="288" w:lineRule="auto"/>
              <w:ind w:left="176" w:right="176"/>
              <w:rPr>
                <w:szCs w:val="18"/>
                <w:lang w:bidi="ar-SA"/>
              </w:rPr>
            </w:pPr>
            <w:r w:rsidRPr="00891295">
              <w:rPr>
                <w:szCs w:val="18"/>
                <w:lang w:bidi="ar-SA"/>
              </w:rPr>
              <w:t xml:space="preserve">PSA provides a formalised toolkit for decomposing and ‘taming’ the massive complexity inherent to a transforming power system. The PSA toolkit empowers more informed, multi-stakeholder participation by making critical content explicit and tractable that would otherwise remain opaque and intractable. </w:t>
            </w:r>
          </w:p>
          <w:p w14:paraId="4775B520" w14:textId="77777777" w:rsidR="00891295" w:rsidRPr="00891295" w:rsidRDefault="00891295" w:rsidP="00891295">
            <w:pPr>
              <w:spacing w:before="120" w:after="120" w:line="288" w:lineRule="auto"/>
              <w:ind w:left="176" w:right="176"/>
              <w:rPr>
                <w:bCs/>
                <w:szCs w:val="18"/>
                <w:lang w:eastAsia="en-US" w:bidi="ar-SA"/>
              </w:rPr>
            </w:pPr>
            <w:r w:rsidRPr="00891295">
              <w:rPr>
                <w:szCs w:val="18"/>
                <w:lang w:bidi="ar-SA"/>
              </w:rPr>
              <w:t>It is designed to enhance decision quality, timeliness and traceability to support full benefits-realisation and avoid the propagation of unintended consequences.</w:t>
            </w:r>
          </w:p>
        </w:tc>
      </w:tr>
    </w:tbl>
    <w:p w14:paraId="1E30FC76" w14:textId="77777777" w:rsidR="00891295" w:rsidRPr="00891295" w:rsidRDefault="00891295" w:rsidP="00891295">
      <w:pPr>
        <w:rPr>
          <w:sz w:val="22"/>
          <w:szCs w:val="22"/>
        </w:rPr>
      </w:pPr>
      <w:r w:rsidRPr="00891295">
        <w:rPr>
          <w:sz w:val="22"/>
          <w:szCs w:val="22"/>
        </w:rPr>
        <w:br w:type="page"/>
      </w:r>
    </w:p>
    <w:tbl>
      <w:tblPr>
        <w:tblStyle w:val="TableGrid11"/>
        <w:tblW w:w="8505" w:type="dxa"/>
        <w:tblInd w:w="-5" w:type="dxa"/>
        <w:tblLook w:val="04A0" w:firstRow="1" w:lastRow="0" w:firstColumn="1" w:lastColumn="0" w:noHBand="0" w:noVBand="1"/>
      </w:tblPr>
      <w:tblGrid>
        <w:gridCol w:w="2127"/>
        <w:gridCol w:w="6378"/>
      </w:tblGrid>
      <w:tr w:rsidR="00891295" w:rsidRPr="00891295" w14:paraId="7FA4970E" w14:textId="77777777" w:rsidTr="009B2757">
        <w:tc>
          <w:tcPr>
            <w:tcW w:w="2127" w:type="dxa"/>
            <w:shd w:val="clear" w:color="auto" w:fill="067296" w:themeFill="text2"/>
          </w:tcPr>
          <w:p w14:paraId="585208A4"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 xml:space="preserve">Strategic </w:t>
            </w:r>
            <w:proofErr w:type="spellStart"/>
            <w:r w:rsidRPr="00891295">
              <w:rPr>
                <w:rFonts w:ascii="PP Mori SemiBold" w:hAnsi="PP Mori SemiBold"/>
                <w:color w:val="FAFAFA" w:themeColor="background1"/>
                <w:szCs w:val="18"/>
              </w:rPr>
              <w:t>Foresighting</w:t>
            </w:r>
            <w:proofErr w:type="spellEnd"/>
          </w:p>
        </w:tc>
        <w:tc>
          <w:tcPr>
            <w:tcW w:w="6378" w:type="dxa"/>
          </w:tcPr>
          <w:p w14:paraId="5E226A3F" w14:textId="77777777" w:rsidR="00891295" w:rsidRPr="00891295" w:rsidRDefault="00891295" w:rsidP="00891295">
            <w:pPr>
              <w:spacing w:before="120" w:after="120" w:line="264" w:lineRule="auto"/>
              <w:ind w:left="176" w:right="176"/>
              <w:rPr>
                <w:szCs w:val="18"/>
                <w:lang w:bidi="ar-SA"/>
              </w:rPr>
            </w:pPr>
            <w:r w:rsidRPr="00891295">
              <w:rPr>
                <w:szCs w:val="18"/>
                <w:lang w:bidi="ar-SA"/>
              </w:rPr>
              <w:t xml:space="preserve">A systematic, collaborative process for exploring plausible futures, identifying emerging trends, disruptions, and opportunities to inform resilient long-term strategies. </w:t>
            </w:r>
          </w:p>
          <w:p w14:paraId="6952D797" w14:textId="77777777" w:rsidR="00891295" w:rsidRPr="00891295" w:rsidRDefault="00891295" w:rsidP="00891295">
            <w:pPr>
              <w:spacing w:before="120" w:after="120" w:line="264" w:lineRule="auto"/>
              <w:ind w:left="176" w:right="176"/>
              <w:rPr>
                <w:szCs w:val="18"/>
                <w:lang w:bidi="ar-SA"/>
              </w:rPr>
            </w:pPr>
            <w:r w:rsidRPr="00891295">
              <w:rPr>
                <w:szCs w:val="18"/>
                <w:lang w:bidi="ar-SA"/>
              </w:rPr>
              <w:t xml:space="preserve">The purpose of Strategic </w:t>
            </w:r>
            <w:proofErr w:type="spellStart"/>
            <w:r w:rsidRPr="00891295">
              <w:rPr>
                <w:szCs w:val="18"/>
                <w:lang w:bidi="ar-SA"/>
              </w:rPr>
              <w:t>Foresighting</w:t>
            </w:r>
            <w:proofErr w:type="spellEnd"/>
            <w:r w:rsidRPr="00891295">
              <w:rPr>
                <w:szCs w:val="18"/>
                <w:lang w:bidi="ar-SA"/>
              </w:rPr>
              <w:t xml:space="preserve"> is to enable organisations to proactively shape or adapt to future environments by reducing uncertainty, challenging assumptions, and aligning decisions with potential scenarios. It ensures that systems, architectures, and investments remain viable amid evolving technological, societal, economic, and regulatory landscapes.</w:t>
            </w:r>
          </w:p>
          <w:p w14:paraId="2A259A7E" w14:textId="77777777" w:rsidR="00891295" w:rsidRPr="00891295" w:rsidRDefault="00891295" w:rsidP="00891295">
            <w:pPr>
              <w:spacing w:before="120" w:after="120" w:line="264" w:lineRule="auto"/>
              <w:ind w:left="176" w:right="176"/>
              <w:rPr>
                <w:szCs w:val="18"/>
                <w:lang w:bidi="ar-SA"/>
              </w:rPr>
            </w:pPr>
            <w:r w:rsidRPr="00891295">
              <w:rPr>
                <w:szCs w:val="18"/>
                <w:lang w:bidi="ar-SA"/>
              </w:rPr>
              <w:t xml:space="preserve">Strategic </w:t>
            </w:r>
            <w:proofErr w:type="spellStart"/>
            <w:r w:rsidRPr="00891295">
              <w:rPr>
                <w:szCs w:val="18"/>
                <w:lang w:bidi="ar-SA"/>
              </w:rPr>
              <w:t>Foresighting</w:t>
            </w:r>
            <w:proofErr w:type="spellEnd"/>
            <w:r w:rsidRPr="00891295">
              <w:rPr>
                <w:szCs w:val="18"/>
                <w:lang w:bidi="ar-SA"/>
              </w:rPr>
              <w:t xml:space="preserve"> functions as an</w:t>
            </w:r>
            <w:r w:rsidRPr="00891295">
              <w:rPr>
                <w:rFonts w:ascii="Calibri" w:hAnsi="Calibri" w:cs="Calibri"/>
                <w:szCs w:val="18"/>
                <w:lang w:bidi="ar-SA"/>
              </w:rPr>
              <w:t> </w:t>
            </w:r>
            <w:r w:rsidRPr="00891295">
              <w:rPr>
                <w:szCs w:val="18"/>
                <w:lang w:bidi="ar-SA"/>
              </w:rPr>
              <w:t>upstream enabler</w:t>
            </w:r>
            <w:r w:rsidRPr="00891295">
              <w:rPr>
                <w:rFonts w:ascii="Calibri" w:hAnsi="Calibri" w:cs="Calibri"/>
                <w:szCs w:val="18"/>
                <w:lang w:bidi="ar-SA"/>
              </w:rPr>
              <w:t> </w:t>
            </w:r>
            <w:r w:rsidRPr="00891295">
              <w:rPr>
                <w:szCs w:val="18"/>
                <w:lang w:bidi="ar-SA"/>
              </w:rPr>
              <w:t>of the Systems Architecture process. It facilitates cross-disciplinary dialogue to anticipate future needs, risks, and innovations</w:t>
            </w:r>
            <w:r w:rsidRPr="00891295">
              <w:rPr>
                <w:rFonts w:ascii="Calibri" w:hAnsi="Calibri" w:cs="Calibri"/>
                <w:szCs w:val="18"/>
                <w:lang w:bidi="ar-SA"/>
              </w:rPr>
              <w:t> </w:t>
            </w:r>
            <w:r w:rsidRPr="00891295">
              <w:rPr>
                <w:szCs w:val="18"/>
                <w:lang w:bidi="ar-SA"/>
              </w:rPr>
              <w:t>before</w:t>
            </w:r>
            <w:r w:rsidRPr="00891295">
              <w:rPr>
                <w:rFonts w:ascii="Calibri" w:hAnsi="Calibri" w:cs="Calibri"/>
                <w:szCs w:val="18"/>
                <w:lang w:bidi="ar-SA"/>
              </w:rPr>
              <w:t> </w:t>
            </w:r>
            <w:r w:rsidRPr="00891295">
              <w:rPr>
                <w:szCs w:val="18"/>
                <w:lang w:bidi="ar-SA"/>
              </w:rPr>
              <w:t>architectural decisions are formalised. By analysing weak signals, drivers of change, and systemic interdependencies, it provides context for defining robust requirements in the Reference Architecture phase and ensures Detailed Architecture designs embed adaptability.</w:t>
            </w:r>
          </w:p>
        </w:tc>
      </w:tr>
      <w:tr w:rsidR="00891295" w:rsidRPr="00891295" w14:paraId="667174EB" w14:textId="77777777" w:rsidTr="009B2757">
        <w:tc>
          <w:tcPr>
            <w:tcW w:w="2127" w:type="dxa"/>
            <w:shd w:val="clear" w:color="auto" w:fill="067296" w:themeFill="text2"/>
          </w:tcPr>
          <w:p w14:paraId="6843F8A2"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 xml:space="preserve">Structural Analysis </w:t>
            </w:r>
          </w:p>
          <w:p w14:paraId="12A64522"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p>
        </w:tc>
        <w:tc>
          <w:tcPr>
            <w:tcW w:w="6378" w:type="dxa"/>
          </w:tcPr>
          <w:p w14:paraId="0FB6DA82" w14:textId="77777777" w:rsidR="00891295" w:rsidRPr="00891295" w:rsidRDefault="00891295" w:rsidP="00891295">
            <w:pPr>
              <w:spacing w:before="120" w:after="120" w:line="264" w:lineRule="auto"/>
              <w:ind w:left="176" w:right="169"/>
              <w:rPr>
                <w:szCs w:val="18"/>
                <w:lang w:eastAsia="en-US" w:bidi="ar-SA"/>
              </w:rPr>
            </w:pPr>
            <w:r w:rsidRPr="00891295">
              <w:rPr>
                <w:szCs w:val="18"/>
                <w:lang w:eastAsia="en-US" w:bidi="ar-SA"/>
              </w:rPr>
              <w:t>In the context of electricity system transformation, structural analysis refers to the systematic evaluation of the physical, operational, and organisational structures of the power system to determine the changes necessary to transition from a conventional, fossil-fuel-based, unidirectional grid to a decarbonised, distributed, and bidirectional grid.</w:t>
            </w:r>
          </w:p>
          <w:p w14:paraId="74E966B2" w14:textId="77777777" w:rsidR="00891295" w:rsidRPr="00891295" w:rsidRDefault="00891295" w:rsidP="00891295">
            <w:pPr>
              <w:spacing w:before="120" w:after="120" w:line="264" w:lineRule="auto"/>
              <w:ind w:left="176" w:right="169"/>
              <w:rPr>
                <w:szCs w:val="18"/>
                <w:lang w:eastAsia="en-US" w:bidi="ar-SA"/>
              </w:rPr>
            </w:pPr>
            <w:r w:rsidRPr="00891295">
              <w:rPr>
                <w:szCs w:val="18"/>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w:t>
            </w:r>
          </w:p>
          <w:p w14:paraId="3915A0B8" w14:textId="77777777" w:rsidR="00891295" w:rsidRPr="00891295" w:rsidRDefault="00891295" w:rsidP="00891295">
            <w:pPr>
              <w:spacing w:before="120" w:after="120" w:line="264" w:lineRule="auto"/>
              <w:ind w:left="176" w:right="169"/>
              <w:rPr>
                <w:szCs w:val="18"/>
                <w:lang w:eastAsia="en-US" w:bidi="ar-SA"/>
              </w:rPr>
            </w:pPr>
            <w:r w:rsidRPr="00891295">
              <w:rPr>
                <w:szCs w:val="18"/>
                <w:lang w:eastAsia="en-US" w:bidi="ar-SA"/>
              </w:rPr>
              <w:t xml:space="preserve">Key components of structural analysis include: </w:t>
            </w:r>
          </w:p>
          <w:p w14:paraId="0DC3759C" w14:textId="77777777" w:rsidR="00891295" w:rsidRPr="00891295" w:rsidRDefault="00891295" w:rsidP="00891295">
            <w:pPr>
              <w:numPr>
                <w:ilvl w:val="0"/>
                <w:numId w:val="41"/>
              </w:numPr>
              <w:spacing w:before="60" w:after="60" w:line="264" w:lineRule="auto"/>
              <w:ind w:left="714" w:hanging="357"/>
              <w:rPr>
                <w:rFonts w:eastAsia="Segoe UI"/>
                <w:color w:val="252423"/>
                <w:szCs w:val="18"/>
              </w:rPr>
            </w:pPr>
            <w:r w:rsidRPr="00891295">
              <w:rPr>
                <w:rFonts w:eastAsia="Segoe UI"/>
                <w:color w:val="252423"/>
                <w:szCs w:val="18"/>
              </w:rPr>
              <w:t>Physical Structure: Reconfiguration of transmission and distribution networks for bidirectional flows.</w:t>
            </w:r>
          </w:p>
          <w:p w14:paraId="1E838F15" w14:textId="77777777" w:rsidR="00891295" w:rsidRPr="00891295" w:rsidRDefault="00891295" w:rsidP="00891295">
            <w:pPr>
              <w:numPr>
                <w:ilvl w:val="0"/>
                <w:numId w:val="41"/>
              </w:numPr>
              <w:spacing w:before="60" w:after="60" w:line="264" w:lineRule="auto"/>
              <w:ind w:left="714" w:hanging="357"/>
              <w:rPr>
                <w:rFonts w:eastAsia="Segoe UI"/>
                <w:color w:val="252423"/>
                <w:szCs w:val="18"/>
              </w:rPr>
            </w:pPr>
            <w:r w:rsidRPr="00891295">
              <w:rPr>
                <w:rFonts w:eastAsia="Segoe UI"/>
                <w:color w:val="252423"/>
                <w:szCs w:val="18"/>
              </w:rPr>
              <w:t>Operational Structure: Adaptation of protection systems, frequency control, and flexibility measures.</w:t>
            </w:r>
          </w:p>
          <w:p w14:paraId="3814CEF4" w14:textId="77777777" w:rsidR="00891295" w:rsidRPr="00891295" w:rsidRDefault="00891295" w:rsidP="00891295">
            <w:pPr>
              <w:numPr>
                <w:ilvl w:val="0"/>
                <w:numId w:val="41"/>
              </w:numPr>
              <w:spacing w:before="60" w:after="60" w:line="264" w:lineRule="auto"/>
              <w:ind w:left="714" w:hanging="357"/>
              <w:rPr>
                <w:rFonts w:eastAsia="Segoe UI"/>
                <w:color w:val="252423"/>
                <w:szCs w:val="18"/>
              </w:rPr>
            </w:pPr>
            <w:r w:rsidRPr="00891295">
              <w:rPr>
                <w:rFonts w:eastAsia="Segoe UI"/>
                <w:color w:val="252423"/>
                <w:szCs w:val="18"/>
              </w:rPr>
              <w:t>Institutional/Market Structure: Integration of distributed generation, demand-side participation, and new pricing models.</w:t>
            </w:r>
          </w:p>
          <w:p w14:paraId="11543492" w14:textId="77777777" w:rsidR="00891295" w:rsidRPr="00891295" w:rsidRDefault="00891295" w:rsidP="00891295">
            <w:pPr>
              <w:numPr>
                <w:ilvl w:val="0"/>
                <w:numId w:val="41"/>
              </w:numPr>
              <w:spacing w:before="60" w:after="60" w:line="264" w:lineRule="auto"/>
              <w:ind w:left="714" w:hanging="357"/>
              <w:rPr>
                <w:szCs w:val="18"/>
              </w:rPr>
            </w:pPr>
            <w:r w:rsidRPr="00891295">
              <w:rPr>
                <w:rFonts w:eastAsia="Segoe UI"/>
                <w:color w:val="252423"/>
                <w:szCs w:val="18"/>
              </w:rPr>
              <w:t>Resilience and Stability: Ensuring robust system performance under uncertainty and high penetration of renewables.</w:t>
            </w:r>
          </w:p>
        </w:tc>
      </w:tr>
      <w:tr w:rsidR="00891295" w:rsidRPr="00891295" w14:paraId="178305BA" w14:textId="77777777" w:rsidTr="009B2757">
        <w:tc>
          <w:tcPr>
            <w:tcW w:w="2127" w:type="dxa"/>
            <w:shd w:val="clear" w:color="auto" w:fill="067296" w:themeFill="text2"/>
          </w:tcPr>
          <w:p w14:paraId="299F37D6"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Systems Architecture</w:t>
            </w:r>
          </w:p>
        </w:tc>
        <w:tc>
          <w:tcPr>
            <w:tcW w:w="6378" w:type="dxa"/>
          </w:tcPr>
          <w:p w14:paraId="5C2DC5C3" w14:textId="77777777" w:rsidR="00891295" w:rsidRPr="00891295" w:rsidRDefault="00891295" w:rsidP="00891295">
            <w:pPr>
              <w:spacing w:before="120" w:after="120" w:line="288" w:lineRule="auto"/>
              <w:ind w:left="176" w:right="169"/>
              <w:rPr>
                <w:szCs w:val="18"/>
                <w:lang w:eastAsia="en-US" w:bidi="ar-SA"/>
              </w:rPr>
            </w:pPr>
            <w:r w:rsidRPr="00891295">
              <w:rPr>
                <w:szCs w:val="18"/>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6308AC72" w14:textId="77777777" w:rsidR="00891295" w:rsidRPr="00891295" w:rsidRDefault="00891295" w:rsidP="00891295">
            <w:pPr>
              <w:spacing w:before="120" w:after="120" w:line="288" w:lineRule="auto"/>
              <w:ind w:left="176" w:right="169"/>
              <w:rPr>
                <w:szCs w:val="18"/>
                <w:lang w:eastAsia="en-US" w:bidi="ar-SA"/>
              </w:rPr>
            </w:pPr>
            <w:r w:rsidRPr="00891295">
              <w:rPr>
                <w:szCs w:val="18"/>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5ECC6CC0" w14:textId="77777777" w:rsidR="00891295" w:rsidRPr="00891295" w:rsidRDefault="00891295" w:rsidP="00891295">
            <w:pPr>
              <w:spacing w:before="120" w:after="120" w:line="288" w:lineRule="auto"/>
              <w:ind w:left="176" w:right="169"/>
              <w:rPr>
                <w:szCs w:val="18"/>
                <w:lang w:eastAsia="en-US" w:bidi="ar-SA"/>
              </w:rPr>
            </w:pPr>
            <w:r w:rsidRPr="00891295">
              <w:rPr>
                <w:szCs w:val="18"/>
                <w:lang w:eastAsia="en-US" w:bidi="ar-SA"/>
              </w:rPr>
              <w:t>Although architecture plays a pivotal role in shaping system performance, it is often less tangible and more difficult to discern than the system’s individual components. The discipline of Systems Architecture, therefore, provides formal methods and tools to analyse how system components are interconnected, to identify emergent behaviours that arise from these interactions, and to explore robust options for modification and improvement.</w:t>
            </w:r>
          </w:p>
          <w:p w14:paraId="6374EBB2" w14:textId="77777777" w:rsidR="00891295" w:rsidRPr="00891295" w:rsidRDefault="00891295" w:rsidP="00891295">
            <w:pPr>
              <w:spacing w:before="120" w:after="120" w:line="288" w:lineRule="auto"/>
              <w:ind w:left="176" w:right="169"/>
              <w:rPr>
                <w:szCs w:val="18"/>
                <w:lang w:bidi="ar-SA"/>
              </w:rPr>
            </w:pPr>
            <w:r w:rsidRPr="00891295">
              <w:rPr>
                <w:szCs w:val="18"/>
                <w:lang w:eastAsia="en-US" w:bidi="ar-SA"/>
              </w:rPr>
              <w:t>By enabling a deeper understanding of how legacy systems function and how their structures can evolve, Systems Architecture empowers stakeholders to visualise relationships, evaluate trade-offs, and make informed decisions that enhance the system’s capacity to meet current and future demands.</w:t>
            </w:r>
          </w:p>
        </w:tc>
      </w:tr>
      <w:tr w:rsidR="00891295" w:rsidRPr="00891295" w14:paraId="275254AF" w14:textId="77777777" w:rsidTr="009B2757">
        <w:tc>
          <w:tcPr>
            <w:tcW w:w="2127" w:type="dxa"/>
            <w:shd w:val="clear" w:color="auto" w:fill="067296" w:themeFill="text2"/>
          </w:tcPr>
          <w:p w14:paraId="187F5FEE"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Systems Engineering</w:t>
            </w:r>
          </w:p>
        </w:tc>
        <w:tc>
          <w:tcPr>
            <w:tcW w:w="6378" w:type="dxa"/>
          </w:tcPr>
          <w:p w14:paraId="698FD924" w14:textId="77777777" w:rsidR="00891295" w:rsidRPr="00891295" w:rsidRDefault="00891295" w:rsidP="00891295">
            <w:pPr>
              <w:spacing w:before="120" w:after="120" w:line="288" w:lineRule="auto"/>
              <w:ind w:left="176" w:right="169"/>
              <w:rPr>
                <w:lang w:bidi="ar-SA"/>
              </w:rPr>
            </w:pPr>
            <w:r w:rsidRPr="00891295">
              <w:rPr>
                <w:szCs w:val="18"/>
                <w:lang w:eastAsia="en-US" w:bidi="ar-SA"/>
              </w:rPr>
              <w:t>An established engineering discipline applied in numerous sectors focused on the development and operation of ultra-complex Systems including aerospace, military, manufacturing, energy and electronics sectors.</w:t>
            </w:r>
          </w:p>
          <w:p w14:paraId="4E8A364F" w14:textId="77777777" w:rsidR="00891295" w:rsidRPr="00891295" w:rsidRDefault="00891295" w:rsidP="00891295">
            <w:pPr>
              <w:spacing w:before="120" w:after="120" w:line="288" w:lineRule="auto"/>
              <w:ind w:left="176" w:right="169"/>
              <w:rPr>
                <w:lang w:bidi="ar-SA"/>
              </w:rPr>
            </w:pPr>
            <w:r w:rsidRPr="00891295">
              <w:rPr>
                <w:szCs w:val="18"/>
                <w:lang w:eastAsia="en-US" w:bidi="ar-SA"/>
              </w:rPr>
              <w:t>While many engineering disciplines are oriented toward individual Component technologies or sub-systems, Systems Engineering is a transdisciplinary approach that brings a holistic or whole-system approach to the realisation of successful Systems which consistently satisfy the needs of their customers, users and other stakeholders.</w:t>
            </w:r>
          </w:p>
        </w:tc>
      </w:tr>
      <w:tr w:rsidR="00891295" w:rsidRPr="00891295" w14:paraId="7DE4EF9E" w14:textId="77777777" w:rsidTr="009B2757">
        <w:tc>
          <w:tcPr>
            <w:tcW w:w="2127" w:type="dxa"/>
            <w:shd w:val="clear" w:color="auto" w:fill="067296" w:themeFill="text2"/>
          </w:tcPr>
          <w:p w14:paraId="1C878B34"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Systems Science</w:t>
            </w:r>
          </w:p>
          <w:p w14:paraId="16F40443"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p>
        </w:tc>
        <w:tc>
          <w:tcPr>
            <w:tcW w:w="6378" w:type="dxa"/>
          </w:tcPr>
          <w:p w14:paraId="2A5444ED" w14:textId="77777777" w:rsidR="00891295" w:rsidRPr="00891295" w:rsidRDefault="00891295" w:rsidP="00891295">
            <w:pPr>
              <w:spacing w:before="120" w:after="120" w:line="288" w:lineRule="auto"/>
              <w:ind w:left="176" w:right="169"/>
              <w:rPr>
                <w:szCs w:val="18"/>
                <w:lang w:bidi="ar-SA"/>
              </w:rPr>
            </w:pPr>
            <w:r w:rsidRPr="00891295">
              <w:rPr>
                <w:szCs w:val="18"/>
                <w:lang w:bidi="ar-SA"/>
              </w:rPr>
              <w:t>A multi-domain, integrative discipline that brings together research into all aspects of complex</w:t>
            </w:r>
            <w:r w:rsidRPr="00891295">
              <w:rPr>
                <w:rFonts w:ascii="Calibri" w:hAnsi="Calibri" w:cs="Calibri"/>
                <w:szCs w:val="18"/>
                <w:lang w:bidi="ar-SA"/>
              </w:rPr>
              <w:t> </w:t>
            </w:r>
            <w:hyperlink r:id="rId154" w:history="1">
              <w:r w:rsidRPr="00891295">
                <w:rPr>
                  <w:szCs w:val="18"/>
                  <w:lang w:bidi="ar-SA"/>
                </w:rPr>
                <w:t>systems</w:t>
              </w:r>
            </w:hyperlink>
            <w:r w:rsidRPr="00891295">
              <w:rPr>
                <w:rFonts w:ascii="Calibri" w:hAnsi="Calibri" w:cs="Calibri"/>
                <w:szCs w:val="18"/>
                <w:lang w:bidi="ar-SA"/>
              </w:rPr>
              <w:t> </w:t>
            </w:r>
            <w:r w:rsidRPr="00891295">
              <w:rPr>
                <w:szCs w:val="18"/>
                <w:lang w:bidi="ar-SA"/>
              </w:rPr>
              <w:t>with a focus on identifying, exploring and understanding the universal patterns and behaviours of</w:t>
            </w:r>
            <w:r w:rsidRPr="00891295">
              <w:rPr>
                <w:rFonts w:ascii="Calibri" w:hAnsi="Calibri" w:cs="Calibri"/>
                <w:szCs w:val="18"/>
                <w:lang w:bidi="ar-SA"/>
              </w:rPr>
              <w:t> </w:t>
            </w:r>
            <w:hyperlink r:id="rId155" w:history="1">
              <w:r w:rsidRPr="00891295">
                <w:rPr>
                  <w:szCs w:val="18"/>
                  <w:lang w:bidi="ar-SA"/>
                </w:rPr>
                <w:t>complexity</w:t>
              </w:r>
            </w:hyperlink>
            <w:r w:rsidRPr="00891295">
              <w:rPr>
                <w:rFonts w:ascii="Calibri" w:hAnsi="Calibri" w:cs="Calibri"/>
                <w:szCs w:val="18"/>
                <w:lang w:bidi="ar-SA"/>
              </w:rPr>
              <w:t> </w:t>
            </w:r>
            <w:r w:rsidRPr="00891295">
              <w:rPr>
                <w:szCs w:val="18"/>
                <w:lang w:bidi="ar-SA"/>
              </w:rPr>
              <w:t>and</w:t>
            </w:r>
            <w:r w:rsidRPr="00891295">
              <w:rPr>
                <w:rFonts w:ascii="Calibri" w:hAnsi="Calibri" w:cs="Calibri"/>
                <w:szCs w:val="18"/>
                <w:lang w:bidi="ar-SA"/>
              </w:rPr>
              <w:t> </w:t>
            </w:r>
            <w:hyperlink r:id="rId156" w:history="1">
              <w:r w:rsidRPr="00891295">
                <w:rPr>
                  <w:szCs w:val="18"/>
                  <w:lang w:bidi="ar-SA"/>
                </w:rPr>
                <w:t>emergence</w:t>
              </w:r>
            </w:hyperlink>
            <w:r w:rsidRPr="00891295">
              <w:rPr>
                <w:szCs w:val="18"/>
                <w:lang w:bidi="ar-SA"/>
              </w:rPr>
              <w:t>.</w:t>
            </w:r>
          </w:p>
        </w:tc>
      </w:tr>
    </w:tbl>
    <w:p w14:paraId="52C97117" w14:textId="77777777" w:rsidR="00891295" w:rsidRPr="00891295" w:rsidRDefault="00891295" w:rsidP="00891295">
      <w:pPr>
        <w:spacing w:before="0" w:after="160" w:line="259" w:lineRule="auto"/>
        <w:rPr>
          <w:rFonts w:ascii="PP Mori SemiBold" w:eastAsiaTheme="majorEastAsia" w:hAnsi="PP Mori SemiBold" w:cstheme="majorBidi"/>
          <w:color w:val="002C38" w:themeColor="accent1" w:themeShade="BF"/>
          <w:sz w:val="26"/>
          <w:szCs w:val="33"/>
        </w:rPr>
      </w:pPr>
    </w:p>
    <w:p w14:paraId="15046064" w14:textId="393A5521" w:rsidR="00891295" w:rsidRPr="00891295" w:rsidRDefault="00D55F8F" w:rsidP="00891295">
      <w:pPr>
        <w:keepNext/>
        <w:keepLines/>
        <w:spacing w:before="360" w:after="120"/>
        <w:outlineLvl w:val="1"/>
        <w:rPr>
          <w:rFonts w:ascii="PP Mori SemiBold" w:eastAsiaTheme="majorEastAsia" w:hAnsi="PP Mori SemiBold" w:cstheme="majorBidi"/>
          <w:color w:val="002C38" w:themeColor="accent1" w:themeShade="BF"/>
          <w:sz w:val="26"/>
          <w:szCs w:val="33"/>
        </w:rPr>
      </w:pPr>
      <w:bookmarkStart w:id="162" w:name="_Toc205372237"/>
      <w:bookmarkStart w:id="163" w:name="_Toc205529042"/>
      <w:bookmarkStart w:id="164" w:name="_Toc205536787"/>
      <w:r>
        <w:rPr>
          <w:rFonts w:ascii="PP Mori SemiBold" w:eastAsiaTheme="majorEastAsia" w:hAnsi="PP Mori SemiBold" w:cstheme="majorBidi"/>
          <w:color w:val="002C38" w:themeColor="accent1" w:themeShade="BF"/>
          <w:sz w:val="26"/>
          <w:szCs w:val="33"/>
        </w:rPr>
        <w:t>B</w:t>
      </w:r>
      <w:r w:rsidR="00891295" w:rsidRPr="00891295">
        <w:rPr>
          <w:rFonts w:ascii="PP Mori SemiBold" w:eastAsiaTheme="majorEastAsia" w:hAnsi="PP Mori SemiBold" w:cstheme="majorBidi"/>
          <w:color w:val="002C38" w:themeColor="accent1" w:themeShade="BF"/>
          <w:sz w:val="26"/>
          <w:szCs w:val="33"/>
        </w:rPr>
        <w:t>3</w:t>
      </w:r>
      <w:r w:rsidR="00891295" w:rsidRPr="00891295">
        <w:rPr>
          <w:rFonts w:ascii="PP Mori SemiBold" w:eastAsiaTheme="majorEastAsia" w:hAnsi="PP Mori SemiBold" w:cstheme="majorBidi"/>
          <w:color w:val="002C38" w:themeColor="accent1" w:themeShade="BF"/>
          <w:sz w:val="26"/>
          <w:szCs w:val="33"/>
        </w:rPr>
        <w:tab/>
      </w:r>
      <w:bookmarkStart w:id="165" w:name="Appendix_A_3_Foundation_Sources"/>
      <w:r w:rsidR="00891295" w:rsidRPr="00891295">
        <w:rPr>
          <w:rFonts w:ascii="PP Mori SemiBold" w:eastAsiaTheme="majorEastAsia" w:hAnsi="PP Mori SemiBold" w:cstheme="majorBidi"/>
          <w:color w:val="002C38" w:themeColor="accent1" w:themeShade="BF"/>
          <w:sz w:val="26"/>
          <w:szCs w:val="33"/>
        </w:rPr>
        <w:t>Acknowledgements &amp; Foundational Sources</w:t>
      </w:r>
      <w:bookmarkEnd w:id="162"/>
      <w:bookmarkEnd w:id="163"/>
      <w:bookmarkEnd w:id="164"/>
      <w:bookmarkEnd w:id="165"/>
    </w:p>
    <w:p w14:paraId="63F2986B" w14:textId="77777777" w:rsidR="00891295" w:rsidRPr="00891295" w:rsidRDefault="00891295" w:rsidP="00891295">
      <w:pPr>
        <w:spacing w:line="264" w:lineRule="auto"/>
        <w:rPr>
          <w:lang w:eastAsia="en-US" w:bidi="ar-SA"/>
        </w:rPr>
      </w:pPr>
      <w:r w:rsidRPr="00891295">
        <w:rPr>
          <w:lang w:eastAsia="en-US" w:bidi="ar-SA"/>
        </w:rPr>
        <w:t xml:space="preserve">The Energy Catalyst team has benefited from the expertise of and privilege of collaborating with many global organisations and experts. While it would be impossible to exhaustively recognise all relevant entities, individuals and sources, the following are particularly relevant to the development of this reference set, noting that any errors are those of Energy Catalyst alone. </w:t>
      </w:r>
    </w:p>
    <w:p w14:paraId="6CCE34A2" w14:textId="77777777" w:rsidR="00891295" w:rsidRPr="00891295" w:rsidRDefault="00891295" w:rsidP="00891295">
      <w:pPr>
        <w:spacing w:before="120" w:after="120" w:line="264" w:lineRule="auto"/>
        <w:rPr>
          <w:i/>
          <w:iCs/>
          <w:color w:val="013C4C" w:themeColor="text1"/>
          <w:lang w:eastAsia="en-US" w:bidi="ar-SA"/>
        </w:rPr>
      </w:pPr>
      <w:r w:rsidRPr="00891295">
        <w:rPr>
          <w:i/>
          <w:iCs/>
          <w:color w:val="013C4C" w:themeColor="text1"/>
          <w:lang w:eastAsia="en-US" w:bidi="ar-SA"/>
        </w:rPr>
        <w:t xml:space="preserve">Entities </w:t>
      </w:r>
    </w:p>
    <w:p w14:paraId="3DC61D0B" w14:textId="77777777" w:rsidR="00891295" w:rsidRPr="00891295" w:rsidRDefault="00891295" w:rsidP="00891295">
      <w:pPr>
        <w:numPr>
          <w:ilvl w:val="0"/>
          <w:numId w:val="43"/>
        </w:numPr>
        <w:spacing w:before="120" w:after="120"/>
      </w:pPr>
      <w:r w:rsidRPr="00891295">
        <w:t>Australian Energy Market Operator (AEMO)</w:t>
      </w:r>
    </w:p>
    <w:p w14:paraId="745501F0" w14:textId="77777777" w:rsidR="00891295" w:rsidRPr="00891295" w:rsidRDefault="00891295" w:rsidP="00891295">
      <w:pPr>
        <w:numPr>
          <w:ilvl w:val="0"/>
          <w:numId w:val="43"/>
        </w:numPr>
        <w:spacing w:before="120" w:after="120"/>
      </w:pPr>
      <w:r w:rsidRPr="00891295">
        <w:t>Commonwealth Scientific Industrial Research Organisation (CSIRO)</w:t>
      </w:r>
    </w:p>
    <w:p w14:paraId="7C38574F" w14:textId="77777777" w:rsidR="00891295" w:rsidRPr="00891295" w:rsidRDefault="00891295" w:rsidP="00891295">
      <w:pPr>
        <w:numPr>
          <w:ilvl w:val="0"/>
          <w:numId w:val="43"/>
        </w:numPr>
        <w:spacing w:before="120" w:after="120"/>
      </w:pPr>
      <w:r w:rsidRPr="00891295">
        <w:t>Energy Systems Catapult (ESC)</w:t>
      </w:r>
    </w:p>
    <w:p w14:paraId="187A6D1C" w14:textId="77777777" w:rsidR="00891295" w:rsidRPr="00891295" w:rsidRDefault="00891295" w:rsidP="00891295">
      <w:pPr>
        <w:numPr>
          <w:ilvl w:val="0"/>
          <w:numId w:val="43"/>
        </w:numPr>
        <w:spacing w:before="120" w:after="120"/>
      </w:pPr>
      <w:r w:rsidRPr="00891295">
        <w:t>Massachusetts Institute of Technology (MIT)</w:t>
      </w:r>
    </w:p>
    <w:p w14:paraId="2BB884F1" w14:textId="77777777" w:rsidR="00891295" w:rsidRPr="00891295" w:rsidRDefault="00891295" w:rsidP="00891295">
      <w:pPr>
        <w:numPr>
          <w:ilvl w:val="0"/>
          <w:numId w:val="43"/>
        </w:numPr>
        <w:spacing w:before="120" w:after="120"/>
      </w:pPr>
      <w:r w:rsidRPr="00891295">
        <w:t>Pacific Northwest National Laboratory (PNNL)</w:t>
      </w:r>
    </w:p>
    <w:p w14:paraId="60D0ED1D" w14:textId="77777777" w:rsidR="00891295" w:rsidRPr="00891295" w:rsidRDefault="00891295" w:rsidP="00891295">
      <w:pPr>
        <w:numPr>
          <w:ilvl w:val="0"/>
          <w:numId w:val="43"/>
        </w:numPr>
        <w:spacing w:before="120" w:after="120"/>
      </w:pPr>
      <w:r w:rsidRPr="00891295">
        <w:t>Rocky Mountains Institute (RMI)</w:t>
      </w:r>
    </w:p>
    <w:p w14:paraId="4A254A06" w14:textId="77777777" w:rsidR="00891295" w:rsidRPr="00891295" w:rsidRDefault="00891295" w:rsidP="00891295">
      <w:pPr>
        <w:numPr>
          <w:ilvl w:val="0"/>
          <w:numId w:val="43"/>
        </w:numPr>
        <w:spacing w:before="120" w:after="120"/>
      </w:pPr>
      <w:r w:rsidRPr="00891295">
        <w:t>United States Department of Energy, Office of Electricity (DOE)</w:t>
      </w:r>
    </w:p>
    <w:p w14:paraId="1395B5E1" w14:textId="77777777" w:rsidR="00891295" w:rsidRPr="00891295" w:rsidRDefault="00891295" w:rsidP="00891295">
      <w:pPr>
        <w:spacing w:line="264" w:lineRule="auto"/>
        <w:rPr>
          <w:i/>
          <w:iCs/>
          <w:color w:val="013C4C" w:themeColor="text1"/>
          <w:lang w:eastAsia="en-US" w:bidi="ar-SA"/>
        </w:rPr>
      </w:pPr>
      <w:r w:rsidRPr="00891295">
        <w:rPr>
          <w:i/>
          <w:iCs/>
          <w:color w:val="013C4C" w:themeColor="text1"/>
          <w:lang w:eastAsia="en-US" w:bidi="ar-SA"/>
        </w:rPr>
        <w:t xml:space="preserve">Individuals </w:t>
      </w:r>
    </w:p>
    <w:p w14:paraId="716F2937" w14:textId="77777777" w:rsidR="00891295" w:rsidRPr="00891295" w:rsidRDefault="00891295" w:rsidP="00891295">
      <w:pPr>
        <w:numPr>
          <w:ilvl w:val="0"/>
          <w:numId w:val="43"/>
        </w:numPr>
        <w:spacing w:before="120" w:after="120"/>
      </w:pPr>
      <w:r w:rsidRPr="00891295">
        <w:t>Dr Thomas Brinsmead</w:t>
      </w:r>
    </w:p>
    <w:p w14:paraId="508D10D3" w14:textId="77777777" w:rsidR="00891295" w:rsidRPr="00891295" w:rsidRDefault="00891295" w:rsidP="00891295">
      <w:pPr>
        <w:numPr>
          <w:ilvl w:val="0"/>
          <w:numId w:val="43"/>
        </w:numPr>
        <w:spacing w:before="120" w:after="120"/>
      </w:pPr>
      <w:r w:rsidRPr="00891295">
        <w:t xml:space="preserve">Pablo Campillos </w:t>
      </w:r>
    </w:p>
    <w:p w14:paraId="4ECB5395" w14:textId="77777777" w:rsidR="00891295" w:rsidRPr="00891295" w:rsidRDefault="00891295" w:rsidP="00891295">
      <w:pPr>
        <w:numPr>
          <w:ilvl w:val="0"/>
          <w:numId w:val="43"/>
        </w:numPr>
        <w:spacing w:before="120" w:after="120"/>
      </w:pPr>
      <w:r w:rsidRPr="00891295">
        <w:t>Paul De Martini</w:t>
      </w:r>
    </w:p>
    <w:p w14:paraId="6952484E" w14:textId="77777777" w:rsidR="00891295" w:rsidRPr="00891295" w:rsidRDefault="00891295" w:rsidP="00891295">
      <w:pPr>
        <w:numPr>
          <w:ilvl w:val="0"/>
          <w:numId w:val="43"/>
        </w:numPr>
        <w:spacing w:before="120" w:after="120"/>
      </w:pPr>
      <w:r w:rsidRPr="00891295">
        <w:t>Prof. Lynne Kiesling</w:t>
      </w:r>
    </w:p>
    <w:p w14:paraId="14ACB5A0" w14:textId="77777777" w:rsidR="00891295" w:rsidRPr="00891295" w:rsidRDefault="00891295" w:rsidP="00891295">
      <w:pPr>
        <w:numPr>
          <w:ilvl w:val="0"/>
          <w:numId w:val="43"/>
        </w:numPr>
        <w:spacing w:before="120" w:after="120"/>
      </w:pPr>
      <w:r w:rsidRPr="00891295">
        <w:t>Dr Lorenzo Kristov</w:t>
      </w:r>
    </w:p>
    <w:p w14:paraId="40C07412" w14:textId="77777777" w:rsidR="00891295" w:rsidRPr="00891295" w:rsidRDefault="00891295" w:rsidP="00891295">
      <w:pPr>
        <w:numPr>
          <w:ilvl w:val="0"/>
          <w:numId w:val="43"/>
        </w:numPr>
        <w:spacing w:before="120" w:after="120"/>
      </w:pPr>
      <w:r w:rsidRPr="00891295">
        <w:t>Rama Ganguli</w:t>
      </w:r>
    </w:p>
    <w:p w14:paraId="3231B22D" w14:textId="77777777" w:rsidR="00891295" w:rsidRPr="00891295" w:rsidRDefault="00891295" w:rsidP="00891295">
      <w:pPr>
        <w:numPr>
          <w:ilvl w:val="0"/>
          <w:numId w:val="43"/>
        </w:numPr>
        <w:spacing w:before="120" w:after="120"/>
      </w:pPr>
      <w:r w:rsidRPr="00891295">
        <w:t xml:space="preserve">Eamonn McCormick </w:t>
      </w:r>
    </w:p>
    <w:p w14:paraId="378D47CF" w14:textId="77777777" w:rsidR="00891295" w:rsidRPr="00891295" w:rsidRDefault="00891295" w:rsidP="00891295">
      <w:pPr>
        <w:numPr>
          <w:ilvl w:val="0"/>
          <w:numId w:val="43"/>
        </w:numPr>
        <w:spacing w:before="120" w:after="120"/>
      </w:pPr>
      <w:r w:rsidRPr="00891295">
        <w:t>Dr Ron Melton</w:t>
      </w:r>
    </w:p>
    <w:p w14:paraId="42089369" w14:textId="77777777" w:rsidR="00891295" w:rsidRPr="00891295" w:rsidRDefault="00891295" w:rsidP="00891295">
      <w:pPr>
        <w:numPr>
          <w:ilvl w:val="0"/>
          <w:numId w:val="43"/>
        </w:numPr>
        <w:spacing w:before="120" w:after="120"/>
      </w:pPr>
      <w:r w:rsidRPr="00891295">
        <w:t>Peter Senge</w:t>
      </w:r>
    </w:p>
    <w:p w14:paraId="5E0BFA5C" w14:textId="77777777" w:rsidR="00891295" w:rsidRPr="00891295" w:rsidRDefault="00891295" w:rsidP="00891295">
      <w:pPr>
        <w:numPr>
          <w:ilvl w:val="0"/>
          <w:numId w:val="43"/>
        </w:numPr>
        <w:spacing w:before="120" w:after="120"/>
      </w:pPr>
      <w:r w:rsidRPr="00891295">
        <w:t>Dr Jeffrey Taft</w:t>
      </w:r>
    </w:p>
    <w:p w14:paraId="0C9085C0" w14:textId="77777777" w:rsidR="00891295" w:rsidRPr="00891295" w:rsidRDefault="00891295" w:rsidP="00891295">
      <w:pPr>
        <w:numPr>
          <w:ilvl w:val="0"/>
          <w:numId w:val="43"/>
        </w:numPr>
        <w:spacing w:before="120" w:after="120"/>
      </w:pPr>
      <w:r w:rsidRPr="00891295">
        <w:t>Dr John Ward</w:t>
      </w:r>
    </w:p>
    <w:p w14:paraId="1F67C090" w14:textId="77777777" w:rsidR="00891295" w:rsidRPr="00891295" w:rsidRDefault="00891295" w:rsidP="00891295">
      <w:pPr>
        <w:spacing w:line="264" w:lineRule="auto"/>
        <w:rPr>
          <w:i/>
          <w:iCs/>
          <w:color w:val="013C4C" w:themeColor="text1"/>
          <w:lang w:eastAsia="en-US" w:bidi="ar-SA"/>
        </w:rPr>
      </w:pPr>
      <w:r w:rsidRPr="00891295">
        <w:rPr>
          <w:i/>
          <w:iCs/>
          <w:color w:val="013C4C" w:themeColor="text1"/>
          <w:lang w:eastAsia="en-US" w:bidi="ar-SA"/>
        </w:rPr>
        <w:t>Foundational Sources</w:t>
      </w:r>
    </w:p>
    <w:p w14:paraId="6A53156C" w14:textId="77777777" w:rsidR="00891295" w:rsidRPr="00891295" w:rsidRDefault="00891295" w:rsidP="00891295">
      <w:pPr>
        <w:spacing w:line="264" w:lineRule="auto"/>
        <w:rPr>
          <w:lang w:eastAsia="en-US" w:bidi="ar-SA"/>
        </w:rPr>
      </w:pPr>
      <w:r w:rsidRPr="00891295">
        <w:rPr>
          <w:lang w:eastAsia="en-US" w:bidi="ar-SA"/>
        </w:rPr>
        <w:t xml:space="preserve">The following sources provide key principles and bases for the application of the disciplines and tools employed in developing this reference set.  </w:t>
      </w:r>
    </w:p>
    <w:p w14:paraId="1069CA85" w14:textId="77777777" w:rsidR="00891295" w:rsidRPr="00891295" w:rsidRDefault="00891295" w:rsidP="00891295">
      <w:pPr>
        <w:numPr>
          <w:ilvl w:val="0"/>
          <w:numId w:val="43"/>
        </w:numPr>
        <w:spacing w:before="120" w:after="120"/>
      </w:pPr>
      <w:r w:rsidRPr="00891295">
        <w:t>International Council on Systems Engineering (INCOSE), INCOSE Systems Engineering Handbook: A Guide for System Life Cycle Processes and Activities, 4th ed. San Diego, CA, USA: INCOSE, 2015.</w:t>
      </w:r>
    </w:p>
    <w:p w14:paraId="458B1493" w14:textId="77777777" w:rsidR="00891295" w:rsidRPr="00891295" w:rsidRDefault="00891295" w:rsidP="00891295">
      <w:pPr>
        <w:numPr>
          <w:ilvl w:val="0"/>
          <w:numId w:val="43"/>
        </w:numPr>
        <w:spacing w:before="120" w:after="120"/>
      </w:pPr>
      <w:r w:rsidRPr="00891295">
        <w:t>R.</w:t>
      </w:r>
      <w:r w:rsidRPr="00891295">
        <w:rPr>
          <w:rFonts w:ascii="Cambria Math" w:hAnsi="Cambria Math" w:cs="Cambria Math"/>
        </w:rPr>
        <w:t> </w:t>
      </w:r>
      <w:r w:rsidRPr="00891295">
        <w:t>D.</w:t>
      </w:r>
      <w:r w:rsidRPr="00891295">
        <w:rPr>
          <w:rFonts w:ascii="Cambria Math" w:hAnsi="Cambria Math" w:cs="Cambria Math"/>
        </w:rPr>
        <w:t> </w:t>
      </w:r>
      <w:r w:rsidRPr="00891295">
        <w:t>Adcock, S.</w:t>
      </w:r>
      <w:r w:rsidRPr="00891295">
        <w:rPr>
          <w:rFonts w:ascii="Cambria Math" w:hAnsi="Cambria Math" w:cs="Cambria Math"/>
        </w:rPr>
        <w:t> </w:t>
      </w:r>
      <w:r w:rsidRPr="00891295">
        <w:t>Friedenthal, D.</w:t>
      </w:r>
      <w:r w:rsidRPr="00891295">
        <w:rPr>
          <w:rFonts w:ascii="Cambria Math" w:hAnsi="Cambria Math" w:cs="Cambria Math"/>
        </w:rPr>
        <w:t> </w:t>
      </w:r>
      <w:r w:rsidRPr="00891295">
        <w:t>Dori, R.</w:t>
      </w:r>
      <w:r w:rsidRPr="00891295">
        <w:rPr>
          <w:rFonts w:ascii="Cambria Math" w:hAnsi="Cambria Math" w:cs="Cambria Math"/>
        </w:rPr>
        <w:t> </w:t>
      </w:r>
      <w:r w:rsidRPr="00891295">
        <w:t>Walden, and D.</w:t>
      </w:r>
      <w:r w:rsidRPr="00891295">
        <w:rPr>
          <w:rFonts w:ascii="Cambria Math" w:hAnsi="Cambria Math" w:cs="Cambria Math"/>
        </w:rPr>
        <w:t> </w:t>
      </w:r>
      <w:r w:rsidRPr="00891295">
        <w:t xml:space="preserve">Giammarco, </w:t>
      </w:r>
      <w:r w:rsidRPr="00891295">
        <w:rPr>
          <w:rFonts w:cs="PP Mori SemiBold"/>
        </w:rPr>
        <w:t>“</w:t>
      </w:r>
      <w:r w:rsidRPr="00891295">
        <w:t>Guide to the Systems Engineering Body of Knowledge (SEBoK),</w:t>
      </w:r>
      <w:r w:rsidRPr="00891295">
        <w:rPr>
          <w:rFonts w:cs="PP Mori SemiBold"/>
        </w:rPr>
        <w:t>”</w:t>
      </w:r>
      <w:r w:rsidRPr="00891295">
        <w:t xml:space="preserve"> ver. 2.9, The Systems Engineering Research </w:t>
      </w:r>
      <w:proofErr w:type="spellStart"/>
      <w:r w:rsidRPr="00891295">
        <w:t>Center</w:t>
      </w:r>
      <w:proofErr w:type="spellEnd"/>
      <w:r w:rsidRPr="00891295">
        <w:t>, Hoboken, NJ, USA, May 2023. [Online]. Available: https://sebokwiki.org/wiki/Guide_to_the_Systems_Engineering_Body_of_Knowledge_(SEBoK)</w:t>
      </w:r>
    </w:p>
    <w:p w14:paraId="03A13774" w14:textId="77777777" w:rsidR="00891295" w:rsidRPr="00891295" w:rsidRDefault="00891295" w:rsidP="00891295">
      <w:pPr>
        <w:numPr>
          <w:ilvl w:val="0"/>
          <w:numId w:val="43"/>
        </w:numPr>
        <w:spacing w:before="120" w:after="120"/>
      </w:pPr>
      <w:r w:rsidRPr="00891295">
        <w:t>Bruce Cameron,</w:t>
      </w:r>
      <w:r w:rsidRPr="00891295">
        <w:rPr>
          <w:rFonts w:ascii="Cambria Math" w:hAnsi="Cambria Math" w:cs="Cambria Math"/>
        </w:rPr>
        <w:t> </w:t>
      </w:r>
      <w:r w:rsidRPr="00891295">
        <w:t>Edward</w:t>
      </w:r>
      <w:r w:rsidRPr="00891295">
        <w:rPr>
          <w:rFonts w:ascii="Cambria Math" w:hAnsi="Cambria Math" w:cs="Cambria Math"/>
        </w:rPr>
        <w:t> </w:t>
      </w:r>
      <w:r w:rsidRPr="00891295">
        <w:t>F. Crawley, and</w:t>
      </w:r>
      <w:r w:rsidRPr="00891295">
        <w:rPr>
          <w:rFonts w:ascii="Cambria Math" w:hAnsi="Cambria Math" w:cs="Cambria Math"/>
        </w:rPr>
        <w:t> </w:t>
      </w:r>
      <w:r w:rsidRPr="00891295">
        <w:t>Daniel</w:t>
      </w:r>
      <w:r w:rsidRPr="00891295">
        <w:rPr>
          <w:rFonts w:ascii="Cambria Math" w:hAnsi="Cambria Math" w:cs="Cambria Math"/>
        </w:rPr>
        <w:t> </w:t>
      </w:r>
      <w:r w:rsidRPr="00891295">
        <w:t>Selva, Systems Architecture, Global Edition, 1st</w:t>
      </w:r>
      <w:r w:rsidRPr="00891295">
        <w:rPr>
          <w:rFonts w:ascii="Cambria Math" w:hAnsi="Cambria Math" w:cs="Cambria Math"/>
        </w:rPr>
        <w:t> </w:t>
      </w:r>
      <w:r w:rsidRPr="00891295">
        <w:t>ed., Pearson Education, 2015.</w:t>
      </w:r>
    </w:p>
    <w:p w14:paraId="5AD90DC5"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S.</w:t>
      </w:r>
      <w:r w:rsidRPr="00891295">
        <w:rPr>
          <w:rFonts w:ascii="Cambria Math" w:hAnsi="Cambria Math" w:cs="Cambria Math"/>
        </w:rPr>
        <w:t> </w:t>
      </w:r>
      <w:r w:rsidRPr="00891295">
        <w:t>Widergren, A.</w:t>
      </w:r>
      <w:r w:rsidRPr="00891295">
        <w:rPr>
          <w:rFonts w:ascii="Cambria Math" w:hAnsi="Cambria Math" w:cs="Cambria Math"/>
        </w:rPr>
        <w:t> </w:t>
      </w:r>
      <w:r w:rsidRPr="00891295">
        <w:t>Shankar, R.</w:t>
      </w:r>
      <w:r w:rsidRPr="00891295">
        <w:rPr>
          <w:rFonts w:ascii="Cambria Math" w:hAnsi="Cambria Math" w:cs="Cambria Math"/>
        </w:rPr>
        <w:t> </w:t>
      </w:r>
      <w:r w:rsidRPr="00891295">
        <w:t>Melton, and B.</w:t>
      </w:r>
      <w:r w:rsidRPr="00891295">
        <w:rPr>
          <w:rFonts w:ascii="Cambria Math" w:hAnsi="Cambria Math" w:cs="Cambria Math"/>
        </w:rPr>
        <w:t> </w:t>
      </w:r>
      <w:r w:rsidRPr="00891295">
        <w:t>Kelley, Grid Architecture Specification: High DER/DA/STO Reference Architecture (GMLC</w:t>
      </w:r>
      <w:r w:rsidRPr="00891295">
        <w:rPr>
          <w:rFonts w:ascii="Cambria Math" w:hAnsi="Cambria Math" w:cs="Cambria Math"/>
        </w:rPr>
        <w:t> </w:t>
      </w:r>
      <w:r w:rsidRPr="00891295">
        <w:t>1.2.1</w:t>
      </w:r>
      <w:r w:rsidRPr="00891295">
        <w:rPr>
          <w:rFonts w:ascii="Cambria Math" w:hAnsi="Cambria Math" w:cs="Cambria Math"/>
        </w:rPr>
        <w:t> </w:t>
      </w:r>
      <w:r w:rsidRPr="00891295">
        <w:t>v0.3), Pacific Northwest National Laboratory, Richland, WA, USA, Dec. 2019.</w:t>
      </w:r>
    </w:p>
    <w:p w14:paraId="53F213FC"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and A. Becker-Dippmann, Grid Architecture, Pacific Northwest National Laboratory (PNNL), Richland, WA, USA, Jan.</w:t>
      </w:r>
      <w:r w:rsidRPr="00891295">
        <w:rPr>
          <w:rFonts w:ascii="Calibri" w:hAnsi="Calibri" w:cs="Calibri"/>
        </w:rPr>
        <w:t> </w:t>
      </w:r>
      <w:r w:rsidRPr="00891295">
        <w:t>2015, Report No.</w:t>
      </w:r>
      <w:r w:rsidRPr="00891295">
        <w:rPr>
          <w:rFonts w:ascii="Calibri" w:hAnsi="Calibri" w:cs="Calibri"/>
        </w:rPr>
        <w:t> </w:t>
      </w:r>
      <w:r w:rsidRPr="00891295">
        <w:t>PNNL</w:t>
      </w:r>
      <w:r w:rsidRPr="00891295">
        <w:rPr>
          <w:rFonts w:ascii="Cambria Math" w:hAnsi="Cambria Math" w:cs="Cambria Math"/>
        </w:rPr>
        <w:t>‑</w:t>
      </w:r>
      <w:r w:rsidRPr="00891295">
        <w:t>24044. [Online]. Available: https://gridarchitecture.pnnl.gov/media/white-papers/Grid%20Architecture%20%20-%20DOE%20QER.pdf</w:t>
      </w:r>
    </w:p>
    <w:p w14:paraId="08F58716"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Grid Architecture 2, Pacific Northwest National Laboratory (PNNL), Richland, WA, USA, Jan.</w:t>
      </w:r>
      <w:r w:rsidRPr="00891295">
        <w:rPr>
          <w:rFonts w:ascii="Calibri" w:hAnsi="Calibri" w:cs="Calibri"/>
        </w:rPr>
        <w:t> </w:t>
      </w:r>
      <w:r w:rsidRPr="00891295">
        <w:t>2016, Report No.</w:t>
      </w:r>
      <w:r w:rsidRPr="00891295">
        <w:rPr>
          <w:rFonts w:ascii="Calibri" w:hAnsi="Calibri" w:cs="Calibri"/>
        </w:rPr>
        <w:t> </w:t>
      </w:r>
      <w:r w:rsidRPr="00891295">
        <w:t>PNNL</w:t>
      </w:r>
      <w:r w:rsidRPr="00891295">
        <w:rPr>
          <w:rFonts w:ascii="Cambria Math" w:hAnsi="Cambria Math" w:cs="Cambria Math"/>
        </w:rPr>
        <w:t>‑</w:t>
      </w:r>
      <w:r w:rsidRPr="00891295">
        <w:t>24044</w:t>
      </w:r>
      <w:r w:rsidRPr="00891295">
        <w:rPr>
          <w:rFonts w:ascii="Cambria Math" w:hAnsi="Cambria Math" w:cs="Cambria Math"/>
        </w:rPr>
        <w:t> </w:t>
      </w:r>
      <w:r w:rsidRPr="00891295">
        <w:t>2. [Online]. Available: https://gridarchitecture.pnnl.gov/media/white-papers/GridArchitecture2final.pdf</w:t>
      </w:r>
    </w:p>
    <w:p w14:paraId="4E4C16FB"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Comparative Architecture Analysis: Using Laminar Structure to Unify Multiple Grid Architectures, Pacific Northwest National Laboratory (PNNL), Richland, WA, USA, Nov.</w:t>
      </w:r>
      <w:r w:rsidRPr="00891295">
        <w:rPr>
          <w:rFonts w:ascii="Calibri" w:hAnsi="Calibri" w:cs="Calibri"/>
        </w:rPr>
        <w:t> </w:t>
      </w:r>
      <w:r w:rsidRPr="00891295">
        <w:t>2016, Report No.</w:t>
      </w:r>
      <w:r w:rsidRPr="00891295">
        <w:rPr>
          <w:rFonts w:ascii="Calibri" w:hAnsi="Calibri" w:cs="Calibri"/>
        </w:rPr>
        <w:t> </w:t>
      </w:r>
      <w:r w:rsidRPr="00891295">
        <w:t>PNNL</w:t>
      </w:r>
      <w:r w:rsidRPr="00891295">
        <w:rPr>
          <w:rFonts w:ascii="Cambria Math" w:hAnsi="Cambria Math" w:cs="Cambria Math"/>
        </w:rPr>
        <w:t>‑</w:t>
      </w:r>
      <w:r w:rsidRPr="00891295">
        <w:t xml:space="preserve">26089. [Online]. Available: </w:t>
      </w:r>
      <w:hyperlink r:id="rId157" w:history="1">
        <w:r w:rsidRPr="00891295">
          <w:t>https://gridarchitecture.pnnl.gov/media/advanced/Comparative%20Architecture%20Analysis-Final.pdf</w:t>
        </w:r>
      </w:hyperlink>
    </w:p>
    <w:p w14:paraId="6E12FB07" w14:textId="77777777" w:rsidR="00E420AF" w:rsidRPr="00050A5B" w:rsidRDefault="00E420AF" w:rsidP="002B0476">
      <w:pPr>
        <w:spacing w:before="120" w:after="120" w:line="288" w:lineRule="auto"/>
        <w:rPr>
          <w:rFonts w:ascii="Proxima Nova Light" w:eastAsia="SimSun" w:hAnsi="Proxima Nova Light" w:cs="Angsana New"/>
          <w:color w:val="2F2F2F"/>
          <w:kern w:val="0"/>
          <w:szCs w:val="18"/>
          <w14:ligatures w14:val="none"/>
        </w:rPr>
      </w:pPr>
    </w:p>
    <w:sectPr w:rsidR="00E420AF" w:rsidRPr="00050A5B" w:rsidSect="00D04CC3">
      <w:headerReference w:type="default" r:id="rId158"/>
      <w:footerReference w:type="default" r:id="rId159"/>
      <w:pgSz w:w="11906" w:h="16838"/>
      <w:pgMar w:top="2552" w:right="1134" w:bottom="851" w:left="2552" w:header="709" w:footer="5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Mark Paterson" w:date="2025-08-08T09:38:00Z" w:initials="MP">
    <w:p w14:paraId="1CB50C2B" w14:textId="36C82153" w:rsidR="001C625A" w:rsidRDefault="001C625A" w:rsidP="001C625A">
      <w:pPr>
        <w:pStyle w:val="CommentText"/>
      </w:pPr>
      <w:r>
        <w:rPr>
          <w:rStyle w:val="CommentReference"/>
        </w:rPr>
        <w:annotationRef/>
      </w:r>
      <w:r>
        <w:fldChar w:fldCharType="begin"/>
      </w:r>
      <w:r>
        <w:instrText>HYPERLINK "mailto:tprisk@energycatalyst.au"</w:instrText>
      </w:r>
      <w:bookmarkStart w:id="23" w:name="_@_24B1690A6D3E436D88B4D58F2F715F80Z"/>
      <w:r>
        <w:fldChar w:fldCharType="separate"/>
      </w:r>
      <w:bookmarkEnd w:id="23"/>
      <w:r w:rsidRPr="001C625A">
        <w:rPr>
          <w:rStyle w:val="Mention"/>
          <w:noProof/>
        </w:rPr>
        <w:t>@Thomas Prisk</w:t>
      </w:r>
      <w:r>
        <w:fldChar w:fldCharType="end"/>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B50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96A5E" w16cex:dateUtc="2025-08-07T2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B50C2B" w16cid:durableId="06096A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052C2" w14:textId="77777777" w:rsidR="0095369C" w:rsidRDefault="0095369C" w:rsidP="00714A61">
      <w:pPr>
        <w:spacing w:before="0" w:after="0" w:line="240" w:lineRule="auto"/>
      </w:pPr>
      <w:r>
        <w:separator/>
      </w:r>
    </w:p>
  </w:endnote>
  <w:endnote w:type="continuationSeparator" w:id="0">
    <w:p w14:paraId="55F4DA06" w14:textId="77777777" w:rsidR="0095369C" w:rsidRDefault="0095369C" w:rsidP="00714A61">
      <w:pPr>
        <w:spacing w:before="0" w:after="0" w:line="240" w:lineRule="auto"/>
      </w:pPr>
      <w:r>
        <w:continuationSeparator/>
      </w:r>
    </w:p>
  </w:endnote>
  <w:endnote w:type="continuationNotice" w:id="1">
    <w:p w14:paraId="6397C626" w14:textId="77777777" w:rsidR="0095369C" w:rsidRDefault="009536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P Mori">
    <w:panose1 w:val="00000500000000000000"/>
    <w:charset w:val="00"/>
    <w:family w:val="moder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PP Mori SemiBold">
    <w:panose1 w:val="000007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Lucida Sans">
    <w:panose1 w:val="020B0602030504020204"/>
    <w:charset w:val="00"/>
    <w:family w:val="swiss"/>
    <w:pitch w:val="variable"/>
    <w:sig w:usb0="00000003" w:usb1="00000000" w:usb2="00000000" w:usb3="00000000" w:csb0="00000001" w:csb1="00000000"/>
  </w:font>
  <w:font w:name="PP Mori ExtraLight">
    <w:panose1 w:val="000002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roxima Nova A Light">
    <w:altName w:val="Tahoma"/>
    <w:panose1 w:val="00000000000000000000"/>
    <w:charset w:val="00"/>
    <w:family w:val="modern"/>
    <w:notTrueType/>
    <w:pitch w:val="variable"/>
    <w:sig w:usb0="20000287" w:usb1="00000001" w:usb2="00000000" w:usb3="00000000" w:csb0="0000019F" w:csb1="00000000"/>
  </w:font>
  <w:font w:name="Proxima Nova Light">
    <w:altName w:val="Tahoma"/>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58288"/>
      <w:docPartObj>
        <w:docPartGallery w:val="Page Numbers (Bottom of Page)"/>
        <w:docPartUnique/>
      </w:docPartObj>
    </w:sdtPr>
    <w:sdtEndPr/>
    <w:sdtContent>
      <w:p w14:paraId="5EEE57F5" w14:textId="24A23DD6" w:rsidR="0074240A" w:rsidRDefault="0074240A">
        <w:pPr>
          <w:pStyle w:val="Footer"/>
          <w:jc w:val="right"/>
        </w:pPr>
        <w:r>
          <w:fldChar w:fldCharType="begin"/>
        </w:r>
        <w:r>
          <w:instrText>PAGE   \* MERGEFORMAT</w:instrText>
        </w:r>
        <w:r>
          <w:fldChar w:fldCharType="separate"/>
        </w:r>
        <w:r>
          <w:rPr>
            <w:lang w:val="en-GB"/>
          </w:rPr>
          <w:t>2</w:t>
        </w:r>
        <w:r>
          <w:fldChar w:fldCharType="end"/>
        </w:r>
      </w:p>
    </w:sdtContent>
  </w:sdt>
  <w:p w14:paraId="0BAE1EE0" w14:textId="77777777" w:rsidR="0074240A" w:rsidRDefault="00742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44722" w14:textId="77777777" w:rsidR="0095369C" w:rsidRDefault="0095369C" w:rsidP="00714A61">
      <w:pPr>
        <w:spacing w:before="0" w:after="0" w:line="240" w:lineRule="auto"/>
      </w:pPr>
      <w:r>
        <w:separator/>
      </w:r>
    </w:p>
  </w:footnote>
  <w:footnote w:type="continuationSeparator" w:id="0">
    <w:p w14:paraId="6EADD48A" w14:textId="77777777" w:rsidR="0095369C" w:rsidRDefault="0095369C" w:rsidP="00714A61">
      <w:pPr>
        <w:spacing w:before="0" w:after="0" w:line="240" w:lineRule="auto"/>
      </w:pPr>
      <w:r>
        <w:continuationSeparator/>
      </w:r>
    </w:p>
  </w:footnote>
  <w:footnote w:type="continuationNotice" w:id="1">
    <w:p w14:paraId="5C7A3263" w14:textId="77777777" w:rsidR="0095369C" w:rsidRDefault="0095369C">
      <w:pPr>
        <w:spacing w:before="0" w:after="0" w:line="240" w:lineRule="auto"/>
      </w:pPr>
    </w:p>
  </w:footnote>
  <w:footnote w:id="2">
    <w:p w14:paraId="499FF608" w14:textId="77777777" w:rsidR="00F5702E" w:rsidRPr="00134F56" w:rsidRDefault="00F5702E" w:rsidP="00F5702E">
      <w:pPr>
        <w:pStyle w:val="Default"/>
      </w:pPr>
      <w:r w:rsidRPr="00CD2CD9">
        <w:rPr>
          <w:rStyle w:val="FootnoteReference"/>
          <w:rFonts w:ascii="PP Mori" w:eastAsia="DengXian" w:hAnsi="PP Mori" w:cstheme="minorBidi"/>
          <w:color w:val="auto"/>
          <w:kern w:val="24"/>
          <w:sz w:val="18"/>
          <w:szCs w:val="18"/>
          <w:lang w:eastAsia="en-AU"/>
        </w:rPr>
        <w:footnoteRef/>
      </w:r>
      <w:r w:rsidRPr="00CD2CD9">
        <w:rPr>
          <w:rStyle w:val="FootnoteReference"/>
          <w:rFonts w:ascii="PP Mori" w:eastAsia="DengXian" w:hAnsi="PP Mori" w:cstheme="minorBidi"/>
          <w:color w:val="auto"/>
          <w:kern w:val="24"/>
          <w:sz w:val="18"/>
          <w:szCs w:val="18"/>
          <w:lang w:eastAsia="en-AU"/>
        </w:rPr>
        <w:t xml:space="preserve"> </w:t>
      </w:r>
      <w:r w:rsidRPr="00AA4F03">
        <w:rPr>
          <w:rFonts w:ascii="PP Mori" w:hAnsi="PP Mori"/>
          <w:sz w:val="16"/>
          <w:szCs w:val="22"/>
        </w:rPr>
        <w:t>For example, the National Consumer Energy Resources Roadmap, the Review of Market Settings in the National Electricity Market and the recently completed CER Data Exchange Industry Co-Design.</w:t>
      </w:r>
      <w:r w:rsidRPr="00AA4F03">
        <w:rPr>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DB43" w14:textId="6B66F4DD" w:rsidR="00E55A19" w:rsidRPr="00876D04" w:rsidRDefault="00913897" w:rsidP="00ED1526">
    <w:pPr>
      <w:jc w:val="right"/>
    </w:pPr>
    <w:r w:rsidRPr="00913897">
      <w:rPr>
        <w:rFonts w:eastAsiaTheme="majorEastAsia" w:cstheme="majorBidi"/>
        <w:noProof/>
        <w:spacing w:val="-10"/>
        <w:kern w:val="28"/>
        <w:sz w:val="40"/>
        <w:szCs w:val="44"/>
      </w:rPr>
      <w:t xml:space="preserve"> </w:t>
    </w:r>
    <w:r>
      <w:rPr>
        <w:noProof/>
      </w:rPr>
      <w:t xml:space="preserve"> </w:t>
    </w:r>
    <w:r w:rsidR="00876D04">
      <w:rPr>
        <w:noProof/>
      </w:rPr>
      <mc:AlternateContent>
        <mc:Choice Requires="wpg">
          <w:drawing>
            <wp:anchor distT="0" distB="0" distL="114300" distR="114300" simplePos="0" relativeHeight="251658241" behindDoc="0" locked="0" layoutInCell="1" allowOverlap="1" wp14:anchorId="74CE98C5" wp14:editId="34C7BEF8">
              <wp:simplePos x="0" y="0"/>
              <wp:positionH relativeFrom="column">
                <wp:posOffset>-3766820</wp:posOffset>
              </wp:positionH>
              <wp:positionV relativeFrom="paragraph">
                <wp:posOffset>694055</wp:posOffset>
              </wp:positionV>
              <wp:extent cx="13011051" cy="857721"/>
              <wp:effectExtent l="0" t="0" r="19685" b="19050"/>
              <wp:wrapNone/>
              <wp:docPr id="1901217411" name="Group 1901217411"/>
              <wp:cNvGraphicFramePr/>
              <a:graphic xmlns:a="http://schemas.openxmlformats.org/drawingml/2006/main">
                <a:graphicData uri="http://schemas.microsoft.com/office/word/2010/wordprocessingGroup">
                  <wpg:wgp>
                    <wpg:cNvGrpSpPr/>
                    <wpg:grpSpPr>
                      <a:xfrm flipV="1">
                        <a:off x="0" y="0"/>
                        <a:ext cx="13011051" cy="857721"/>
                        <a:chOff x="0" y="0"/>
                        <a:chExt cx="13011051" cy="857721"/>
                      </a:xfrm>
                    </wpg:grpSpPr>
                    <wpg:grpSp>
                      <wpg:cNvPr id="1675189617" name="Graphic 1"/>
                      <wpg:cNvGrpSpPr>
                        <a:grpSpLocks noChangeAspect="1"/>
                      </wpg:cNvGrpSpPr>
                      <wpg:grpSpPr>
                        <a:xfrm>
                          <a:off x="0" y="0"/>
                          <a:ext cx="7560000" cy="856800"/>
                          <a:chOff x="0" y="993766"/>
                          <a:chExt cx="5400039" cy="611571"/>
                        </a:xfrm>
                      </wpg:grpSpPr>
                      <wps:wsp>
                        <wps:cNvPr id="458835696" name="Freeform: Shape 458835696"/>
                        <wps:cNvSpPr/>
                        <wps:spPr>
                          <a:xfrm>
                            <a:off x="0" y="993766"/>
                            <a:ext cx="2430505" cy="305274"/>
                          </a:xfrm>
                          <a:custGeom>
                            <a:avLst/>
                            <a:gdLst>
                              <a:gd name="connsiteX0" fmla="*/ 0 w 2430505"/>
                              <a:gd name="connsiteY0" fmla="*/ 0 h 305274"/>
                              <a:gd name="connsiteX1" fmla="*/ 1907045 w 2430505"/>
                              <a:gd name="connsiteY1" fmla="*/ 601 h 305274"/>
                              <a:gd name="connsiteX2" fmla="*/ 2430505 w 2430505"/>
                              <a:gd name="connsiteY2" fmla="*/ 305275 h 305274"/>
                            </a:gdLst>
                            <a:ahLst/>
                            <a:cxnLst>
                              <a:cxn ang="0">
                                <a:pos x="connsiteX0" y="connsiteY0"/>
                              </a:cxn>
                              <a:cxn ang="0">
                                <a:pos x="connsiteX1" y="connsiteY1"/>
                              </a:cxn>
                              <a:cxn ang="0">
                                <a:pos x="connsiteX2" y="connsiteY2"/>
                              </a:cxn>
                            </a:cxnLst>
                            <a:rect l="l" t="t" r="r" b="b"/>
                            <a:pathLst>
                              <a:path w="2430505" h="305274">
                                <a:moveTo>
                                  <a:pt x="0" y="0"/>
                                </a:moveTo>
                                <a:lnTo>
                                  <a:pt x="1907045" y="601"/>
                                </a:lnTo>
                                <a:cubicBezTo>
                                  <a:pt x="2135776" y="601"/>
                                  <a:pt x="2320199" y="106099"/>
                                  <a:pt x="2430505" y="305275"/>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034636" name="Freeform: Shape 921034636"/>
                        <wps:cNvSpPr/>
                        <wps:spPr>
                          <a:xfrm>
                            <a:off x="2430505" y="1299040"/>
                            <a:ext cx="2969534" cy="306297"/>
                          </a:xfrm>
                          <a:custGeom>
                            <a:avLst/>
                            <a:gdLst>
                              <a:gd name="connsiteX0" fmla="*/ 2969535 w 2969534"/>
                              <a:gd name="connsiteY0" fmla="*/ 306298 h 306297"/>
                              <a:gd name="connsiteX1" fmla="*/ 523460 w 2969534"/>
                              <a:gd name="connsiteY1" fmla="*/ 306298 h 306297"/>
                              <a:gd name="connsiteX2" fmla="*/ 0 w 2969534"/>
                              <a:gd name="connsiteY2" fmla="*/ 0 h 306297"/>
                            </a:gdLst>
                            <a:ahLst/>
                            <a:cxnLst>
                              <a:cxn ang="0">
                                <a:pos x="connsiteX0" y="connsiteY0"/>
                              </a:cxn>
                              <a:cxn ang="0">
                                <a:pos x="connsiteX1" y="connsiteY1"/>
                              </a:cxn>
                              <a:cxn ang="0">
                                <a:pos x="connsiteX2" y="connsiteY2"/>
                              </a:cxn>
                            </a:cxnLst>
                            <a:rect l="l" t="t" r="r" b="b"/>
                            <a:pathLst>
                              <a:path w="2969534" h="306297">
                                <a:moveTo>
                                  <a:pt x="2969535" y="306298"/>
                                </a:moveTo>
                                <a:lnTo>
                                  <a:pt x="523460" y="306298"/>
                                </a:lnTo>
                                <a:cubicBezTo>
                                  <a:pt x="294729" y="306298"/>
                                  <a:pt x="110306" y="200231"/>
                                  <a:pt x="0" y="0"/>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70830266" name="Straight Connector 7"/>
                      <wps:cNvCnPr/>
                      <wps:spPr>
                        <a:xfrm rot="16200000">
                          <a:off x="10269940" y="-1883391"/>
                          <a:ext cx="0" cy="5482223"/>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8AE6CF" id="Group 1901217411" o:spid="_x0000_s1026" style="position:absolute;margin-left:-296.6pt;margin-top:54.65pt;width:1024.5pt;height:67.55pt;flip:y;z-index:251658241" coordsize="13011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">
              <v:group id="Graphic 1" o:spid="_x0000_s1027" style="position:absolute;width:75600;height:8568" coordorigin=",9937" coordsize="5400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">
                <o:lock v:ext="edit" aspectratio="t"/>
                <v:shape id="Freeform: Shape 458835696" o:spid="_x0000_s1028" style="position:absolute;top:9937;width:24305;height:3053;visibility:visible;mso-wrap-style:square;v-text-anchor:middle" coordsize="2430505,3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" path="m,l1907045,601v228731,,413154,105498,523460,304674e" filled="f" strokecolor="#013b4a" strokeweight=".04503mm">
                  <v:stroke opacity="16448f" joinstyle="miter"/>
                  <v:path arrowok="t" o:connecttype="custom" o:connectlocs="0,0;1907045,601;2430505,305275" o:connectangles="0,0,0"/>
                </v:shape>
                <v:shape id="Freeform: Shape 921034636" o:spid="_x0000_s1029" style="position:absolute;left:24305;top:12990;width:29695;height:3063;visibility:visible;mso-wrap-style:square;v-text-anchor:middle" coordsize="2969534,30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" path="m2969535,306298r-2446075,c294729,306298,110306,200231,,e" filled="f" strokecolor="#013b4a" strokeweight=".04503mm">
                  <v:stroke opacity="16448f" joinstyle="miter"/>
                  <v:path arrowok="t" o:connecttype="custom" o:connectlocs="2969535,306298;523460,306298;0,0" o:connectangles="0,0,0"/>
                </v:shape>
              </v:group>
              <v:line id="Straight Connector 7" o:spid="_x0000_s1030" style="position:absolute;rotation:-90;visibility:visible;mso-wrap-style:square" from="102699,-18834" to="102699,3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" strokecolor="#013b4a" strokeweight=".13pt">
                <v:stroke opacity="16191f" joinstyle="miter"/>
              </v:line>
            </v:group>
          </w:pict>
        </mc:Fallback>
      </mc:AlternateContent>
    </w:r>
    <w:r w:rsidR="00876D04">
      <w:rPr>
        <w:noProof/>
      </w:rPr>
      <mc:AlternateContent>
        <mc:Choice Requires="wps">
          <w:drawing>
            <wp:anchor distT="0" distB="0" distL="114300" distR="114300" simplePos="0" relativeHeight="251658240" behindDoc="0" locked="0" layoutInCell="1" allowOverlap="1" wp14:anchorId="6DF5FE3E" wp14:editId="11277BAD">
              <wp:simplePos x="0" y="0"/>
              <wp:positionH relativeFrom="column">
                <wp:posOffset>-383540</wp:posOffset>
              </wp:positionH>
              <wp:positionV relativeFrom="paragraph">
                <wp:posOffset>-358140</wp:posOffset>
              </wp:positionV>
              <wp:extent cx="0" cy="10692000"/>
              <wp:effectExtent l="0" t="0" r="38100" b="33655"/>
              <wp:wrapNone/>
              <wp:docPr id="858847366" name="Straight Connector 858847366"/>
              <wp:cNvGraphicFramePr/>
              <a:graphic xmlns:a="http://schemas.openxmlformats.org/drawingml/2006/main">
                <a:graphicData uri="http://schemas.microsoft.com/office/word/2010/wordprocessingShape">
                  <wps:wsp>
                    <wps:cNvCnPr/>
                    <wps:spPr>
                      <a:xfrm>
                        <a:off x="0" y="0"/>
                        <a:ext cx="0" cy="10692000"/>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101136" id="Straight Connector 858847366"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pt,-28.2pt" to="-30.2pt,8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" strokecolor="#013b4a" strokeweight=".13pt">
              <v:stroke opacity="16191f" joinstyle="miter"/>
            </v:line>
          </w:pict>
        </mc:Fallback>
      </mc:AlternateContent>
    </w:r>
    <w:r w:rsidR="00876D04" w:rsidRPr="00ED1526">
      <w:rPr>
        <w:noProof/>
      </w:rPr>
      <w:drawing>
        <wp:inline distT="0" distB="0" distL="0" distR="0" wp14:anchorId="32C045BC" wp14:editId="15400561">
          <wp:extent cx="1940106" cy="360000"/>
          <wp:effectExtent l="0" t="0" r="3175" b="2540"/>
          <wp:docPr id="1232416930" name="Picture 123241693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6747" name="Picture 761306747"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106"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C1F"/>
    <w:multiLevelType w:val="hybridMultilevel"/>
    <w:tmpl w:val="3CEED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5353F"/>
    <w:multiLevelType w:val="hybridMultilevel"/>
    <w:tmpl w:val="F692C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16717"/>
    <w:multiLevelType w:val="hybridMultilevel"/>
    <w:tmpl w:val="5FFCC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85218C"/>
    <w:multiLevelType w:val="hybridMultilevel"/>
    <w:tmpl w:val="7F56A20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D76293"/>
    <w:multiLevelType w:val="hybridMultilevel"/>
    <w:tmpl w:val="D8E2D610"/>
    <w:lvl w:ilvl="0" w:tplc="C1627D7C">
      <w:start w:val="1"/>
      <w:numFmt w:val="decimal"/>
      <w:lvlText w:val="%1."/>
      <w:lvlJc w:val="left"/>
      <w:pPr>
        <w:ind w:left="1440" w:hanging="360"/>
      </w:pPr>
    </w:lvl>
    <w:lvl w:ilvl="1" w:tplc="6F268AEE">
      <w:start w:val="1"/>
      <w:numFmt w:val="decimal"/>
      <w:lvlText w:val="%2."/>
      <w:lvlJc w:val="left"/>
      <w:pPr>
        <w:ind w:left="1440" w:hanging="360"/>
      </w:pPr>
    </w:lvl>
    <w:lvl w:ilvl="2" w:tplc="603C317A">
      <w:start w:val="1"/>
      <w:numFmt w:val="decimal"/>
      <w:lvlText w:val="%3."/>
      <w:lvlJc w:val="left"/>
      <w:pPr>
        <w:ind w:left="1440" w:hanging="360"/>
      </w:pPr>
    </w:lvl>
    <w:lvl w:ilvl="3" w:tplc="A2C4BE4C">
      <w:start w:val="1"/>
      <w:numFmt w:val="decimal"/>
      <w:lvlText w:val="%4."/>
      <w:lvlJc w:val="left"/>
      <w:pPr>
        <w:ind w:left="1440" w:hanging="360"/>
      </w:pPr>
    </w:lvl>
    <w:lvl w:ilvl="4" w:tplc="DFA09D94">
      <w:start w:val="1"/>
      <w:numFmt w:val="decimal"/>
      <w:lvlText w:val="%5."/>
      <w:lvlJc w:val="left"/>
      <w:pPr>
        <w:ind w:left="1440" w:hanging="360"/>
      </w:pPr>
    </w:lvl>
    <w:lvl w:ilvl="5" w:tplc="CB0C0FBA">
      <w:start w:val="1"/>
      <w:numFmt w:val="decimal"/>
      <w:lvlText w:val="%6."/>
      <w:lvlJc w:val="left"/>
      <w:pPr>
        <w:ind w:left="1440" w:hanging="360"/>
      </w:pPr>
    </w:lvl>
    <w:lvl w:ilvl="6" w:tplc="D3BECB56">
      <w:start w:val="1"/>
      <w:numFmt w:val="decimal"/>
      <w:lvlText w:val="%7."/>
      <w:lvlJc w:val="left"/>
      <w:pPr>
        <w:ind w:left="1440" w:hanging="360"/>
      </w:pPr>
    </w:lvl>
    <w:lvl w:ilvl="7" w:tplc="55EE127E">
      <w:start w:val="1"/>
      <w:numFmt w:val="decimal"/>
      <w:lvlText w:val="%8."/>
      <w:lvlJc w:val="left"/>
      <w:pPr>
        <w:ind w:left="1440" w:hanging="360"/>
      </w:pPr>
    </w:lvl>
    <w:lvl w:ilvl="8" w:tplc="E842DA70">
      <w:start w:val="1"/>
      <w:numFmt w:val="decimal"/>
      <w:lvlText w:val="%9."/>
      <w:lvlJc w:val="left"/>
      <w:pPr>
        <w:ind w:left="1440" w:hanging="360"/>
      </w:pPr>
    </w:lvl>
  </w:abstractNum>
  <w:abstractNum w:abstractNumId="5" w15:restartNumberingAfterBreak="0">
    <w:nsid w:val="10720AB4"/>
    <w:multiLevelType w:val="hybridMultilevel"/>
    <w:tmpl w:val="A7BAF2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F964F3"/>
    <w:multiLevelType w:val="hybridMultilevel"/>
    <w:tmpl w:val="623E54B6"/>
    <w:lvl w:ilvl="0" w:tplc="840402D8">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F16C20"/>
    <w:multiLevelType w:val="hybridMultilevel"/>
    <w:tmpl w:val="056EA59A"/>
    <w:lvl w:ilvl="0" w:tplc="0C090001">
      <w:start w:val="1"/>
      <w:numFmt w:val="bullet"/>
      <w:lvlText w:val=""/>
      <w:lvlJc w:val="left"/>
      <w:pPr>
        <w:ind w:left="720" w:hanging="360"/>
      </w:pPr>
      <w:rPr>
        <w:rFonts w:ascii="Symbol" w:hAnsi="Symbol" w:hint="default"/>
        <w:color w:val="F85C5D" w:themeColor="hyperlink"/>
        <w:u w:val="single"/>
      </w:rPr>
    </w:lvl>
    <w:lvl w:ilvl="1" w:tplc="8DC8BE2A">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2B733E"/>
    <w:multiLevelType w:val="hybridMultilevel"/>
    <w:tmpl w:val="B9F2E8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68B7EB7"/>
    <w:multiLevelType w:val="multilevel"/>
    <w:tmpl w:val="E2BE2512"/>
    <w:lvl w:ilvl="0">
      <w:start w:val="1"/>
      <w:numFmt w:val="decimal"/>
      <w:lvlText w:val="%1."/>
      <w:lvlJc w:val="left"/>
      <w:pPr>
        <w:ind w:left="360" w:hanging="360"/>
      </w:pPr>
      <w:rPr>
        <w:rFonts w:hint="default"/>
      </w:rPr>
    </w:lvl>
    <w:lvl w:ilvl="1">
      <w:start w:val="3"/>
      <w:numFmt w:val="decimal"/>
      <w:lvlRestart w:val="0"/>
      <w:pStyle w:val="11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487011"/>
    <w:multiLevelType w:val="hybridMultilevel"/>
    <w:tmpl w:val="C2524954"/>
    <w:lvl w:ilvl="0" w:tplc="A4DE440A">
      <w:start w:val="1"/>
      <w:numFmt w:val="decimal"/>
      <w:lvlText w:val="%1."/>
      <w:lvlJc w:val="left"/>
      <w:pPr>
        <w:ind w:left="720" w:hanging="360"/>
      </w:pPr>
      <w:rPr>
        <w:rFonts w:asciiTheme="majorHAnsi" w:hAnsiTheme="majorHAnsi"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0B524E"/>
    <w:multiLevelType w:val="hybridMultilevel"/>
    <w:tmpl w:val="AA4A6D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5D4712"/>
    <w:multiLevelType w:val="hybridMultilevel"/>
    <w:tmpl w:val="C2524954"/>
    <w:lvl w:ilvl="0" w:tplc="FFFFFFFF">
      <w:start w:val="1"/>
      <w:numFmt w:val="decimal"/>
      <w:lvlText w:val="%1."/>
      <w:lvlJc w:val="left"/>
      <w:pPr>
        <w:ind w:left="720" w:hanging="360"/>
      </w:pPr>
      <w:rPr>
        <w:rFonts w:asciiTheme="majorHAnsi" w:hAnsiTheme="majorHAnsi" w:hint="default"/>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9E6F00"/>
    <w:multiLevelType w:val="hybridMultilevel"/>
    <w:tmpl w:val="2C0ACD1A"/>
    <w:lvl w:ilvl="0" w:tplc="08090001">
      <w:start w:val="1"/>
      <w:numFmt w:val="bullet"/>
      <w:lvlText w:val=""/>
      <w:lvlJc w:val="left"/>
      <w:pPr>
        <w:ind w:left="720" w:hanging="360"/>
      </w:pPr>
      <w:rPr>
        <w:rFonts w:ascii="Symbol" w:hAnsi="Symbol" w:hint="default"/>
      </w:rPr>
    </w:lvl>
    <w:lvl w:ilvl="1" w:tplc="CB9E08EA">
      <w:numFmt w:val="bullet"/>
      <w:lvlText w:val="•"/>
      <w:lvlJc w:val="left"/>
      <w:pPr>
        <w:ind w:left="1800" w:hanging="720"/>
      </w:pPr>
      <w:rPr>
        <w:rFonts w:ascii="PP Mori" w:eastAsiaTheme="minorEastAsia" w:hAnsi="PP Mo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B612D"/>
    <w:multiLevelType w:val="multilevel"/>
    <w:tmpl w:val="CBC6E4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16F377B"/>
    <w:multiLevelType w:val="hybridMultilevel"/>
    <w:tmpl w:val="181060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9548D7"/>
    <w:multiLevelType w:val="hybridMultilevel"/>
    <w:tmpl w:val="353A67BE"/>
    <w:lvl w:ilvl="0" w:tplc="4DD8CB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F54EE"/>
    <w:multiLevelType w:val="hybridMultilevel"/>
    <w:tmpl w:val="C7DE1B9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38D4683D"/>
    <w:multiLevelType w:val="hybridMultilevel"/>
    <w:tmpl w:val="2DEC1F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5008CC"/>
    <w:multiLevelType w:val="hybridMultilevel"/>
    <w:tmpl w:val="66D42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3E59E2"/>
    <w:multiLevelType w:val="hybridMultilevel"/>
    <w:tmpl w:val="0D28F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C31181"/>
    <w:multiLevelType w:val="hybridMultilevel"/>
    <w:tmpl w:val="631C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BC6A64"/>
    <w:multiLevelType w:val="hybridMultilevel"/>
    <w:tmpl w:val="7B782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2D56C5"/>
    <w:multiLevelType w:val="hybridMultilevel"/>
    <w:tmpl w:val="FB0A6E1A"/>
    <w:lvl w:ilvl="0" w:tplc="4DD8CBEE">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4" w15:restartNumberingAfterBreak="0">
    <w:nsid w:val="5189332C"/>
    <w:multiLevelType w:val="hybridMultilevel"/>
    <w:tmpl w:val="01CE7E2A"/>
    <w:lvl w:ilvl="0" w:tplc="0C090001">
      <w:start w:val="1"/>
      <w:numFmt w:val="bullet"/>
      <w:lvlText w:val=""/>
      <w:lvlJc w:val="left"/>
      <w:pPr>
        <w:ind w:left="720" w:hanging="360"/>
      </w:pPr>
      <w:rPr>
        <w:rFonts w:ascii="Symbol" w:hAnsi="Symbol" w:hint="default"/>
        <w:b w:val="0"/>
        <w:i w:val="0"/>
        <w:color w:val="auto"/>
        <w:sz w:val="1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698524F"/>
    <w:multiLevelType w:val="hybridMultilevel"/>
    <w:tmpl w:val="3EF8010C"/>
    <w:lvl w:ilvl="0" w:tplc="814EF1E4">
      <w:start w:val="1"/>
      <w:numFmt w:val="bullet"/>
      <w:pStyle w:val="ListParagraph"/>
      <w:lvlText w:val=""/>
      <w:lvlJc w:val="left"/>
      <w:pPr>
        <w:ind w:left="1146" w:hanging="360"/>
      </w:pPr>
      <w:rPr>
        <w:rFonts w:ascii="Symbol" w:hAnsi="Symbol" w:hint="default"/>
      </w:rPr>
    </w:lvl>
    <w:lvl w:ilvl="1" w:tplc="10CCD122">
      <w:numFmt w:val="bullet"/>
      <w:lvlText w:val="•"/>
      <w:lvlJc w:val="left"/>
      <w:pPr>
        <w:ind w:left="1866" w:hanging="360"/>
      </w:pPr>
      <w:rPr>
        <w:rFonts w:ascii="PP Mori" w:eastAsiaTheme="minorEastAsia" w:hAnsi="PP Mori" w:cstheme="minorBidi"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5AB1069C"/>
    <w:multiLevelType w:val="hybridMultilevel"/>
    <w:tmpl w:val="791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B25530"/>
    <w:multiLevelType w:val="hybridMultilevel"/>
    <w:tmpl w:val="D4B6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F968A5"/>
    <w:multiLevelType w:val="hybridMultilevel"/>
    <w:tmpl w:val="87124CE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22020B"/>
    <w:multiLevelType w:val="hybridMultilevel"/>
    <w:tmpl w:val="7B18C15C"/>
    <w:lvl w:ilvl="0" w:tplc="0C090001">
      <w:start w:val="1"/>
      <w:numFmt w:val="bullet"/>
      <w:lvlText w:val=""/>
      <w:lvlJc w:val="left"/>
      <w:pPr>
        <w:ind w:left="720" w:hanging="360"/>
      </w:pPr>
      <w:rPr>
        <w:rFonts w:ascii="Symbol" w:hAnsi="Symbol" w:hint="default"/>
        <w:color w:val="F85C5D" w:themeColor="hyperlink"/>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B25F87"/>
    <w:multiLevelType w:val="hybridMultilevel"/>
    <w:tmpl w:val="0E180FC2"/>
    <w:lvl w:ilvl="0" w:tplc="FFFFFFFF">
      <w:start w:val="1"/>
      <w:numFmt w:val="decimal"/>
      <w:lvlText w:val="%1."/>
      <w:lvlJc w:val="left"/>
      <w:pPr>
        <w:ind w:left="720" w:hanging="360"/>
      </w:pPr>
      <w:rPr>
        <w:rFonts w:ascii="PP Mori" w:hAnsi="PP Mori" w:hint="default"/>
        <w:b w:val="0"/>
        <w:i w:val="0"/>
        <w:color w:val="auto"/>
        <w:sz w:val="1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47946B7"/>
    <w:multiLevelType w:val="hybridMultilevel"/>
    <w:tmpl w:val="50D0C53C"/>
    <w:lvl w:ilvl="0" w:tplc="0C090001">
      <w:start w:val="1"/>
      <w:numFmt w:val="bullet"/>
      <w:lvlText w:val=""/>
      <w:lvlJc w:val="left"/>
      <w:pPr>
        <w:ind w:left="720" w:hanging="360"/>
      </w:pPr>
      <w:rPr>
        <w:rFonts w:ascii="Symbol" w:hAnsi="Symbo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913774"/>
    <w:multiLevelType w:val="hybridMultilevel"/>
    <w:tmpl w:val="B142AAD8"/>
    <w:lvl w:ilvl="0" w:tplc="150017B6">
      <w:start w:val="1"/>
      <w:numFmt w:val="bullet"/>
      <w:lvlText w:val=""/>
      <w:lvlJc w:val="left"/>
      <w:pPr>
        <w:ind w:left="777" w:hanging="397"/>
      </w:pPr>
      <w:rPr>
        <w:rFonts w:ascii="Symbol" w:hAnsi="Symbol" w:hint="default"/>
      </w:rPr>
    </w:lvl>
    <w:lvl w:ilvl="1" w:tplc="FFFFFFFF" w:tentative="1">
      <w:start w:val="1"/>
      <w:numFmt w:val="bullet"/>
      <w:lvlText w:val="o"/>
      <w:lvlJc w:val="left"/>
      <w:pPr>
        <w:ind w:left="1492" w:hanging="360"/>
      </w:pPr>
      <w:rPr>
        <w:rFonts w:ascii="Courier New" w:hAnsi="Courier New" w:cs="Courier New" w:hint="default"/>
      </w:rPr>
    </w:lvl>
    <w:lvl w:ilvl="2" w:tplc="FFFFFFFF" w:tentative="1">
      <w:start w:val="1"/>
      <w:numFmt w:val="bullet"/>
      <w:lvlText w:val=""/>
      <w:lvlJc w:val="left"/>
      <w:pPr>
        <w:ind w:left="2212" w:hanging="360"/>
      </w:pPr>
      <w:rPr>
        <w:rFonts w:ascii="Wingdings" w:hAnsi="Wingdings" w:hint="default"/>
      </w:rPr>
    </w:lvl>
    <w:lvl w:ilvl="3" w:tplc="FFFFFFFF" w:tentative="1">
      <w:start w:val="1"/>
      <w:numFmt w:val="bullet"/>
      <w:lvlText w:val=""/>
      <w:lvlJc w:val="left"/>
      <w:pPr>
        <w:ind w:left="2932" w:hanging="360"/>
      </w:pPr>
      <w:rPr>
        <w:rFonts w:ascii="Symbol" w:hAnsi="Symbol" w:hint="default"/>
      </w:rPr>
    </w:lvl>
    <w:lvl w:ilvl="4" w:tplc="FFFFFFFF" w:tentative="1">
      <w:start w:val="1"/>
      <w:numFmt w:val="bullet"/>
      <w:lvlText w:val="o"/>
      <w:lvlJc w:val="left"/>
      <w:pPr>
        <w:ind w:left="3652" w:hanging="360"/>
      </w:pPr>
      <w:rPr>
        <w:rFonts w:ascii="Courier New" w:hAnsi="Courier New" w:cs="Courier New" w:hint="default"/>
      </w:rPr>
    </w:lvl>
    <w:lvl w:ilvl="5" w:tplc="FFFFFFFF" w:tentative="1">
      <w:start w:val="1"/>
      <w:numFmt w:val="bullet"/>
      <w:lvlText w:val=""/>
      <w:lvlJc w:val="left"/>
      <w:pPr>
        <w:ind w:left="4372" w:hanging="360"/>
      </w:pPr>
      <w:rPr>
        <w:rFonts w:ascii="Wingdings" w:hAnsi="Wingdings" w:hint="default"/>
      </w:rPr>
    </w:lvl>
    <w:lvl w:ilvl="6" w:tplc="FFFFFFFF" w:tentative="1">
      <w:start w:val="1"/>
      <w:numFmt w:val="bullet"/>
      <w:lvlText w:val=""/>
      <w:lvlJc w:val="left"/>
      <w:pPr>
        <w:ind w:left="5092" w:hanging="360"/>
      </w:pPr>
      <w:rPr>
        <w:rFonts w:ascii="Symbol" w:hAnsi="Symbol" w:hint="default"/>
      </w:rPr>
    </w:lvl>
    <w:lvl w:ilvl="7" w:tplc="FFFFFFFF" w:tentative="1">
      <w:start w:val="1"/>
      <w:numFmt w:val="bullet"/>
      <w:lvlText w:val="o"/>
      <w:lvlJc w:val="left"/>
      <w:pPr>
        <w:ind w:left="5812" w:hanging="360"/>
      </w:pPr>
      <w:rPr>
        <w:rFonts w:ascii="Courier New" w:hAnsi="Courier New" w:cs="Courier New" w:hint="default"/>
      </w:rPr>
    </w:lvl>
    <w:lvl w:ilvl="8" w:tplc="FFFFFFFF" w:tentative="1">
      <w:start w:val="1"/>
      <w:numFmt w:val="bullet"/>
      <w:lvlText w:val=""/>
      <w:lvlJc w:val="left"/>
      <w:pPr>
        <w:ind w:left="6532" w:hanging="360"/>
      </w:pPr>
      <w:rPr>
        <w:rFonts w:ascii="Wingdings" w:hAnsi="Wingdings" w:hint="default"/>
      </w:rPr>
    </w:lvl>
  </w:abstractNum>
  <w:abstractNum w:abstractNumId="33" w15:restartNumberingAfterBreak="0">
    <w:nsid w:val="6F847159"/>
    <w:multiLevelType w:val="hybridMultilevel"/>
    <w:tmpl w:val="4E5A2BE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5911CF0"/>
    <w:multiLevelType w:val="hybridMultilevel"/>
    <w:tmpl w:val="AF4A3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E506A8"/>
    <w:multiLevelType w:val="hybridMultilevel"/>
    <w:tmpl w:val="BDA28E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8D3603"/>
    <w:multiLevelType w:val="hybridMultilevel"/>
    <w:tmpl w:val="A926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994C82"/>
    <w:multiLevelType w:val="hybridMultilevel"/>
    <w:tmpl w:val="233E4CF0"/>
    <w:lvl w:ilvl="0" w:tplc="7B7017AA">
      <w:start w:val="1"/>
      <w:numFmt w:val="decimal"/>
      <w:lvlText w:val="%1."/>
      <w:lvlJc w:val="left"/>
      <w:pPr>
        <w:ind w:left="720" w:hanging="360"/>
      </w:pPr>
      <w:rPr>
        <w:rFonts w:ascii="PP Mori SemiBold" w:hAnsi="PP Mori SemiBold" w:hint="default"/>
        <w:b/>
        <w:i w:val="0"/>
        <w:color w:val="013C4C"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7F15B1"/>
    <w:multiLevelType w:val="hybridMultilevel"/>
    <w:tmpl w:val="C3C613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536312455">
    <w:abstractNumId w:val="14"/>
  </w:num>
  <w:num w:numId="2" w16cid:durableId="768307099">
    <w:abstractNumId w:val="25"/>
  </w:num>
  <w:num w:numId="3" w16cid:durableId="1438909481">
    <w:abstractNumId w:val="28"/>
  </w:num>
  <w:num w:numId="4" w16cid:durableId="849029504">
    <w:abstractNumId w:val="6"/>
  </w:num>
  <w:num w:numId="5" w16cid:durableId="433205972">
    <w:abstractNumId w:val="16"/>
  </w:num>
  <w:num w:numId="6" w16cid:durableId="2133478306">
    <w:abstractNumId w:val="23"/>
  </w:num>
  <w:num w:numId="7" w16cid:durableId="1326782303">
    <w:abstractNumId w:val="22"/>
  </w:num>
  <w:num w:numId="8" w16cid:durableId="966858600">
    <w:abstractNumId w:val="13"/>
  </w:num>
  <w:num w:numId="9" w16cid:durableId="1212032073">
    <w:abstractNumId w:val="12"/>
  </w:num>
  <w:num w:numId="10" w16cid:durableId="2054186176">
    <w:abstractNumId w:val="10"/>
  </w:num>
  <w:num w:numId="11" w16cid:durableId="754859312">
    <w:abstractNumId w:val="33"/>
  </w:num>
  <w:num w:numId="12" w16cid:durableId="869150414">
    <w:abstractNumId w:val="11"/>
  </w:num>
  <w:num w:numId="13" w16cid:durableId="864712518">
    <w:abstractNumId w:val="18"/>
  </w:num>
  <w:num w:numId="14" w16cid:durableId="273172085">
    <w:abstractNumId w:val="31"/>
  </w:num>
  <w:num w:numId="15" w16cid:durableId="300885289">
    <w:abstractNumId w:val="29"/>
  </w:num>
  <w:num w:numId="16" w16cid:durableId="966198155">
    <w:abstractNumId w:val="8"/>
  </w:num>
  <w:num w:numId="17" w16cid:durableId="1740666296">
    <w:abstractNumId w:val="7"/>
  </w:num>
  <w:num w:numId="18" w16cid:durableId="1651641474">
    <w:abstractNumId w:val="38"/>
  </w:num>
  <w:num w:numId="19" w16cid:durableId="595332593">
    <w:abstractNumId w:val="3"/>
  </w:num>
  <w:num w:numId="20" w16cid:durableId="555092822">
    <w:abstractNumId w:val="0"/>
  </w:num>
  <w:num w:numId="21" w16cid:durableId="276957911">
    <w:abstractNumId w:val="32"/>
  </w:num>
  <w:num w:numId="22" w16cid:durableId="1374885243">
    <w:abstractNumId w:val="5"/>
  </w:num>
  <w:num w:numId="23" w16cid:durableId="1616864866">
    <w:abstractNumId w:val="2"/>
  </w:num>
  <w:num w:numId="24" w16cid:durableId="810710448">
    <w:abstractNumId w:val="19"/>
  </w:num>
  <w:num w:numId="25" w16cid:durableId="2010211977">
    <w:abstractNumId w:val="34"/>
  </w:num>
  <w:num w:numId="26" w16cid:durableId="398211800">
    <w:abstractNumId w:val="20"/>
  </w:num>
  <w:num w:numId="27" w16cid:durableId="555776510">
    <w:abstractNumId w:val="15"/>
  </w:num>
  <w:num w:numId="28" w16cid:durableId="1479760736">
    <w:abstractNumId w:val="4"/>
  </w:num>
  <w:num w:numId="29" w16cid:durableId="1129128780">
    <w:abstractNumId w:val="35"/>
  </w:num>
  <w:num w:numId="30" w16cid:durableId="1789543342">
    <w:abstractNumId w:val="25"/>
  </w:num>
  <w:num w:numId="31" w16cid:durableId="1375159759">
    <w:abstractNumId w:val="27"/>
  </w:num>
  <w:num w:numId="32" w16cid:durableId="1882017865">
    <w:abstractNumId w:val="17"/>
  </w:num>
  <w:num w:numId="33" w16cid:durableId="813059920">
    <w:abstractNumId w:val="30"/>
  </w:num>
  <w:num w:numId="34" w16cid:durableId="1861578091">
    <w:abstractNumId w:val="24"/>
  </w:num>
  <w:num w:numId="35" w16cid:durableId="990329853">
    <w:abstractNumId w:val="25"/>
  </w:num>
  <w:num w:numId="36" w16cid:durableId="1542980027">
    <w:abstractNumId w:val="25"/>
  </w:num>
  <w:num w:numId="37" w16cid:durableId="729378727">
    <w:abstractNumId w:val="25"/>
  </w:num>
  <w:num w:numId="38" w16cid:durableId="662589130">
    <w:abstractNumId w:val="9"/>
  </w:num>
  <w:num w:numId="39" w16cid:durableId="1855345389">
    <w:abstractNumId w:val="1"/>
  </w:num>
  <w:num w:numId="40" w16cid:durableId="63530022">
    <w:abstractNumId w:val="21"/>
  </w:num>
  <w:num w:numId="41" w16cid:durableId="241763537">
    <w:abstractNumId w:val="36"/>
  </w:num>
  <w:num w:numId="42" w16cid:durableId="2043944040">
    <w:abstractNumId w:val="37"/>
  </w:num>
  <w:num w:numId="43" w16cid:durableId="1574243003">
    <w:abstractNumId w:val="26"/>
  </w:num>
  <w:num w:numId="44" w16cid:durableId="880554096">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Paterson">
    <w15:presenceInfo w15:providerId="AD" w15:userId="S::mpaterson@energycatalyst.au::42de4a7a-d5a6-466f-93d9-cf84358235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664"/>
    <w:rsid w:val="00000C33"/>
    <w:rsid w:val="00000DD0"/>
    <w:rsid w:val="00000F6B"/>
    <w:rsid w:val="00001157"/>
    <w:rsid w:val="00001787"/>
    <w:rsid w:val="000017F5"/>
    <w:rsid w:val="00001B12"/>
    <w:rsid w:val="000021F5"/>
    <w:rsid w:val="00002F25"/>
    <w:rsid w:val="000030FB"/>
    <w:rsid w:val="0000320C"/>
    <w:rsid w:val="0000382B"/>
    <w:rsid w:val="00003FC9"/>
    <w:rsid w:val="00004059"/>
    <w:rsid w:val="0000407D"/>
    <w:rsid w:val="00004092"/>
    <w:rsid w:val="000046BA"/>
    <w:rsid w:val="00005185"/>
    <w:rsid w:val="00005B60"/>
    <w:rsid w:val="00005C0B"/>
    <w:rsid w:val="00005CCE"/>
    <w:rsid w:val="00005F62"/>
    <w:rsid w:val="00006091"/>
    <w:rsid w:val="00006462"/>
    <w:rsid w:val="00006486"/>
    <w:rsid w:val="00006526"/>
    <w:rsid w:val="000065B3"/>
    <w:rsid w:val="000069DE"/>
    <w:rsid w:val="00006EE7"/>
    <w:rsid w:val="0000753B"/>
    <w:rsid w:val="0000767E"/>
    <w:rsid w:val="000079F2"/>
    <w:rsid w:val="00007F8C"/>
    <w:rsid w:val="0001068D"/>
    <w:rsid w:val="00011182"/>
    <w:rsid w:val="000111ED"/>
    <w:rsid w:val="000113D7"/>
    <w:rsid w:val="00011434"/>
    <w:rsid w:val="000116A4"/>
    <w:rsid w:val="00012086"/>
    <w:rsid w:val="00013356"/>
    <w:rsid w:val="0001366C"/>
    <w:rsid w:val="00013938"/>
    <w:rsid w:val="000139D2"/>
    <w:rsid w:val="00013A40"/>
    <w:rsid w:val="00013EEE"/>
    <w:rsid w:val="00013F26"/>
    <w:rsid w:val="000146DE"/>
    <w:rsid w:val="0001480B"/>
    <w:rsid w:val="00014DAE"/>
    <w:rsid w:val="00014DE2"/>
    <w:rsid w:val="00014E24"/>
    <w:rsid w:val="00014E31"/>
    <w:rsid w:val="00014F21"/>
    <w:rsid w:val="000151E4"/>
    <w:rsid w:val="000157B3"/>
    <w:rsid w:val="00015876"/>
    <w:rsid w:val="00015A8F"/>
    <w:rsid w:val="00015B0E"/>
    <w:rsid w:val="000160FF"/>
    <w:rsid w:val="00016607"/>
    <w:rsid w:val="00017206"/>
    <w:rsid w:val="00017424"/>
    <w:rsid w:val="00017596"/>
    <w:rsid w:val="00017876"/>
    <w:rsid w:val="00017F86"/>
    <w:rsid w:val="0002039C"/>
    <w:rsid w:val="000207E5"/>
    <w:rsid w:val="00020BEB"/>
    <w:rsid w:val="00021038"/>
    <w:rsid w:val="00021737"/>
    <w:rsid w:val="00021D16"/>
    <w:rsid w:val="00021F47"/>
    <w:rsid w:val="00022209"/>
    <w:rsid w:val="000233D3"/>
    <w:rsid w:val="0002367F"/>
    <w:rsid w:val="0002395B"/>
    <w:rsid w:val="00023C70"/>
    <w:rsid w:val="00023FBE"/>
    <w:rsid w:val="000244D7"/>
    <w:rsid w:val="0002457A"/>
    <w:rsid w:val="0002522D"/>
    <w:rsid w:val="00025B85"/>
    <w:rsid w:val="00025C00"/>
    <w:rsid w:val="000262CF"/>
    <w:rsid w:val="0002668C"/>
    <w:rsid w:val="00026783"/>
    <w:rsid w:val="00026891"/>
    <w:rsid w:val="00027033"/>
    <w:rsid w:val="000272FB"/>
    <w:rsid w:val="0002742A"/>
    <w:rsid w:val="00027502"/>
    <w:rsid w:val="00027B8B"/>
    <w:rsid w:val="00030062"/>
    <w:rsid w:val="00030096"/>
    <w:rsid w:val="00030182"/>
    <w:rsid w:val="00030683"/>
    <w:rsid w:val="000306B3"/>
    <w:rsid w:val="000306BB"/>
    <w:rsid w:val="000313CC"/>
    <w:rsid w:val="0003166F"/>
    <w:rsid w:val="00031772"/>
    <w:rsid w:val="000318F8"/>
    <w:rsid w:val="0003200F"/>
    <w:rsid w:val="000326E1"/>
    <w:rsid w:val="00032F2B"/>
    <w:rsid w:val="00033615"/>
    <w:rsid w:val="00033778"/>
    <w:rsid w:val="00033877"/>
    <w:rsid w:val="00034045"/>
    <w:rsid w:val="00035A62"/>
    <w:rsid w:val="00035ADD"/>
    <w:rsid w:val="00035BB4"/>
    <w:rsid w:val="00035DE1"/>
    <w:rsid w:val="00035F36"/>
    <w:rsid w:val="00036222"/>
    <w:rsid w:val="00036361"/>
    <w:rsid w:val="000366C9"/>
    <w:rsid w:val="0003696B"/>
    <w:rsid w:val="00036A96"/>
    <w:rsid w:val="00037113"/>
    <w:rsid w:val="000371FD"/>
    <w:rsid w:val="000372D1"/>
    <w:rsid w:val="00040148"/>
    <w:rsid w:val="00040574"/>
    <w:rsid w:val="00040652"/>
    <w:rsid w:val="000408C2"/>
    <w:rsid w:val="000408DC"/>
    <w:rsid w:val="00040CD0"/>
    <w:rsid w:val="00040E89"/>
    <w:rsid w:val="00041057"/>
    <w:rsid w:val="00041BCB"/>
    <w:rsid w:val="0004264D"/>
    <w:rsid w:val="00042AC5"/>
    <w:rsid w:val="00042B98"/>
    <w:rsid w:val="00042C66"/>
    <w:rsid w:val="00042E5E"/>
    <w:rsid w:val="00042F20"/>
    <w:rsid w:val="00042FDF"/>
    <w:rsid w:val="000434BD"/>
    <w:rsid w:val="00043AC1"/>
    <w:rsid w:val="00043D17"/>
    <w:rsid w:val="00043E26"/>
    <w:rsid w:val="00044310"/>
    <w:rsid w:val="00044B67"/>
    <w:rsid w:val="00044C81"/>
    <w:rsid w:val="00044ED0"/>
    <w:rsid w:val="000453CB"/>
    <w:rsid w:val="00045711"/>
    <w:rsid w:val="0004572D"/>
    <w:rsid w:val="0004581D"/>
    <w:rsid w:val="00045A87"/>
    <w:rsid w:val="00045C54"/>
    <w:rsid w:val="00045D1B"/>
    <w:rsid w:val="00045FB6"/>
    <w:rsid w:val="0004626C"/>
    <w:rsid w:val="00046400"/>
    <w:rsid w:val="0004648A"/>
    <w:rsid w:val="00046C95"/>
    <w:rsid w:val="00046D05"/>
    <w:rsid w:val="00046FD8"/>
    <w:rsid w:val="00047A4F"/>
    <w:rsid w:val="00047BDB"/>
    <w:rsid w:val="0005070A"/>
    <w:rsid w:val="00050A5B"/>
    <w:rsid w:val="00050D3D"/>
    <w:rsid w:val="00050E8F"/>
    <w:rsid w:val="00051633"/>
    <w:rsid w:val="0005174B"/>
    <w:rsid w:val="0005177D"/>
    <w:rsid w:val="00051A26"/>
    <w:rsid w:val="00051F39"/>
    <w:rsid w:val="000523A0"/>
    <w:rsid w:val="000525EA"/>
    <w:rsid w:val="00052685"/>
    <w:rsid w:val="0005268D"/>
    <w:rsid w:val="00052DA3"/>
    <w:rsid w:val="00052E38"/>
    <w:rsid w:val="000536B2"/>
    <w:rsid w:val="00053861"/>
    <w:rsid w:val="00053E0F"/>
    <w:rsid w:val="00053E6D"/>
    <w:rsid w:val="0005415E"/>
    <w:rsid w:val="0005457D"/>
    <w:rsid w:val="000548D6"/>
    <w:rsid w:val="00054911"/>
    <w:rsid w:val="0005496A"/>
    <w:rsid w:val="00054A6D"/>
    <w:rsid w:val="00054B01"/>
    <w:rsid w:val="00054D2E"/>
    <w:rsid w:val="00054EED"/>
    <w:rsid w:val="000554A2"/>
    <w:rsid w:val="00055C34"/>
    <w:rsid w:val="00055D02"/>
    <w:rsid w:val="000560A4"/>
    <w:rsid w:val="00056225"/>
    <w:rsid w:val="000565C6"/>
    <w:rsid w:val="000566B7"/>
    <w:rsid w:val="0005675B"/>
    <w:rsid w:val="00056B58"/>
    <w:rsid w:val="00056EB4"/>
    <w:rsid w:val="00057273"/>
    <w:rsid w:val="0005779A"/>
    <w:rsid w:val="00057BE6"/>
    <w:rsid w:val="00057CBB"/>
    <w:rsid w:val="00057DFD"/>
    <w:rsid w:val="00057E10"/>
    <w:rsid w:val="00060145"/>
    <w:rsid w:val="00060517"/>
    <w:rsid w:val="00060547"/>
    <w:rsid w:val="00060570"/>
    <w:rsid w:val="00060AE4"/>
    <w:rsid w:val="00060D9D"/>
    <w:rsid w:val="00061A3F"/>
    <w:rsid w:val="00061E29"/>
    <w:rsid w:val="00061F68"/>
    <w:rsid w:val="00062BB6"/>
    <w:rsid w:val="00062C7D"/>
    <w:rsid w:val="00062FEE"/>
    <w:rsid w:val="00062FEF"/>
    <w:rsid w:val="00063465"/>
    <w:rsid w:val="000636BC"/>
    <w:rsid w:val="00063D20"/>
    <w:rsid w:val="00063EF3"/>
    <w:rsid w:val="000649B3"/>
    <w:rsid w:val="00064B93"/>
    <w:rsid w:val="00064F95"/>
    <w:rsid w:val="000656BD"/>
    <w:rsid w:val="0006637E"/>
    <w:rsid w:val="00066D62"/>
    <w:rsid w:val="00066EF6"/>
    <w:rsid w:val="0006704C"/>
    <w:rsid w:val="000671B7"/>
    <w:rsid w:val="00067242"/>
    <w:rsid w:val="000700AD"/>
    <w:rsid w:val="000701FA"/>
    <w:rsid w:val="00070846"/>
    <w:rsid w:val="00070B5F"/>
    <w:rsid w:val="00070CC2"/>
    <w:rsid w:val="0007148D"/>
    <w:rsid w:val="0007213A"/>
    <w:rsid w:val="000724AF"/>
    <w:rsid w:val="00073110"/>
    <w:rsid w:val="00073423"/>
    <w:rsid w:val="00073428"/>
    <w:rsid w:val="000736CB"/>
    <w:rsid w:val="00073E18"/>
    <w:rsid w:val="00073E9A"/>
    <w:rsid w:val="000742E7"/>
    <w:rsid w:val="000742E8"/>
    <w:rsid w:val="000743A1"/>
    <w:rsid w:val="00074634"/>
    <w:rsid w:val="00074A48"/>
    <w:rsid w:val="00074E3C"/>
    <w:rsid w:val="00074F98"/>
    <w:rsid w:val="0007513F"/>
    <w:rsid w:val="00075B34"/>
    <w:rsid w:val="00075BEE"/>
    <w:rsid w:val="00075C20"/>
    <w:rsid w:val="00075FC4"/>
    <w:rsid w:val="000767E7"/>
    <w:rsid w:val="00076A63"/>
    <w:rsid w:val="00076D80"/>
    <w:rsid w:val="00076D8C"/>
    <w:rsid w:val="000770E5"/>
    <w:rsid w:val="00077713"/>
    <w:rsid w:val="00080013"/>
    <w:rsid w:val="00080096"/>
    <w:rsid w:val="00080C86"/>
    <w:rsid w:val="00080D37"/>
    <w:rsid w:val="000811E3"/>
    <w:rsid w:val="00081388"/>
    <w:rsid w:val="0008190E"/>
    <w:rsid w:val="00081DD2"/>
    <w:rsid w:val="00081E64"/>
    <w:rsid w:val="000821AC"/>
    <w:rsid w:val="000821EA"/>
    <w:rsid w:val="0008272C"/>
    <w:rsid w:val="000828C5"/>
    <w:rsid w:val="00082A26"/>
    <w:rsid w:val="00082DD5"/>
    <w:rsid w:val="00082E81"/>
    <w:rsid w:val="000832B2"/>
    <w:rsid w:val="00083C3C"/>
    <w:rsid w:val="00083E13"/>
    <w:rsid w:val="000844B0"/>
    <w:rsid w:val="00084737"/>
    <w:rsid w:val="00085E9C"/>
    <w:rsid w:val="000864F2"/>
    <w:rsid w:val="000865CF"/>
    <w:rsid w:val="00086AC6"/>
    <w:rsid w:val="00086B43"/>
    <w:rsid w:val="00086C22"/>
    <w:rsid w:val="00086CA6"/>
    <w:rsid w:val="00087452"/>
    <w:rsid w:val="000874B3"/>
    <w:rsid w:val="000874E8"/>
    <w:rsid w:val="00087ADD"/>
    <w:rsid w:val="00087E60"/>
    <w:rsid w:val="000901EC"/>
    <w:rsid w:val="0009095F"/>
    <w:rsid w:val="000909EA"/>
    <w:rsid w:val="00091111"/>
    <w:rsid w:val="00092006"/>
    <w:rsid w:val="0009204D"/>
    <w:rsid w:val="000920F4"/>
    <w:rsid w:val="000932B8"/>
    <w:rsid w:val="00093428"/>
    <w:rsid w:val="0009363C"/>
    <w:rsid w:val="00093BBC"/>
    <w:rsid w:val="0009410F"/>
    <w:rsid w:val="000943BE"/>
    <w:rsid w:val="000944D4"/>
    <w:rsid w:val="00094628"/>
    <w:rsid w:val="000946FC"/>
    <w:rsid w:val="00094D97"/>
    <w:rsid w:val="00094FB3"/>
    <w:rsid w:val="000951C0"/>
    <w:rsid w:val="00095266"/>
    <w:rsid w:val="000952AA"/>
    <w:rsid w:val="0009537A"/>
    <w:rsid w:val="000955F1"/>
    <w:rsid w:val="000956E6"/>
    <w:rsid w:val="000957F2"/>
    <w:rsid w:val="00095A64"/>
    <w:rsid w:val="00095A7F"/>
    <w:rsid w:val="00095E36"/>
    <w:rsid w:val="00095E9C"/>
    <w:rsid w:val="0009618D"/>
    <w:rsid w:val="00096434"/>
    <w:rsid w:val="00097700"/>
    <w:rsid w:val="000A046C"/>
    <w:rsid w:val="000A0A4D"/>
    <w:rsid w:val="000A0AD4"/>
    <w:rsid w:val="000A0C29"/>
    <w:rsid w:val="000A0CEF"/>
    <w:rsid w:val="000A0D95"/>
    <w:rsid w:val="000A0E54"/>
    <w:rsid w:val="000A1566"/>
    <w:rsid w:val="000A1B41"/>
    <w:rsid w:val="000A1E9E"/>
    <w:rsid w:val="000A2C83"/>
    <w:rsid w:val="000A2E53"/>
    <w:rsid w:val="000A324A"/>
    <w:rsid w:val="000A357D"/>
    <w:rsid w:val="000A366A"/>
    <w:rsid w:val="000A3CF7"/>
    <w:rsid w:val="000A3F78"/>
    <w:rsid w:val="000A433E"/>
    <w:rsid w:val="000A4722"/>
    <w:rsid w:val="000A48D2"/>
    <w:rsid w:val="000A4925"/>
    <w:rsid w:val="000A4B9B"/>
    <w:rsid w:val="000A4BDC"/>
    <w:rsid w:val="000A5578"/>
    <w:rsid w:val="000A597C"/>
    <w:rsid w:val="000A5983"/>
    <w:rsid w:val="000A5C39"/>
    <w:rsid w:val="000A5D1C"/>
    <w:rsid w:val="000A5E5B"/>
    <w:rsid w:val="000A6258"/>
    <w:rsid w:val="000A6472"/>
    <w:rsid w:val="000A6D16"/>
    <w:rsid w:val="000A6DD9"/>
    <w:rsid w:val="000A6DF6"/>
    <w:rsid w:val="000A71CE"/>
    <w:rsid w:val="000A7368"/>
    <w:rsid w:val="000A740E"/>
    <w:rsid w:val="000A7DD6"/>
    <w:rsid w:val="000B00A3"/>
    <w:rsid w:val="000B04AD"/>
    <w:rsid w:val="000B06EA"/>
    <w:rsid w:val="000B07AE"/>
    <w:rsid w:val="000B0BAD"/>
    <w:rsid w:val="000B0D42"/>
    <w:rsid w:val="000B10E1"/>
    <w:rsid w:val="000B10FF"/>
    <w:rsid w:val="000B1326"/>
    <w:rsid w:val="000B1603"/>
    <w:rsid w:val="000B1737"/>
    <w:rsid w:val="000B1965"/>
    <w:rsid w:val="000B1E7D"/>
    <w:rsid w:val="000B20A8"/>
    <w:rsid w:val="000B218A"/>
    <w:rsid w:val="000B2953"/>
    <w:rsid w:val="000B2F16"/>
    <w:rsid w:val="000B32BD"/>
    <w:rsid w:val="000B33FF"/>
    <w:rsid w:val="000B3C13"/>
    <w:rsid w:val="000B42F9"/>
    <w:rsid w:val="000B4327"/>
    <w:rsid w:val="000B43D5"/>
    <w:rsid w:val="000B4C8F"/>
    <w:rsid w:val="000B5476"/>
    <w:rsid w:val="000B551D"/>
    <w:rsid w:val="000B5DDA"/>
    <w:rsid w:val="000B67B1"/>
    <w:rsid w:val="000B6970"/>
    <w:rsid w:val="000B6B10"/>
    <w:rsid w:val="000B6CD2"/>
    <w:rsid w:val="000B6DA6"/>
    <w:rsid w:val="000B6F9D"/>
    <w:rsid w:val="000B7007"/>
    <w:rsid w:val="000B797D"/>
    <w:rsid w:val="000B7ED0"/>
    <w:rsid w:val="000C005F"/>
    <w:rsid w:val="000C00CE"/>
    <w:rsid w:val="000C034C"/>
    <w:rsid w:val="000C042B"/>
    <w:rsid w:val="000C04F4"/>
    <w:rsid w:val="000C0678"/>
    <w:rsid w:val="000C0CB3"/>
    <w:rsid w:val="000C143C"/>
    <w:rsid w:val="000C1571"/>
    <w:rsid w:val="000C158C"/>
    <w:rsid w:val="000C17C6"/>
    <w:rsid w:val="000C1A2E"/>
    <w:rsid w:val="000C1F6C"/>
    <w:rsid w:val="000C26D4"/>
    <w:rsid w:val="000C26E4"/>
    <w:rsid w:val="000C2B14"/>
    <w:rsid w:val="000C2B93"/>
    <w:rsid w:val="000C2BA0"/>
    <w:rsid w:val="000C3401"/>
    <w:rsid w:val="000C343D"/>
    <w:rsid w:val="000C3611"/>
    <w:rsid w:val="000C3691"/>
    <w:rsid w:val="000C37E4"/>
    <w:rsid w:val="000C3BE8"/>
    <w:rsid w:val="000C3F6E"/>
    <w:rsid w:val="000C40EF"/>
    <w:rsid w:val="000C416B"/>
    <w:rsid w:val="000C4450"/>
    <w:rsid w:val="000C45CA"/>
    <w:rsid w:val="000C4794"/>
    <w:rsid w:val="000C513F"/>
    <w:rsid w:val="000C5211"/>
    <w:rsid w:val="000C521C"/>
    <w:rsid w:val="000C53D5"/>
    <w:rsid w:val="000C5921"/>
    <w:rsid w:val="000C5926"/>
    <w:rsid w:val="000C5D97"/>
    <w:rsid w:val="000C6BC2"/>
    <w:rsid w:val="000C7009"/>
    <w:rsid w:val="000C701C"/>
    <w:rsid w:val="000C7056"/>
    <w:rsid w:val="000C722F"/>
    <w:rsid w:val="000C74CB"/>
    <w:rsid w:val="000C7B97"/>
    <w:rsid w:val="000C7E1B"/>
    <w:rsid w:val="000C7ECC"/>
    <w:rsid w:val="000D0001"/>
    <w:rsid w:val="000D0EC1"/>
    <w:rsid w:val="000D178A"/>
    <w:rsid w:val="000D1AFE"/>
    <w:rsid w:val="000D2133"/>
    <w:rsid w:val="000D272C"/>
    <w:rsid w:val="000D282C"/>
    <w:rsid w:val="000D2A58"/>
    <w:rsid w:val="000D2E10"/>
    <w:rsid w:val="000D328B"/>
    <w:rsid w:val="000D3464"/>
    <w:rsid w:val="000D351E"/>
    <w:rsid w:val="000D3E6C"/>
    <w:rsid w:val="000D438A"/>
    <w:rsid w:val="000D44EA"/>
    <w:rsid w:val="000D4B31"/>
    <w:rsid w:val="000D545F"/>
    <w:rsid w:val="000D5CDA"/>
    <w:rsid w:val="000D63C2"/>
    <w:rsid w:val="000D64F2"/>
    <w:rsid w:val="000D65AD"/>
    <w:rsid w:val="000D699C"/>
    <w:rsid w:val="000D6F16"/>
    <w:rsid w:val="000D7955"/>
    <w:rsid w:val="000D7C69"/>
    <w:rsid w:val="000D7EDE"/>
    <w:rsid w:val="000E018D"/>
    <w:rsid w:val="000E0332"/>
    <w:rsid w:val="000E0744"/>
    <w:rsid w:val="000E0FF9"/>
    <w:rsid w:val="000E10CE"/>
    <w:rsid w:val="000E141C"/>
    <w:rsid w:val="000E1D60"/>
    <w:rsid w:val="000E22D1"/>
    <w:rsid w:val="000E29A2"/>
    <w:rsid w:val="000E2D78"/>
    <w:rsid w:val="000E2E96"/>
    <w:rsid w:val="000E323C"/>
    <w:rsid w:val="000E3569"/>
    <w:rsid w:val="000E38A8"/>
    <w:rsid w:val="000E38E7"/>
    <w:rsid w:val="000E3967"/>
    <w:rsid w:val="000E3D12"/>
    <w:rsid w:val="000E3FEF"/>
    <w:rsid w:val="000E419F"/>
    <w:rsid w:val="000E4B0A"/>
    <w:rsid w:val="000E4C12"/>
    <w:rsid w:val="000E4DBF"/>
    <w:rsid w:val="000E5B3E"/>
    <w:rsid w:val="000E5E12"/>
    <w:rsid w:val="000E6203"/>
    <w:rsid w:val="000E6B66"/>
    <w:rsid w:val="000E6BC5"/>
    <w:rsid w:val="000E702E"/>
    <w:rsid w:val="000E714C"/>
    <w:rsid w:val="000E72CB"/>
    <w:rsid w:val="000E73A4"/>
    <w:rsid w:val="000E7713"/>
    <w:rsid w:val="000E7DDE"/>
    <w:rsid w:val="000F09F6"/>
    <w:rsid w:val="000F0A24"/>
    <w:rsid w:val="000F0AE0"/>
    <w:rsid w:val="000F0BD4"/>
    <w:rsid w:val="000F0CB0"/>
    <w:rsid w:val="000F0D36"/>
    <w:rsid w:val="000F126A"/>
    <w:rsid w:val="000F14CF"/>
    <w:rsid w:val="000F19D0"/>
    <w:rsid w:val="000F1F9C"/>
    <w:rsid w:val="000F2165"/>
    <w:rsid w:val="000F2315"/>
    <w:rsid w:val="000F23FD"/>
    <w:rsid w:val="000F2A1C"/>
    <w:rsid w:val="000F32C2"/>
    <w:rsid w:val="000F35AD"/>
    <w:rsid w:val="000F3B40"/>
    <w:rsid w:val="000F3F7E"/>
    <w:rsid w:val="000F4666"/>
    <w:rsid w:val="000F48F9"/>
    <w:rsid w:val="000F498D"/>
    <w:rsid w:val="000F4C18"/>
    <w:rsid w:val="000F5D1F"/>
    <w:rsid w:val="000F5DF6"/>
    <w:rsid w:val="000F6258"/>
    <w:rsid w:val="000F64D0"/>
    <w:rsid w:val="000F6B9A"/>
    <w:rsid w:val="000F6F8D"/>
    <w:rsid w:val="000F7A35"/>
    <w:rsid w:val="000F7ECF"/>
    <w:rsid w:val="0010096C"/>
    <w:rsid w:val="00100ADA"/>
    <w:rsid w:val="00101790"/>
    <w:rsid w:val="00101ABA"/>
    <w:rsid w:val="00102195"/>
    <w:rsid w:val="0010226B"/>
    <w:rsid w:val="00102406"/>
    <w:rsid w:val="00102421"/>
    <w:rsid w:val="001025FA"/>
    <w:rsid w:val="001026A8"/>
    <w:rsid w:val="001032F0"/>
    <w:rsid w:val="00103301"/>
    <w:rsid w:val="001035AA"/>
    <w:rsid w:val="0010385C"/>
    <w:rsid w:val="00103962"/>
    <w:rsid w:val="00103C1A"/>
    <w:rsid w:val="00104753"/>
    <w:rsid w:val="001047F7"/>
    <w:rsid w:val="00104864"/>
    <w:rsid w:val="00104A89"/>
    <w:rsid w:val="00104D09"/>
    <w:rsid w:val="00104DFB"/>
    <w:rsid w:val="00104E57"/>
    <w:rsid w:val="00104F8E"/>
    <w:rsid w:val="0010543F"/>
    <w:rsid w:val="00105527"/>
    <w:rsid w:val="001059F2"/>
    <w:rsid w:val="00105DED"/>
    <w:rsid w:val="00105EC3"/>
    <w:rsid w:val="001070BE"/>
    <w:rsid w:val="0010760B"/>
    <w:rsid w:val="001076F1"/>
    <w:rsid w:val="001079F3"/>
    <w:rsid w:val="00107DAA"/>
    <w:rsid w:val="00107FDD"/>
    <w:rsid w:val="001100FC"/>
    <w:rsid w:val="00110221"/>
    <w:rsid w:val="0011046E"/>
    <w:rsid w:val="00110516"/>
    <w:rsid w:val="00110876"/>
    <w:rsid w:val="00110957"/>
    <w:rsid w:val="00110A03"/>
    <w:rsid w:val="00111264"/>
    <w:rsid w:val="00111780"/>
    <w:rsid w:val="001119D9"/>
    <w:rsid w:val="00111CCE"/>
    <w:rsid w:val="00111D49"/>
    <w:rsid w:val="00111DB6"/>
    <w:rsid w:val="00112188"/>
    <w:rsid w:val="001122A7"/>
    <w:rsid w:val="001122BF"/>
    <w:rsid w:val="001123FF"/>
    <w:rsid w:val="00112431"/>
    <w:rsid w:val="0011270A"/>
    <w:rsid w:val="00112A11"/>
    <w:rsid w:val="00113168"/>
    <w:rsid w:val="0011316B"/>
    <w:rsid w:val="00113504"/>
    <w:rsid w:val="0011358D"/>
    <w:rsid w:val="0011388E"/>
    <w:rsid w:val="00113EA8"/>
    <w:rsid w:val="00114085"/>
    <w:rsid w:val="001142EF"/>
    <w:rsid w:val="00114338"/>
    <w:rsid w:val="00114385"/>
    <w:rsid w:val="0011440C"/>
    <w:rsid w:val="0011441F"/>
    <w:rsid w:val="00114506"/>
    <w:rsid w:val="001149DE"/>
    <w:rsid w:val="00114C54"/>
    <w:rsid w:val="00114E6A"/>
    <w:rsid w:val="00115050"/>
    <w:rsid w:val="001152FA"/>
    <w:rsid w:val="00115797"/>
    <w:rsid w:val="00115936"/>
    <w:rsid w:val="00115D52"/>
    <w:rsid w:val="0011640F"/>
    <w:rsid w:val="001169E8"/>
    <w:rsid w:val="00116A7E"/>
    <w:rsid w:val="00117224"/>
    <w:rsid w:val="00117273"/>
    <w:rsid w:val="001174EB"/>
    <w:rsid w:val="001175AC"/>
    <w:rsid w:val="00120185"/>
    <w:rsid w:val="00120253"/>
    <w:rsid w:val="0012041A"/>
    <w:rsid w:val="00120D9F"/>
    <w:rsid w:val="001210CC"/>
    <w:rsid w:val="001215C1"/>
    <w:rsid w:val="001217B5"/>
    <w:rsid w:val="00121CB5"/>
    <w:rsid w:val="00121CE7"/>
    <w:rsid w:val="0012207C"/>
    <w:rsid w:val="001221EE"/>
    <w:rsid w:val="001228D6"/>
    <w:rsid w:val="001231C2"/>
    <w:rsid w:val="00123311"/>
    <w:rsid w:val="001239B4"/>
    <w:rsid w:val="00123DB7"/>
    <w:rsid w:val="00123EFF"/>
    <w:rsid w:val="001245C7"/>
    <w:rsid w:val="001245E5"/>
    <w:rsid w:val="00124B19"/>
    <w:rsid w:val="00124C15"/>
    <w:rsid w:val="00124EB3"/>
    <w:rsid w:val="00124FBC"/>
    <w:rsid w:val="0012537F"/>
    <w:rsid w:val="0012560A"/>
    <w:rsid w:val="0012563D"/>
    <w:rsid w:val="001261A9"/>
    <w:rsid w:val="001261EA"/>
    <w:rsid w:val="001269FF"/>
    <w:rsid w:val="00126ACC"/>
    <w:rsid w:val="00127002"/>
    <w:rsid w:val="001270B0"/>
    <w:rsid w:val="001272ED"/>
    <w:rsid w:val="001273D3"/>
    <w:rsid w:val="0012744A"/>
    <w:rsid w:val="00127550"/>
    <w:rsid w:val="00127796"/>
    <w:rsid w:val="0012781A"/>
    <w:rsid w:val="00127F9F"/>
    <w:rsid w:val="00130094"/>
    <w:rsid w:val="0013024F"/>
    <w:rsid w:val="00130CA6"/>
    <w:rsid w:val="00131275"/>
    <w:rsid w:val="0013163E"/>
    <w:rsid w:val="00131A20"/>
    <w:rsid w:val="00131E07"/>
    <w:rsid w:val="00131E6C"/>
    <w:rsid w:val="00133174"/>
    <w:rsid w:val="00133379"/>
    <w:rsid w:val="00133A4C"/>
    <w:rsid w:val="00134488"/>
    <w:rsid w:val="00134B5A"/>
    <w:rsid w:val="00135952"/>
    <w:rsid w:val="00135BE8"/>
    <w:rsid w:val="0013632B"/>
    <w:rsid w:val="00136599"/>
    <w:rsid w:val="00136897"/>
    <w:rsid w:val="001368DF"/>
    <w:rsid w:val="00136B98"/>
    <w:rsid w:val="00136EE1"/>
    <w:rsid w:val="001370A4"/>
    <w:rsid w:val="001373A0"/>
    <w:rsid w:val="0013758F"/>
    <w:rsid w:val="001375A6"/>
    <w:rsid w:val="001378A1"/>
    <w:rsid w:val="001378C8"/>
    <w:rsid w:val="00137F9A"/>
    <w:rsid w:val="0014004F"/>
    <w:rsid w:val="0014071B"/>
    <w:rsid w:val="00140DB2"/>
    <w:rsid w:val="00140EB5"/>
    <w:rsid w:val="00140FDD"/>
    <w:rsid w:val="0014146E"/>
    <w:rsid w:val="001417BE"/>
    <w:rsid w:val="00141CE6"/>
    <w:rsid w:val="0014218B"/>
    <w:rsid w:val="001425FB"/>
    <w:rsid w:val="00142B5B"/>
    <w:rsid w:val="0014323D"/>
    <w:rsid w:val="00143553"/>
    <w:rsid w:val="001435B8"/>
    <w:rsid w:val="00143605"/>
    <w:rsid w:val="001442AC"/>
    <w:rsid w:val="00144502"/>
    <w:rsid w:val="00144F07"/>
    <w:rsid w:val="00144F98"/>
    <w:rsid w:val="0014536B"/>
    <w:rsid w:val="0014545C"/>
    <w:rsid w:val="0014577B"/>
    <w:rsid w:val="00145EE8"/>
    <w:rsid w:val="001460F2"/>
    <w:rsid w:val="00146C57"/>
    <w:rsid w:val="00146CDD"/>
    <w:rsid w:val="0014714A"/>
    <w:rsid w:val="00147223"/>
    <w:rsid w:val="00147655"/>
    <w:rsid w:val="001477E6"/>
    <w:rsid w:val="00147922"/>
    <w:rsid w:val="0014793A"/>
    <w:rsid w:val="00147E7B"/>
    <w:rsid w:val="00147F8F"/>
    <w:rsid w:val="00147FEA"/>
    <w:rsid w:val="00150D12"/>
    <w:rsid w:val="0015143D"/>
    <w:rsid w:val="0015171A"/>
    <w:rsid w:val="001518A4"/>
    <w:rsid w:val="0015193E"/>
    <w:rsid w:val="00151D90"/>
    <w:rsid w:val="00151EFF"/>
    <w:rsid w:val="001520A0"/>
    <w:rsid w:val="00152214"/>
    <w:rsid w:val="00152417"/>
    <w:rsid w:val="00152967"/>
    <w:rsid w:val="00152D10"/>
    <w:rsid w:val="00152D89"/>
    <w:rsid w:val="0015312A"/>
    <w:rsid w:val="00153324"/>
    <w:rsid w:val="00153348"/>
    <w:rsid w:val="001533B8"/>
    <w:rsid w:val="00154057"/>
    <w:rsid w:val="001540C7"/>
    <w:rsid w:val="001540E6"/>
    <w:rsid w:val="0015459D"/>
    <w:rsid w:val="001546EF"/>
    <w:rsid w:val="001548FA"/>
    <w:rsid w:val="00154ADD"/>
    <w:rsid w:val="00154F12"/>
    <w:rsid w:val="0015573E"/>
    <w:rsid w:val="001557EF"/>
    <w:rsid w:val="00155F2A"/>
    <w:rsid w:val="00155F66"/>
    <w:rsid w:val="001561F0"/>
    <w:rsid w:val="00156300"/>
    <w:rsid w:val="00156468"/>
    <w:rsid w:val="0015669D"/>
    <w:rsid w:val="00156870"/>
    <w:rsid w:val="00156935"/>
    <w:rsid w:val="00156C1D"/>
    <w:rsid w:val="00156D49"/>
    <w:rsid w:val="001578BF"/>
    <w:rsid w:val="00157C68"/>
    <w:rsid w:val="00157E50"/>
    <w:rsid w:val="00157F07"/>
    <w:rsid w:val="00160A5C"/>
    <w:rsid w:val="0016116A"/>
    <w:rsid w:val="0016120B"/>
    <w:rsid w:val="00161579"/>
    <w:rsid w:val="00161B87"/>
    <w:rsid w:val="00161E07"/>
    <w:rsid w:val="00162252"/>
    <w:rsid w:val="00162BB4"/>
    <w:rsid w:val="00162D30"/>
    <w:rsid w:val="00162F23"/>
    <w:rsid w:val="0016399E"/>
    <w:rsid w:val="00163F7A"/>
    <w:rsid w:val="00164092"/>
    <w:rsid w:val="0016444C"/>
    <w:rsid w:val="0016491C"/>
    <w:rsid w:val="00165872"/>
    <w:rsid w:val="00165C9D"/>
    <w:rsid w:val="00165CFF"/>
    <w:rsid w:val="00165D1B"/>
    <w:rsid w:val="00165F91"/>
    <w:rsid w:val="00166317"/>
    <w:rsid w:val="00166999"/>
    <w:rsid w:val="001671CE"/>
    <w:rsid w:val="00167235"/>
    <w:rsid w:val="00167664"/>
    <w:rsid w:val="00170FB7"/>
    <w:rsid w:val="00172CE4"/>
    <w:rsid w:val="00172F7F"/>
    <w:rsid w:val="00172FCF"/>
    <w:rsid w:val="001730FC"/>
    <w:rsid w:val="001732DD"/>
    <w:rsid w:val="0017332D"/>
    <w:rsid w:val="001736D4"/>
    <w:rsid w:val="001738B7"/>
    <w:rsid w:val="00173A72"/>
    <w:rsid w:val="00173F0B"/>
    <w:rsid w:val="00174809"/>
    <w:rsid w:val="00174E03"/>
    <w:rsid w:val="00175118"/>
    <w:rsid w:val="00175397"/>
    <w:rsid w:val="001754DC"/>
    <w:rsid w:val="00175512"/>
    <w:rsid w:val="00175A99"/>
    <w:rsid w:val="00175E90"/>
    <w:rsid w:val="00175EEA"/>
    <w:rsid w:val="00175F21"/>
    <w:rsid w:val="00176BAE"/>
    <w:rsid w:val="00176BFB"/>
    <w:rsid w:val="00176DF9"/>
    <w:rsid w:val="00176EBA"/>
    <w:rsid w:val="00177095"/>
    <w:rsid w:val="00177153"/>
    <w:rsid w:val="00177276"/>
    <w:rsid w:val="00177FD3"/>
    <w:rsid w:val="0018073B"/>
    <w:rsid w:val="00181028"/>
    <w:rsid w:val="001812AA"/>
    <w:rsid w:val="00181446"/>
    <w:rsid w:val="001814E6"/>
    <w:rsid w:val="0018182A"/>
    <w:rsid w:val="00181938"/>
    <w:rsid w:val="00181980"/>
    <w:rsid w:val="00181CCF"/>
    <w:rsid w:val="0018259C"/>
    <w:rsid w:val="00182FA6"/>
    <w:rsid w:val="00183BCE"/>
    <w:rsid w:val="001844C9"/>
    <w:rsid w:val="001847C7"/>
    <w:rsid w:val="00184B68"/>
    <w:rsid w:val="00184E60"/>
    <w:rsid w:val="001859ED"/>
    <w:rsid w:val="00185BAF"/>
    <w:rsid w:val="00186616"/>
    <w:rsid w:val="0018766F"/>
    <w:rsid w:val="00187699"/>
    <w:rsid w:val="001877EF"/>
    <w:rsid w:val="001900FA"/>
    <w:rsid w:val="00190747"/>
    <w:rsid w:val="00190AC2"/>
    <w:rsid w:val="00191100"/>
    <w:rsid w:val="0019113C"/>
    <w:rsid w:val="00191816"/>
    <w:rsid w:val="00192281"/>
    <w:rsid w:val="00192287"/>
    <w:rsid w:val="00192438"/>
    <w:rsid w:val="0019251B"/>
    <w:rsid w:val="0019252E"/>
    <w:rsid w:val="0019254D"/>
    <w:rsid w:val="00192764"/>
    <w:rsid w:val="0019297F"/>
    <w:rsid w:val="0019390A"/>
    <w:rsid w:val="00193958"/>
    <w:rsid w:val="0019397A"/>
    <w:rsid w:val="00193C9F"/>
    <w:rsid w:val="00193CCF"/>
    <w:rsid w:val="00194172"/>
    <w:rsid w:val="001942A5"/>
    <w:rsid w:val="0019482E"/>
    <w:rsid w:val="001949EC"/>
    <w:rsid w:val="00194C0D"/>
    <w:rsid w:val="00194D67"/>
    <w:rsid w:val="00194FCD"/>
    <w:rsid w:val="0019595E"/>
    <w:rsid w:val="00195B52"/>
    <w:rsid w:val="00195FA6"/>
    <w:rsid w:val="0019650C"/>
    <w:rsid w:val="00196982"/>
    <w:rsid w:val="00196B0B"/>
    <w:rsid w:val="00196EEB"/>
    <w:rsid w:val="00197185"/>
    <w:rsid w:val="001973B2"/>
    <w:rsid w:val="00197685"/>
    <w:rsid w:val="001976C0"/>
    <w:rsid w:val="0019772C"/>
    <w:rsid w:val="0019777A"/>
    <w:rsid w:val="001979A0"/>
    <w:rsid w:val="00197CEF"/>
    <w:rsid w:val="00197E49"/>
    <w:rsid w:val="00197E59"/>
    <w:rsid w:val="001A03B2"/>
    <w:rsid w:val="001A08F9"/>
    <w:rsid w:val="001A0FFE"/>
    <w:rsid w:val="001A12BD"/>
    <w:rsid w:val="001A1B33"/>
    <w:rsid w:val="001A1BB3"/>
    <w:rsid w:val="001A1D20"/>
    <w:rsid w:val="001A223F"/>
    <w:rsid w:val="001A238C"/>
    <w:rsid w:val="001A2485"/>
    <w:rsid w:val="001A279B"/>
    <w:rsid w:val="001A2B7E"/>
    <w:rsid w:val="001A2F76"/>
    <w:rsid w:val="001A3293"/>
    <w:rsid w:val="001A3AD9"/>
    <w:rsid w:val="001A3C90"/>
    <w:rsid w:val="001A44AF"/>
    <w:rsid w:val="001A4D0C"/>
    <w:rsid w:val="001A4D20"/>
    <w:rsid w:val="001A4F9B"/>
    <w:rsid w:val="001A5038"/>
    <w:rsid w:val="001A518B"/>
    <w:rsid w:val="001A5374"/>
    <w:rsid w:val="001A56D4"/>
    <w:rsid w:val="001A581E"/>
    <w:rsid w:val="001A606B"/>
    <w:rsid w:val="001A6519"/>
    <w:rsid w:val="001A66DF"/>
    <w:rsid w:val="001A69DB"/>
    <w:rsid w:val="001A6A72"/>
    <w:rsid w:val="001A6B5F"/>
    <w:rsid w:val="001A6FE3"/>
    <w:rsid w:val="001A7097"/>
    <w:rsid w:val="001A7C0B"/>
    <w:rsid w:val="001A7DD8"/>
    <w:rsid w:val="001B0C95"/>
    <w:rsid w:val="001B0D62"/>
    <w:rsid w:val="001B11E8"/>
    <w:rsid w:val="001B14A2"/>
    <w:rsid w:val="001B15EA"/>
    <w:rsid w:val="001B186F"/>
    <w:rsid w:val="001B1D76"/>
    <w:rsid w:val="001B1FF2"/>
    <w:rsid w:val="001B217A"/>
    <w:rsid w:val="001B2470"/>
    <w:rsid w:val="001B2528"/>
    <w:rsid w:val="001B263C"/>
    <w:rsid w:val="001B26C0"/>
    <w:rsid w:val="001B2871"/>
    <w:rsid w:val="001B2D15"/>
    <w:rsid w:val="001B2EDD"/>
    <w:rsid w:val="001B2F45"/>
    <w:rsid w:val="001B2F8E"/>
    <w:rsid w:val="001B30A1"/>
    <w:rsid w:val="001B31C3"/>
    <w:rsid w:val="001B3405"/>
    <w:rsid w:val="001B3977"/>
    <w:rsid w:val="001B3AB0"/>
    <w:rsid w:val="001B3C03"/>
    <w:rsid w:val="001B3C33"/>
    <w:rsid w:val="001B3DC5"/>
    <w:rsid w:val="001B4733"/>
    <w:rsid w:val="001B47F7"/>
    <w:rsid w:val="001B4BE0"/>
    <w:rsid w:val="001B4CE4"/>
    <w:rsid w:val="001B4F8E"/>
    <w:rsid w:val="001B5230"/>
    <w:rsid w:val="001B5418"/>
    <w:rsid w:val="001B5650"/>
    <w:rsid w:val="001B57A9"/>
    <w:rsid w:val="001B59A9"/>
    <w:rsid w:val="001B5BEB"/>
    <w:rsid w:val="001B5E94"/>
    <w:rsid w:val="001B6055"/>
    <w:rsid w:val="001B61C1"/>
    <w:rsid w:val="001B6308"/>
    <w:rsid w:val="001B682D"/>
    <w:rsid w:val="001B6861"/>
    <w:rsid w:val="001B6940"/>
    <w:rsid w:val="001B69BF"/>
    <w:rsid w:val="001B6AF6"/>
    <w:rsid w:val="001B7074"/>
    <w:rsid w:val="001B71D5"/>
    <w:rsid w:val="001B77F8"/>
    <w:rsid w:val="001B7873"/>
    <w:rsid w:val="001C001D"/>
    <w:rsid w:val="001C0518"/>
    <w:rsid w:val="001C07CD"/>
    <w:rsid w:val="001C07DD"/>
    <w:rsid w:val="001C097C"/>
    <w:rsid w:val="001C0C3B"/>
    <w:rsid w:val="001C1151"/>
    <w:rsid w:val="001C143A"/>
    <w:rsid w:val="001C15CF"/>
    <w:rsid w:val="001C17B6"/>
    <w:rsid w:val="001C17BA"/>
    <w:rsid w:val="001C1C1E"/>
    <w:rsid w:val="001C1EBB"/>
    <w:rsid w:val="001C2A2B"/>
    <w:rsid w:val="001C2D84"/>
    <w:rsid w:val="001C2EB2"/>
    <w:rsid w:val="001C3067"/>
    <w:rsid w:val="001C36DB"/>
    <w:rsid w:val="001C37F9"/>
    <w:rsid w:val="001C3875"/>
    <w:rsid w:val="001C3C0E"/>
    <w:rsid w:val="001C3E8E"/>
    <w:rsid w:val="001C3F01"/>
    <w:rsid w:val="001C4016"/>
    <w:rsid w:val="001C4B2E"/>
    <w:rsid w:val="001C4BBB"/>
    <w:rsid w:val="001C4F91"/>
    <w:rsid w:val="001C4F9F"/>
    <w:rsid w:val="001C5142"/>
    <w:rsid w:val="001C5164"/>
    <w:rsid w:val="001C5359"/>
    <w:rsid w:val="001C5C20"/>
    <w:rsid w:val="001C5DA8"/>
    <w:rsid w:val="001C5E48"/>
    <w:rsid w:val="001C60B3"/>
    <w:rsid w:val="001C625A"/>
    <w:rsid w:val="001C653D"/>
    <w:rsid w:val="001C6793"/>
    <w:rsid w:val="001C6C9B"/>
    <w:rsid w:val="001C6DF3"/>
    <w:rsid w:val="001C6F6C"/>
    <w:rsid w:val="001C7312"/>
    <w:rsid w:val="001C77F3"/>
    <w:rsid w:val="001C7A1B"/>
    <w:rsid w:val="001C7A1D"/>
    <w:rsid w:val="001C7BC1"/>
    <w:rsid w:val="001C7E12"/>
    <w:rsid w:val="001D02E1"/>
    <w:rsid w:val="001D0CC7"/>
    <w:rsid w:val="001D0DA5"/>
    <w:rsid w:val="001D238C"/>
    <w:rsid w:val="001D27FE"/>
    <w:rsid w:val="001D2C7B"/>
    <w:rsid w:val="001D30F5"/>
    <w:rsid w:val="001D395C"/>
    <w:rsid w:val="001D3D6E"/>
    <w:rsid w:val="001D417F"/>
    <w:rsid w:val="001D46BC"/>
    <w:rsid w:val="001D4B6A"/>
    <w:rsid w:val="001D4C90"/>
    <w:rsid w:val="001D4D5D"/>
    <w:rsid w:val="001D5250"/>
    <w:rsid w:val="001D527C"/>
    <w:rsid w:val="001D545E"/>
    <w:rsid w:val="001D548D"/>
    <w:rsid w:val="001D5A53"/>
    <w:rsid w:val="001D5B11"/>
    <w:rsid w:val="001D5C3A"/>
    <w:rsid w:val="001D5CC8"/>
    <w:rsid w:val="001D5CE9"/>
    <w:rsid w:val="001D5D2F"/>
    <w:rsid w:val="001D5F18"/>
    <w:rsid w:val="001D5F32"/>
    <w:rsid w:val="001D6B11"/>
    <w:rsid w:val="001D70BA"/>
    <w:rsid w:val="001D78DC"/>
    <w:rsid w:val="001D7FB5"/>
    <w:rsid w:val="001E02A4"/>
    <w:rsid w:val="001E07E9"/>
    <w:rsid w:val="001E0B7E"/>
    <w:rsid w:val="001E0DE4"/>
    <w:rsid w:val="001E136A"/>
    <w:rsid w:val="001E1424"/>
    <w:rsid w:val="001E19F4"/>
    <w:rsid w:val="001E1B1A"/>
    <w:rsid w:val="001E1C8E"/>
    <w:rsid w:val="001E22F6"/>
    <w:rsid w:val="001E242E"/>
    <w:rsid w:val="001E288A"/>
    <w:rsid w:val="001E28CB"/>
    <w:rsid w:val="001E2EBC"/>
    <w:rsid w:val="001E3097"/>
    <w:rsid w:val="001E373D"/>
    <w:rsid w:val="001E3C4B"/>
    <w:rsid w:val="001E413B"/>
    <w:rsid w:val="001E4649"/>
    <w:rsid w:val="001E4665"/>
    <w:rsid w:val="001E4CE7"/>
    <w:rsid w:val="001E50B2"/>
    <w:rsid w:val="001E5383"/>
    <w:rsid w:val="001E5A89"/>
    <w:rsid w:val="001E5AB4"/>
    <w:rsid w:val="001E5E3A"/>
    <w:rsid w:val="001E5ED0"/>
    <w:rsid w:val="001E5F2B"/>
    <w:rsid w:val="001E61AC"/>
    <w:rsid w:val="001E645E"/>
    <w:rsid w:val="001E6C02"/>
    <w:rsid w:val="001E6E9D"/>
    <w:rsid w:val="001E7357"/>
    <w:rsid w:val="001E7C00"/>
    <w:rsid w:val="001E7D18"/>
    <w:rsid w:val="001F00A9"/>
    <w:rsid w:val="001F019F"/>
    <w:rsid w:val="001F07C1"/>
    <w:rsid w:val="001F08C6"/>
    <w:rsid w:val="001F144D"/>
    <w:rsid w:val="001F1455"/>
    <w:rsid w:val="001F145E"/>
    <w:rsid w:val="001F1DE5"/>
    <w:rsid w:val="001F1E4D"/>
    <w:rsid w:val="001F2036"/>
    <w:rsid w:val="001F2063"/>
    <w:rsid w:val="001F2625"/>
    <w:rsid w:val="001F2DA1"/>
    <w:rsid w:val="001F355A"/>
    <w:rsid w:val="001F38D0"/>
    <w:rsid w:val="001F3AED"/>
    <w:rsid w:val="001F3DF3"/>
    <w:rsid w:val="001F42D8"/>
    <w:rsid w:val="001F440D"/>
    <w:rsid w:val="001F453C"/>
    <w:rsid w:val="001F475F"/>
    <w:rsid w:val="001F4B0D"/>
    <w:rsid w:val="001F4C39"/>
    <w:rsid w:val="001F529B"/>
    <w:rsid w:val="001F52DE"/>
    <w:rsid w:val="001F5464"/>
    <w:rsid w:val="001F5724"/>
    <w:rsid w:val="001F58C6"/>
    <w:rsid w:val="001F59E8"/>
    <w:rsid w:val="001F5D88"/>
    <w:rsid w:val="001F5E81"/>
    <w:rsid w:val="001F6247"/>
    <w:rsid w:val="001F70AB"/>
    <w:rsid w:val="001F7A08"/>
    <w:rsid w:val="001F7A23"/>
    <w:rsid w:val="002004BA"/>
    <w:rsid w:val="00200618"/>
    <w:rsid w:val="002009E7"/>
    <w:rsid w:val="00200D4A"/>
    <w:rsid w:val="00201108"/>
    <w:rsid w:val="00201288"/>
    <w:rsid w:val="0020148A"/>
    <w:rsid w:val="002015A7"/>
    <w:rsid w:val="002015D4"/>
    <w:rsid w:val="002016CF"/>
    <w:rsid w:val="00201714"/>
    <w:rsid w:val="00201AB8"/>
    <w:rsid w:val="00202505"/>
    <w:rsid w:val="00202A7D"/>
    <w:rsid w:val="00202B3C"/>
    <w:rsid w:val="00202C76"/>
    <w:rsid w:val="00202D56"/>
    <w:rsid w:val="002034AE"/>
    <w:rsid w:val="0020369E"/>
    <w:rsid w:val="0020376E"/>
    <w:rsid w:val="00203C06"/>
    <w:rsid w:val="00203C60"/>
    <w:rsid w:val="00203FAB"/>
    <w:rsid w:val="0020434F"/>
    <w:rsid w:val="002044AF"/>
    <w:rsid w:val="00204610"/>
    <w:rsid w:val="00204949"/>
    <w:rsid w:val="002050CF"/>
    <w:rsid w:val="00205EC3"/>
    <w:rsid w:val="00206450"/>
    <w:rsid w:val="002064F1"/>
    <w:rsid w:val="00206793"/>
    <w:rsid w:val="00206C96"/>
    <w:rsid w:val="00206E8F"/>
    <w:rsid w:val="00207154"/>
    <w:rsid w:val="00207173"/>
    <w:rsid w:val="00207421"/>
    <w:rsid w:val="00207652"/>
    <w:rsid w:val="00207BE3"/>
    <w:rsid w:val="00207EF9"/>
    <w:rsid w:val="00210130"/>
    <w:rsid w:val="0021028C"/>
    <w:rsid w:val="002102AC"/>
    <w:rsid w:val="00210537"/>
    <w:rsid w:val="00210634"/>
    <w:rsid w:val="00210E0F"/>
    <w:rsid w:val="002111CD"/>
    <w:rsid w:val="002113E4"/>
    <w:rsid w:val="0021174F"/>
    <w:rsid w:val="00211788"/>
    <w:rsid w:val="002117AE"/>
    <w:rsid w:val="002118FA"/>
    <w:rsid w:val="00211A4C"/>
    <w:rsid w:val="00211D4A"/>
    <w:rsid w:val="00211FE3"/>
    <w:rsid w:val="00212664"/>
    <w:rsid w:val="0021280E"/>
    <w:rsid w:val="00212DC2"/>
    <w:rsid w:val="00212E81"/>
    <w:rsid w:val="00212F55"/>
    <w:rsid w:val="00212FC7"/>
    <w:rsid w:val="002131AF"/>
    <w:rsid w:val="0021366F"/>
    <w:rsid w:val="002143DD"/>
    <w:rsid w:val="00214518"/>
    <w:rsid w:val="00214894"/>
    <w:rsid w:val="00214949"/>
    <w:rsid w:val="00216080"/>
    <w:rsid w:val="0021645A"/>
    <w:rsid w:val="00216466"/>
    <w:rsid w:val="002166C1"/>
    <w:rsid w:val="00216A88"/>
    <w:rsid w:val="002174A8"/>
    <w:rsid w:val="0022006D"/>
    <w:rsid w:val="00220612"/>
    <w:rsid w:val="0022080D"/>
    <w:rsid w:val="0022092F"/>
    <w:rsid w:val="00220985"/>
    <w:rsid w:val="00220AC0"/>
    <w:rsid w:val="00220B2D"/>
    <w:rsid w:val="00222111"/>
    <w:rsid w:val="00222116"/>
    <w:rsid w:val="002223DF"/>
    <w:rsid w:val="00222460"/>
    <w:rsid w:val="0022260A"/>
    <w:rsid w:val="0022283E"/>
    <w:rsid w:val="00222938"/>
    <w:rsid w:val="00223781"/>
    <w:rsid w:val="00223DBB"/>
    <w:rsid w:val="00224000"/>
    <w:rsid w:val="0022430D"/>
    <w:rsid w:val="0022456A"/>
    <w:rsid w:val="00224EB9"/>
    <w:rsid w:val="00224F61"/>
    <w:rsid w:val="00224FD8"/>
    <w:rsid w:val="0022506B"/>
    <w:rsid w:val="002250E9"/>
    <w:rsid w:val="002256F1"/>
    <w:rsid w:val="002262BF"/>
    <w:rsid w:val="00226579"/>
    <w:rsid w:val="0022686A"/>
    <w:rsid w:val="00226A56"/>
    <w:rsid w:val="00226C63"/>
    <w:rsid w:val="00226D9B"/>
    <w:rsid w:val="00226DE5"/>
    <w:rsid w:val="00227263"/>
    <w:rsid w:val="00227376"/>
    <w:rsid w:val="00227CC8"/>
    <w:rsid w:val="00227DC9"/>
    <w:rsid w:val="00227E04"/>
    <w:rsid w:val="00230000"/>
    <w:rsid w:val="0023030F"/>
    <w:rsid w:val="0023052F"/>
    <w:rsid w:val="002308DE"/>
    <w:rsid w:val="00230E32"/>
    <w:rsid w:val="002311FF"/>
    <w:rsid w:val="00231277"/>
    <w:rsid w:val="002312E4"/>
    <w:rsid w:val="00231416"/>
    <w:rsid w:val="002316AB"/>
    <w:rsid w:val="002316E7"/>
    <w:rsid w:val="002318E8"/>
    <w:rsid w:val="00231E75"/>
    <w:rsid w:val="00231E78"/>
    <w:rsid w:val="00231ECC"/>
    <w:rsid w:val="002321F1"/>
    <w:rsid w:val="002322AF"/>
    <w:rsid w:val="002326F6"/>
    <w:rsid w:val="002327A0"/>
    <w:rsid w:val="00232BCE"/>
    <w:rsid w:val="00232C6B"/>
    <w:rsid w:val="0023332E"/>
    <w:rsid w:val="002335D6"/>
    <w:rsid w:val="0023391D"/>
    <w:rsid w:val="00233A81"/>
    <w:rsid w:val="00233B10"/>
    <w:rsid w:val="00233CFE"/>
    <w:rsid w:val="00233D4A"/>
    <w:rsid w:val="002346D4"/>
    <w:rsid w:val="00234B51"/>
    <w:rsid w:val="00234EDB"/>
    <w:rsid w:val="002351EC"/>
    <w:rsid w:val="0023540C"/>
    <w:rsid w:val="0023670B"/>
    <w:rsid w:val="00236863"/>
    <w:rsid w:val="00236972"/>
    <w:rsid w:val="00236A4C"/>
    <w:rsid w:val="00236B7C"/>
    <w:rsid w:val="00236C64"/>
    <w:rsid w:val="0023778C"/>
    <w:rsid w:val="00237A9B"/>
    <w:rsid w:val="00237D8F"/>
    <w:rsid w:val="0024004D"/>
    <w:rsid w:val="002400C2"/>
    <w:rsid w:val="0024022E"/>
    <w:rsid w:val="0024027A"/>
    <w:rsid w:val="002405C9"/>
    <w:rsid w:val="0024066F"/>
    <w:rsid w:val="00240673"/>
    <w:rsid w:val="0024074B"/>
    <w:rsid w:val="00240B50"/>
    <w:rsid w:val="00240C5A"/>
    <w:rsid w:val="00240F76"/>
    <w:rsid w:val="002415C3"/>
    <w:rsid w:val="0024205F"/>
    <w:rsid w:val="0024211B"/>
    <w:rsid w:val="0024247D"/>
    <w:rsid w:val="0024293F"/>
    <w:rsid w:val="00242960"/>
    <w:rsid w:val="00242B85"/>
    <w:rsid w:val="00242FAE"/>
    <w:rsid w:val="00243299"/>
    <w:rsid w:val="00243479"/>
    <w:rsid w:val="00243606"/>
    <w:rsid w:val="002437D8"/>
    <w:rsid w:val="00243BE9"/>
    <w:rsid w:val="002443B2"/>
    <w:rsid w:val="00244868"/>
    <w:rsid w:val="00244DA5"/>
    <w:rsid w:val="00244DB3"/>
    <w:rsid w:val="0024534B"/>
    <w:rsid w:val="00245990"/>
    <w:rsid w:val="00245A79"/>
    <w:rsid w:val="00245BA8"/>
    <w:rsid w:val="00246037"/>
    <w:rsid w:val="00246CBD"/>
    <w:rsid w:val="00246E76"/>
    <w:rsid w:val="00246EA6"/>
    <w:rsid w:val="00247085"/>
    <w:rsid w:val="002474BA"/>
    <w:rsid w:val="0024756F"/>
    <w:rsid w:val="0024784D"/>
    <w:rsid w:val="00247E19"/>
    <w:rsid w:val="002501E0"/>
    <w:rsid w:val="002502ED"/>
    <w:rsid w:val="00250454"/>
    <w:rsid w:val="00250554"/>
    <w:rsid w:val="0025099B"/>
    <w:rsid w:val="002509D8"/>
    <w:rsid w:val="002512E7"/>
    <w:rsid w:val="00251342"/>
    <w:rsid w:val="0025196D"/>
    <w:rsid w:val="002519F4"/>
    <w:rsid w:val="002522F1"/>
    <w:rsid w:val="002527C7"/>
    <w:rsid w:val="00252864"/>
    <w:rsid w:val="0025349A"/>
    <w:rsid w:val="0025351D"/>
    <w:rsid w:val="002536C6"/>
    <w:rsid w:val="002536F3"/>
    <w:rsid w:val="00253BD9"/>
    <w:rsid w:val="00253EC2"/>
    <w:rsid w:val="00254032"/>
    <w:rsid w:val="0025410A"/>
    <w:rsid w:val="00254266"/>
    <w:rsid w:val="002544FE"/>
    <w:rsid w:val="00254500"/>
    <w:rsid w:val="0025453C"/>
    <w:rsid w:val="00255055"/>
    <w:rsid w:val="002556A9"/>
    <w:rsid w:val="002558E3"/>
    <w:rsid w:val="00255A4A"/>
    <w:rsid w:val="00255BB9"/>
    <w:rsid w:val="00256143"/>
    <w:rsid w:val="0025632E"/>
    <w:rsid w:val="002573F5"/>
    <w:rsid w:val="0025784C"/>
    <w:rsid w:val="00260204"/>
    <w:rsid w:val="00260D4E"/>
    <w:rsid w:val="002610C5"/>
    <w:rsid w:val="00261103"/>
    <w:rsid w:val="002615E3"/>
    <w:rsid w:val="00261990"/>
    <w:rsid w:val="00261D79"/>
    <w:rsid w:val="00261E94"/>
    <w:rsid w:val="0026209C"/>
    <w:rsid w:val="00262756"/>
    <w:rsid w:val="002629DD"/>
    <w:rsid w:val="00262C38"/>
    <w:rsid w:val="00262EE8"/>
    <w:rsid w:val="00263211"/>
    <w:rsid w:val="0026322F"/>
    <w:rsid w:val="002632D1"/>
    <w:rsid w:val="00263592"/>
    <w:rsid w:val="00263B32"/>
    <w:rsid w:val="00263E15"/>
    <w:rsid w:val="00264408"/>
    <w:rsid w:val="0026486F"/>
    <w:rsid w:val="0026519C"/>
    <w:rsid w:val="00265734"/>
    <w:rsid w:val="00265742"/>
    <w:rsid w:val="002657D8"/>
    <w:rsid w:val="002661D0"/>
    <w:rsid w:val="00266205"/>
    <w:rsid w:val="002662BC"/>
    <w:rsid w:val="00266961"/>
    <w:rsid w:val="00266BAE"/>
    <w:rsid w:val="00266E36"/>
    <w:rsid w:val="00267085"/>
    <w:rsid w:val="002674C0"/>
    <w:rsid w:val="00267E2A"/>
    <w:rsid w:val="00270323"/>
    <w:rsid w:val="0027033D"/>
    <w:rsid w:val="00270528"/>
    <w:rsid w:val="002706D0"/>
    <w:rsid w:val="0027070A"/>
    <w:rsid w:val="002708E6"/>
    <w:rsid w:val="002709BA"/>
    <w:rsid w:val="00270AD2"/>
    <w:rsid w:val="00270BA0"/>
    <w:rsid w:val="00270D6B"/>
    <w:rsid w:val="00271104"/>
    <w:rsid w:val="002711E3"/>
    <w:rsid w:val="002718A1"/>
    <w:rsid w:val="002718F3"/>
    <w:rsid w:val="00271BC8"/>
    <w:rsid w:val="00271C4F"/>
    <w:rsid w:val="002721B8"/>
    <w:rsid w:val="002723DD"/>
    <w:rsid w:val="00272EB2"/>
    <w:rsid w:val="00272FCB"/>
    <w:rsid w:val="0027301F"/>
    <w:rsid w:val="002730F7"/>
    <w:rsid w:val="00273550"/>
    <w:rsid w:val="00273592"/>
    <w:rsid w:val="00273618"/>
    <w:rsid w:val="00273757"/>
    <w:rsid w:val="002738DC"/>
    <w:rsid w:val="002739AE"/>
    <w:rsid w:val="002740EF"/>
    <w:rsid w:val="00274C33"/>
    <w:rsid w:val="0027512A"/>
    <w:rsid w:val="0027568E"/>
    <w:rsid w:val="0027608A"/>
    <w:rsid w:val="00276138"/>
    <w:rsid w:val="002761C3"/>
    <w:rsid w:val="00276C16"/>
    <w:rsid w:val="0027706A"/>
    <w:rsid w:val="00277607"/>
    <w:rsid w:val="002800C9"/>
    <w:rsid w:val="002800CE"/>
    <w:rsid w:val="0028061D"/>
    <w:rsid w:val="00280CB2"/>
    <w:rsid w:val="00280F25"/>
    <w:rsid w:val="002810DF"/>
    <w:rsid w:val="00281458"/>
    <w:rsid w:val="00281C84"/>
    <w:rsid w:val="00281DD9"/>
    <w:rsid w:val="00282136"/>
    <w:rsid w:val="002827E4"/>
    <w:rsid w:val="00282D7A"/>
    <w:rsid w:val="002836E7"/>
    <w:rsid w:val="00283C91"/>
    <w:rsid w:val="002843A3"/>
    <w:rsid w:val="002843DD"/>
    <w:rsid w:val="00284511"/>
    <w:rsid w:val="00284820"/>
    <w:rsid w:val="00284EB2"/>
    <w:rsid w:val="00284EC2"/>
    <w:rsid w:val="002854F8"/>
    <w:rsid w:val="0028553F"/>
    <w:rsid w:val="00285A65"/>
    <w:rsid w:val="002861DA"/>
    <w:rsid w:val="002862FE"/>
    <w:rsid w:val="00286E84"/>
    <w:rsid w:val="002873B4"/>
    <w:rsid w:val="002876D6"/>
    <w:rsid w:val="002876F6"/>
    <w:rsid w:val="00287897"/>
    <w:rsid w:val="00290186"/>
    <w:rsid w:val="00290467"/>
    <w:rsid w:val="0029088E"/>
    <w:rsid w:val="00290F26"/>
    <w:rsid w:val="00291033"/>
    <w:rsid w:val="0029119D"/>
    <w:rsid w:val="00291217"/>
    <w:rsid w:val="00291E3E"/>
    <w:rsid w:val="0029208E"/>
    <w:rsid w:val="0029253E"/>
    <w:rsid w:val="00292790"/>
    <w:rsid w:val="00292D7A"/>
    <w:rsid w:val="002931C5"/>
    <w:rsid w:val="00293431"/>
    <w:rsid w:val="002938A0"/>
    <w:rsid w:val="00293A55"/>
    <w:rsid w:val="00293C37"/>
    <w:rsid w:val="002940D2"/>
    <w:rsid w:val="0029423E"/>
    <w:rsid w:val="00294345"/>
    <w:rsid w:val="00294582"/>
    <w:rsid w:val="00294D74"/>
    <w:rsid w:val="00295307"/>
    <w:rsid w:val="0029540B"/>
    <w:rsid w:val="00295AA4"/>
    <w:rsid w:val="00295B18"/>
    <w:rsid w:val="00296058"/>
    <w:rsid w:val="0029627C"/>
    <w:rsid w:val="0029657E"/>
    <w:rsid w:val="0029662D"/>
    <w:rsid w:val="0029688A"/>
    <w:rsid w:val="00296B36"/>
    <w:rsid w:val="00296F9A"/>
    <w:rsid w:val="00297430"/>
    <w:rsid w:val="00297803"/>
    <w:rsid w:val="00297A41"/>
    <w:rsid w:val="00297A7B"/>
    <w:rsid w:val="00297D0E"/>
    <w:rsid w:val="002A00B2"/>
    <w:rsid w:val="002A0C4E"/>
    <w:rsid w:val="002A0D31"/>
    <w:rsid w:val="002A1430"/>
    <w:rsid w:val="002A145E"/>
    <w:rsid w:val="002A1462"/>
    <w:rsid w:val="002A14D9"/>
    <w:rsid w:val="002A19CE"/>
    <w:rsid w:val="002A1BBC"/>
    <w:rsid w:val="002A1EB3"/>
    <w:rsid w:val="002A233B"/>
    <w:rsid w:val="002A26A2"/>
    <w:rsid w:val="002A29EF"/>
    <w:rsid w:val="002A2A7C"/>
    <w:rsid w:val="002A302D"/>
    <w:rsid w:val="002A3DB6"/>
    <w:rsid w:val="002A3EF6"/>
    <w:rsid w:val="002A406B"/>
    <w:rsid w:val="002A45DD"/>
    <w:rsid w:val="002A4767"/>
    <w:rsid w:val="002A4932"/>
    <w:rsid w:val="002A53E1"/>
    <w:rsid w:val="002A5538"/>
    <w:rsid w:val="002A57C8"/>
    <w:rsid w:val="002A5CCD"/>
    <w:rsid w:val="002A5F23"/>
    <w:rsid w:val="002A61DA"/>
    <w:rsid w:val="002A629A"/>
    <w:rsid w:val="002A6894"/>
    <w:rsid w:val="002A6B00"/>
    <w:rsid w:val="002A6C18"/>
    <w:rsid w:val="002A6CF1"/>
    <w:rsid w:val="002A6EA3"/>
    <w:rsid w:val="002A7DD0"/>
    <w:rsid w:val="002B0259"/>
    <w:rsid w:val="002B0476"/>
    <w:rsid w:val="002B0560"/>
    <w:rsid w:val="002B071E"/>
    <w:rsid w:val="002B0841"/>
    <w:rsid w:val="002B0871"/>
    <w:rsid w:val="002B0BA0"/>
    <w:rsid w:val="002B1271"/>
    <w:rsid w:val="002B1C11"/>
    <w:rsid w:val="002B1E63"/>
    <w:rsid w:val="002B2000"/>
    <w:rsid w:val="002B20B3"/>
    <w:rsid w:val="002B2159"/>
    <w:rsid w:val="002B2547"/>
    <w:rsid w:val="002B259A"/>
    <w:rsid w:val="002B25E8"/>
    <w:rsid w:val="002B29A9"/>
    <w:rsid w:val="002B2F81"/>
    <w:rsid w:val="002B3650"/>
    <w:rsid w:val="002B38AC"/>
    <w:rsid w:val="002B3B05"/>
    <w:rsid w:val="002B3E60"/>
    <w:rsid w:val="002B4953"/>
    <w:rsid w:val="002B4BED"/>
    <w:rsid w:val="002B5072"/>
    <w:rsid w:val="002B5676"/>
    <w:rsid w:val="002B5916"/>
    <w:rsid w:val="002B5D8B"/>
    <w:rsid w:val="002B6332"/>
    <w:rsid w:val="002B642C"/>
    <w:rsid w:val="002B6D28"/>
    <w:rsid w:val="002B6DB6"/>
    <w:rsid w:val="002B6FAB"/>
    <w:rsid w:val="002B7C48"/>
    <w:rsid w:val="002C012A"/>
    <w:rsid w:val="002C08C4"/>
    <w:rsid w:val="002C104F"/>
    <w:rsid w:val="002C1504"/>
    <w:rsid w:val="002C162C"/>
    <w:rsid w:val="002C16C5"/>
    <w:rsid w:val="002C1D6C"/>
    <w:rsid w:val="002C219B"/>
    <w:rsid w:val="002C230C"/>
    <w:rsid w:val="002C24E8"/>
    <w:rsid w:val="002C2642"/>
    <w:rsid w:val="002C26EF"/>
    <w:rsid w:val="002C2A45"/>
    <w:rsid w:val="002C2C0C"/>
    <w:rsid w:val="002C3581"/>
    <w:rsid w:val="002C35B8"/>
    <w:rsid w:val="002C3F41"/>
    <w:rsid w:val="002C4151"/>
    <w:rsid w:val="002C448F"/>
    <w:rsid w:val="002C4776"/>
    <w:rsid w:val="002C4C3F"/>
    <w:rsid w:val="002C4D5B"/>
    <w:rsid w:val="002C519E"/>
    <w:rsid w:val="002C573C"/>
    <w:rsid w:val="002C5AAA"/>
    <w:rsid w:val="002C5F45"/>
    <w:rsid w:val="002C629B"/>
    <w:rsid w:val="002C64AF"/>
    <w:rsid w:val="002C65ED"/>
    <w:rsid w:val="002C6A4A"/>
    <w:rsid w:val="002C6A5B"/>
    <w:rsid w:val="002C6DC6"/>
    <w:rsid w:val="002C6E4F"/>
    <w:rsid w:val="002C71DC"/>
    <w:rsid w:val="002C75BC"/>
    <w:rsid w:val="002C781C"/>
    <w:rsid w:val="002C7E3F"/>
    <w:rsid w:val="002C7ECC"/>
    <w:rsid w:val="002C7F29"/>
    <w:rsid w:val="002D018D"/>
    <w:rsid w:val="002D0262"/>
    <w:rsid w:val="002D03C3"/>
    <w:rsid w:val="002D0F0D"/>
    <w:rsid w:val="002D0F69"/>
    <w:rsid w:val="002D108F"/>
    <w:rsid w:val="002D1307"/>
    <w:rsid w:val="002D147C"/>
    <w:rsid w:val="002D1672"/>
    <w:rsid w:val="002D16AF"/>
    <w:rsid w:val="002D19AE"/>
    <w:rsid w:val="002D1A47"/>
    <w:rsid w:val="002D1D51"/>
    <w:rsid w:val="002D220C"/>
    <w:rsid w:val="002D2284"/>
    <w:rsid w:val="002D2411"/>
    <w:rsid w:val="002D2507"/>
    <w:rsid w:val="002D2652"/>
    <w:rsid w:val="002D27A1"/>
    <w:rsid w:val="002D2A16"/>
    <w:rsid w:val="002D2F2E"/>
    <w:rsid w:val="002D3292"/>
    <w:rsid w:val="002D3308"/>
    <w:rsid w:val="002D3591"/>
    <w:rsid w:val="002D3AED"/>
    <w:rsid w:val="002D3FA7"/>
    <w:rsid w:val="002D47EB"/>
    <w:rsid w:val="002D5A90"/>
    <w:rsid w:val="002D615B"/>
    <w:rsid w:val="002D635E"/>
    <w:rsid w:val="002D6570"/>
    <w:rsid w:val="002D6572"/>
    <w:rsid w:val="002D68E5"/>
    <w:rsid w:val="002D6C36"/>
    <w:rsid w:val="002D6D04"/>
    <w:rsid w:val="002D6D49"/>
    <w:rsid w:val="002D6D63"/>
    <w:rsid w:val="002D6F3B"/>
    <w:rsid w:val="002D70E0"/>
    <w:rsid w:val="002D72EF"/>
    <w:rsid w:val="002D7464"/>
    <w:rsid w:val="002D7556"/>
    <w:rsid w:val="002D796A"/>
    <w:rsid w:val="002D7EAD"/>
    <w:rsid w:val="002D7F30"/>
    <w:rsid w:val="002E00EA"/>
    <w:rsid w:val="002E035C"/>
    <w:rsid w:val="002E05B6"/>
    <w:rsid w:val="002E0AA5"/>
    <w:rsid w:val="002E0E2E"/>
    <w:rsid w:val="002E0E85"/>
    <w:rsid w:val="002E0EF6"/>
    <w:rsid w:val="002E1292"/>
    <w:rsid w:val="002E20A4"/>
    <w:rsid w:val="002E20D4"/>
    <w:rsid w:val="002E2691"/>
    <w:rsid w:val="002E26EC"/>
    <w:rsid w:val="002E2DA9"/>
    <w:rsid w:val="002E35F6"/>
    <w:rsid w:val="002E39C0"/>
    <w:rsid w:val="002E3F90"/>
    <w:rsid w:val="002E4CBD"/>
    <w:rsid w:val="002E4E37"/>
    <w:rsid w:val="002E4FB5"/>
    <w:rsid w:val="002E51E9"/>
    <w:rsid w:val="002E5231"/>
    <w:rsid w:val="002E52C7"/>
    <w:rsid w:val="002E53BA"/>
    <w:rsid w:val="002E55D0"/>
    <w:rsid w:val="002E6151"/>
    <w:rsid w:val="002E642F"/>
    <w:rsid w:val="002E6489"/>
    <w:rsid w:val="002E67AF"/>
    <w:rsid w:val="002E6DE3"/>
    <w:rsid w:val="002E6E14"/>
    <w:rsid w:val="002E765E"/>
    <w:rsid w:val="002E7886"/>
    <w:rsid w:val="002E7B6F"/>
    <w:rsid w:val="002E7BED"/>
    <w:rsid w:val="002E7CBA"/>
    <w:rsid w:val="002F010E"/>
    <w:rsid w:val="002F02E8"/>
    <w:rsid w:val="002F030C"/>
    <w:rsid w:val="002F1032"/>
    <w:rsid w:val="002F12B6"/>
    <w:rsid w:val="002F1338"/>
    <w:rsid w:val="002F161D"/>
    <w:rsid w:val="002F1738"/>
    <w:rsid w:val="002F1D2A"/>
    <w:rsid w:val="002F1EA6"/>
    <w:rsid w:val="002F1F29"/>
    <w:rsid w:val="002F27EA"/>
    <w:rsid w:val="002F2A1E"/>
    <w:rsid w:val="002F2AF1"/>
    <w:rsid w:val="002F2FE1"/>
    <w:rsid w:val="002F31A2"/>
    <w:rsid w:val="002F32A1"/>
    <w:rsid w:val="002F34EB"/>
    <w:rsid w:val="002F39ED"/>
    <w:rsid w:val="002F5619"/>
    <w:rsid w:val="002F5970"/>
    <w:rsid w:val="002F5BBA"/>
    <w:rsid w:val="002F5D5F"/>
    <w:rsid w:val="002F5E96"/>
    <w:rsid w:val="002F5ED7"/>
    <w:rsid w:val="002F6431"/>
    <w:rsid w:val="002F68C9"/>
    <w:rsid w:val="002F784D"/>
    <w:rsid w:val="002F79F0"/>
    <w:rsid w:val="002F7F91"/>
    <w:rsid w:val="0030111E"/>
    <w:rsid w:val="00301460"/>
    <w:rsid w:val="003016EC"/>
    <w:rsid w:val="00301797"/>
    <w:rsid w:val="00301C8D"/>
    <w:rsid w:val="00301C93"/>
    <w:rsid w:val="00301D17"/>
    <w:rsid w:val="00301D92"/>
    <w:rsid w:val="00301DC2"/>
    <w:rsid w:val="0030216A"/>
    <w:rsid w:val="003023D6"/>
    <w:rsid w:val="003024FF"/>
    <w:rsid w:val="00302961"/>
    <w:rsid w:val="00302DBB"/>
    <w:rsid w:val="00303626"/>
    <w:rsid w:val="0030371E"/>
    <w:rsid w:val="003039C0"/>
    <w:rsid w:val="00303CBE"/>
    <w:rsid w:val="00303F33"/>
    <w:rsid w:val="003041AE"/>
    <w:rsid w:val="0030459B"/>
    <w:rsid w:val="003046DC"/>
    <w:rsid w:val="00304BFA"/>
    <w:rsid w:val="00305266"/>
    <w:rsid w:val="00305688"/>
    <w:rsid w:val="00305B23"/>
    <w:rsid w:val="00306011"/>
    <w:rsid w:val="00306361"/>
    <w:rsid w:val="003063F1"/>
    <w:rsid w:val="00306403"/>
    <w:rsid w:val="00306C0B"/>
    <w:rsid w:val="00306E16"/>
    <w:rsid w:val="00306E77"/>
    <w:rsid w:val="00307087"/>
    <w:rsid w:val="00307158"/>
    <w:rsid w:val="00307788"/>
    <w:rsid w:val="003079D0"/>
    <w:rsid w:val="00307A88"/>
    <w:rsid w:val="00310372"/>
    <w:rsid w:val="00310DFF"/>
    <w:rsid w:val="003113B6"/>
    <w:rsid w:val="003113C0"/>
    <w:rsid w:val="00312584"/>
    <w:rsid w:val="0031282B"/>
    <w:rsid w:val="00312A18"/>
    <w:rsid w:val="00312AB0"/>
    <w:rsid w:val="00312C2B"/>
    <w:rsid w:val="00313404"/>
    <w:rsid w:val="00313677"/>
    <w:rsid w:val="00313728"/>
    <w:rsid w:val="00313CE2"/>
    <w:rsid w:val="00313F14"/>
    <w:rsid w:val="003149AF"/>
    <w:rsid w:val="00315565"/>
    <w:rsid w:val="0031560B"/>
    <w:rsid w:val="0031565C"/>
    <w:rsid w:val="00315C09"/>
    <w:rsid w:val="00316BA2"/>
    <w:rsid w:val="00316E50"/>
    <w:rsid w:val="00316F65"/>
    <w:rsid w:val="00317C23"/>
    <w:rsid w:val="00317CC0"/>
    <w:rsid w:val="003203AD"/>
    <w:rsid w:val="00320655"/>
    <w:rsid w:val="003209B7"/>
    <w:rsid w:val="00320A99"/>
    <w:rsid w:val="00320DCE"/>
    <w:rsid w:val="00321399"/>
    <w:rsid w:val="0032174E"/>
    <w:rsid w:val="00321934"/>
    <w:rsid w:val="00322144"/>
    <w:rsid w:val="00322177"/>
    <w:rsid w:val="0032238F"/>
    <w:rsid w:val="00322572"/>
    <w:rsid w:val="003228FB"/>
    <w:rsid w:val="00322DCA"/>
    <w:rsid w:val="00322E60"/>
    <w:rsid w:val="003231C4"/>
    <w:rsid w:val="003238CC"/>
    <w:rsid w:val="003239EB"/>
    <w:rsid w:val="00323CEF"/>
    <w:rsid w:val="003241CC"/>
    <w:rsid w:val="003242BE"/>
    <w:rsid w:val="0032448D"/>
    <w:rsid w:val="003244C8"/>
    <w:rsid w:val="00324513"/>
    <w:rsid w:val="00324560"/>
    <w:rsid w:val="003245BF"/>
    <w:rsid w:val="00324DFC"/>
    <w:rsid w:val="00324F07"/>
    <w:rsid w:val="003258FD"/>
    <w:rsid w:val="00325B93"/>
    <w:rsid w:val="00325D70"/>
    <w:rsid w:val="003261B2"/>
    <w:rsid w:val="003262CC"/>
    <w:rsid w:val="00326478"/>
    <w:rsid w:val="00326B3B"/>
    <w:rsid w:val="00327129"/>
    <w:rsid w:val="0032735D"/>
    <w:rsid w:val="00327732"/>
    <w:rsid w:val="0033011F"/>
    <w:rsid w:val="00330B04"/>
    <w:rsid w:val="00330E79"/>
    <w:rsid w:val="00330EE1"/>
    <w:rsid w:val="00330F4D"/>
    <w:rsid w:val="00332240"/>
    <w:rsid w:val="003328C1"/>
    <w:rsid w:val="00333321"/>
    <w:rsid w:val="00333766"/>
    <w:rsid w:val="00333E52"/>
    <w:rsid w:val="0033453F"/>
    <w:rsid w:val="00334606"/>
    <w:rsid w:val="00334B68"/>
    <w:rsid w:val="00335570"/>
    <w:rsid w:val="00335592"/>
    <w:rsid w:val="00335AEB"/>
    <w:rsid w:val="00335C0B"/>
    <w:rsid w:val="00335D1E"/>
    <w:rsid w:val="00336674"/>
    <w:rsid w:val="003367DB"/>
    <w:rsid w:val="00336C08"/>
    <w:rsid w:val="003371B6"/>
    <w:rsid w:val="00337695"/>
    <w:rsid w:val="00337764"/>
    <w:rsid w:val="00337C0D"/>
    <w:rsid w:val="00337D49"/>
    <w:rsid w:val="00337EF5"/>
    <w:rsid w:val="003400E4"/>
    <w:rsid w:val="00340151"/>
    <w:rsid w:val="0034072B"/>
    <w:rsid w:val="00340E5A"/>
    <w:rsid w:val="003411F4"/>
    <w:rsid w:val="003412F9"/>
    <w:rsid w:val="00341478"/>
    <w:rsid w:val="0034170A"/>
    <w:rsid w:val="0034178A"/>
    <w:rsid w:val="00341966"/>
    <w:rsid w:val="003419C4"/>
    <w:rsid w:val="00341A3F"/>
    <w:rsid w:val="00341FDA"/>
    <w:rsid w:val="00342381"/>
    <w:rsid w:val="0034279B"/>
    <w:rsid w:val="00342839"/>
    <w:rsid w:val="00342BCE"/>
    <w:rsid w:val="00342BEA"/>
    <w:rsid w:val="00342CBD"/>
    <w:rsid w:val="0034301C"/>
    <w:rsid w:val="00343039"/>
    <w:rsid w:val="00343063"/>
    <w:rsid w:val="00343519"/>
    <w:rsid w:val="00343533"/>
    <w:rsid w:val="003436A7"/>
    <w:rsid w:val="00343B6A"/>
    <w:rsid w:val="00343DA4"/>
    <w:rsid w:val="00343EE3"/>
    <w:rsid w:val="0034509D"/>
    <w:rsid w:val="00345197"/>
    <w:rsid w:val="00345697"/>
    <w:rsid w:val="003456D7"/>
    <w:rsid w:val="003456E8"/>
    <w:rsid w:val="00345B01"/>
    <w:rsid w:val="0034605B"/>
    <w:rsid w:val="00346141"/>
    <w:rsid w:val="00346433"/>
    <w:rsid w:val="003466A1"/>
    <w:rsid w:val="0034713B"/>
    <w:rsid w:val="0034732B"/>
    <w:rsid w:val="003475B2"/>
    <w:rsid w:val="003475B7"/>
    <w:rsid w:val="00347C27"/>
    <w:rsid w:val="00350DFC"/>
    <w:rsid w:val="0035142A"/>
    <w:rsid w:val="0035145F"/>
    <w:rsid w:val="003515A2"/>
    <w:rsid w:val="0035162B"/>
    <w:rsid w:val="00351A5F"/>
    <w:rsid w:val="00351A7A"/>
    <w:rsid w:val="00351D22"/>
    <w:rsid w:val="0035221A"/>
    <w:rsid w:val="00352A8F"/>
    <w:rsid w:val="0035321F"/>
    <w:rsid w:val="00353511"/>
    <w:rsid w:val="003539CC"/>
    <w:rsid w:val="003548EB"/>
    <w:rsid w:val="00354EAD"/>
    <w:rsid w:val="003555AD"/>
    <w:rsid w:val="00356035"/>
    <w:rsid w:val="0035630A"/>
    <w:rsid w:val="00356344"/>
    <w:rsid w:val="003565EE"/>
    <w:rsid w:val="00356A0D"/>
    <w:rsid w:val="00356B20"/>
    <w:rsid w:val="00356C32"/>
    <w:rsid w:val="00356F6C"/>
    <w:rsid w:val="003571BF"/>
    <w:rsid w:val="00357463"/>
    <w:rsid w:val="00357C42"/>
    <w:rsid w:val="00360008"/>
    <w:rsid w:val="0036061E"/>
    <w:rsid w:val="00360621"/>
    <w:rsid w:val="003606ED"/>
    <w:rsid w:val="00360706"/>
    <w:rsid w:val="00360BE3"/>
    <w:rsid w:val="003611B1"/>
    <w:rsid w:val="00361496"/>
    <w:rsid w:val="0036181E"/>
    <w:rsid w:val="00361C09"/>
    <w:rsid w:val="00361E18"/>
    <w:rsid w:val="003625E3"/>
    <w:rsid w:val="003627E6"/>
    <w:rsid w:val="0036292B"/>
    <w:rsid w:val="003629EB"/>
    <w:rsid w:val="00363157"/>
    <w:rsid w:val="00363AE3"/>
    <w:rsid w:val="00363D68"/>
    <w:rsid w:val="00363FAA"/>
    <w:rsid w:val="00363FF6"/>
    <w:rsid w:val="0036416C"/>
    <w:rsid w:val="00364360"/>
    <w:rsid w:val="00364486"/>
    <w:rsid w:val="003649F9"/>
    <w:rsid w:val="00365415"/>
    <w:rsid w:val="003655DC"/>
    <w:rsid w:val="0036584F"/>
    <w:rsid w:val="00367038"/>
    <w:rsid w:val="003672AC"/>
    <w:rsid w:val="003674C4"/>
    <w:rsid w:val="00367A13"/>
    <w:rsid w:val="00367ACC"/>
    <w:rsid w:val="00367CA4"/>
    <w:rsid w:val="00370054"/>
    <w:rsid w:val="00370B0C"/>
    <w:rsid w:val="00370C55"/>
    <w:rsid w:val="003710D3"/>
    <w:rsid w:val="00371351"/>
    <w:rsid w:val="0037148B"/>
    <w:rsid w:val="003714A0"/>
    <w:rsid w:val="00371B8C"/>
    <w:rsid w:val="00371BFB"/>
    <w:rsid w:val="00371D01"/>
    <w:rsid w:val="0037294F"/>
    <w:rsid w:val="00372F34"/>
    <w:rsid w:val="0037310B"/>
    <w:rsid w:val="00373536"/>
    <w:rsid w:val="00373892"/>
    <w:rsid w:val="00373E24"/>
    <w:rsid w:val="003742F4"/>
    <w:rsid w:val="0037438C"/>
    <w:rsid w:val="00374421"/>
    <w:rsid w:val="00374446"/>
    <w:rsid w:val="00374E48"/>
    <w:rsid w:val="003750A3"/>
    <w:rsid w:val="00375232"/>
    <w:rsid w:val="003756C8"/>
    <w:rsid w:val="003758DB"/>
    <w:rsid w:val="00376064"/>
    <w:rsid w:val="003763A1"/>
    <w:rsid w:val="00376451"/>
    <w:rsid w:val="00376744"/>
    <w:rsid w:val="00376B26"/>
    <w:rsid w:val="00376CD1"/>
    <w:rsid w:val="00376CDB"/>
    <w:rsid w:val="00376F99"/>
    <w:rsid w:val="00377508"/>
    <w:rsid w:val="00377CE5"/>
    <w:rsid w:val="00377DAB"/>
    <w:rsid w:val="00377F4D"/>
    <w:rsid w:val="003801B7"/>
    <w:rsid w:val="0038049F"/>
    <w:rsid w:val="003805B3"/>
    <w:rsid w:val="00380765"/>
    <w:rsid w:val="00380CA6"/>
    <w:rsid w:val="00380E59"/>
    <w:rsid w:val="00380E7D"/>
    <w:rsid w:val="00381004"/>
    <w:rsid w:val="003818C6"/>
    <w:rsid w:val="00382028"/>
    <w:rsid w:val="00382239"/>
    <w:rsid w:val="00382248"/>
    <w:rsid w:val="0038231C"/>
    <w:rsid w:val="003823C3"/>
    <w:rsid w:val="003824BD"/>
    <w:rsid w:val="00382B06"/>
    <w:rsid w:val="00383108"/>
    <w:rsid w:val="003832E0"/>
    <w:rsid w:val="00383385"/>
    <w:rsid w:val="00383461"/>
    <w:rsid w:val="00383A38"/>
    <w:rsid w:val="003840F9"/>
    <w:rsid w:val="003844C5"/>
    <w:rsid w:val="003849A0"/>
    <w:rsid w:val="00384B73"/>
    <w:rsid w:val="00384C2E"/>
    <w:rsid w:val="0038528A"/>
    <w:rsid w:val="00385CF6"/>
    <w:rsid w:val="00385E44"/>
    <w:rsid w:val="00385F30"/>
    <w:rsid w:val="003861B1"/>
    <w:rsid w:val="00386E87"/>
    <w:rsid w:val="0038756A"/>
    <w:rsid w:val="0038780B"/>
    <w:rsid w:val="00390006"/>
    <w:rsid w:val="003904ED"/>
    <w:rsid w:val="00390778"/>
    <w:rsid w:val="00390AF0"/>
    <w:rsid w:val="0039125D"/>
    <w:rsid w:val="0039126D"/>
    <w:rsid w:val="00391733"/>
    <w:rsid w:val="003919EE"/>
    <w:rsid w:val="00391FA3"/>
    <w:rsid w:val="0039213F"/>
    <w:rsid w:val="00392BC6"/>
    <w:rsid w:val="00393304"/>
    <w:rsid w:val="00393923"/>
    <w:rsid w:val="00393ABB"/>
    <w:rsid w:val="00394069"/>
    <w:rsid w:val="00394136"/>
    <w:rsid w:val="00394229"/>
    <w:rsid w:val="003947CD"/>
    <w:rsid w:val="003949EC"/>
    <w:rsid w:val="003958F5"/>
    <w:rsid w:val="00395C02"/>
    <w:rsid w:val="00395EA2"/>
    <w:rsid w:val="00396287"/>
    <w:rsid w:val="00396317"/>
    <w:rsid w:val="00396661"/>
    <w:rsid w:val="00396872"/>
    <w:rsid w:val="00396986"/>
    <w:rsid w:val="00396BAA"/>
    <w:rsid w:val="00396C12"/>
    <w:rsid w:val="0039702E"/>
    <w:rsid w:val="00397698"/>
    <w:rsid w:val="003A09AA"/>
    <w:rsid w:val="003A0A99"/>
    <w:rsid w:val="003A0CD4"/>
    <w:rsid w:val="003A13F6"/>
    <w:rsid w:val="003A180E"/>
    <w:rsid w:val="003A1964"/>
    <w:rsid w:val="003A1CE1"/>
    <w:rsid w:val="003A20C3"/>
    <w:rsid w:val="003A24CC"/>
    <w:rsid w:val="003A2CF6"/>
    <w:rsid w:val="003A32CD"/>
    <w:rsid w:val="003A349A"/>
    <w:rsid w:val="003A351E"/>
    <w:rsid w:val="003A3699"/>
    <w:rsid w:val="003A38B5"/>
    <w:rsid w:val="003A3D99"/>
    <w:rsid w:val="003A403C"/>
    <w:rsid w:val="003A4266"/>
    <w:rsid w:val="003A4674"/>
    <w:rsid w:val="003A497C"/>
    <w:rsid w:val="003A4B16"/>
    <w:rsid w:val="003A4C19"/>
    <w:rsid w:val="003A5521"/>
    <w:rsid w:val="003A5CC7"/>
    <w:rsid w:val="003A6CD7"/>
    <w:rsid w:val="003A70BF"/>
    <w:rsid w:val="003A748B"/>
    <w:rsid w:val="003A75EA"/>
    <w:rsid w:val="003A76A5"/>
    <w:rsid w:val="003A7CA4"/>
    <w:rsid w:val="003B0558"/>
    <w:rsid w:val="003B097D"/>
    <w:rsid w:val="003B0B24"/>
    <w:rsid w:val="003B0CBC"/>
    <w:rsid w:val="003B0CFB"/>
    <w:rsid w:val="003B0DAF"/>
    <w:rsid w:val="003B0F49"/>
    <w:rsid w:val="003B149F"/>
    <w:rsid w:val="003B1609"/>
    <w:rsid w:val="003B1B0A"/>
    <w:rsid w:val="003B1B41"/>
    <w:rsid w:val="003B235E"/>
    <w:rsid w:val="003B237E"/>
    <w:rsid w:val="003B26D4"/>
    <w:rsid w:val="003B276E"/>
    <w:rsid w:val="003B29E1"/>
    <w:rsid w:val="003B2B21"/>
    <w:rsid w:val="003B2B92"/>
    <w:rsid w:val="003B2ECC"/>
    <w:rsid w:val="003B3545"/>
    <w:rsid w:val="003B3802"/>
    <w:rsid w:val="003B3B82"/>
    <w:rsid w:val="003B3D60"/>
    <w:rsid w:val="003B4244"/>
    <w:rsid w:val="003B42E0"/>
    <w:rsid w:val="003B4D52"/>
    <w:rsid w:val="003B4F75"/>
    <w:rsid w:val="003B5421"/>
    <w:rsid w:val="003B5F6D"/>
    <w:rsid w:val="003B6003"/>
    <w:rsid w:val="003B60D2"/>
    <w:rsid w:val="003B67B5"/>
    <w:rsid w:val="003B7464"/>
    <w:rsid w:val="003B7673"/>
    <w:rsid w:val="003B7683"/>
    <w:rsid w:val="003B7C73"/>
    <w:rsid w:val="003C040A"/>
    <w:rsid w:val="003C0500"/>
    <w:rsid w:val="003C0539"/>
    <w:rsid w:val="003C0957"/>
    <w:rsid w:val="003C0985"/>
    <w:rsid w:val="003C0B91"/>
    <w:rsid w:val="003C105F"/>
    <w:rsid w:val="003C12F0"/>
    <w:rsid w:val="003C1498"/>
    <w:rsid w:val="003C15C8"/>
    <w:rsid w:val="003C197E"/>
    <w:rsid w:val="003C1F35"/>
    <w:rsid w:val="003C252C"/>
    <w:rsid w:val="003C2676"/>
    <w:rsid w:val="003C2728"/>
    <w:rsid w:val="003C2853"/>
    <w:rsid w:val="003C2D90"/>
    <w:rsid w:val="003C2F8C"/>
    <w:rsid w:val="003C36E8"/>
    <w:rsid w:val="003C3AF0"/>
    <w:rsid w:val="003C3C0A"/>
    <w:rsid w:val="003C3C6C"/>
    <w:rsid w:val="003C43E6"/>
    <w:rsid w:val="003C4471"/>
    <w:rsid w:val="003C45C3"/>
    <w:rsid w:val="003C4682"/>
    <w:rsid w:val="003C4769"/>
    <w:rsid w:val="003C48AC"/>
    <w:rsid w:val="003C4A2A"/>
    <w:rsid w:val="003C4AB7"/>
    <w:rsid w:val="003C4D44"/>
    <w:rsid w:val="003C4D46"/>
    <w:rsid w:val="003C504E"/>
    <w:rsid w:val="003C5067"/>
    <w:rsid w:val="003C50E4"/>
    <w:rsid w:val="003C5118"/>
    <w:rsid w:val="003C53AB"/>
    <w:rsid w:val="003C5BDC"/>
    <w:rsid w:val="003C5F86"/>
    <w:rsid w:val="003C6326"/>
    <w:rsid w:val="003C6413"/>
    <w:rsid w:val="003C680C"/>
    <w:rsid w:val="003C6CE8"/>
    <w:rsid w:val="003C7539"/>
    <w:rsid w:val="003C7943"/>
    <w:rsid w:val="003C7AD3"/>
    <w:rsid w:val="003C7AFB"/>
    <w:rsid w:val="003D00BB"/>
    <w:rsid w:val="003D013E"/>
    <w:rsid w:val="003D0303"/>
    <w:rsid w:val="003D0C95"/>
    <w:rsid w:val="003D134A"/>
    <w:rsid w:val="003D171E"/>
    <w:rsid w:val="003D1813"/>
    <w:rsid w:val="003D25DC"/>
    <w:rsid w:val="003D292E"/>
    <w:rsid w:val="003D2BEC"/>
    <w:rsid w:val="003D2E42"/>
    <w:rsid w:val="003D310B"/>
    <w:rsid w:val="003D3BFF"/>
    <w:rsid w:val="003D3CF8"/>
    <w:rsid w:val="003D4721"/>
    <w:rsid w:val="003D52C0"/>
    <w:rsid w:val="003D5842"/>
    <w:rsid w:val="003D58DE"/>
    <w:rsid w:val="003D6563"/>
    <w:rsid w:val="003D676C"/>
    <w:rsid w:val="003D6BE4"/>
    <w:rsid w:val="003D6DC1"/>
    <w:rsid w:val="003D6E50"/>
    <w:rsid w:val="003D6F1C"/>
    <w:rsid w:val="003D73B1"/>
    <w:rsid w:val="003D7C84"/>
    <w:rsid w:val="003E0236"/>
    <w:rsid w:val="003E0414"/>
    <w:rsid w:val="003E1609"/>
    <w:rsid w:val="003E17D0"/>
    <w:rsid w:val="003E1C14"/>
    <w:rsid w:val="003E1D9D"/>
    <w:rsid w:val="003E2619"/>
    <w:rsid w:val="003E269E"/>
    <w:rsid w:val="003E27FF"/>
    <w:rsid w:val="003E355D"/>
    <w:rsid w:val="003E4719"/>
    <w:rsid w:val="003E4A43"/>
    <w:rsid w:val="003E4A9D"/>
    <w:rsid w:val="003E4E46"/>
    <w:rsid w:val="003E5219"/>
    <w:rsid w:val="003E52D5"/>
    <w:rsid w:val="003E59EF"/>
    <w:rsid w:val="003E5A5C"/>
    <w:rsid w:val="003E5B44"/>
    <w:rsid w:val="003E5B7C"/>
    <w:rsid w:val="003E64BA"/>
    <w:rsid w:val="003E6513"/>
    <w:rsid w:val="003E6755"/>
    <w:rsid w:val="003E6F9A"/>
    <w:rsid w:val="003E705C"/>
    <w:rsid w:val="003E7694"/>
    <w:rsid w:val="003E7AF1"/>
    <w:rsid w:val="003E7AFC"/>
    <w:rsid w:val="003E7FE7"/>
    <w:rsid w:val="003F00C0"/>
    <w:rsid w:val="003F01E6"/>
    <w:rsid w:val="003F0521"/>
    <w:rsid w:val="003F07FE"/>
    <w:rsid w:val="003F0B4B"/>
    <w:rsid w:val="003F0B73"/>
    <w:rsid w:val="003F11EE"/>
    <w:rsid w:val="003F14CB"/>
    <w:rsid w:val="003F163A"/>
    <w:rsid w:val="003F1989"/>
    <w:rsid w:val="003F1B07"/>
    <w:rsid w:val="003F1B15"/>
    <w:rsid w:val="003F223E"/>
    <w:rsid w:val="003F22A6"/>
    <w:rsid w:val="003F2555"/>
    <w:rsid w:val="003F2763"/>
    <w:rsid w:val="003F27F5"/>
    <w:rsid w:val="003F28D1"/>
    <w:rsid w:val="003F2E4A"/>
    <w:rsid w:val="003F356C"/>
    <w:rsid w:val="003F3D58"/>
    <w:rsid w:val="003F3F90"/>
    <w:rsid w:val="003F4080"/>
    <w:rsid w:val="003F40CD"/>
    <w:rsid w:val="003F41CE"/>
    <w:rsid w:val="003F4258"/>
    <w:rsid w:val="003F42CA"/>
    <w:rsid w:val="003F43BC"/>
    <w:rsid w:val="003F4434"/>
    <w:rsid w:val="003F4538"/>
    <w:rsid w:val="003F46C1"/>
    <w:rsid w:val="003F4ED7"/>
    <w:rsid w:val="003F52A8"/>
    <w:rsid w:val="003F5411"/>
    <w:rsid w:val="003F5697"/>
    <w:rsid w:val="003F57BC"/>
    <w:rsid w:val="003F5821"/>
    <w:rsid w:val="003F5B29"/>
    <w:rsid w:val="003F6106"/>
    <w:rsid w:val="003F63D6"/>
    <w:rsid w:val="003F6B22"/>
    <w:rsid w:val="003F71F4"/>
    <w:rsid w:val="003F7367"/>
    <w:rsid w:val="003F76E9"/>
    <w:rsid w:val="003F78EC"/>
    <w:rsid w:val="003F7938"/>
    <w:rsid w:val="00400661"/>
    <w:rsid w:val="00400DAD"/>
    <w:rsid w:val="00401400"/>
    <w:rsid w:val="00401465"/>
    <w:rsid w:val="00401620"/>
    <w:rsid w:val="00401662"/>
    <w:rsid w:val="0040177A"/>
    <w:rsid w:val="00402170"/>
    <w:rsid w:val="00402318"/>
    <w:rsid w:val="004023A4"/>
    <w:rsid w:val="00402D0F"/>
    <w:rsid w:val="00402ED1"/>
    <w:rsid w:val="00403045"/>
    <w:rsid w:val="00403376"/>
    <w:rsid w:val="0040356A"/>
    <w:rsid w:val="00403690"/>
    <w:rsid w:val="00403822"/>
    <w:rsid w:val="00404256"/>
    <w:rsid w:val="00404300"/>
    <w:rsid w:val="004043F3"/>
    <w:rsid w:val="00404585"/>
    <w:rsid w:val="00404685"/>
    <w:rsid w:val="00404AAC"/>
    <w:rsid w:val="00404AF8"/>
    <w:rsid w:val="004050A7"/>
    <w:rsid w:val="004056E8"/>
    <w:rsid w:val="00405985"/>
    <w:rsid w:val="00406063"/>
    <w:rsid w:val="00406867"/>
    <w:rsid w:val="00406E89"/>
    <w:rsid w:val="00407064"/>
    <w:rsid w:val="00407484"/>
    <w:rsid w:val="00407881"/>
    <w:rsid w:val="00407ADB"/>
    <w:rsid w:val="00410327"/>
    <w:rsid w:val="004108D8"/>
    <w:rsid w:val="00411326"/>
    <w:rsid w:val="00411379"/>
    <w:rsid w:val="00411409"/>
    <w:rsid w:val="00411961"/>
    <w:rsid w:val="00412386"/>
    <w:rsid w:val="00412B72"/>
    <w:rsid w:val="004133FE"/>
    <w:rsid w:val="0041374C"/>
    <w:rsid w:val="004139AC"/>
    <w:rsid w:val="0041402E"/>
    <w:rsid w:val="00414270"/>
    <w:rsid w:val="004142AD"/>
    <w:rsid w:val="00414767"/>
    <w:rsid w:val="00414BFB"/>
    <w:rsid w:val="00414FF6"/>
    <w:rsid w:val="004150B3"/>
    <w:rsid w:val="004150EA"/>
    <w:rsid w:val="0041521B"/>
    <w:rsid w:val="0041570D"/>
    <w:rsid w:val="004157EF"/>
    <w:rsid w:val="00415AE8"/>
    <w:rsid w:val="00415D11"/>
    <w:rsid w:val="004160C7"/>
    <w:rsid w:val="00416316"/>
    <w:rsid w:val="00416452"/>
    <w:rsid w:val="0041675B"/>
    <w:rsid w:val="0041675D"/>
    <w:rsid w:val="00416B78"/>
    <w:rsid w:val="00416FF7"/>
    <w:rsid w:val="0041757E"/>
    <w:rsid w:val="00417643"/>
    <w:rsid w:val="004176D3"/>
    <w:rsid w:val="00417A8C"/>
    <w:rsid w:val="00417D79"/>
    <w:rsid w:val="004209CA"/>
    <w:rsid w:val="00420A8F"/>
    <w:rsid w:val="00420AFF"/>
    <w:rsid w:val="00420BB7"/>
    <w:rsid w:val="00420C38"/>
    <w:rsid w:val="00420C8F"/>
    <w:rsid w:val="00420E1E"/>
    <w:rsid w:val="004210F2"/>
    <w:rsid w:val="00421307"/>
    <w:rsid w:val="00421AA2"/>
    <w:rsid w:val="00421B89"/>
    <w:rsid w:val="00422055"/>
    <w:rsid w:val="00422B83"/>
    <w:rsid w:val="00422B93"/>
    <w:rsid w:val="0042331F"/>
    <w:rsid w:val="00423395"/>
    <w:rsid w:val="00423898"/>
    <w:rsid w:val="004238A9"/>
    <w:rsid w:val="004238AD"/>
    <w:rsid w:val="004238D8"/>
    <w:rsid w:val="00423A7F"/>
    <w:rsid w:val="00423C23"/>
    <w:rsid w:val="00423E40"/>
    <w:rsid w:val="00423E59"/>
    <w:rsid w:val="00423FBA"/>
    <w:rsid w:val="00424032"/>
    <w:rsid w:val="00424075"/>
    <w:rsid w:val="00424181"/>
    <w:rsid w:val="00424233"/>
    <w:rsid w:val="004246F8"/>
    <w:rsid w:val="00424C63"/>
    <w:rsid w:val="00424E71"/>
    <w:rsid w:val="00424EFD"/>
    <w:rsid w:val="00425149"/>
    <w:rsid w:val="00425380"/>
    <w:rsid w:val="004255A6"/>
    <w:rsid w:val="0042595A"/>
    <w:rsid w:val="00425AC5"/>
    <w:rsid w:val="004260B5"/>
    <w:rsid w:val="00426E83"/>
    <w:rsid w:val="00427619"/>
    <w:rsid w:val="004277AD"/>
    <w:rsid w:val="00427BF5"/>
    <w:rsid w:val="004302A9"/>
    <w:rsid w:val="0043056C"/>
    <w:rsid w:val="00430CDB"/>
    <w:rsid w:val="00431481"/>
    <w:rsid w:val="0043162D"/>
    <w:rsid w:val="00432067"/>
    <w:rsid w:val="004325F1"/>
    <w:rsid w:val="00432CB9"/>
    <w:rsid w:val="00433240"/>
    <w:rsid w:val="00433D62"/>
    <w:rsid w:val="00434067"/>
    <w:rsid w:val="00434071"/>
    <w:rsid w:val="00434109"/>
    <w:rsid w:val="0043463C"/>
    <w:rsid w:val="00434702"/>
    <w:rsid w:val="00434D32"/>
    <w:rsid w:val="00434F79"/>
    <w:rsid w:val="00435386"/>
    <w:rsid w:val="00435540"/>
    <w:rsid w:val="0043573D"/>
    <w:rsid w:val="00435DB4"/>
    <w:rsid w:val="00435F57"/>
    <w:rsid w:val="00436101"/>
    <w:rsid w:val="004366DD"/>
    <w:rsid w:val="004367C5"/>
    <w:rsid w:val="00436E7B"/>
    <w:rsid w:val="004370CA"/>
    <w:rsid w:val="0043785C"/>
    <w:rsid w:val="004379BC"/>
    <w:rsid w:val="004401AE"/>
    <w:rsid w:val="00440B76"/>
    <w:rsid w:val="00440F23"/>
    <w:rsid w:val="0044103E"/>
    <w:rsid w:val="00441350"/>
    <w:rsid w:val="00441DBA"/>
    <w:rsid w:val="00441F26"/>
    <w:rsid w:val="00443290"/>
    <w:rsid w:val="0044357B"/>
    <w:rsid w:val="00443782"/>
    <w:rsid w:val="00444014"/>
    <w:rsid w:val="004441D7"/>
    <w:rsid w:val="00444693"/>
    <w:rsid w:val="004446F0"/>
    <w:rsid w:val="0044492C"/>
    <w:rsid w:val="00444AB7"/>
    <w:rsid w:val="00444D3A"/>
    <w:rsid w:val="004455C8"/>
    <w:rsid w:val="00445EBD"/>
    <w:rsid w:val="00446273"/>
    <w:rsid w:val="00446309"/>
    <w:rsid w:val="00446333"/>
    <w:rsid w:val="00446613"/>
    <w:rsid w:val="00446FE7"/>
    <w:rsid w:val="00447262"/>
    <w:rsid w:val="004475E7"/>
    <w:rsid w:val="00447629"/>
    <w:rsid w:val="0044784D"/>
    <w:rsid w:val="00450B9D"/>
    <w:rsid w:val="00450CA0"/>
    <w:rsid w:val="00451B96"/>
    <w:rsid w:val="0045224A"/>
    <w:rsid w:val="004522C8"/>
    <w:rsid w:val="004522F0"/>
    <w:rsid w:val="004527D5"/>
    <w:rsid w:val="00452D4A"/>
    <w:rsid w:val="00452FA8"/>
    <w:rsid w:val="00452FEF"/>
    <w:rsid w:val="0045353A"/>
    <w:rsid w:val="00453A8D"/>
    <w:rsid w:val="00453ABD"/>
    <w:rsid w:val="0045407A"/>
    <w:rsid w:val="00454397"/>
    <w:rsid w:val="004543A6"/>
    <w:rsid w:val="004543B7"/>
    <w:rsid w:val="00454550"/>
    <w:rsid w:val="0045455A"/>
    <w:rsid w:val="004549DA"/>
    <w:rsid w:val="00454CB7"/>
    <w:rsid w:val="00454CC9"/>
    <w:rsid w:val="00455028"/>
    <w:rsid w:val="0045556D"/>
    <w:rsid w:val="00455BE0"/>
    <w:rsid w:val="00455DCE"/>
    <w:rsid w:val="00455EA3"/>
    <w:rsid w:val="0045642F"/>
    <w:rsid w:val="00456777"/>
    <w:rsid w:val="004567E1"/>
    <w:rsid w:val="00456E39"/>
    <w:rsid w:val="00456ED9"/>
    <w:rsid w:val="00457522"/>
    <w:rsid w:val="004602D0"/>
    <w:rsid w:val="0046078F"/>
    <w:rsid w:val="00460891"/>
    <w:rsid w:val="00460964"/>
    <w:rsid w:val="00460E16"/>
    <w:rsid w:val="0046151B"/>
    <w:rsid w:val="00461595"/>
    <w:rsid w:val="00461992"/>
    <w:rsid w:val="004620F4"/>
    <w:rsid w:val="00462253"/>
    <w:rsid w:val="00462547"/>
    <w:rsid w:val="004625D8"/>
    <w:rsid w:val="00462987"/>
    <w:rsid w:val="00463025"/>
    <w:rsid w:val="0046308A"/>
    <w:rsid w:val="004639F5"/>
    <w:rsid w:val="00463BAC"/>
    <w:rsid w:val="00463C89"/>
    <w:rsid w:val="00464057"/>
    <w:rsid w:val="00464134"/>
    <w:rsid w:val="0046432F"/>
    <w:rsid w:val="004643E1"/>
    <w:rsid w:val="0046458C"/>
    <w:rsid w:val="00464630"/>
    <w:rsid w:val="004646E5"/>
    <w:rsid w:val="00464760"/>
    <w:rsid w:val="00464D5E"/>
    <w:rsid w:val="00464EEC"/>
    <w:rsid w:val="00465024"/>
    <w:rsid w:val="0046540D"/>
    <w:rsid w:val="004655CB"/>
    <w:rsid w:val="0046667F"/>
    <w:rsid w:val="00466A1E"/>
    <w:rsid w:val="00466E2F"/>
    <w:rsid w:val="00467173"/>
    <w:rsid w:val="004674C3"/>
    <w:rsid w:val="004676A3"/>
    <w:rsid w:val="00470014"/>
    <w:rsid w:val="0047038E"/>
    <w:rsid w:val="004703C7"/>
    <w:rsid w:val="0047079C"/>
    <w:rsid w:val="00470880"/>
    <w:rsid w:val="004709C9"/>
    <w:rsid w:val="004712D8"/>
    <w:rsid w:val="00472903"/>
    <w:rsid w:val="00472F24"/>
    <w:rsid w:val="0047305F"/>
    <w:rsid w:val="004730F4"/>
    <w:rsid w:val="004734C5"/>
    <w:rsid w:val="00473700"/>
    <w:rsid w:val="004737CD"/>
    <w:rsid w:val="00473B35"/>
    <w:rsid w:val="0047400A"/>
    <w:rsid w:val="004743FD"/>
    <w:rsid w:val="00474454"/>
    <w:rsid w:val="00474948"/>
    <w:rsid w:val="0047564C"/>
    <w:rsid w:val="00475730"/>
    <w:rsid w:val="00475777"/>
    <w:rsid w:val="00475EF2"/>
    <w:rsid w:val="00476344"/>
    <w:rsid w:val="0047649F"/>
    <w:rsid w:val="004766D8"/>
    <w:rsid w:val="00476899"/>
    <w:rsid w:val="00476D92"/>
    <w:rsid w:val="00476EC4"/>
    <w:rsid w:val="004770AF"/>
    <w:rsid w:val="0047744C"/>
    <w:rsid w:val="0047774A"/>
    <w:rsid w:val="00477C42"/>
    <w:rsid w:val="004800E7"/>
    <w:rsid w:val="00480192"/>
    <w:rsid w:val="004802DB"/>
    <w:rsid w:val="00480BC8"/>
    <w:rsid w:val="00481177"/>
    <w:rsid w:val="0048129C"/>
    <w:rsid w:val="004816AD"/>
    <w:rsid w:val="00481BD7"/>
    <w:rsid w:val="00481D18"/>
    <w:rsid w:val="00481FFD"/>
    <w:rsid w:val="004822AD"/>
    <w:rsid w:val="00482309"/>
    <w:rsid w:val="00482585"/>
    <w:rsid w:val="00482784"/>
    <w:rsid w:val="00482816"/>
    <w:rsid w:val="00482DE4"/>
    <w:rsid w:val="0048328B"/>
    <w:rsid w:val="004834FF"/>
    <w:rsid w:val="00483E45"/>
    <w:rsid w:val="004841C1"/>
    <w:rsid w:val="00484292"/>
    <w:rsid w:val="00484EBD"/>
    <w:rsid w:val="00484FC8"/>
    <w:rsid w:val="004850F8"/>
    <w:rsid w:val="0048541A"/>
    <w:rsid w:val="004854E2"/>
    <w:rsid w:val="00485B81"/>
    <w:rsid w:val="00485F08"/>
    <w:rsid w:val="00486182"/>
    <w:rsid w:val="0048632F"/>
    <w:rsid w:val="004865D1"/>
    <w:rsid w:val="00486771"/>
    <w:rsid w:val="00486E18"/>
    <w:rsid w:val="00486E7B"/>
    <w:rsid w:val="00487004"/>
    <w:rsid w:val="00487464"/>
    <w:rsid w:val="004874E8"/>
    <w:rsid w:val="00487A0A"/>
    <w:rsid w:val="00487C11"/>
    <w:rsid w:val="00490042"/>
    <w:rsid w:val="00490366"/>
    <w:rsid w:val="0049097E"/>
    <w:rsid w:val="00490D98"/>
    <w:rsid w:val="00490DAD"/>
    <w:rsid w:val="00490FCC"/>
    <w:rsid w:val="00491139"/>
    <w:rsid w:val="00491480"/>
    <w:rsid w:val="004914E1"/>
    <w:rsid w:val="004916AB"/>
    <w:rsid w:val="004916ED"/>
    <w:rsid w:val="00491927"/>
    <w:rsid w:val="0049202C"/>
    <w:rsid w:val="0049272C"/>
    <w:rsid w:val="00492C33"/>
    <w:rsid w:val="004930D7"/>
    <w:rsid w:val="00493325"/>
    <w:rsid w:val="004938A1"/>
    <w:rsid w:val="00493E94"/>
    <w:rsid w:val="00494024"/>
    <w:rsid w:val="004943C9"/>
    <w:rsid w:val="004947F3"/>
    <w:rsid w:val="004948C7"/>
    <w:rsid w:val="00494B6F"/>
    <w:rsid w:val="00494F5A"/>
    <w:rsid w:val="0049510B"/>
    <w:rsid w:val="00495C1D"/>
    <w:rsid w:val="00495CFC"/>
    <w:rsid w:val="00496BB7"/>
    <w:rsid w:val="00496E3C"/>
    <w:rsid w:val="00497288"/>
    <w:rsid w:val="00497788"/>
    <w:rsid w:val="00497C28"/>
    <w:rsid w:val="00497C5A"/>
    <w:rsid w:val="00497C70"/>
    <w:rsid w:val="004A0134"/>
    <w:rsid w:val="004A02C7"/>
    <w:rsid w:val="004A04A4"/>
    <w:rsid w:val="004A08DA"/>
    <w:rsid w:val="004A0B63"/>
    <w:rsid w:val="004A0EC2"/>
    <w:rsid w:val="004A1335"/>
    <w:rsid w:val="004A16C4"/>
    <w:rsid w:val="004A198D"/>
    <w:rsid w:val="004A1E2B"/>
    <w:rsid w:val="004A21EA"/>
    <w:rsid w:val="004A24C5"/>
    <w:rsid w:val="004A25B7"/>
    <w:rsid w:val="004A2800"/>
    <w:rsid w:val="004A2C8B"/>
    <w:rsid w:val="004A2CF2"/>
    <w:rsid w:val="004A2E94"/>
    <w:rsid w:val="004A32D5"/>
    <w:rsid w:val="004A34BD"/>
    <w:rsid w:val="004A3916"/>
    <w:rsid w:val="004A4188"/>
    <w:rsid w:val="004A4195"/>
    <w:rsid w:val="004A4966"/>
    <w:rsid w:val="004A4AD9"/>
    <w:rsid w:val="004A5057"/>
    <w:rsid w:val="004A51EA"/>
    <w:rsid w:val="004A525A"/>
    <w:rsid w:val="004A54DA"/>
    <w:rsid w:val="004A5833"/>
    <w:rsid w:val="004A5EB6"/>
    <w:rsid w:val="004A5F0B"/>
    <w:rsid w:val="004A6363"/>
    <w:rsid w:val="004A6ABC"/>
    <w:rsid w:val="004A6CC8"/>
    <w:rsid w:val="004A73B8"/>
    <w:rsid w:val="004A76A5"/>
    <w:rsid w:val="004A77F4"/>
    <w:rsid w:val="004A78A6"/>
    <w:rsid w:val="004A796C"/>
    <w:rsid w:val="004A7D06"/>
    <w:rsid w:val="004B0131"/>
    <w:rsid w:val="004B0346"/>
    <w:rsid w:val="004B0614"/>
    <w:rsid w:val="004B0C4B"/>
    <w:rsid w:val="004B0F35"/>
    <w:rsid w:val="004B0FEB"/>
    <w:rsid w:val="004B118F"/>
    <w:rsid w:val="004B121C"/>
    <w:rsid w:val="004B1FD2"/>
    <w:rsid w:val="004B238D"/>
    <w:rsid w:val="004B249B"/>
    <w:rsid w:val="004B2C51"/>
    <w:rsid w:val="004B2EEE"/>
    <w:rsid w:val="004B37FC"/>
    <w:rsid w:val="004B38A8"/>
    <w:rsid w:val="004B39B6"/>
    <w:rsid w:val="004B3F54"/>
    <w:rsid w:val="004B4034"/>
    <w:rsid w:val="004B46BA"/>
    <w:rsid w:val="004B480A"/>
    <w:rsid w:val="004B4A25"/>
    <w:rsid w:val="004B4B1B"/>
    <w:rsid w:val="004B5599"/>
    <w:rsid w:val="004B5D63"/>
    <w:rsid w:val="004B607C"/>
    <w:rsid w:val="004B62DB"/>
    <w:rsid w:val="004B66CB"/>
    <w:rsid w:val="004B6824"/>
    <w:rsid w:val="004B7A74"/>
    <w:rsid w:val="004B7BA7"/>
    <w:rsid w:val="004C064D"/>
    <w:rsid w:val="004C0E04"/>
    <w:rsid w:val="004C0FC2"/>
    <w:rsid w:val="004C1537"/>
    <w:rsid w:val="004C169D"/>
    <w:rsid w:val="004C16EE"/>
    <w:rsid w:val="004C1792"/>
    <w:rsid w:val="004C1DFF"/>
    <w:rsid w:val="004C28EF"/>
    <w:rsid w:val="004C3151"/>
    <w:rsid w:val="004C33B6"/>
    <w:rsid w:val="004C4365"/>
    <w:rsid w:val="004C4425"/>
    <w:rsid w:val="004C4B16"/>
    <w:rsid w:val="004C4BE0"/>
    <w:rsid w:val="004C4DA3"/>
    <w:rsid w:val="004C4E1C"/>
    <w:rsid w:val="004C5245"/>
    <w:rsid w:val="004C5838"/>
    <w:rsid w:val="004C58CA"/>
    <w:rsid w:val="004C5978"/>
    <w:rsid w:val="004C5A67"/>
    <w:rsid w:val="004C6EBF"/>
    <w:rsid w:val="004C7102"/>
    <w:rsid w:val="004C725B"/>
    <w:rsid w:val="004C7E9C"/>
    <w:rsid w:val="004D004C"/>
    <w:rsid w:val="004D046F"/>
    <w:rsid w:val="004D05FA"/>
    <w:rsid w:val="004D0C42"/>
    <w:rsid w:val="004D12FB"/>
    <w:rsid w:val="004D1892"/>
    <w:rsid w:val="004D1A76"/>
    <w:rsid w:val="004D1D00"/>
    <w:rsid w:val="004D1DC0"/>
    <w:rsid w:val="004D21CE"/>
    <w:rsid w:val="004D2939"/>
    <w:rsid w:val="004D305B"/>
    <w:rsid w:val="004D373B"/>
    <w:rsid w:val="004D3A0A"/>
    <w:rsid w:val="004D3DB7"/>
    <w:rsid w:val="004D3E6C"/>
    <w:rsid w:val="004D3F46"/>
    <w:rsid w:val="004D432C"/>
    <w:rsid w:val="004D4330"/>
    <w:rsid w:val="004D4646"/>
    <w:rsid w:val="004D46AD"/>
    <w:rsid w:val="004D4A08"/>
    <w:rsid w:val="004D4B53"/>
    <w:rsid w:val="004D4D03"/>
    <w:rsid w:val="004D5EEE"/>
    <w:rsid w:val="004D6239"/>
    <w:rsid w:val="004D69B1"/>
    <w:rsid w:val="004D6F16"/>
    <w:rsid w:val="004D6FBE"/>
    <w:rsid w:val="004D718D"/>
    <w:rsid w:val="004D730F"/>
    <w:rsid w:val="004D742E"/>
    <w:rsid w:val="004D74E6"/>
    <w:rsid w:val="004D754C"/>
    <w:rsid w:val="004D796C"/>
    <w:rsid w:val="004D7A34"/>
    <w:rsid w:val="004D7C57"/>
    <w:rsid w:val="004E0319"/>
    <w:rsid w:val="004E037A"/>
    <w:rsid w:val="004E05CC"/>
    <w:rsid w:val="004E08AE"/>
    <w:rsid w:val="004E0F41"/>
    <w:rsid w:val="004E1031"/>
    <w:rsid w:val="004E152C"/>
    <w:rsid w:val="004E1C3A"/>
    <w:rsid w:val="004E1F06"/>
    <w:rsid w:val="004E2375"/>
    <w:rsid w:val="004E25FA"/>
    <w:rsid w:val="004E2733"/>
    <w:rsid w:val="004E297F"/>
    <w:rsid w:val="004E2C50"/>
    <w:rsid w:val="004E3939"/>
    <w:rsid w:val="004E39AB"/>
    <w:rsid w:val="004E3A09"/>
    <w:rsid w:val="004E4119"/>
    <w:rsid w:val="004E430A"/>
    <w:rsid w:val="004E4904"/>
    <w:rsid w:val="004E4975"/>
    <w:rsid w:val="004E5677"/>
    <w:rsid w:val="004E5E2D"/>
    <w:rsid w:val="004E6090"/>
    <w:rsid w:val="004E668D"/>
    <w:rsid w:val="004E6A1F"/>
    <w:rsid w:val="004E75EF"/>
    <w:rsid w:val="004E7614"/>
    <w:rsid w:val="004E76AD"/>
    <w:rsid w:val="004E7FAA"/>
    <w:rsid w:val="004F0028"/>
    <w:rsid w:val="004F0852"/>
    <w:rsid w:val="004F0AD6"/>
    <w:rsid w:val="004F0CE3"/>
    <w:rsid w:val="004F0D84"/>
    <w:rsid w:val="004F1122"/>
    <w:rsid w:val="004F1243"/>
    <w:rsid w:val="004F1752"/>
    <w:rsid w:val="004F1EDF"/>
    <w:rsid w:val="004F21A3"/>
    <w:rsid w:val="004F2415"/>
    <w:rsid w:val="004F25BD"/>
    <w:rsid w:val="004F2642"/>
    <w:rsid w:val="004F26DF"/>
    <w:rsid w:val="004F29AE"/>
    <w:rsid w:val="004F2D65"/>
    <w:rsid w:val="004F2F83"/>
    <w:rsid w:val="004F31F1"/>
    <w:rsid w:val="004F373A"/>
    <w:rsid w:val="004F3966"/>
    <w:rsid w:val="004F4071"/>
    <w:rsid w:val="004F40AD"/>
    <w:rsid w:val="004F4663"/>
    <w:rsid w:val="004F5949"/>
    <w:rsid w:val="004F5E40"/>
    <w:rsid w:val="004F6F9E"/>
    <w:rsid w:val="004F75B5"/>
    <w:rsid w:val="004F7647"/>
    <w:rsid w:val="004F7A84"/>
    <w:rsid w:val="004F7A97"/>
    <w:rsid w:val="004F7BD0"/>
    <w:rsid w:val="004F7EB7"/>
    <w:rsid w:val="0050026C"/>
    <w:rsid w:val="005002D9"/>
    <w:rsid w:val="0050095D"/>
    <w:rsid w:val="005009EC"/>
    <w:rsid w:val="00500BD5"/>
    <w:rsid w:val="00500DDD"/>
    <w:rsid w:val="00501BB8"/>
    <w:rsid w:val="0050270D"/>
    <w:rsid w:val="00502B7D"/>
    <w:rsid w:val="005032F4"/>
    <w:rsid w:val="005035B7"/>
    <w:rsid w:val="0050365C"/>
    <w:rsid w:val="00503863"/>
    <w:rsid w:val="00503BAF"/>
    <w:rsid w:val="00503F38"/>
    <w:rsid w:val="00504846"/>
    <w:rsid w:val="00504E1C"/>
    <w:rsid w:val="005050B6"/>
    <w:rsid w:val="00505A5B"/>
    <w:rsid w:val="00505D52"/>
    <w:rsid w:val="00505F29"/>
    <w:rsid w:val="005060C5"/>
    <w:rsid w:val="005061C5"/>
    <w:rsid w:val="005067E3"/>
    <w:rsid w:val="00506E86"/>
    <w:rsid w:val="00507249"/>
    <w:rsid w:val="00507B66"/>
    <w:rsid w:val="00510391"/>
    <w:rsid w:val="00510473"/>
    <w:rsid w:val="00510561"/>
    <w:rsid w:val="005108D2"/>
    <w:rsid w:val="00510CAF"/>
    <w:rsid w:val="00510D5A"/>
    <w:rsid w:val="00510EB4"/>
    <w:rsid w:val="00511465"/>
    <w:rsid w:val="005114F3"/>
    <w:rsid w:val="00511567"/>
    <w:rsid w:val="0051162E"/>
    <w:rsid w:val="00511671"/>
    <w:rsid w:val="00511CF0"/>
    <w:rsid w:val="00511D13"/>
    <w:rsid w:val="00511D4C"/>
    <w:rsid w:val="00511DAA"/>
    <w:rsid w:val="00512221"/>
    <w:rsid w:val="00512667"/>
    <w:rsid w:val="0051280A"/>
    <w:rsid w:val="00512B82"/>
    <w:rsid w:val="00512FD5"/>
    <w:rsid w:val="00513311"/>
    <w:rsid w:val="0051355D"/>
    <w:rsid w:val="00513DF9"/>
    <w:rsid w:val="00514570"/>
    <w:rsid w:val="0051458D"/>
    <w:rsid w:val="005148A6"/>
    <w:rsid w:val="00515511"/>
    <w:rsid w:val="00515779"/>
    <w:rsid w:val="00515A9E"/>
    <w:rsid w:val="00515AD3"/>
    <w:rsid w:val="0051607E"/>
    <w:rsid w:val="00516131"/>
    <w:rsid w:val="0051654B"/>
    <w:rsid w:val="00517758"/>
    <w:rsid w:val="00517C8E"/>
    <w:rsid w:val="00517FBF"/>
    <w:rsid w:val="005201FB"/>
    <w:rsid w:val="0052020A"/>
    <w:rsid w:val="005206D2"/>
    <w:rsid w:val="00520B9B"/>
    <w:rsid w:val="00520FA4"/>
    <w:rsid w:val="005216A8"/>
    <w:rsid w:val="005217E2"/>
    <w:rsid w:val="00521922"/>
    <w:rsid w:val="00521E23"/>
    <w:rsid w:val="00521F9E"/>
    <w:rsid w:val="0052298F"/>
    <w:rsid w:val="00522A08"/>
    <w:rsid w:val="00522B70"/>
    <w:rsid w:val="00523201"/>
    <w:rsid w:val="005238CD"/>
    <w:rsid w:val="00523B01"/>
    <w:rsid w:val="00523EC5"/>
    <w:rsid w:val="00523F0D"/>
    <w:rsid w:val="00524001"/>
    <w:rsid w:val="005242D5"/>
    <w:rsid w:val="0052491D"/>
    <w:rsid w:val="00524951"/>
    <w:rsid w:val="00524D38"/>
    <w:rsid w:val="005252E4"/>
    <w:rsid w:val="00525584"/>
    <w:rsid w:val="00525706"/>
    <w:rsid w:val="0052570E"/>
    <w:rsid w:val="0052577B"/>
    <w:rsid w:val="00525A5C"/>
    <w:rsid w:val="00525B83"/>
    <w:rsid w:val="00525DF9"/>
    <w:rsid w:val="005262DF"/>
    <w:rsid w:val="005265DA"/>
    <w:rsid w:val="00526848"/>
    <w:rsid w:val="0052765D"/>
    <w:rsid w:val="0052795F"/>
    <w:rsid w:val="00527A00"/>
    <w:rsid w:val="00527AC3"/>
    <w:rsid w:val="00527CDD"/>
    <w:rsid w:val="00527DEC"/>
    <w:rsid w:val="00530016"/>
    <w:rsid w:val="0053020F"/>
    <w:rsid w:val="005303D3"/>
    <w:rsid w:val="00530816"/>
    <w:rsid w:val="00530C12"/>
    <w:rsid w:val="00530D6F"/>
    <w:rsid w:val="00531977"/>
    <w:rsid w:val="00531983"/>
    <w:rsid w:val="00531AB6"/>
    <w:rsid w:val="00531E55"/>
    <w:rsid w:val="0053235D"/>
    <w:rsid w:val="00532BB2"/>
    <w:rsid w:val="00533038"/>
    <w:rsid w:val="005332BA"/>
    <w:rsid w:val="0053339B"/>
    <w:rsid w:val="005339FA"/>
    <w:rsid w:val="00533B27"/>
    <w:rsid w:val="00533C5D"/>
    <w:rsid w:val="00534C3F"/>
    <w:rsid w:val="00534CCC"/>
    <w:rsid w:val="00534F96"/>
    <w:rsid w:val="0053507E"/>
    <w:rsid w:val="00535446"/>
    <w:rsid w:val="00535602"/>
    <w:rsid w:val="005357B0"/>
    <w:rsid w:val="00535AF1"/>
    <w:rsid w:val="0053660F"/>
    <w:rsid w:val="00536728"/>
    <w:rsid w:val="00536A60"/>
    <w:rsid w:val="00536A93"/>
    <w:rsid w:val="005378EE"/>
    <w:rsid w:val="00537920"/>
    <w:rsid w:val="00537C5E"/>
    <w:rsid w:val="00537FD4"/>
    <w:rsid w:val="00540114"/>
    <w:rsid w:val="00540817"/>
    <w:rsid w:val="0054088B"/>
    <w:rsid w:val="005409FB"/>
    <w:rsid w:val="00540A81"/>
    <w:rsid w:val="00540C4B"/>
    <w:rsid w:val="00540DAC"/>
    <w:rsid w:val="005415EF"/>
    <w:rsid w:val="005417F1"/>
    <w:rsid w:val="00541B66"/>
    <w:rsid w:val="00541CDD"/>
    <w:rsid w:val="00541E4C"/>
    <w:rsid w:val="00541EEE"/>
    <w:rsid w:val="0054247E"/>
    <w:rsid w:val="00542485"/>
    <w:rsid w:val="00542569"/>
    <w:rsid w:val="0054284E"/>
    <w:rsid w:val="00542BD0"/>
    <w:rsid w:val="00542C26"/>
    <w:rsid w:val="00542C74"/>
    <w:rsid w:val="00543978"/>
    <w:rsid w:val="0054441B"/>
    <w:rsid w:val="005450D3"/>
    <w:rsid w:val="005451A5"/>
    <w:rsid w:val="00545268"/>
    <w:rsid w:val="005457D8"/>
    <w:rsid w:val="00545897"/>
    <w:rsid w:val="00545909"/>
    <w:rsid w:val="00545D39"/>
    <w:rsid w:val="00546232"/>
    <w:rsid w:val="005463CB"/>
    <w:rsid w:val="005464AA"/>
    <w:rsid w:val="00546909"/>
    <w:rsid w:val="00546973"/>
    <w:rsid w:val="00546C1C"/>
    <w:rsid w:val="00546D2D"/>
    <w:rsid w:val="0054710B"/>
    <w:rsid w:val="00547111"/>
    <w:rsid w:val="0054724E"/>
    <w:rsid w:val="00547274"/>
    <w:rsid w:val="00547973"/>
    <w:rsid w:val="00547991"/>
    <w:rsid w:val="005503F3"/>
    <w:rsid w:val="005504FF"/>
    <w:rsid w:val="005505F4"/>
    <w:rsid w:val="00550889"/>
    <w:rsid w:val="005508AE"/>
    <w:rsid w:val="005508B1"/>
    <w:rsid w:val="00550ADD"/>
    <w:rsid w:val="00550E18"/>
    <w:rsid w:val="005518A5"/>
    <w:rsid w:val="00551BA8"/>
    <w:rsid w:val="0055258E"/>
    <w:rsid w:val="005525E6"/>
    <w:rsid w:val="00552752"/>
    <w:rsid w:val="00552899"/>
    <w:rsid w:val="00552ADD"/>
    <w:rsid w:val="00552C1B"/>
    <w:rsid w:val="00553035"/>
    <w:rsid w:val="00553107"/>
    <w:rsid w:val="005534EF"/>
    <w:rsid w:val="00553BB5"/>
    <w:rsid w:val="00553CBB"/>
    <w:rsid w:val="00553E2E"/>
    <w:rsid w:val="005540DB"/>
    <w:rsid w:val="0055413D"/>
    <w:rsid w:val="005542F2"/>
    <w:rsid w:val="00554B63"/>
    <w:rsid w:val="00554DD7"/>
    <w:rsid w:val="00554E46"/>
    <w:rsid w:val="00555079"/>
    <w:rsid w:val="005550A8"/>
    <w:rsid w:val="0055568D"/>
    <w:rsid w:val="00555DC2"/>
    <w:rsid w:val="00555FEF"/>
    <w:rsid w:val="00556041"/>
    <w:rsid w:val="005560B9"/>
    <w:rsid w:val="005560E0"/>
    <w:rsid w:val="005565B1"/>
    <w:rsid w:val="00556620"/>
    <w:rsid w:val="005566AB"/>
    <w:rsid w:val="005572E3"/>
    <w:rsid w:val="005574E2"/>
    <w:rsid w:val="00557A0C"/>
    <w:rsid w:val="00560808"/>
    <w:rsid w:val="00560C8A"/>
    <w:rsid w:val="00560FE8"/>
    <w:rsid w:val="005610A1"/>
    <w:rsid w:val="005610C7"/>
    <w:rsid w:val="005613B5"/>
    <w:rsid w:val="00561472"/>
    <w:rsid w:val="005615E8"/>
    <w:rsid w:val="00561A46"/>
    <w:rsid w:val="00561DF0"/>
    <w:rsid w:val="0056240C"/>
    <w:rsid w:val="0056279E"/>
    <w:rsid w:val="00562CE8"/>
    <w:rsid w:val="00562D8D"/>
    <w:rsid w:val="005634C3"/>
    <w:rsid w:val="005635B0"/>
    <w:rsid w:val="00563838"/>
    <w:rsid w:val="0056385F"/>
    <w:rsid w:val="00564043"/>
    <w:rsid w:val="00564D3D"/>
    <w:rsid w:val="0056510F"/>
    <w:rsid w:val="00565305"/>
    <w:rsid w:val="005653B9"/>
    <w:rsid w:val="00565A69"/>
    <w:rsid w:val="00565AAA"/>
    <w:rsid w:val="00565B6F"/>
    <w:rsid w:val="00565F08"/>
    <w:rsid w:val="005669A8"/>
    <w:rsid w:val="0056723B"/>
    <w:rsid w:val="00567659"/>
    <w:rsid w:val="0056777F"/>
    <w:rsid w:val="00567949"/>
    <w:rsid w:val="00567BB2"/>
    <w:rsid w:val="0057003E"/>
    <w:rsid w:val="0057040D"/>
    <w:rsid w:val="005707F4"/>
    <w:rsid w:val="005708C1"/>
    <w:rsid w:val="005709DC"/>
    <w:rsid w:val="00570A36"/>
    <w:rsid w:val="00570CF2"/>
    <w:rsid w:val="00571031"/>
    <w:rsid w:val="00571226"/>
    <w:rsid w:val="00571329"/>
    <w:rsid w:val="00571386"/>
    <w:rsid w:val="005716B0"/>
    <w:rsid w:val="00571CF4"/>
    <w:rsid w:val="0057203A"/>
    <w:rsid w:val="00572849"/>
    <w:rsid w:val="00572B5E"/>
    <w:rsid w:val="00573034"/>
    <w:rsid w:val="0057316E"/>
    <w:rsid w:val="005731A9"/>
    <w:rsid w:val="005738B6"/>
    <w:rsid w:val="0057390C"/>
    <w:rsid w:val="005739BC"/>
    <w:rsid w:val="00573E3F"/>
    <w:rsid w:val="00574057"/>
    <w:rsid w:val="00574B51"/>
    <w:rsid w:val="00574C30"/>
    <w:rsid w:val="00574DF9"/>
    <w:rsid w:val="00574E48"/>
    <w:rsid w:val="005751F1"/>
    <w:rsid w:val="00575629"/>
    <w:rsid w:val="00575732"/>
    <w:rsid w:val="00576098"/>
    <w:rsid w:val="0057640A"/>
    <w:rsid w:val="00576527"/>
    <w:rsid w:val="0057676D"/>
    <w:rsid w:val="00576BCD"/>
    <w:rsid w:val="00577241"/>
    <w:rsid w:val="0057755F"/>
    <w:rsid w:val="00577AF6"/>
    <w:rsid w:val="00577B52"/>
    <w:rsid w:val="00580058"/>
    <w:rsid w:val="005800B8"/>
    <w:rsid w:val="00580559"/>
    <w:rsid w:val="00580B66"/>
    <w:rsid w:val="00580E36"/>
    <w:rsid w:val="00580EB7"/>
    <w:rsid w:val="00581096"/>
    <w:rsid w:val="0058146F"/>
    <w:rsid w:val="00581672"/>
    <w:rsid w:val="005816B6"/>
    <w:rsid w:val="00581DFE"/>
    <w:rsid w:val="00582064"/>
    <w:rsid w:val="00582B5F"/>
    <w:rsid w:val="00582D32"/>
    <w:rsid w:val="00582D5D"/>
    <w:rsid w:val="00583138"/>
    <w:rsid w:val="00583569"/>
    <w:rsid w:val="0058384C"/>
    <w:rsid w:val="00583B37"/>
    <w:rsid w:val="00583F13"/>
    <w:rsid w:val="00584025"/>
    <w:rsid w:val="005840CC"/>
    <w:rsid w:val="005845E4"/>
    <w:rsid w:val="0058477B"/>
    <w:rsid w:val="00584F6F"/>
    <w:rsid w:val="00585505"/>
    <w:rsid w:val="005855EE"/>
    <w:rsid w:val="00585A7D"/>
    <w:rsid w:val="00585D1F"/>
    <w:rsid w:val="00585DA5"/>
    <w:rsid w:val="0058664A"/>
    <w:rsid w:val="0058668A"/>
    <w:rsid w:val="0058689F"/>
    <w:rsid w:val="00586A53"/>
    <w:rsid w:val="00586AE8"/>
    <w:rsid w:val="00586B65"/>
    <w:rsid w:val="00587784"/>
    <w:rsid w:val="0058790E"/>
    <w:rsid w:val="00587946"/>
    <w:rsid w:val="00587F44"/>
    <w:rsid w:val="00587FFD"/>
    <w:rsid w:val="00590055"/>
    <w:rsid w:val="005901A3"/>
    <w:rsid w:val="005904F8"/>
    <w:rsid w:val="0059058B"/>
    <w:rsid w:val="005909FB"/>
    <w:rsid w:val="00590BEA"/>
    <w:rsid w:val="00590C62"/>
    <w:rsid w:val="00590DD1"/>
    <w:rsid w:val="00591005"/>
    <w:rsid w:val="00591448"/>
    <w:rsid w:val="00591590"/>
    <w:rsid w:val="0059186D"/>
    <w:rsid w:val="00591B4C"/>
    <w:rsid w:val="00591DF5"/>
    <w:rsid w:val="005923E8"/>
    <w:rsid w:val="00592577"/>
    <w:rsid w:val="00592960"/>
    <w:rsid w:val="00592D52"/>
    <w:rsid w:val="00592EEE"/>
    <w:rsid w:val="00592FBB"/>
    <w:rsid w:val="005931E4"/>
    <w:rsid w:val="005933AA"/>
    <w:rsid w:val="00593449"/>
    <w:rsid w:val="0059364F"/>
    <w:rsid w:val="005944DB"/>
    <w:rsid w:val="005945FB"/>
    <w:rsid w:val="005949BE"/>
    <w:rsid w:val="005949C0"/>
    <w:rsid w:val="0059504C"/>
    <w:rsid w:val="005954AC"/>
    <w:rsid w:val="005955EA"/>
    <w:rsid w:val="005957B3"/>
    <w:rsid w:val="005957D4"/>
    <w:rsid w:val="005959C7"/>
    <w:rsid w:val="00595CA4"/>
    <w:rsid w:val="005961F6"/>
    <w:rsid w:val="005962EE"/>
    <w:rsid w:val="00596CBC"/>
    <w:rsid w:val="00596DC4"/>
    <w:rsid w:val="00596E23"/>
    <w:rsid w:val="005970D8"/>
    <w:rsid w:val="00597514"/>
    <w:rsid w:val="00597E85"/>
    <w:rsid w:val="00597EE7"/>
    <w:rsid w:val="005A05F2"/>
    <w:rsid w:val="005A0CB9"/>
    <w:rsid w:val="005A0D4C"/>
    <w:rsid w:val="005A0FF8"/>
    <w:rsid w:val="005A141F"/>
    <w:rsid w:val="005A1C6E"/>
    <w:rsid w:val="005A2613"/>
    <w:rsid w:val="005A2B57"/>
    <w:rsid w:val="005A2B80"/>
    <w:rsid w:val="005A3071"/>
    <w:rsid w:val="005A30F2"/>
    <w:rsid w:val="005A3A07"/>
    <w:rsid w:val="005A3A2E"/>
    <w:rsid w:val="005A3AB7"/>
    <w:rsid w:val="005A3AEE"/>
    <w:rsid w:val="005A3BC7"/>
    <w:rsid w:val="005A40C0"/>
    <w:rsid w:val="005A4AF1"/>
    <w:rsid w:val="005A4CFA"/>
    <w:rsid w:val="005A4D8D"/>
    <w:rsid w:val="005A50CE"/>
    <w:rsid w:val="005A5430"/>
    <w:rsid w:val="005A5519"/>
    <w:rsid w:val="005A5589"/>
    <w:rsid w:val="005A5602"/>
    <w:rsid w:val="005A5B64"/>
    <w:rsid w:val="005A5C57"/>
    <w:rsid w:val="005A5D6B"/>
    <w:rsid w:val="005A5DC0"/>
    <w:rsid w:val="005A5F27"/>
    <w:rsid w:val="005A608E"/>
    <w:rsid w:val="005A6295"/>
    <w:rsid w:val="005A634F"/>
    <w:rsid w:val="005A64B8"/>
    <w:rsid w:val="005A6745"/>
    <w:rsid w:val="005A6B58"/>
    <w:rsid w:val="005A6E51"/>
    <w:rsid w:val="005A6EEE"/>
    <w:rsid w:val="005A70F3"/>
    <w:rsid w:val="005A7148"/>
    <w:rsid w:val="005A724D"/>
    <w:rsid w:val="005A7546"/>
    <w:rsid w:val="005A75F3"/>
    <w:rsid w:val="005A772D"/>
    <w:rsid w:val="005A7A98"/>
    <w:rsid w:val="005A7AEE"/>
    <w:rsid w:val="005A7E05"/>
    <w:rsid w:val="005B03D6"/>
    <w:rsid w:val="005B0475"/>
    <w:rsid w:val="005B07D0"/>
    <w:rsid w:val="005B07F5"/>
    <w:rsid w:val="005B108F"/>
    <w:rsid w:val="005B10E2"/>
    <w:rsid w:val="005B116B"/>
    <w:rsid w:val="005B1711"/>
    <w:rsid w:val="005B19A6"/>
    <w:rsid w:val="005B1EFF"/>
    <w:rsid w:val="005B2038"/>
    <w:rsid w:val="005B2163"/>
    <w:rsid w:val="005B22CB"/>
    <w:rsid w:val="005B2742"/>
    <w:rsid w:val="005B2866"/>
    <w:rsid w:val="005B2B2C"/>
    <w:rsid w:val="005B32EC"/>
    <w:rsid w:val="005B33A9"/>
    <w:rsid w:val="005B34EF"/>
    <w:rsid w:val="005B40FC"/>
    <w:rsid w:val="005B4688"/>
    <w:rsid w:val="005B4724"/>
    <w:rsid w:val="005B4CEC"/>
    <w:rsid w:val="005B4FC7"/>
    <w:rsid w:val="005B5071"/>
    <w:rsid w:val="005B51DE"/>
    <w:rsid w:val="005B5AF3"/>
    <w:rsid w:val="005B62DA"/>
    <w:rsid w:val="005B656E"/>
    <w:rsid w:val="005B65E2"/>
    <w:rsid w:val="005B6AA8"/>
    <w:rsid w:val="005B6B3F"/>
    <w:rsid w:val="005B7225"/>
    <w:rsid w:val="005B7414"/>
    <w:rsid w:val="005B79CD"/>
    <w:rsid w:val="005B7B4C"/>
    <w:rsid w:val="005B7BFC"/>
    <w:rsid w:val="005B7C27"/>
    <w:rsid w:val="005B7D9D"/>
    <w:rsid w:val="005B7F80"/>
    <w:rsid w:val="005C00D3"/>
    <w:rsid w:val="005C0584"/>
    <w:rsid w:val="005C09F6"/>
    <w:rsid w:val="005C0F0E"/>
    <w:rsid w:val="005C0FA1"/>
    <w:rsid w:val="005C10B9"/>
    <w:rsid w:val="005C11B7"/>
    <w:rsid w:val="005C125F"/>
    <w:rsid w:val="005C188F"/>
    <w:rsid w:val="005C19D9"/>
    <w:rsid w:val="005C1A3F"/>
    <w:rsid w:val="005C1C30"/>
    <w:rsid w:val="005C1C69"/>
    <w:rsid w:val="005C1FB6"/>
    <w:rsid w:val="005C2105"/>
    <w:rsid w:val="005C2139"/>
    <w:rsid w:val="005C235B"/>
    <w:rsid w:val="005C2D30"/>
    <w:rsid w:val="005C2D72"/>
    <w:rsid w:val="005C3743"/>
    <w:rsid w:val="005C3744"/>
    <w:rsid w:val="005C3E31"/>
    <w:rsid w:val="005C42C8"/>
    <w:rsid w:val="005C4367"/>
    <w:rsid w:val="005C4528"/>
    <w:rsid w:val="005C45D9"/>
    <w:rsid w:val="005C4CDC"/>
    <w:rsid w:val="005C581E"/>
    <w:rsid w:val="005C5BA1"/>
    <w:rsid w:val="005C5F76"/>
    <w:rsid w:val="005C6C29"/>
    <w:rsid w:val="005C725C"/>
    <w:rsid w:val="005C7280"/>
    <w:rsid w:val="005C735A"/>
    <w:rsid w:val="005C75EB"/>
    <w:rsid w:val="005C7976"/>
    <w:rsid w:val="005D002D"/>
    <w:rsid w:val="005D007F"/>
    <w:rsid w:val="005D077D"/>
    <w:rsid w:val="005D07B7"/>
    <w:rsid w:val="005D0B9E"/>
    <w:rsid w:val="005D0D95"/>
    <w:rsid w:val="005D1E60"/>
    <w:rsid w:val="005D208B"/>
    <w:rsid w:val="005D2291"/>
    <w:rsid w:val="005D276D"/>
    <w:rsid w:val="005D2F7A"/>
    <w:rsid w:val="005D3032"/>
    <w:rsid w:val="005D3AA1"/>
    <w:rsid w:val="005D3E0D"/>
    <w:rsid w:val="005D40B9"/>
    <w:rsid w:val="005D4538"/>
    <w:rsid w:val="005D53BD"/>
    <w:rsid w:val="005D54C7"/>
    <w:rsid w:val="005D582B"/>
    <w:rsid w:val="005D5C31"/>
    <w:rsid w:val="005D5EAA"/>
    <w:rsid w:val="005D5F16"/>
    <w:rsid w:val="005D6532"/>
    <w:rsid w:val="005D66C5"/>
    <w:rsid w:val="005D6F70"/>
    <w:rsid w:val="005D7012"/>
    <w:rsid w:val="005D79B9"/>
    <w:rsid w:val="005D7D3A"/>
    <w:rsid w:val="005D7F7E"/>
    <w:rsid w:val="005E05C2"/>
    <w:rsid w:val="005E084B"/>
    <w:rsid w:val="005E0874"/>
    <w:rsid w:val="005E0A5B"/>
    <w:rsid w:val="005E0E2F"/>
    <w:rsid w:val="005E109B"/>
    <w:rsid w:val="005E10AA"/>
    <w:rsid w:val="005E10BB"/>
    <w:rsid w:val="005E1100"/>
    <w:rsid w:val="005E1300"/>
    <w:rsid w:val="005E1AF3"/>
    <w:rsid w:val="005E1B8C"/>
    <w:rsid w:val="005E1D38"/>
    <w:rsid w:val="005E1DD8"/>
    <w:rsid w:val="005E20E5"/>
    <w:rsid w:val="005E2230"/>
    <w:rsid w:val="005E236C"/>
    <w:rsid w:val="005E272C"/>
    <w:rsid w:val="005E28B8"/>
    <w:rsid w:val="005E2B28"/>
    <w:rsid w:val="005E2F63"/>
    <w:rsid w:val="005E306B"/>
    <w:rsid w:val="005E3127"/>
    <w:rsid w:val="005E357A"/>
    <w:rsid w:val="005E3A6C"/>
    <w:rsid w:val="005E3C33"/>
    <w:rsid w:val="005E3C65"/>
    <w:rsid w:val="005E4132"/>
    <w:rsid w:val="005E4844"/>
    <w:rsid w:val="005E4EF9"/>
    <w:rsid w:val="005E50B5"/>
    <w:rsid w:val="005E525F"/>
    <w:rsid w:val="005E527D"/>
    <w:rsid w:val="005E580B"/>
    <w:rsid w:val="005E5BD7"/>
    <w:rsid w:val="005E5FED"/>
    <w:rsid w:val="005E647E"/>
    <w:rsid w:val="005E65CB"/>
    <w:rsid w:val="005E671E"/>
    <w:rsid w:val="005E7021"/>
    <w:rsid w:val="005E719D"/>
    <w:rsid w:val="005E73BB"/>
    <w:rsid w:val="005F0123"/>
    <w:rsid w:val="005F026E"/>
    <w:rsid w:val="005F0961"/>
    <w:rsid w:val="005F0E66"/>
    <w:rsid w:val="005F1186"/>
    <w:rsid w:val="005F1326"/>
    <w:rsid w:val="005F1986"/>
    <w:rsid w:val="005F1A3B"/>
    <w:rsid w:val="005F1DAF"/>
    <w:rsid w:val="005F20CD"/>
    <w:rsid w:val="005F2661"/>
    <w:rsid w:val="005F280F"/>
    <w:rsid w:val="005F2E68"/>
    <w:rsid w:val="005F2FC4"/>
    <w:rsid w:val="005F3365"/>
    <w:rsid w:val="005F3537"/>
    <w:rsid w:val="005F353B"/>
    <w:rsid w:val="005F3A04"/>
    <w:rsid w:val="005F3A12"/>
    <w:rsid w:val="005F3C24"/>
    <w:rsid w:val="005F4023"/>
    <w:rsid w:val="005F432D"/>
    <w:rsid w:val="005F46FE"/>
    <w:rsid w:val="005F4CC4"/>
    <w:rsid w:val="005F4CEA"/>
    <w:rsid w:val="005F507D"/>
    <w:rsid w:val="005F54B0"/>
    <w:rsid w:val="005F5C9E"/>
    <w:rsid w:val="005F63BB"/>
    <w:rsid w:val="005F66B8"/>
    <w:rsid w:val="005F67EA"/>
    <w:rsid w:val="005F6C6C"/>
    <w:rsid w:val="005F719C"/>
    <w:rsid w:val="005F7386"/>
    <w:rsid w:val="005F760B"/>
    <w:rsid w:val="005F770B"/>
    <w:rsid w:val="005F7E7E"/>
    <w:rsid w:val="006007E7"/>
    <w:rsid w:val="00600A4C"/>
    <w:rsid w:val="006011E9"/>
    <w:rsid w:val="006012D8"/>
    <w:rsid w:val="00601484"/>
    <w:rsid w:val="006017B9"/>
    <w:rsid w:val="00601867"/>
    <w:rsid w:val="00602B10"/>
    <w:rsid w:val="00602CD8"/>
    <w:rsid w:val="00602DE8"/>
    <w:rsid w:val="006033B5"/>
    <w:rsid w:val="00603704"/>
    <w:rsid w:val="006044E2"/>
    <w:rsid w:val="006048F5"/>
    <w:rsid w:val="006049E3"/>
    <w:rsid w:val="00604F62"/>
    <w:rsid w:val="006050B2"/>
    <w:rsid w:val="006052FB"/>
    <w:rsid w:val="0060542F"/>
    <w:rsid w:val="00606305"/>
    <w:rsid w:val="00606367"/>
    <w:rsid w:val="00607542"/>
    <w:rsid w:val="006076CF"/>
    <w:rsid w:val="006076F0"/>
    <w:rsid w:val="00607765"/>
    <w:rsid w:val="006079A5"/>
    <w:rsid w:val="00607A05"/>
    <w:rsid w:val="00607B42"/>
    <w:rsid w:val="00607B89"/>
    <w:rsid w:val="00607BD0"/>
    <w:rsid w:val="00607C0B"/>
    <w:rsid w:val="00607C94"/>
    <w:rsid w:val="00607E37"/>
    <w:rsid w:val="0061034D"/>
    <w:rsid w:val="0061056D"/>
    <w:rsid w:val="006107E9"/>
    <w:rsid w:val="00610BDD"/>
    <w:rsid w:val="00610C3A"/>
    <w:rsid w:val="0061181E"/>
    <w:rsid w:val="00611845"/>
    <w:rsid w:val="00611A72"/>
    <w:rsid w:val="0061258F"/>
    <w:rsid w:val="00612857"/>
    <w:rsid w:val="00612C3F"/>
    <w:rsid w:val="00612C72"/>
    <w:rsid w:val="00613082"/>
    <w:rsid w:val="0061310B"/>
    <w:rsid w:val="00613116"/>
    <w:rsid w:val="00613456"/>
    <w:rsid w:val="006138DE"/>
    <w:rsid w:val="00613E0A"/>
    <w:rsid w:val="00613E65"/>
    <w:rsid w:val="00613E80"/>
    <w:rsid w:val="006143AE"/>
    <w:rsid w:val="006143DB"/>
    <w:rsid w:val="00614818"/>
    <w:rsid w:val="00614A21"/>
    <w:rsid w:val="00614BE8"/>
    <w:rsid w:val="00615288"/>
    <w:rsid w:val="006153E0"/>
    <w:rsid w:val="006157E5"/>
    <w:rsid w:val="00615B18"/>
    <w:rsid w:val="00615CB6"/>
    <w:rsid w:val="00616095"/>
    <w:rsid w:val="00616BCC"/>
    <w:rsid w:val="00616E75"/>
    <w:rsid w:val="00617171"/>
    <w:rsid w:val="006171EC"/>
    <w:rsid w:val="00617203"/>
    <w:rsid w:val="0061777C"/>
    <w:rsid w:val="00617D7C"/>
    <w:rsid w:val="006201E3"/>
    <w:rsid w:val="0062020D"/>
    <w:rsid w:val="0062039D"/>
    <w:rsid w:val="00620748"/>
    <w:rsid w:val="00620754"/>
    <w:rsid w:val="0062095C"/>
    <w:rsid w:val="00620B1C"/>
    <w:rsid w:val="00620E4C"/>
    <w:rsid w:val="00620F14"/>
    <w:rsid w:val="006211D1"/>
    <w:rsid w:val="006216D9"/>
    <w:rsid w:val="006216FC"/>
    <w:rsid w:val="00621CF1"/>
    <w:rsid w:val="00622119"/>
    <w:rsid w:val="006221DC"/>
    <w:rsid w:val="0062266B"/>
    <w:rsid w:val="00622889"/>
    <w:rsid w:val="00622CEC"/>
    <w:rsid w:val="00622F8A"/>
    <w:rsid w:val="00623A8C"/>
    <w:rsid w:val="00624136"/>
    <w:rsid w:val="0062478F"/>
    <w:rsid w:val="00624A06"/>
    <w:rsid w:val="00624A9D"/>
    <w:rsid w:val="00624CD6"/>
    <w:rsid w:val="00625495"/>
    <w:rsid w:val="0062561B"/>
    <w:rsid w:val="0062595C"/>
    <w:rsid w:val="00625BC6"/>
    <w:rsid w:val="00625E97"/>
    <w:rsid w:val="00626503"/>
    <w:rsid w:val="006265B0"/>
    <w:rsid w:val="0062663B"/>
    <w:rsid w:val="006267EE"/>
    <w:rsid w:val="0062688D"/>
    <w:rsid w:val="00626A3A"/>
    <w:rsid w:val="006271BC"/>
    <w:rsid w:val="00627BF6"/>
    <w:rsid w:val="00627CDD"/>
    <w:rsid w:val="00627EE8"/>
    <w:rsid w:val="00630028"/>
    <w:rsid w:val="0063007A"/>
    <w:rsid w:val="00630350"/>
    <w:rsid w:val="006303BD"/>
    <w:rsid w:val="00630575"/>
    <w:rsid w:val="00630F3A"/>
    <w:rsid w:val="00630F6C"/>
    <w:rsid w:val="006318D7"/>
    <w:rsid w:val="00631E01"/>
    <w:rsid w:val="00631FCB"/>
    <w:rsid w:val="006321E0"/>
    <w:rsid w:val="006321E5"/>
    <w:rsid w:val="00632838"/>
    <w:rsid w:val="00632C8F"/>
    <w:rsid w:val="00632E85"/>
    <w:rsid w:val="00632EA0"/>
    <w:rsid w:val="00632FEC"/>
    <w:rsid w:val="006330EE"/>
    <w:rsid w:val="0063315B"/>
    <w:rsid w:val="006333D3"/>
    <w:rsid w:val="00633746"/>
    <w:rsid w:val="0063374D"/>
    <w:rsid w:val="006337BE"/>
    <w:rsid w:val="00633832"/>
    <w:rsid w:val="00633CD5"/>
    <w:rsid w:val="00633F03"/>
    <w:rsid w:val="0063424D"/>
    <w:rsid w:val="0063498F"/>
    <w:rsid w:val="00634C1E"/>
    <w:rsid w:val="006350B2"/>
    <w:rsid w:val="00635354"/>
    <w:rsid w:val="0063598F"/>
    <w:rsid w:val="00635DD0"/>
    <w:rsid w:val="0063615D"/>
    <w:rsid w:val="006368EE"/>
    <w:rsid w:val="00636EB9"/>
    <w:rsid w:val="00637245"/>
    <w:rsid w:val="00637772"/>
    <w:rsid w:val="00637B66"/>
    <w:rsid w:val="00637CBA"/>
    <w:rsid w:val="0064095E"/>
    <w:rsid w:val="00640CF7"/>
    <w:rsid w:val="00640EB7"/>
    <w:rsid w:val="00641033"/>
    <w:rsid w:val="006414A1"/>
    <w:rsid w:val="0064151E"/>
    <w:rsid w:val="00641540"/>
    <w:rsid w:val="00641676"/>
    <w:rsid w:val="00641C3D"/>
    <w:rsid w:val="0064253F"/>
    <w:rsid w:val="006428EB"/>
    <w:rsid w:val="00642BF9"/>
    <w:rsid w:val="00642DB0"/>
    <w:rsid w:val="00642FA4"/>
    <w:rsid w:val="00643478"/>
    <w:rsid w:val="00643744"/>
    <w:rsid w:val="00643B69"/>
    <w:rsid w:val="0064408C"/>
    <w:rsid w:val="00644601"/>
    <w:rsid w:val="00644B1C"/>
    <w:rsid w:val="00645692"/>
    <w:rsid w:val="006458ED"/>
    <w:rsid w:val="00645B11"/>
    <w:rsid w:val="00645B9C"/>
    <w:rsid w:val="00645D77"/>
    <w:rsid w:val="00646BD6"/>
    <w:rsid w:val="00646D1F"/>
    <w:rsid w:val="00647AB4"/>
    <w:rsid w:val="00647CCD"/>
    <w:rsid w:val="00647D51"/>
    <w:rsid w:val="00647E06"/>
    <w:rsid w:val="00650DBB"/>
    <w:rsid w:val="006511CF"/>
    <w:rsid w:val="006515B6"/>
    <w:rsid w:val="006518BF"/>
    <w:rsid w:val="00651EB2"/>
    <w:rsid w:val="00652252"/>
    <w:rsid w:val="00652B45"/>
    <w:rsid w:val="00652BCD"/>
    <w:rsid w:val="00652F42"/>
    <w:rsid w:val="00654176"/>
    <w:rsid w:val="00654D6B"/>
    <w:rsid w:val="006552F3"/>
    <w:rsid w:val="00655311"/>
    <w:rsid w:val="006554D1"/>
    <w:rsid w:val="00655A20"/>
    <w:rsid w:val="00656C56"/>
    <w:rsid w:val="00656E0D"/>
    <w:rsid w:val="00656E88"/>
    <w:rsid w:val="0065734D"/>
    <w:rsid w:val="00657371"/>
    <w:rsid w:val="0065741E"/>
    <w:rsid w:val="00657D12"/>
    <w:rsid w:val="0066013A"/>
    <w:rsid w:val="00660288"/>
    <w:rsid w:val="00660688"/>
    <w:rsid w:val="006606E8"/>
    <w:rsid w:val="006607BB"/>
    <w:rsid w:val="00660854"/>
    <w:rsid w:val="00660CED"/>
    <w:rsid w:val="006610DE"/>
    <w:rsid w:val="006611FB"/>
    <w:rsid w:val="00661261"/>
    <w:rsid w:val="0066131B"/>
    <w:rsid w:val="0066165B"/>
    <w:rsid w:val="006616A3"/>
    <w:rsid w:val="006617A4"/>
    <w:rsid w:val="00661886"/>
    <w:rsid w:val="00661C6E"/>
    <w:rsid w:val="006623A4"/>
    <w:rsid w:val="006624B0"/>
    <w:rsid w:val="006628CF"/>
    <w:rsid w:val="00662B79"/>
    <w:rsid w:val="00662CDC"/>
    <w:rsid w:val="00662E29"/>
    <w:rsid w:val="0066356F"/>
    <w:rsid w:val="00663C97"/>
    <w:rsid w:val="006642E2"/>
    <w:rsid w:val="0066441D"/>
    <w:rsid w:val="0066466C"/>
    <w:rsid w:val="006648D9"/>
    <w:rsid w:val="00664B02"/>
    <w:rsid w:val="00664BF2"/>
    <w:rsid w:val="00664F24"/>
    <w:rsid w:val="006652C9"/>
    <w:rsid w:val="00665659"/>
    <w:rsid w:val="006666EA"/>
    <w:rsid w:val="006667F1"/>
    <w:rsid w:val="006667F5"/>
    <w:rsid w:val="006672A6"/>
    <w:rsid w:val="006674B3"/>
    <w:rsid w:val="00670253"/>
    <w:rsid w:val="00670396"/>
    <w:rsid w:val="006706D3"/>
    <w:rsid w:val="006709E4"/>
    <w:rsid w:val="00670B2D"/>
    <w:rsid w:val="00670F4E"/>
    <w:rsid w:val="006713E1"/>
    <w:rsid w:val="00671CE1"/>
    <w:rsid w:val="00671FEB"/>
    <w:rsid w:val="0067272E"/>
    <w:rsid w:val="00672DF1"/>
    <w:rsid w:val="00672E67"/>
    <w:rsid w:val="00672F66"/>
    <w:rsid w:val="006731BE"/>
    <w:rsid w:val="00673669"/>
    <w:rsid w:val="00673FD7"/>
    <w:rsid w:val="00674BB3"/>
    <w:rsid w:val="00674F38"/>
    <w:rsid w:val="00675227"/>
    <w:rsid w:val="0067564B"/>
    <w:rsid w:val="00675854"/>
    <w:rsid w:val="006762A3"/>
    <w:rsid w:val="006768FA"/>
    <w:rsid w:val="00677029"/>
    <w:rsid w:val="0067754A"/>
    <w:rsid w:val="00677D11"/>
    <w:rsid w:val="00680202"/>
    <w:rsid w:val="006802EB"/>
    <w:rsid w:val="00680E0E"/>
    <w:rsid w:val="006812BD"/>
    <w:rsid w:val="006817C2"/>
    <w:rsid w:val="00681DE4"/>
    <w:rsid w:val="00681E5D"/>
    <w:rsid w:val="00682120"/>
    <w:rsid w:val="0068216E"/>
    <w:rsid w:val="006825A2"/>
    <w:rsid w:val="00682873"/>
    <w:rsid w:val="00682914"/>
    <w:rsid w:val="0068299C"/>
    <w:rsid w:val="00682C84"/>
    <w:rsid w:val="00683E0D"/>
    <w:rsid w:val="006842EC"/>
    <w:rsid w:val="006843D1"/>
    <w:rsid w:val="00684534"/>
    <w:rsid w:val="00685118"/>
    <w:rsid w:val="00685518"/>
    <w:rsid w:val="00685E43"/>
    <w:rsid w:val="0068605F"/>
    <w:rsid w:val="00686679"/>
    <w:rsid w:val="0068684E"/>
    <w:rsid w:val="00686904"/>
    <w:rsid w:val="00686AA0"/>
    <w:rsid w:val="00686B76"/>
    <w:rsid w:val="00686D4E"/>
    <w:rsid w:val="00686DB9"/>
    <w:rsid w:val="00686DD3"/>
    <w:rsid w:val="0068745B"/>
    <w:rsid w:val="00687528"/>
    <w:rsid w:val="0068764C"/>
    <w:rsid w:val="006904C3"/>
    <w:rsid w:val="0069071F"/>
    <w:rsid w:val="00690A31"/>
    <w:rsid w:val="00690D16"/>
    <w:rsid w:val="00690F57"/>
    <w:rsid w:val="00691463"/>
    <w:rsid w:val="00691F8B"/>
    <w:rsid w:val="00692BD1"/>
    <w:rsid w:val="00692FC0"/>
    <w:rsid w:val="006930B8"/>
    <w:rsid w:val="00693547"/>
    <w:rsid w:val="00693A16"/>
    <w:rsid w:val="00693A1E"/>
    <w:rsid w:val="00693FEA"/>
    <w:rsid w:val="00693FFF"/>
    <w:rsid w:val="006941C5"/>
    <w:rsid w:val="00694993"/>
    <w:rsid w:val="00694E9C"/>
    <w:rsid w:val="0069545F"/>
    <w:rsid w:val="0069555C"/>
    <w:rsid w:val="00695689"/>
    <w:rsid w:val="00695D63"/>
    <w:rsid w:val="00695DCC"/>
    <w:rsid w:val="0069600B"/>
    <w:rsid w:val="00696085"/>
    <w:rsid w:val="00696367"/>
    <w:rsid w:val="00696781"/>
    <w:rsid w:val="00696869"/>
    <w:rsid w:val="0069741B"/>
    <w:rsid w:val="00697636"/>
    <w:rsid w:val="00697B23"/>
    <w:rsid w:val="00697BD3"/>
    <w:rsid w:val="006A020B"/>
    <w:rsid w:val="006A0697"/>
    <w:rsid w:val="006A171A"/>
    <w:rsid w:val="006A17BA"/>
    <w:rsid w:val="006A185C"/>
    <w:rsid w:val="006A18F9"/>
    <w:rsid w:val="006A1A7A"/>
    <w:rsid w:val="006A235B"/>
    <w:rsid w:val="006A2424"/>
    <w:rsid w:val="006A2886"/>
    <w:rsid w:val="006A2B09"/>
    <w:rsid w:val="006A2E22"/>
    <w:rsid w:val="006A3004"/>
    <w:rsid w:val="006A3B19"/>
    <w:rsid w:val="006A409D"/>
    <w:rsid w:val="006A42A6"/>
    <w:rsid w:val="006A4332"/>
    <w:rsid w:val="006A443D"/>
    <w:rsid w:val="006A4908"/>
    <w:rsid w:val="006A4AF3"/>
    <w:rsid w:val="006A4E41"/>
    <w:rsid w:val="006A4EC0"/>
    <w:rsid w:val="006A5DA3"/>
    <w:rsid w:val="006A60D0"/>
    <w:rsid w:val="006A6644"/>
    <w:rsid w:val="006A6759"/>
    <w:rsid w:val="006A69CC"/>
    <w:rsid w:val="006A7670"/>
    <w:rsid w:val="006A7717"/>
    <w:rsid w:val="006A77CF"/>
    <w:rsid w:val="006A7802"/>
    <w:rsid w:val="006A7F61"/>
    <w:rsid w:val="006B0A30"/>
    <w:rsid w:val="006B277B"/>
    <w:rsid w:val="006B27A6"/>
    <w:rsid w:val="006B2A81"/>
    <w:rsid w:val="006B2E36"/>
    <w:rsid w:val="006B35B8"/>
    <w:rsid w:val="006B3A71"/>
    <w:rsid w:val="006B3BD6"/>
    <w:rsid w:val="006B3E02"/>
    <w:rsid w:val="006B4240"/>
    <w:rsid w:val="006B43C1"/>
    <w:rsid w:val="006B46CE"/>
    <w:rsid w:val="006B478A"/>
    <w:rsid w:val="006B4A95"/>
    <w:rsid w:val="006B4CE5"/>
    <w:rsid w:val="006B4E0A"/>
    <w:rsid w:val="006B5D43"/>
    <w:rsid w:val="006B5DE6"/>
    <w:rsid w:val="006B60EA"/>
    <w:rsid w:val="006B6123"/>
    <w:rsid w:val="006B620B"/>
    <w:rsid w:val="006B63A4"/>
    <w:rsid w:val="006B66BD"/>
    <w:rsid w:val="006B708E"/>
    <w:rsid w:val="006B70E5"/>
    <w:rsid w:val="006B76E4"/>
    <w:rsid w:val="006B7754"/>
    <w:rsid w:val="006B7784"/>
    <w:rsid w:val="006B7EEE"/>
    <w:rsid w:val="006B7F93"/>
    <w:rsid w:val="006C06DF"/>
    <w:rsid w:val="006C07B1"/>
    <w:rsid w:val="006C0C12"/>
    <w:rsid w:val="006C0C30"/>
    <w:rsid w:val="006C11D1"/>
    <w:rsid w:val="006C1215"/>
    <w:rsid w:val="006C12B1"/>
    <w:rsid w:val="006C17B6"/>
    <w:rsid w:val="006C17DA"/>
    <w:rsid w:val="006C1ADA"/>
    <w:rsid w:val="006C2934"/>
    <w:rsid w:val="006C2A09"/>
    <w:rsid w:val="006C2D34"/>
    <w:rsid w:val="006C2FB0"/>
    <w:rsid w:val="006C3117"/>
    <w:rsid w:val="006C42D6"/>
    <w:rsid w:val="006C4605"/>
    <w:rsid w:val="006C48DF"/>
    <w:rsid w:val="006C4A8E"/>
    <w:rsid w:val="006C4CA9"/>
    <w:rsid w:val="006C4F39"/>
    <w:rsid w:val="006C5127"/>
    <w:rsid w:val="006C51EE"/>
    <w:rsid w:val="006C5454"/>
    <w:rsid w:val="006C5598"/>
    <w:rsid w:val="006C5701"/>
    <w:rsid w:val="006C59DE"/>
    <w:rsid w:val="006C5AC0"/>
    <w:rsid w:val="006C60DA"/>
    <w:rsid w:val="006C6236"/>
    <w:rsid w:val="006C62EB"/>
    <w:rsid w:val="006C639D"/>
    <w:rsid w:val="006C6421"/>
    <w:rsid w:val="006C6DD2"/>
    <w:rsid w:val="006C6FEC"/>
    <w:rsid w:val="006C7C6E"/>
    <w:rsid w:val="006D046B"/>
    <w:rsid w:val="006D06BE"/>
    <w:rsid w:val="006D0C60"/>
    <w:rsid w:val="006D0EB8"/>
    <w:rsid w:val="006D1249"/>
    <w:rsid w:val="006D12F6"/>
    <w:rsid w:val="006D1E5D"/>
    <w:rsid w:val="006D1FD9"/>
    <w:rsid w:val="006D2608"/>
    <w:rsid w:val="006D2B84"/>
    <w:rsid w:val="006D2C90"/>
    <w:rsid w:val="006D2F91"/>
    <w:rsid w:val="006D31CE"/>
    <w:rsid w:val="006D3619"/>
    <w:rsid w:val="006D3967"/>
    <w:rsid w:val="006D3B5D"/>
    <w:rsid w:val="006D4377"/>
    <w:rsid w:val="006D489F"/>
    <w:rsid w:val="006D4F7D"/>
    <w:rsid w:val="006D4FCF"/>
    <w:rsid w:val="006D52F3"/>
    <w:rsid w:val="006D59F5"/>
    <w:rsid w:val="006D6AE9"/>
    <w:rsid w:val="006D6CB0"/>
    <w:rsid w:val="006D6D34"/>
    <w:rsid w:val="006D7316"/>
    <w:rsid w:val="006D772F"/>
    <w:rsid w:val="006D7B5B"/>
    <w:rsid w:val="006E040D"/>
    <w:rsid w:val="006E0959"/>
    <w:rsid w:val="006E0B57"/>
    <w:rsid w:val="006E1171"/>
    <w:rsid w:val="006E1231"/>
    <w:rsid w:val="006E1499"/>
    <w:rsid w:val="006E16A8"/>
    <w:rsid w:val="006E2121"/>
    <w:rsid w:val="006E27BF"/>
    <w:rsid w:val="006E286E"/>
    <w:rsid w:val="006E28C2"/>
    <w:rsid w:val="006E2931"/>
    <w:rsid w:val="006E2B1D"/>
    <w:rsid w:val="006E318B"/>
    <w:rsid w:val="006E3A19"/>
    <w:rsid w:val="006E3A77"/>
    <w:rsid w:val="006E3AB5"/>
    <w:rsid w:val="006E3AF2"/>
    <w:rsid w:val="006E3C27"/>
    <w:rsid w:val="006E3EBA"/>
    <w:rsid w:val="006E4608"/>
    <w:rsid w:val="006E526E"/>
    <w:rsid w:val="006E61A2"/>
    <w:rsid w:val="006E6202"/>
    <w:rsid w:val="006E63A9"/>
    <w:rsid w:val="006E6819"/>
    <w:rsid w:val="006E6AC7"/>
    <w:rsid w:val="006E74DA"/>
    <w:rsid w:val="006E77BC"/>
    <w:rsid w:val="006E7851"/>
    <w:rsid w:val="006E7A16"/>
    <w:rsid w:val="006E7BF5"/>
    <w:rsid w:val="006F0461"/>
    <w:rsid w:val="006F056D"/>
    <w:rsid w:val="006F0D56"/>
    <w:rsid w:val="006F12E8"/>
    <w:rsid w:val="006F134C"/>
    <w:rsid w:val="006F1CEA"/>
    <w:rsid w:val="006F20AB"/>
    <w:rsid w:val="006F23FC"/>
    <w:rsid w:val="006F26E4"/>
    <w:rsid w:val="006F2A6E"/>
    <w:rsid w:val="006F33A3"/>
    <w:rsid w:val="006F3621"/>
    <w:rsid w:val="006F36A6"/>
    <w:rsid w:val="006F385D"/>
    <w:rsid w:val="006F392C"/>
    <w:rsid w:val="006F3958"/>
    <w:rsid w:val="006F3A81"/>
    <w:rsid w:val="006F3C12"/>
    <w:rsid w:val="006F3C71"/>
    <w:rsid w:val="006F41EC"/>
    <w:rsid w:val="006F451C"/>
    <w:rsid w:val="006F4E4C"/>
    <w:rsid w:val="006F558F"/>
    <w:rsid w:val="006F5D49"/>
    <w:rsid w:val="006F5E42"/>
    <w:rsid w:val="006F5E76"/>
    <w:rsid w:val="006F6BA2"/>
    <w:rsid w:val="006F7305"/>
    <w:rsid w:val="006F7537"/>
    <w:rsid w:val="006F77BB"/>
    <w:rsid w:val="006F7C06"/>
    <w:rsid w:val="006F7ED7"/>
    <w:rsid w:val="00700CAA"/>
    <w:rsid w:val="00700F93"/>
    <w:rsid w:val="0070103D"/>
    <w:rsid w:val="00701408"/>
    <w:rsid w:val="00701579"/>
    <w:rsid w:val="0070169F"/>
    <w:rsid w:val="00701C8A"/>
    <w:rsid w:val="00702202"/>
    <w:rsid w:val="007025DF"/>
    <w:rsid w:val="00702879"/>
    <w:rsid w:val="007029CD"/>
    <w:rsid w:val="00702AFE"/>
    <w:rsid w:val="00702B8E"/>
    <w:rsid w:val="00704021"/>
    <w:rsid w:val="00704302"/>
    <w:rsid w:val="007045FD"/>
    <w:rsid w:val="00704803"/>
    <w:rsid w:val="00704B59"/>
    <w:rsid w:val="00704C94"/>
    <w:rsid w:val="00704CBE"/>
    <w:rsid w:val="00705187"/>
    <w:rsid w:val="0070528E"/>
    <w:rsid w:val="0070544F"/>
    <w:rsid w:val="00705475"/>
    <w:rsid w:val="00705719"/>
    <w:rsid w:val="00705B55"/>
    <w:rsid w:val="00705C59"/>
    <w:rsid w:val="00705F36"/>
    <w:rsid w:val="007060D8"/>
    <w:rsid w:val="0070613C"/>
    <w:rsid w:val="007061CD"/>
    <w:rsid w:val="00706578"/>
    <w:rsid w:val="00706727"/>
    <w:rsid w:val="00706C56"/>
    <w:rsid w:val="00706E97"/>
    <w:rsid w:val="00707158"/>
    <w:rsid w:val="007072D9"/>
    <w:rsid w:val="0070739D"/>
    <w:rsid w:val="007073B3"/>
    <w:rsid w:val="0070754B"/>
    <w:rsid w:val="007075A4"/>
    <w:rsid w:val="0071008B"/>
    <w:rsid w:val="007102E8"/>
    <w:rsid w:val="007104D2"/>
    <w:rsid w:val="00710653"/>
    <w:rsid w:val="007109D6"/>
    <w:rsid w:val="00710DB2"/>
    <w:rsid w:val="0071161B"/>
    <w:rsid w:val="00711A3D"/>
    <w:rsid w:val="00711F76"/>
    <w:rsid w:val="00711F9C"/>
    <w:rsid w:val="007127C3"/>
    <w:rsid w:val="007128B2"/>
    <w:rsid w:val="00712B60"/>
    <w:rsid w:val="007133AF"/>
    <w:rsid w:val="0071395B"/>
    <w:rsid w:val="00713C54"/>
    <w:rsid w:val="007141C3"/>
    <w:rsid w:val="0071479D"/>
    <w:rsid w:val="00714950"/>
    <w:rsid w:val="007149E1"/>
    <w:rsid w:val="00714A61"/>
    <w:rsid w:val="00715380"/>
    <w:rsid w:val="0071539B"/>
    <w:rsid w:val="007155CE"/>
    <w:rsid w:val="00715735"/>
    <w:rsid w:val="00716014"/>
    <w:rsid w:val="007160A4"/>
    <w:rsid w:val="00716153"/>
    <w:rsid w:val="007161A2"/>
    <w:rsid w:val="0071665B"/>
    <w:rsid w:val="00716F4B"/>
    <w:rsid w:val="00717367"/>
    <w:rsid w:val="0071790C"/>
    <w:rsid w:val="0072007B"/>
    <w:rsid w:val="00720175"/>
    <w:rsid w:val="00720E2E"/>
    <w:rsid w:val="00720ED4"/>
    <w:rsid w:val="00721108"/>
    <w:rsid w:val="0072187A"/>
    <w:rsid w:val="007218D8"/>
    <w:rsid w:val="00721F87"/>
    <w:rsid w:val="00722383"/>
    <w:rsid w:val="007223D0"/>
    <w:rsid w:val="007224C9"/>
    <w:rsid w:val="00722650"/>
    <w:rsid w:val="00722889"/>
    <w:rsid w:val="00723251"/>
    <w:rsid w:val="00723879"/>
    <w:rsid w:val="00723CDE"/>
    <w:rsid w:val="00723E09"/>
    <w:rsid w:val="0072412E"/>
    <w:rsid w:val="00724155"/>
    <w:rsid w:val="00724165"/>
    <w:rsid w:val="00724374"/>
    <w:rsid w:val="00724BAE"/>
    <w:rsid w:val="00724F2B"/>
    <w:rsid w:val="0072502A"/>
    <w:rsid w:val="00725454"/>
    <w:rsid w:val="0072557D"/>
    <w:rsid w:val="00725642"/>
    <w:rsid w:val="00725B10"/>
    <w:rsid w:val="00725BF5"/>
    <w:rsid w:val="00725C01"/>
    <w:rsid w:val="00726003"/>
    <w:rsid w:val="007260A5"/>
    <w:rsid w:val="007264C3"/>
    <w:rsid w:val="0072665E"/>
    <w:rsid w:val="00726789"/>
    <w:rsid w:val="00726985"/>
    <w:rsid w:val="007269DE"/>
    <w:rsid w:val="00726A04"/>
    <w:rsid w:val="00726C32"/>
    <w:rsid w:val="00726DBD"/>
    <w:rsid w:val="00726F0C"/>
    <w:rsid w:val="0072719A"/>
    <w:rsid w:val="0072734E"/>
    <w:rsid w:val="0072798E"/>
    <w:rsid w:val="007279B3"/>
    <w:rsid w:val="00727A8D"/>
    <w:rsid w:val="00727DEE"/>
    <w:rsid w:val="00730135"/>
    <w:rsid w:val="007302B2"/>
    <w:rsid w:val="00730373"/>
    <w:rsid w:val="00730A94"/>
    <w:rsid w:val="00731239"/>
    <w:rsid w:val="007313CD"/>
    <w:rsid w:val="00731A4C"/>
    <w:rsid w:val="00731DA3"/>
    <w:rsid w:val="00731E78"/>
    <w:rsid w:val="00732178"/>
    <w:rsid w:val="0073254D"/>
    <w:rsid w:val="007327C8"/>
    <w:rsid w:val="00732ED0"/>
    <w:rsid w:val="0073336C"/>
    <w:rsid w:val="0073337E"/>
    <w:rsid w:val="00733436"/>
    <w:rsid w:val="0073355C"/>
    <w:rsid w:val="00733582"/>
    <w:rsid w:val="00733D55"/>
    <w:rsid w:val="0073414B"/>
    <w:rsid w:val="00734759"/>
    <w:rsid w:val="00734CA4"/>
    <w:rsid w:val="007354A6"/>
    <w:rsid w:val="00735E27"/>
    <w:rsid w:val="00736211"/>
    <w:rsid w:val="00736428"/>
    <w:rsid w:val="00736939"/>
    <w:rsid w:val="00736A5B"/>
    <w:rsid w:val="00736ACA"/>
    <w:rsid w:val="0073721A"/>
    <w:rsid w:val="00737EC1"/>
    <w:rsid w:val="00737EE8"/>
    <w:rsid w:val="00740205"/>
    <w:rsid w:val="00740664"/>
    <w:rsid w:val="00740957"/>
    <w:rsid w:val="00740EA4"/>
    <w:rsid w:val="00740F83"/>
    <w:rsid w:val="00741729"/>
    <w:rsid w:val="00741921"/>
    <w:rsid w:val="00741DFC"/>
    <w:rsid w:val="00742050"/>
    <w:rsid w:val="0074240A"/>
    <w:rsid w:val="00742410"/>
    <w:rsid w:val="0074279D"/>
    <w:rsid w:val="007428E9"/>
    <w:rsid w:val="007429A7"/>
    <w:rsid w:val="00742A8D"/>
    <w:rsid w:val="00742C33"/>
    <w:rsid w:val="00742EA4"/>
    <w:rsid w:val="00743064"/>
    <w:rsid w:val="00743A0B"/>
    <w:rsid w:val="00743A9E"/>
    <w:rsid w:val="00743C3D"/>
    <w:rsid w:val="007443FE"/>
    <w:rsid w:val="00744450"/>
    <w:rsid w:val="00744916"/>
    <w:rsid w:val="0074498B"/>
    <w:rsid w:val="00744B57"/>
    <w:rsid w:val="00744C58"/>
    <w:rsid w:val="00744C73"/>
    <w:rsid w:val="00744CD3"/>
    <w:rsid w:val="00744CE3"/>
    <w:rsid w:val="007455B8"/>
    <w:rsid w:val="00745636"/>
    <w:rsid w:val="007458F9"/>
    <w:rsid w:val="00745C68"/>
    <w:rsid w:val="00745D3B"/>
    <w:rsid w:val="00745E3B"/>
    <w:rsid w:val="0074634B"/>
    <w:rsid w:val="007463BA"/>
    <w:rsid w:val="00746450"/>
    <w:rsid w:val="00746772"/>
    <w:rsid w:val="007467D2"/>
    <w:rsid w:val="00746993"/>
    <w:rsid w:val="00746CFB"/>
    <w:rsid w:val="0074704A"/>
    <w:rsid w:val="00747268"/>
    <w:rsid w:val="00747298"/>
    <w:rsid w:val="007475A4"/>
    <w:rsid w:val="00747690"/>
    <w:rsid w:val="007478AA"/>
    <w:rsid w:val="007478B7"/>
    <w:rsid w:val="00747B5B"/>
    <w:rsid w:val="00747C1A"/>
    <w:rsid w:val="00747D7B"/>
    <w:rsid w:val="007503A1"/>
    <w:rsid w:val="0075093F"/>
    <w:rsid w:val="00750A9F"/>
    <w:rsid w:val="00750C1F"/>
    <w:rsid w:val="00750E59"/>
    <w:rsid w:val="00751396"/>
    <w:rsid w:val="00751A9D"/>
    <w:rsid w:val="00751D43"/>
    <w:rsid w:val="00751DE4"/>
    <w:rsid w:val="00751E08"/>
    <w:rsid w:val="00752383"/>
    <w:rsid w:val="00752870"/>
    <w:rsid w:val="00752D20"/>
    <w:rsid w:val="007530FE"/>
    <w:rsid w:val="00753396"/>
    <w:rsid w:val="00753573"/>
    <w:rsid w:val="00753802"/>
    <w:rsid w:val="00753D57"/>
    <w:rsid w:val="007546F7"/>
    <w:rsid w:val="00754771"/>
    <w:rsid w:val="00754EA6"/>
    <w:rsid w:val="00754EB4"/>
    <w:rsid w:val="00754F1B"/>
    <w:rsid w:val="0075513F"/>
    <w:rsid w:val="00755384"/>
    <w:rsid w:val="0075586D"/>
    <w:rsid w:val="007559F1"/>
    <w:rsid w:val="007560FA"/>
    <w:rsid w:val="0075611C"/>
    <w:rsid w:val="007563FD"/>
    <w:rsid w:val="00756DF2"/>
    <w:rsid w:val="00757236"/>
    <w:rsid w:val="0075778B"/>
    <w:rsid w:val="00757A36"/>
    <w:rsid w:val="00757B61"/>
    <w:rsid w:val="00757BBD"/>
    <w:rsid w:val="00757E5F"/>
    <w:rsid w:val="0076031C"/>
    <w:rsid w:val="0076039F"/>
    <w:rsid w:val="007604D7"/>
    <w:rsid w:val="00760938"/>
    <w:rsid w:val="00760A90"/>
    <w:rsid w:val="00760C36"/>
    <w:rsid w:val="00760C4A"/>
    <w:rsid w:val="00760CA5"/>
    <w:rsid w:val="00760D0C"/>
    <w:rsid w:val="00760D55"/>
    <w:rsid w:val="007613A1"/>
    <w:rsid w:val="00761539"/>
    <w:rsid w:val="00761601"/>
    <w:rsid w:val="00761876"/>
    <w:rsid w:val="00762171"/>
    <w:rsid w:val="007624D5"/>
    <w:rsid w:val="007624D7"/>
    <w:rsid w:val="007625DA"/>
    <w:rsid w:val="00762655"/>
    <w:rsid w:val="00762709"/>
    <w:rsid w:val="007629E3"/>
    <w:rsid w:val="00762A57"/>
    <w:rsid w:val="0076335E"/>
    <w:rsid w:val="00763A8A"/>
    <w:rsid w:val="00763AAE"/>
    <w:rsid w:val="00763C1C"/>
    <w:rsid w:val="00763C9F"/>
    <w:rsid w:val="00763D28"/>
    <w:rsid w:val="0076406E"/>
    <w:rsid w:val="00764271"/>
    <w:rsid w:val="0076582A"/>
    <w:rsid w:val="00765881"/>
    <w:rsid w:val="00765B34"/>
    <w:rsid w:val="007661FC"/>
    <w:rsid w:val="007668F9"/>
    <w:rsid w:val="00766EBB"/>
    <w:rsid w:val="007673D3"/>
    <w:rsid w:val="00767989"/>
    <w:rsid w:val="00767B55"/>
    <w:rsid w:val="00767BED"/>
    <w:rsid w:val="00767C82"/>
    <w:rsid w:val="00767E9E"/>
    <w:rsid w:val="007700D0"/>
    <w:rsid w:val="007705EB"/>
    <w:rsid w:val="0077083C"/>
    <w:rsid w:val="007709A7"/>
    <w:rsid w:val="00770ACF"/>
    <w:rsid w:val="00770C5F"/>
    <w:rsid w:val="00770D3A"/>
    <w:rsid w:val="00770F70"/>
    <w:rsid w:val="00770F84"/>
    <w:rsid w:val="007710A1"/>
    <w:rsid w:val="007719E2"/>
    <w:rsid w:val="00771A5C"/>
    <w:rsid w:val="00771A88"/>
    <w:rsid w:val="00771CFF"/>
    <w:rsid w:val="00771E18"/>
    <w:rsid w:val="00771F8E"/>
    <w:rsid w:val="00772341"/>
    <w:rsid w:val="00772DD8"/>
    <w:rsid w:val="00772F70"/>
    <w:rsid w:val="00772FE9"/>
    <w:rsid w:val="00773370"/>
    <w:rsid w:val="00773382"/>
    <w:rsid w:val="00773AAE"/>
    <w:rsid w:val="00773AF0"/>
    <w:rsid w:val="00773BE2"/>
    <w:rsid w:val="00773F79"/>
    <w:rsid w:val="007741E4"/>
    <w:rsid w:val="0077458E"/>
    <w:rsid w:val="00774EA5"/>
    <w:rsid w:val="00774F59"/>
    <w:rsid w:val="00775469"/>
    <w:rsid w:val="00775489"/>
    <w:rsid w:val="00775E76"/>
    <w:rsid w:val="007760BD"/>
    <w:rsid w:val="007760EE"/>
    <w:rsid w:val="00776798"/>
    <w:rsid w:val="0077697F"/>
    <w:rsid w:val="007769D9"/>
    <w:rsid w:val="00776B86"/>
    <w:rsid w:val="007773DD"/>
    <w:rsid w:val="00777709"/>
    <w:rsid w:val="007779F3"/>
    <w:rsid w:val="00777BCC"/>
    <w:rsid w:val="00777D41"/>
    <w:rsid w:val="00777DC4"/>
    <w:rsid w:val="00780364"/>
    <w:rsid w:val="0078063A"/>
    <w:rsid w:val="0078087C"/>
    <w:rsid w:val="00780A4E"/>
    <w:rsid w:val="00780A8D"/>
    <w:rsid w:val="00780C35"/>
    <w:rsid w:val="00780E46"/>
    <w:rsid w:val="00781183"/>
    <w:rsid w:val="007812D8"/>
    <w:rsid w:val="0078130D"/>
    <w:rsid w:val="00781605"/>
    <w:rsid w:val="0078259A"/>
    <w:rsid w:val="00782623"/>
    <w:rsid w:val="00782DC2"/>
    <w:rsid w:val="00782F90"/>
    <w:rsid w:val="00782FD6"/>
    <w:rsid w:val="0078309C"/>
    <w:rsid w:val="00784169"/>
    <w:rsid w:val="007842C9"/>
    <w:rsid w:val="0078449E"/>
    <w:rsid w:val="0078518B"/>
    <w:rsid w:val="007851BB"/>
    <w:rsid w:val="0078535C"/>
    <w:rsid w:val="00785733"/>
    <w:rsid w:val="0078615F"/>
    <w:rsid w:val="007865CF"/>
    <w:rsid w:val="00786A27"/>
    <w:rsid w:val="0078702E"/>
    <w:rsid w:val="00787039"/>
    <w:rsid w:val="00787AD8"/>
    <w:rsid w:val="00787B36"/>
    <w:rsid w:val="00787D48"/>
    <w:rsid w:val="00787ED2"/>
    <w:rsid w:val="00790507"/>
    <w:rsid w:val="0079088B"/>
    <w:rsid w:val="00790A4E"/>
    <w:rsid w:val="00790B7C"/>
    <w:rsid w:val="00791864"/>
    <w:rsid w:val="00792104"/>
    <w:rsid w:val="007921D8"/>
    <w:rsid w:val="0079240E"/>
    <w:rsid w:val="00792884"/>
    <w:rsid w:val="00792DC6"/>
    <w:rsid w:val="00793175"/>
    <w:rsid w:val="00793180"/>
    <w:rsid w:val="007933ED"/>
    <w:rsid w:val="00793772"/>
    <w:rsid w:val="00793B6A"/>
    <w:rsid w:val="00793D3C"/>
    <w:rsid w:val="00793E90"/>
    <w:rsid w:val="007940F2"/>
    <w:rsid w:val="00794209"/>
    <w:rsid w:val="007943BA"/>
    <w:rsid w:val="007944EF"/>
    <w:rsid w:val="007945E1"/>
    <w:rsid w:val="007946BF"/>
    <w:rsid w:val="0079478A"/>
    <w:rsid w:val="00794840"/>
    <w:rsid w:val="00794B08"/>
    <w:rsid w:val="00794CF2"/>
    <w:rsid w:val="00794F39"/>
    <w:rsid w:val="007956D8"/>
    <w:rsid w:val="00795E48"/>
    <w:rsid w:val="00796410"/>
    <w:rsid w:val="00796474"/>
    <w:rsid w:val="0079650B"/>
    <w:rsid w:val="0079655B"/>
    <w:rsid w:val="0079692C"/>
    <w:rsid w:val="00797190"/>
    <w:rsid w:val="00797C6D"/>
    <w:rsid w:val="00797D3B"/>
    <w:rsid w:val="00797EF7"/>
    <w:rsid w:val="007A09C2"/>
    <w:rsid w:val="007A09CB"/>
    <w:rsid w:val="007A09F9"/>
    <w:rsid w:val="007A0AAC"/>
    <w:rsid w:val="007A0B49"/>
    <w:rsid w:val="007A0EAF"/>
    <w:rsid w:val="007A0EBA"/>
    <w:rsid w:val="007A132E"/>
    <w:rsid w:val="007A13CC"/>
    <w:rsid w:val="007A1440"/>
    <w:rsid w:val="007A23D2"/>
    <w:rsid w:val="007A23DC"/>
    <w:rsid w:val="007A2615"/>
    <w:rsid w:val="007A2818"/>
    <w:rsid w:val="007A29BB"/>
    <w:rsid w:val="007A2BA0"/>
    <w:rsid w:val="007A2C4D"/>
    <w:rsid w:val="007A2CE5"/>
    <w:rsid w:val="007A2D18"/>
    <w:rsid w:val="007A343A"/>
    <w:rsid w:val="007A352F"/>
    <w:rsid w:val="007A3566"/>
    <w:rsid w:val="007A3749"/>
    <w:rsid w:val="007A38F4"/>
    <w:rsid w:val="007A3969"/>
    <w:rsid w:val="007A3EB8"/>
    <w:rsid w:val="007A3FBA"/>
    <w:rsid w:val="007A4755"/>
    <w:rsid w:val="007A47E0"/>
    <w:rsid w:val="007A4894"/>
    <w:rsid w:val="007A4BDA"/>
    <w:rsid w:val="007A507A"/>
    <w:rsid w:val="007A51DE"/>
    <w:rsid w:val="007A5704"/>
    <w:rsid w:val="007A582D"/>
    <w:rsid w:val="007A5AFE"/>
    <w:rsid w:val="007A5C56"/>
    <w:rsid w:val="007A5E1C"/>
    <w:rsid w:val="007A666B"/>
    <w:rsid w:val="007A6D8F"/>
    <w:rsid w:val="007A72CC"/>
    <w:rsid w:val="007A74E0"/>
    <w:rsid w:val="007A7543"/>
    <w:rsid w:val="007A7DC5"/>
    <w:rsid w:val="007B00B7"/>
    <w:rsid w:val="007B0254"/>
    <w:rsid w:val="007B040C"/>
    <w:rsid w:val="007B05A0"/>
    <w:rsid w:val="007B08AE"/>
    <w:rsid w:val="007B09F1"/>
    <w:rsid w:val="007B0B12"/>
    <w:rsid w:val="007B0B25"/>
    <w:rsid w:val="007B0E05"/>
    <w:rsid w:val="007B0EF5"/>
    <w:rsid w:val="007B10E6"/>
    <w:rsid w:val="007B1350"/>
    <w:rsid w:val="007B162C"/>
    <w:rsid w:val="007B17D0"/>
    <w:rsid w:val="007B1A0D"/>
    <w:rsid w:val="007B1B1F"/>
    <w:rsid w:val="007B1BBB"/>
    <w:rsid w:val="007B2998"/>
    <w:rsid w:val="007B3520"/>
    <w:rsid w:val="007B3967"/>
    <w:rsid w:val="007B3994"/>
    <w:rsid w:val="007B4A80"/>
    <w:rsid w:val="007B4C87"/>
    <w:rsid w:val="007B5129"/>
    <w:rsid w:val="007B51E5"/>
    <w:rsid w:val="007B5467"/>
    <w:rsid w:val="007B5BB2"/>
    <w:rsid w:val="007B6057"/>
    <w:rsid w:val="007B6112"/>
    <w:rsid w:val="007B6203"/>
    <w:rsid w:val="007B6425"/>
    <w:rsid w:val="007B72E0"/>
    <w:rsid w:val="007B751C"/>
    <w:rsid w:val="007B7D35"/>
    <w:rsid w:val="007C0276"/>
    <w:rsid w:val="007C0525"/>
    <w:rsid w:val="007C07AC"/>
    <w:rsid w:val="007C0873"/>
    <w:rsid w:val="007C09C6"/>
    <w:rsid w:val="007C187C"/>
    <w:rsid w:val="007C1BF5"/>
    <w:rsid w:val="007C2C42"/>
    <w:rsid w:val="007C33B3"/>
    <w:rsid w:val="007C3419"/>
    <w:rsid w:val="007C37BF"/>
    <w:rsid w:val="007C3D60"/>
    <w:rsid w:val="007C41E4"/>
    <w:rsid w:val="007C437D"/>
    <w:rsid w:val="007C493C"/>
    <w:rsid w:val="007C4E02"/>
    <w:rsid w:val="007C4E54"/>
    <w:rsid w:val="007C4F43"/>
    <w:rsid w:val="007C5206"/>
    <w:rsid w:val="007C536E"/>
    <w:rsid w:val="007C5BAD"/>
    <w:rsid w:val="007C5EA3"/>
    <w:rsid w:val="007C6485"/>
    <w:rsid w:val="007C686F"/>
    <w:rsid w:val="007C6A73"/>
    <w:rsid w:val="007C6AC4"/>
    <w:rsid w:val="007C6C31"/>
    <w:rsid w:val="007C6D69"/>
    <w:rsid w:val="007C714A"/>
    <w:rsid w:val="007C73A2"/>
    <w:rsid w:val="007C7505"/>
    <w:rsid w:val="007C755B"/>
    <w:rsid w:val="007C786A"/>
    <w:rsid w:val="007C7DE0"/>
    <w:rsid w:val="007D05D2"/>
    <w:rsid w:val="007D0AB6"/>
    <w:rsid w:val="007D0E02"/>
    <w:rsid w:val="007D12E2"/>
    <w:rsid w:val="007D1497"/>
    <w:rsid w:val="007D183B"/>
    <w:rsid w:val="007D1FC7"/>
    <w:rsid w:val="007D1FED"/>
    <w:rsid w:val="007D232E"/>
    <w:rsid w:val="007D24A6"/>
    <w:rsid w:val="007D2753"/>
    <w:rsid w:val="007D28AB"/>
    <w:rsid w:val="007D29B9"/>
    <w:rsid w:val="007D3688"/>
    <w:rsid w:val="007D3942"/>
    <w:rsid w:val="007D3AA8"/>
    <w:rsid w:val="007D3CA6"/>
    <w:rsid w:val="007D484A"/>
    <w:rsid w:val="007D4A21"/>
    <w:rsid w:val="007D4E53"/>
    <w:rsid w:val="007D4E8E"/>
    <w:rsid w:val="007D50D9"/>
    <w:rsid w:val="007D531D"/>
    <w:rsid w:val="007D5415"/>
    <w:rsid w:val="007D58B6"/>
    <w:rsid w:val="007D5A0A"/>
    <w:rsid w:val="007D5A1D"/>
    <w:rsid w:val="007D63FA"/>
    <w:rsid w:val="007D649B"/>
    <w:rsid w:val="007D6539"/>
    <w:rsid w:val="007D6FEE"/>
    <w:rsid w:val="007D7135"/>
    <w:rsid w:val="007D7AAB"/>
    <w:rsid w:val="007D7B98"/>
    <w:rsid w:val="007D7E2D"/>
    <w:rsid w:val="007D7E83"/>
    <w:rsid w:val="007E00F5"/>
    <w:rsid w:val="007E0535"/>
    <w:rsid w:val="007E0920"/>
    <w:rsid w:val="007E0DB3"/>
    <w:rsid w:val="007E174E"/>
    <w:rsid w:val="007E1A26"/>
    <w:rsid w:val="007E1D5C"/>
    <w:rsid w:val="007E1D61"/>
    <w:rsid w:val="007E200D"/>
    <w:rsid w:val="007E20FA"/>
    <w:rsid w:val="007E2183"/>
    <w:rsid w:val="007E23B9"/>
    <w:rsid w:val="007E27C3"/>
    <w:rsid w:val="007E2C50"/>
    <w:rsid w:val="007E2D8D"/>
    <w:rsid w:val="007E31D0"/>
    <w:rsid w:val="007E36AA"/>
    <w:rsid w:val="007E385B"/>
    <w:rsid w:val="007E3A84"/>
    <w:rsid w:val="007E4460"/>
    <w:rsid w:val="007E4629"/>
    <w:rsid w:val="007E4641"/>
    <w:rsid w:val="007E4C48"/>
    <w:rsid w:val="007E500F"/>
    <w:rsid w:val="007E509C"/>
    <w:rsid w:val="007E5115"/>
    <w:rsid w:val="007E5530"/>
    <w:rsid w:val="007E56C4"/>
    <w:rsid w:val="007E5E1A"/>
    <w:rsid w:val="007E5E60"/>
    <w:rsid w:val="007E6167"/>
    <w:rsid w:val="007E61A7"/>
    <w:rsid w:val="007E63F0"/>
    <w:rsid w:val="007E6698"/>
    <w:rsid w:val="007E6E95"/>
    <w:rsid w:val="007E71B6"/>
    <w:rsid w:val="007E7C59"/>
    <w:rsid w:val="007E7EF1"/>
    <w:rsid w:val="007F09AC"/>
    <w:rsid w:val="007F0A9F"/>
    <w:rsid w:val="007F0C9F"/>
    <w:rsid w:val="007F0F4E"/>
    <w:rsid w:val="007F0F81"/>
    <w:rsid w:val="007F0FCC"/>
    <w:rsid w:val="007F10A9"/>
    <w:rsid w:val="007F1357"/>
    <w:rsid w:val="007F1C54"/>
    <w:rsid w:val="007F1FFA"/>
    <w:rsid w:val="007F205A"/>
    <w:rsid w:val="007F2957"/>
    <w:rsid w:val="007F2DCD"/>
    <w:rsid w:val="007F3459"/>
    <w:rsid w:val="007F3898"/>
    <w:rsid w:val="007F393F"/>
    <w:rsid w:val="007F3EA3"/>
    <w:rsid w:val="007F4216"/>
    <w:rsid w:val="007F4635"/>
    <w:rsid w:val="007F4E42"/>
    <w:rsid w:val="007F54DA"/>
    <w:rsid w:val="007F58FF"/>
    <w:rsid w:val="007F5A84"/>
    <w:rsid w:val="007F5EF1"/>
    <w:rsid w:val="007F5F64"/>
    <w:rsid w:val="007F6606"/>
    <w:rsid w:val="007F68CC"/>
    <w:rsid w:val="007F6F39"/>
    <w:rsid w:val="007F7661"/>
    <w:rsid w:val="007F7911"/>
    <w:rsid w:val="007F7A76"/>
    <w:rsid w:val="007F7BD3"/>
    <w:rsid w:val="0080048D"/>
    <w:rsid w:val="00800852"/>
    <w:rsid w:val="00800FD5"/>
    <w:rsid w:val="008012DC"/>
    <w:rsid w:val="008014A5"/>
    <w:rsid w:val="008015E3"/>
    <w:rsid w:val="0080167C"/>
    <w:rsid w:val="008017FD"/>
    <w:rsid w:val="00801848"/>
    <w:rsid w:val="008028AA"/>
    <w:rsid w:val="00802974"/>
    <w:rsid w:val="00802DA6"/>
    <w:rsid w:val="0080311F"/>
    <w:rsid w:val="008035AA"/>
    <w:rsid w:val="008036B7"/>
    <w:rsid w:val="008036E2"/>
    <w:rsid w:val="00803E52"/>
    <w:rsid w:val="00804383"/>
    <w:rsid w:val="00804CCE"/>
    <w:rsid w:val="008052CA"/>
    <w:rsid w:val="0080546C"/>
    <w:rsid w:val="008059DE"/>
    <w:rsid w:val="00805A6A"/>
    <w:rsid w:val="00805CBE"/>
    <w:rsid w:val="00805E92"/>
    <w:rsid w:val="00805F2C"/>
    <w:rsid w:val="00805F4A"/>
    <w:rsid w:val="00805FB2"/>
    <w:rsid w:val="00805FD8"/>
    <w:rsid w:val="00806158"/>
    <w:rsid w:val="008061A0"/>
    <w:rsid w:val="00806352"/>
    <w:rsid w:val="00806A4A"/>
    <w:rsid w:val="00807111"/>
    <w:rsid w:val="008071E1"/>
    <w:rsid w:val="0080793F"/>
    <w:rsid w:val="0081084F"/>
    <w:rsid w:val="0081095F"/>
    <w:rsid w:val="00810C15"/>
    <w:rsid w:val="00810C1B"/>
    <w:rsid w:val="00810FE3"/>
    <w:rsid w:val="008114BF"/>
    <w:rsid w:val="00811A0D"/>
    <w:rsid w:val="00811AE3"/>
    <w:rsid w:val="00811D63"/>
    <w:rsid w:val="00811E4C"/>
    <w:rsid w:val="00811EC3"/>
    <w:rsid w:val="008122B8"/>
    <w:rsid w:val="00812B78"/>
    <w:rsid w:val="00813218"/>
    <w:rsid w:val="00813762"/>
    <w:rsid w:val="008146DE"/>
    <w:rsid w:val="00814E02"/>
    <w:rsid w:val="00814F6F"/>
    <w:rsid w:val="008151B2"/>
    <w:rsid w:val="008153A0"/>
    <w:rsid w:val="00815531"/>
    <w:rsid w:val="0081563B"/>
    <w:rsid w:val="008158E6"/>
    <w:rsid w:val="00815DD2"/>
    <w:rsid w:val="00815F59"/>
    <w:rsid w:val="00816687"/>
    <w:rsid w:val="0081686B"/>
    <w:rsid w:val="0081697F"/>
    <w:rsid w:val="00816AB3"/>
    <w:rsid w:val="00816D97"/>
    <w:rsid w:val="00817226"/>
    <w:rsid w:val="00817554"/>
    <w:rsid w:val="00817ADD"/>
    <w:rsid w:val="00817F7B"/>
    <w:rsid w:val="00820003"/>
    <w:rsid w:val="00820315"/>
    <w:rsid w:val="00820CAE"/>
    <w:rsid w:val="00820E48"/>
    <w:rsid w:val="008218FB"/>
    <w:rsid w:val="008220D3"/>
    <w:rsid w:val="008225AB"/>
    <w:rsid w:val="008226B5"/>
    <w:rsid w:val="008229BE"/>
    <w:rsid w:val="00822B85"/>
    <w:rsid w:val="00822F11"/>
    <w:rsid w:val="00823641"/>
    <w:rsid w:val="008237AD"/>
    <w:rsid w:val="00823CF2"/>
    <w:rsid w:val="00823DE1"/>
    <w:rsid w:val="00823F2C"/>
    <w:rsid w:val="008242FF"/>
    <w:rsid w:val="0082470E"/>
    <w:rsid w:val="00824AEB"/>
    <w:rsid w:val="008254AD"/>
    <w:rsid w:val="00825E77"/>
    <w:rsid w:val="008260CC"/>
    <w:rsid w:val="00826146"/>
    <w:rsid w:val="008263BA"/>
    <w:rsid w:val="0082668F"/>
    <w:rsid w:val="0082675E"/>
    <w:rsid w:val="0082696A"/>
    <w:rsid w:val="00826B83"/>
    <w:rsid w:val="008271B2"/>
    <w:rsid w:val="00827299"/>
    <w:rsid w:val="00827C6E"/>
    <w:rsid w:val="00827EFC"/>
    <w:rsid w:val="008305C8"/>
    <w:rsid w:val="008310BF"/>
    <w:rsid w:val="008310F2"/>
    <w:rsid w:val="00831584"/>
    <w:rsid w:val="00831EA3"/>
    <w:rsid w:val="008323A2"/>
    <w:rsid w:val="00832465"/>
    <w:rsid w:val="00832CE9"/>
    <w:rsid w:val="0083332E"/>
    <w:rsid w:val="008339D8"/>
    <w:rsid w:val="0083412A"/>
    <w:rsid w:val="00834673"/>
    <w:rsid w:val="00834A53"/>
    <w:rsid w:val="00834B08"/>
    <w:rsid w:val="00835434"/>
    <w:rsid w:val="00835482"/>
    <w:rsid w:val="00835822"/>
    <w:rsid w:val="008359FB"/>
    <w:rsid w:val="008362B5"/>
    <w:rsid w:val="0083657C"/>
    <w:rsid w:val="0083683E"/>
    <w:rsid w:val="00836B69"/>
    <w:rsid w:val="008372EE"/>
    <w:rsid w:val="008374B3"/>
    <w:rsid w:val="008375FB"/>
    <w:rsid w:val="00837BDC"/>
    <w:rsid w:val="00837D22"/>
    <w:rsid w:val="008400AF"/>
    <w:rsid w:val="00840131"/>
    <w:rsid w:val="008402FD"/>
    <w:rsid w:val="008404F5"/>
    <w:rsid w:val="00840580"/>
    <w:rsid w:val="00840E78"/>
    <w:rsid w:val="008415F3"/>
    <w:rsid w:val="0084189C"/>
    <w:rsid w:val="008419CF"/>
    <w:rsid w:val="008422B9"/>
    <w:rsid w:val="00842743"/>
    <w:rsid w:val="00842E3D"/>
    <w:rsid w:val="0084314A"/>
    <w:rsid w:val="008431F5"/>
    <w:rsid w:val="008433E5"/>
    <w:rsid w:val="0084350E"/>
    <w:rsid w:val="00843C85"/>
    <w:rsid w:val="00843D0B"/>
    <w:rsid w:val="00843F48"/>
    <w:rsid w:val="0084403C"/>
    <w:rsid w:val="008444DC"/>
    <w:rsid w:val="00844816"/>
    <w:rsid w:val="00844C91"/>
    <w:rsid w:val="00844E48"/>
    <w:rsid w:val="00845084"/>
    <w:rsid w:val="0084515D"/>
    <w:rsid w:val="0084560C"/>
    <w:rsid w:val="008456F3"/>
    <w:rsid w:val="00845A9B"/>
    <w:rsid w:val="00845B29"/>
    <w:rsid w:val="00845C8D"/>
    <w:rsid w:val="00845E3F"/>
    <w:rsid w:val="00846014"/>
    <w:rsid w:val="0084617F"/>
    <w:rsid w:val="00846218"/>
    <w:rsid w:val="0084641D"/>
    <w:rsid w:val="00846884"/>
    <w:rsid w:val="00846D58"/>
    <w:rsid w:val="00847212"/>
    <w:rsid w:val="0084729B"/>
    <w:rsid w:val="00847BF1"/>
    <w:rsid w:val="00847EB3"/>
    <w:rsid w:val="0085026C"/>
    <w:rsid w:val="0085054C"/>
    <w:rsid w:val="00850A43"/>
    <w:rsid w:val="00850C13"/>
    <w:rsid w:val="00850F4C"/>
    <w:rsid w:val="00851413"/>
    <w:rsid w:val="008514E3"/>
    <w:rsid w:val="00851900"/>
    <w:rsid w:val="00851CE5"/>
    <w:rsid w:val="00851D0D"/>
    <w:rsid w:val="00851F80"/>
    <w:rsid w:val="008521C5"/>
    <w:rsid w:val="008521CD"/>
    <w:rsid w:val="0085222F"/>
    <w:rsid w:val="00852A50"/>
    <w:rsid w:val="00852BC1"/>
    <w:rsid w:val="00852EA3"/>
    <w:rsid w:val="00853134"/>
    <w:rsid w:val="0085335C"/>
    <w:rsid w:val="00853370"/>
    <w:rsid w:val="0085363B"/>
    <w:rsid w:val="0085389B"/>
    <w:rsid w:val="0085399E"/>
    <w:rsid w:val="00853CBC"/>
    <w:rsid w:val="00853E51"/>
    <w:rsid w:val="00854374"/>
    <w:rsid w:val="008547CA"/>
    <w:rsid w:val="00854C29"/>
    <w:rsid w:val="008551AA"/>
    <w:rsid w:val="00855786"/>
    <w:rsid w:val="00855A86"/>
    <w:rsid w:val="008561D0"/>
    <w:rsid w:val="0085653B"/>
    <w:rsid w:val="00856814"/>
    <w:rsid w:val="0085683E"/>
    <w:rsid w:val="00856A5F"/>
    <w:rsid w:val="00856BDA"/>
    <w:rsid w:val="00856C40"/>
    <w:rsid w:val="0085702A"/>
    <w:rsid w:val="008574F3"/>
    <w:rsid w:val="00860787"/>
    <w:rsid w:val="008612B3"/>
    <w:rsid w:val="00861841"/>
    <w:rsid w:val="00861B82"/>
    <w:rsid w:val="00861B8F"/>
    <w:rsid w:val="00862181"/>
    <w:rsid w:val="00862200"/>
    <w:rsid w:val="008626EC"/>
    <w:rsid w:val="00862EAF"/>
    <w:rsid w:val="0086388F"/>
    <w:rsid w:val="00863EC6"/>
    <w:rsid w:val="00864573"/>
    <w:rsid w:val="008646F2"/>
    <w:rsid w:val="0086474D"/>
    <w:rsid w:val="008647C7"/>
    <w:rsid w:val="00864845"/>
    <w:rsid w:val="0086490F"/>
    <w:rsid w:val="0086493A"/>
    <w:rsid w:val="00864A24"/>
    <w:rsid w:val="00864D10"/>
    <w:rsid w:val="0086502E"/>
    <w:rsid w:val="008655C9"/>
    <w:rsid w:val="008656D7"/>
    <w:rsid w:val="00865927"/>
    <w:rsid w:val="00866655"/>
    <w:rsid w:val="00866A8F"/>
    <w:rsid w:val="008670FA"/>
    <w:rsid w:val="0086710B"/>
    <w:rsid w:val="008672E7"/>
    <w:rsid w:val="0086739C"/>
    <w:rsid w:val="0086777D"/>
    <w:rsid w:val="008679A2"/>
    <w:rsid w:val="008703F2"/>
    <w:rsid w:val="008704B2"/>
    <w:rsid w:val="0087092E"/>
    <w:rsid w:val="00870A1A"/>
    <w:rsid w:val="00870DB1"/>
    <w:rsid w:val="00871978"/>
    <w:rsid w:val="00871BD5"/>
    <w:rsid w:val="0087234B"/>
    <w:rsid w:val="00872448"/>
    <w:rsid w:val="00872794"/>
    <w:rsid w:val="00872DD1"/>
    <w:rsid w:val="008731C3"/>
    <w:rsid w:val="0087378A"/>
    <w:rsid w:val="008740ED"/>
    <w:rsid w:val="00874411"/>
    <w:rsid w:val="00874535"/>
    <w:rsid w:val="008748BF"/>
    <w:rsid w:val="00874B0B"/>
    <w:rsid w:val="00874BEE"/>
    <w:rsid w:val="00874F58"/>
    <w:rsid w:val="00874F82"/>
    <w:rsid w:val="00875102"/>
    <w:rsid w:val="008753CF"/>
    <w:rsid w:val="00875471"/>
    <w:rsid w:val="00875766"/>
    <w:rsid w:val="008758F1"/>
    <w:rsid w:val="00875FA4"/>
    <w:rsid w:val="008760B3"/>
    <w:rsid w:val="0087699A"/>
    <w:rsid w:val="00876BAD"/>
    <w:rsid w:val="00876D04"/>
    <w:rsid w:val="00876F25"/>
    <w:rsid w:val="0087722A"/>
    <w:rsid w:val="0087747F"/>
    <w:rsid w:val="00877534"/>
    <w:rsid w:val="0088040F"/>
    <w:rsid w:val="00880625"/>
    <w:rsid w:val="00880B0E"/>
    <w:rsid w:val="0088116A"/>
    <w:rsid w:val="008814B2"/>
    <w:rsid w:val="00881819"/>
    <w:rsid w:val="008818AB"/>
    <w:rsid w:val="0088199E"/>
    <w:rsid w:val="00881BC0"/>
    <w:rsid w:val="00881BEB"/>
    <w:rsid w:val="00881EE0"/>
    <w:rsid w:val="008821CC"/>
    <w:rsid w:val="00882203"/>
    <w:rsid w:val="008824EE"/>
    <w:rsid w:val="008826CA"/>
    <w:rsid w:val="0088278A"/>
    <w:rsid w:val="0088371E"/>
    <w:rsid w:val="00883E6A"/>
    <w:rsid w:val="00884650"/>
    <w:rsid w:val="008847F0"/>
    <w:rsid w:val="00884D35"/>
    <w:rsid w:val="0088508E"/>
    <w:rsid w:val="00885E19"/>
    <w:rsid w:val="00886058"/>
    <w:rsid w:val="008863D8"/>
    <w:rsid w:val="008865F1"/>
    <w:rsid w:val="00886B43"/>
    <w:rsid w:val="008871DD"/>
    <w:rsid w:val="00887347"/>
    <w:rsid w:val="0088766A"/>
    <w:rsid w:val="0088787A"/>
    <w:rsid w:val="00887AF6"/>
    <w:rsid w:val="00887E1A"/>
    <w:rsid w:val="00890110"/>
    <w:rsid w:val="00890286"/>
    <w:rsid w:val="0089081A"/>
    <w:rsid w:val="00891295"/>
    <w:rsid w:val="008918E8"/>
    <w:rsid w:val="00891D5F"/>
    <w:rsid w:val="00892296"/>
    <w:rsid w:val="008925AF"/>
    <w:rsid w:val="0089265F"/>
    <w:rsid w:val="0089270C"/>
    <w:rsid w:val="00892C8C"/>
    <w:rsid w:val="0089305D"/>
    <w:rsid w:val="0089349D"/>
    <w:rsid w:val="008934C0"/>
    <w:rsid w:val="008936B8"/>
    <w:rsid w:val="008939EC"/>
    <w:rsid w:val="00893AC3"/>
    <w:rsid w:val="00893D91"/>
    <w:rsid w:val="00894045"/>
    <w:rsid w:val="008941B5"/>
    <w:rsid w:val="0089424E"/>
    <w:rsid w:val="0089469D"/>
    <w:rsid w:val="008948A3"/>
    <w:rsid w:val="0089494B"/>
    <w:rsid w:val="0089498D"/>
    <w:rsid w:val="00894A08"/>
    <w:rsid w:val="00895B35"/>
    <w:rsid w:val="008960A1"/>
    <w:rsid w:val="00896684"/>
    <w:rsid w:val="008966FF"/>
    <w:rsid w:val="00896B26"/>
    <w:rsid w:val="00896B42"/>
    <w:rsid w:val="00896CAF"/>
    <w:rsid w:val="00896CE6"/>
    <w:rsid w:val="00896E3A"/>
    <w:rsid w:val="008977F3"/>
    <w:rsid w:val="00897ACD"/>
    <w:rsid w:val="00897BB6"/>
    <w:rsid w:val="008A022A"/>
    <w:rsid w:val="008A026C"/>
    <w:rsid w:val="008A10E9"/>
    <w:rsid w:val="008A140D"/>
    <w:rsid w:val="008A1602"/>
    <w:rsid w:val="008A195E"/>
    <w:rsid w:val="008A2025"/>
    <w:rsid w:val="008A2162"/>
    <w:rsid w:val="008A28C6"/>
    <w:rsid w:val="008A2A06"/>
    <w:rsid w:val="008A2B0E"/>
    <w:rsid w:val="008A32BE"/>
    <w:rsid w:val="008A3504"/>
    <w:rsid w:val="008A381E"/>
    <w:rsid w:val="008A393E"/>
    <w:rsid w:val="008A3EB1"/>
    <w:rsid w:val="008A3EDC"/>
    <w:rsid w:val="008A4FA9"/>
    <w:rsid w:val="008A504E"/>
    <w:rsid w:val="008A5739"/>
    <w:rsid w:val="008A59D1"/>
    <w:rsid w:val="008A5A1C"/>
    <w:rsid w:val="008A5D63"/>
    <w:rsid w:val="008A60A1"/>
    <w:rsid w:val="008A6479"/>
    <w:rsid w:val="008A6D21"/>
    <w:rsid w:val="008A701F"/>
    <w:rsid w:val="008A706B"/>
    <w:rsid w:val="008A71D4"/>
    <w:rsid w:val="008A77C2"/>
    <w:rsid w:val="008A799C"/>
    <w:rsid w:val="008A7D14"/>
    <w:rsid w:val="008B003B"/>
    <w:rsid w:val="008B057B"/>
    <w:rsid w:val="008B05D0"/>
    <w:rsid w:val="008B05E9"/>
    <w:rsid w:val="008B0611"/>
    <w:rsid w:val="008B088A"/>
    <w:rsid w:val="008B0DDF"/>
    <w:rsid w:val="008B1512"/>
    <w:rsid w:val="008B1A67"/>
    <w:rsid w:val="008B1A87"/>
    <w:rsid w:val="008B244A"/>
    <w:rsid w:val="008B2BB8"/>
    <w:rsid w:val="008B2CD5"/>
    <w:rsid w:val="008B2D0B"/>
    <w:rsid w:val="008B3103"/>
    <w:rsid w:val="008B3835"/>
    <w:rsid w:val="008B3B8A"/>
    <w:rsid w:val="008B4139"/>
    <w:rsid w:val="008B4F73"/>
    <w:rsid w:val="008B50B6"/>
    <w:rsid w:val="008B549D"/>
    <w:rsid w:val="008B5764"/>
    <w:rsid w:val="008B5ADD"/>
    <w:rsid w:val="008B5B0E"/>
    <w:rsid w:val="008B5C1D"/>
    <w:rsid w:val="008B6197"/>
    <w:rsid w:val="008B6206"/>
    <w:rsid w:val="008B6532"/>
    <w:rsid w:val="008B68FF"/>
    <w:rsid w:val="008B75EA"/>
    <w:rsid w:val="008B7709"/>
    <w:rsid w:val="008B7E92"/>
    <w:rsid w:val="008C00D5"/>
    <w:rsid w:val="008C034E"/>
    <w:rsid w:val="008C07FF"/>
    <w:rsid w:val="008C096A"/>
    <w:rsid w:val="008C09E6"/>
    <w:rsid w:val="008C0B6B"/>
    <w:rsid w:val="008C0CE4"/>
    <w:rsid w:val="008C0D27"/>
    <w:rsid w:val="008C0FF4"/>
    <w:rsid w:val="008C14D4"/>
    <w:rsid w:val="008C1A9D"/>
    <w:rsid w:val="008C1F59"/>
    <w:rsid w:val="008C20C8"/>
    <w:rsid w:val="008C22B8"/>
    <w:rsid w:val="008C2635"/>
    <w:rsid w:val="008C27E3"/>
    <w:rsid w:val="008C2978"/>
    <w:rsid w:val="008C2B18"/>
    <w:rsid w:val="008C31A5"/>
    <w:rsid w:val="008C3396"/>
    <w:rsid w:val="008C350E"/>
    <w:rsid w:val="008C35F7"/>
    <w:rsid w:val="008C38AC"/>
    <w:rsid w:val="008C3B08"/>
    <w:rsid w:val="008C3E3F"/>
    <w:rsid w:val="008C3EF6"/>
    <w:rsid w:val="008C440F"/>
    <w:rsid w:val="008C51C9"/>
    <w:rsid w:val="008C5275"/>
    <w:rsid w:val="008C5560"/>
    <w:rsid w:val="008C5A78"/>
    <w:rsid w:val="008C5AFC"/>
    <w:rsid w:val="008C6727"/>
    <w:rsid w:val="008C69C0"/>
    <w:rsid w:val="008C6A84"/>
    <w:rsid w:val="008C6B2B"/>
    <w:rsid w:val="008C6BAA"/>
    <w:rsid w:val="008C6FA9"/>
    <w:rsid w:val="008C7597"/>
    <w:rsid w:val="008C75D7"/>
    <w:rsid w:val="008C7EF6"/>
    <w:rsid w:val="008C7F52"/>
    <w:rsid w:val="008C7F9E"/>
    <w:rsid w:val="008D018A"/>
    <w:rsid w:val="008D0345"/>
    <w:rsid w:val="008D051E"/>
    <w:rsid w:val="008D0753"/>
    <w:rsid w:val="008D0A04"/>
    <w:rsid w:val="008D0B81"/>
    <w:rsid w:val="008D0FB7"/>
    <w:rsid w:val="008D14F7"/>
    <w:rsid w:val="008D1856"/>
    <w:rsid w:val="008D2533"/>
    <w:rsid w:val="008D2676"/>
    <w:rsid w:val="008D28A4"/>
    <w:rsid w:val="008D2A97"/>
    <w:rsid w:val="008D2AB1"/>
    <w:rsid w:val="008D2AE7"/>
    <w:rsid w:val="008D2C41"/>
    <w:rsid w:val="008D2C9C"/>
    <w:rsid w:val="008D30B9"/>
    <w:rsid w:val="008D34B2"/>
    <w:rsid w:val="008D3B49"/>
    <w:rsid w:val="008D3D43"/>
    <w:rsid w:val="008D3DDE"/>
    <w:rsid w:val="008D41BB"/>
    <w:rsid w:val="008D432A"/>
    <w:rsid w:val="008D46B4"/>
    <w:rsid w:val="008D473E"/>
    <w:rsid w:val="008D50AB"/>
    <w:rsid w:val="008D50C8"/>
    <w:rsid w:val="008D5525"/>
    <w:rsid w:val="008D5C4F"/>
    <w:rsid w:val="008D5FA5"/>
    <w:rsid w:val="008D5FF4"/>
    <w:rsid w:val="008D604E"/>
    <w:rsid w:val="008D6229"/>
    <w:rsid w:val="008D64D0"/>
    <w:rsid w:val="008D65C2"/>
    <w:rsid w:val="008D6753"/>
    <w:rsid w:val="008D6E3D"/>
    <w:rsid w:val="008D7297"/>
    <w:rsid w:val="008D7643"/>
    <w:rsid w:val="008D78E3"/>
    <w:rsid w:val="008D78E6"/>
    <w:rsid w:val="008D7B09"/>
    <w:rsid w:val="008D7CEE"/>
    <w:rsid w:val="008D7DA5"/>
    <w:rsid w:val="008D7E71"/>
    <w:rsid w:val="008E0120"/>
    <w:rsid w:val="008E0348"/>
    <w:rsid w:val="008E05EF"/>
    <w:rsid w:val="008E0878"/>
    <w:rsid w:val="008E0AB2"/>
    <w:rsid w:val="008E0C3A"/>
    <w:rsid w:val="008E0D1D"/>
    <w:rsid w:val="008E0D58"/>
    <w:rsid w:val="008E0E19"/>
    <w:rsid w:val="008E120A"/>
    <w:rsid w:val="008E149A"/>
    <w:rsid w:val="008E19FA"/>
    <w:rsid w:val="008E1B7E"/>
    <w:rsid w:val="008E1CBE"/>
    <w:rsid w:val="008E1F3D"/>
    <w:rsid w:val="008E21DE"/>
    <w:rsid w:val="008E22B9"/>
    <w:rsid w:val="008E246A"/>
    <w:rsid w:val="008E299C"/>
    <w:rsid w:val="008E2EBB"/>
    <w:rsid w:val="008E2F47"/>
    <w:rsid w:val="008E31BB"/>
    <w:rsid w:val="008E3590"/>
    <w:rsid w:val="008E3A6F"/>
    <w:rsid w:val="008E40CB"/>
    <w:rsid w:val="008E471B"/>
    <w:rsid w:val="008E4CC9"/>
    <w:rsid w:val="008E4EC9"/>
    <w:rsid w:val="008E5071"/>
    <w:rsid w:val="008E539E"/>
    <w:rsid w:val="008E5780"/>
    <w:rsid w:val="008E5920"/>
    <w:rsid w:val="008E5FE5"/>
    <w:rsid w:val="008E60FF"/>
    <w:rsid w:val="008E6154"/>
    <w:rsid w:val="008E659F"/>
    <w:rsid w:val="008E6E70"/>
    <w:rsid w:val="008E718F"/>
    <w:rsid w:val="008E76C3"/>
    <w:rsid w:val="008E77E2"/>
    <w:rsid w:val="008F0E8D"/>
    <w:rsid w:val="008F1341"/>
    <w:rsid w:val="008F1543"/>
    <w:rsid w:val="008F1D75"/>
    <w:rsid w:val="008F1DF1"/>
    <w:rsid w:val="008F1FBD"/>
    <w:rsid w:val="008F21D4"/>
    <w:rsid w:val="008F225E"/>
    <w:rsid w:val="008F2F9F"/>
    <w:rsid w:val="008F3211"/>
    <w:rsid w:val="008F3792"/>
    <w:rsid w:val="008F3EE3"/>
    <w:rsid w:val="008F3EF7"/>
    <w:rsid w:val="008F412A"/>
    <w:rsid w:val="008F4330"/>
    <w:rsid w:val="008F4542"/>
    <w:rsid w:val="008F48B1"/>
    <w:rsid w:val="008F4ECF"/>
    <w:rsid w:val="008F564D"/>
    <w:rsid w:val="008F5984"/>
    <w:rsid w:val="008F5BA2"/>
    <w:rsid w:val="008F5CCA"/>
    <w:rsid w:val="008F5E36"/>
    <w:rsid w:val="008F5F6C"/>
    <w:rsid w:val="008F6087"/>
    <w:rsid w:val="008F66A1"/>
    <w:rsid w:val="008F6890"/>
    <w:rsid w:val="008F7087"/>
    <w:rsid w:val="008F70B9"/>
    <w:rsid w:val="008F75A6"/>
    <w:rsid w:val="008F7616"/>
    <w:rsid w:val="008F793D"/>
    <w:rsid w:val="008F7F24"/>
    <w:rsid w:val="008F7F42"/>
    <w:rsid w:val="00900BBA"/>
    <w:rsid w:val="00900BC0"/>
    <w:rsid w:val="00901012"/>
    <w:rsid w:val="00901054"/>
    <w:rsid w:val="00901C98"/>
    <w:rsid w:val="00901EAF"/>
    <w:rsid w:val="009025A9"/>
    <w:rsid w:val="009025BF"/>
    <w:rsid w:val="00902626"/>
    <w:rsid w:val="0090280A"/>
    <w:rsid w:val="00902896"/>
    <w:rsid w:val="00902930"/>
    <w:rsid w:val="00902992"/>
    <w:rsid w:val="00902D0C"/>
    <w:rsid w:val="00902EB9"/>
    <w:rsid w:val="009030AD"/>
    <w:rsid w:val="009037E8"/>
    <w:rsid w:val="00904147"/>
    <w:rsid w:val="009045CA"/>
    <w:rsid w:val="009047F0"/>
    <w:rsid w:val="0090483A"/>
    <w:rsid w:val="00904D87"/>
    <w:rsid w:val="00905173"/>
    <w:rsid w:val="009051CA"/>
    <w:rsid w:val="009059DB"/>
    <w:rsid w:val="00905ADF"/>
    <w:rsid w:val="00905BB6"/>
    <w:rsid w:val="009069F5"/>
    <w:rsid w:val="009070E6"/>
    <w:rsid w:val="0090723E"/>
    <w:rsid w:val="00907634"/>
    <w:rsid w:val="00907A3C"/>
    <w:rsid w:val="00907EE6"/>
    <w:rsid w:val="009100FC"/>
    <w:rsid w:val="0091048B"/>
    <w:rsid w:val="009104B4"/>
    <w:rsid w:val="00910FAD"/>
    <w:rsid w:val="00911214"/>
    <w:rsid w:val="00911985"/>
    <w:rsid w:val="00911DB7"/>
    <w:rsid w:val="00911E5C"/>
    <w:rsid w:val="00912026"/>
    <w:rsid w:val="00912759"/>
    <w:rsid w:val="00912A26"/>
    <w:rsid w:val="00912D08"/>
    <w:rsid w:val="00913897"/>
    <w:rsid w:val="00913B3B"/>
    <w:rsid w:val="00914B09"/>
    <w:rsid w:val="009153D4"/>
    <w:rsid w:val="0091545E"/>
    <w:rsid w:val="00915500"/>
    <w:rsid w:val="00915DE0"/>
    <w:rsid w:val="00915EC6"/>
    <w:rsid w:val="00915ED4"/>
    <w:rsid w:val="00915F0C"/>
    <w:rsid w:val="009160D3"/>
    <w:rsid w:val="009161B9"/>
    <w:rsid w:val="009162A4"/>
    <w:rsid w:val="009162CD"/>
    <w:rsid w:val="009163A9"/>
    <w:rsid w:val="009164D3"/>
    <w:rsid w:val="00916776"/>
    <w:rsid w:val="009167BC"/>
    <w:rsid w:val="00916861"/>
    <w:rsid w:val="009168AE"/>
    <w:rsid w:val="0091690D"/>
    <w:rsid w:val="00916BC4"/>
    <w:rsid w:val="00916C19"/>
    <w:rsid w:val="00916EC6"/>
    <w:rsid w:val="009170C6"/>
    <w:rsid w:val="00917965"/>
    <w:rsid w:val="00917B61"/>
    <w:rsid w:val="00917C3B"/>
    <w:rsid w:val="00917C68"/>
    <w:rsid w:val="009201AB"/>
    <w:rsid w:val="0092027A"/>
    <w:rsid w:val="009202ED"/>
    <w:rsid w:val="009203AA"/>
    <w:rsid w:val="009204DE"/>
    <w:rsid w:val="00920ADE"/>
    <w:rsid w:val="00920C75"/>
    <w:rsid w:val="00921366"/>
    <w:rsid w:val="00921907"/>
    <w:rsid w:val="0092242A"/>
    <w:rsid w:val="0092246A"/>
    <w:rsid w:val="0092256A"/>
    <w:rsid w:val="00922A15"/>
    <w:rsid w:val="00922A62"/>
    <w:rsid w:val="00922CBF"/>
    <w:rsid w:val="0092315F"/>
    <w:rsid w:val="00923A7C"/>
    <w:rsid w:val="00923AE4"/>
    <w:rsid w:val="00923B81"/>
    <w:rsid w:val="00923D29"/>
    <w:rsid w:val="00923F55"/>
    <w:rsid w:val="0092407E"/>
    <w:rsid w:val="0092431E"/>
    <w:rsid w:val="009245C6"/>
    <w:rsid w:val="009246AE"/>
    <w:rsid w:val="009246E3"/>
    <w:rsid w:val="00924B17"/>
    <w:rsid w:val="0092535F"/>
    <w:rsid w:val="009258FD"/>
    <w:rsid w:val="00925BAC"/>
    <w:rsid w:val="00925CC4"/>
    <w:rsid w:val="009269EB"/>
    <w:rsid w:val="0092751B"/>
    <w:rsid w:val="00927565"/>
    <w:rsid w:val="00927905"/>
    <w:rsid w:val="00927BA8"/>
    <w:rsid w:val="00927FB4"/>
    <w:rsid w:val="00930A59"/>
    <w:rsid w:val="00930AEC"/>
    <w:rsid w:val="00930C90"/>
    <w:rsid w:val="00930CB3"/>
    <w:rsid w:val="0093148C"/>
    <w:rsid w:val="00931CD0"/>
    <w:rsid w:val="00932125"/>
    <w:rsid w:val="0093231C"/>
    <w:rsid w:val="00932510"/>
    <w:rsid w:val="0093277B"/>
    <w:rsid w:val="009327D0"/>
    <w:rsid w:val="00932C6F"/>
    <w:rsid w:val="00932FE4"/>
    <w:rsid w:val="009334C8"/>
    <w:rsid w:val="00933531"/>
    <w:rsid w:val="00933AD0"/>
    <w:rsid w:val="00933E39"/>
    <w:rsid w:val="00933FD0"/>
    <w:rsid w:val="009341C4"/>
    <w:rsid w:val="0093443F"/>
    <w:rsid w:val="0093480A"/>
    <w:rsid w:val="009349BF"/>
    <w:rsid w:val="00934ACB"/>
    <w:rsid w:val="00934E8F"/>
    <w:rsid w:val="00934EF2"/>
    <w:rsid w:val="009350D3"/>
    <w:rsid w:val="00935261"/>
    <w:rsid w:val="0093594C"/>
    <w:rsid w:val="00935BF8"/>
    <w:rsid w:val="00935C5D"/>
    <w:rsid w:val="00935D72"/>
    <w:rsid w:val="00935F81"/>
    <w:rsid w:val="00935FC3"/>
    <w:rsid w:val="00936070"/>
    <w:rsid w:val="009360EB"/>
    <w:rsid w:val="00937378"/>
    <w:rsid w:val="00940099"/>
    <w:rsid w:val="0094041B"/>
    <w:rsid w:val="00940B99"/>
    <w:rsid w:val="00940EF8"/>
    <w:rsid w:val="0094179F"/>
    <w:rsid w:val="0094190A"/>
    <w:rsid w:val="009419AF"/>
    <w:rsid w:val="009419D8"/>
    <w:rsid w:val="00941E7C"/>
    <w:rsid w:val="00941F99"/>
    <w:rsid w:val="0094227E"/>
    <w:rsid w:val="00942527"/>
    <w:rsid w:val="00942E3C"/>
    <w:rsid w:val="00943338"/>
    <w:rsid w:val="00943551"/>
    <w:rsid w:val="00943D42"/>
    <w:rsid w:val="00944811"/>
    <w:rsid w:val="00944A04"/>
    <w:rsid w:val="00944CD1"/>
    <w:rsid w:val="00945113"/>
    <w:rsid w:val="009451CA"/>
    <w:rsid w:val="00945203"/>
    <w:rsid w:val="00945543"/>
    <w:rsid w:val="0094591D"/>
    <w:rsid w:val="009459DA"/>
    <w:rsid w:val="00945F55"/>
    <w:rsid w:val="00946024"/>
    <w:rsid w:val="00946511"/>
    <w:rsid w:val="009468B4"/>
    <w:rsid w:val="0094690D"/>
    <w:rsid w:val="00946B83"/>
    <w:rsid w:val="00946F86"/>
    <w:rsid w:val="009471CF"/>
    <w:rsid w:val="0094744F"/>
    <w:rsid w:val="009477F8"/>
    <w:rsid w:val="0094788F"/>
    <w:rsid w:val="00947BD6"/>
    <w:rsid w:val="00947C95"/>
    <w:rsid w:val="00947CDE"/>
    <w:rsid w:val="00947CEE"/>
    <w:rsid w:val="00947E79"/>
    <w:rsid w:val="009501F8"/>
    <w:rsid w:val="0095055E"/>
    <w:rsid w:val="009506F2"/>
    <w:rsid w:val="00950751"/>
    <w:rsid w:val="009507F4"/>
    <w:rsid w:val="00950843"/>
    <w:rsid w:val="0095108F"/>
    <w:rsid w:val="00951442"/>
    <w:rsid w:val="00951B79"/>
    <w:rsid w:val="00952257"/>
    <w:rsid w:val="00952597"/>
    <w:rsid w:val="009526AD"/>
    <w:rsid w:val="00952A8B"/>
    <w:rsid w:val="00952AF0"/>
    <w:rsid w:val="00952E48"/>
    <w:rsid w:val="00953065"/>
    <w:rsid w:val="009530B8"/>
    <w:rsid w:val="00953237"/>
    <w:rsid w:val="0095369C"/>
    <w:rsid w:val="00953703"/>
    <w:rsid w:val="00953784"/>
    <w:rsid w:val="00953952"/>
    <w:rsid w:val="009544BD"/>
    <w:rsid w:val="00954C11"/>
    <w:rsid w:val="00954DE7"/>
    <w:rsid w:val="0095567D"/>
    <w:rsid w:val="00955689"/>
    <w:rsid w:val="009558A2"/>
    <w:rsid w:val="009567CA"/>
    <w:rsid w:val="00956811"/>
    <w:rsid w:val="009578AC"/>
    <w:rsid w:val="00957F1B"/>
    <w:rsid w:val="009602CE"/>
    <w:rsid w:val="00960598"/>
    <w:rsid w:val="009608B1"/>
    <w:rsid w:val="009609EC"/>
    <w:rsid w:val="00960D7F"/>
    <w:rsid w:val="00961462"/>
    <w:rsid w:val="00961657"/>
    <w:rsid w:val="00961658"/>
    <w:rsid w:val="009616CB"/>
    <w:rsid w:val="00962208"/>
    <w:rsid w:val="009622F8"/>
    <w:rsid w:val="009626C5"/>
    <w:rsid w:val="00962D2C"/>
    <w:rsid w:val="0096313C"/>
    <w:rsid w:val="009632E0"/>
    <w:rsid w:val="0096348A"/>
    <w:rsid w:val="0096387E"/>
    <w:rsid w:val="00963892"/>
    <w:rsid w:val="009638D2"/>
    <w:rsid w:val="00963906"/>
    <w:rsid w:val="0096390E"/>
    <w:rsid w:val="0096445C"/>
    <w:rsid w:val="00964773"/>
    <w:rsid w:val="009651F6"/>
    <w:rsid w:val="00965869"/>
    <w:rsid w:val="00965968"/>
    <w:rsid w:val="0096605E"/>
    <w:rsid w:val="00966C8F"/>
    <w:rsid w:val="00967154"/>
    <w:rsid w:val="0096742D"/>
    <w:rsid w:val="009674F6"/>
    <w:rsid w:val="00967600"/>
    <w:rsid w:val="00967DE6"/>
    <w:rsid w:val="00967EB2"/>
    <w:rsid w:val="00967F39"/>
    <w:rsid w:val="00970B99"/>
    <w:rsid w:val="00970E29"/>
    <w:rsid w:val="00971632"/>
    <w:rsid w:val="009718F1"/>
    <w:rsid w:val="00971931"/>
    <w:rsid w:val="00972119"/>
    <w:rsid w:val="009725A3"/>
    <w:rsid w:val="0097291D"/>
    <w:rsid w:val="00972DA7"/>
    <w:rsid w:val="00972DED"/>
    <w:rsid w:val="00973251"/>
    <w:rsid w:val="009734FF"/>
    <w:rsid w:val="009736AB"/>
    <w:rsid w:val="00973853"/>
    <w:rsid w:val="00973960"/>
    <w:rsid w:val="00973DA1"/>
    <w:rsid w:val="00973EEB"/>
    <w:rsid w:val="009740B0"/>
    <w:rsid w:val="009744F4"/>
    <w:rsid w:val="00974627"/>
    <w:rsid w:val="009747B4"/>
    <w:rsid w:val="00974B51"/>
    <w:rsid w:val="00974B57"/>
    <w:rsid w:val="00975348"/>
    <w:rsid w:val="00975431"/>
    <w:rsid w:val="009755DB"/>
    <w:rsid w:val="00975706"/>
    <w:rsid w:val="00975D44"/>
    <w:rsid w:val="0097658D"/>
    <w:rsid w:val="009768DC"/>
    <w:rsid w:val="00976B79"/>
    <w:rsid w:val="00976E63"/>
    <w:rsid w:val="0097718B"/>
    <w:rsid w:val="00977330"/>
    <w:rsid w:val="0097751B"/>
    <w:rsid w:val="009778D2"/>
    <w:rsid w:val="00977961"/>
    <w:rsid w:val="00977966"/>
    <w:rsid w:val="00977DCC"/>
    <w:rsid w:val="00977E7D"/>
    <w:rsid w:val="0098061E"/>
    <w:rsid w:val="0098083F"/>
    <w:rsid w:val="00980B9B"/>
    <w:rsid w:val="00980C0F"/>
    <w:rsid w:val="00980E8F"/>
    <w:rsid w:val="00981255"/>
    <w:rsid w:val="00981367"/>
    <w:rsid w:val="0098147F"/>
    <w:rsid w:val="009818E3"/>
    <w:rsid w:val="00981AF8"/>
    <w:rsid w:val="00981D78"/>
    <w:rsid w:val="00982B80"/>
    <w:rsid w:val="00983C50"/>
    <w:rsid w:val="00983D05"/>
    <w:rsid w:val="00983F1D"/>
    <w:rsid w:val="00983F6F"/>
    <w:rsid w:val="0098400B"/>
    <w:rsid w:val="009845DB"/>
    <w:rsid w:val="0098477F"/>
    <w:rsid w:val="009847DE"/>
    <w:rsid w:val="00984CDC"/>
    <w:rsid w:val="009853BE"/>
    <w:rsid w:val="009858D0"/>
    <w:rsid w:val="0098614B"/>
    <w:rsid w:val="009865BF"/>
    <w:rsid w:val="00986670"/>
    <w:rsid w:val="00986952"/>
    <w:rsid w:val="00986AE7"/>
    <w:rsid w:val="00986EE5"/>
    <w:rsid w:val="00987285"/>
    <w:rsid w:val="009876A0"/>
    <w:rsid w:val="00987713"/>
    <w:rsid w:val="009877F5"/>
    <w:rsid w:val="00987A74"/>
    <w:rsid w:val="00987EEF"/>
    <w:rsid w:val="0099054A"/>
    <w:rsid w:val="009905D5"/>
    <w:rsid w:val="00990CA0"/>
    <w:rsid w:val="00990E97"/>
    <w:rsid w:val="0099100B"/>
    <w:rsid w:val="00991275"/>
    <w:rsid w:val="0099167A"/>
    <w:rsid w:val="009919A4"/>
    <w:rsid w:val="00991CDA"/>
    <w:rsid w:val="00991ECA"/>
    <w:rsid w:val="00992057"/>
    <w:rsid w:val="00992F52"/>
    <w:rsid w:val="00993307"/>
    <w:rsid w:val="00993870"/>
    <w:rsid w:val="009939A9"/>
    <w:rsid w:val="00993EC3"/>
    <w:rsid w:val="00994094"/>
    <w:rsid w:val="009940D6"/>
    <w:rsid w:val="0099435D"/>
    <w:rsid w:val="009943C4"/>
    <w:rsid w:val="009949BE"/>
    <w:rsid w:val="00994C5A"/>
    <w:rsid w:val="009953A0"/>
    <w:rsid w:val="009953CC"/>
    <w:rsid w:val="0099589E"/>
    <w:rsid w:val="00995912"/>
    <w:rsid w:val="00995AD4"/>
    <w:rsid w:val="00995EA5"/>
    <w:rsid w:val="0099648F"/>
    <w:rsid w:val="0099664A"/>
    <w:rsid w:val="009966EB"/>
    <w:rsid w:val="009967DC"/>
    <w:rsid w:val="009968F4"/>
    <w:rsid w:val="00996A04"/>
    <w:rsid w:val="00996B93"/>
    <w:rsid w:val="00996D10"/>
    <w:rsid w:val="00996F9F"/>
    <w:rsid w:val="0099707C"/>
    <w:rsid w:val="0099754A"/>
    <w:rsid w:val="0099760E"/>
    <w:rsid w:val="009976B9"/>
    <w:rsid w:val="0099789C"/>
    <w:rsid w:val="009978A3"/>
    <w:rsid w:val="00997A4F"/>
    <w:rsid w:val="009A03E5"/>
    <w:rsid w:val="009A0472"/>
    <w:rsid w:val="009A06E2"/>
    <w:rsid w:val="009A0960"/>
    <w:rsid w:val="009A09A4"/>
    <w:rsid w:val="009A0D62"/>
    <w:rsid w:val="009A0E75"/>
    <w:rsid w:val="009A10C7"/>
    <w:rsid w:val="009A15C7"/>
    <w:rsid w:val="009A1688"/>
    <w:rsid w:val="009A1B41"/>
    <w:rsid w:val="009A1B4D"/>
    <w:rsid w:val="009A1F2F"/>
    <w:rsid w:val="009A246A"/>
    <w:rsid w:val="009A2541"/>
    <w:rsid w:val="009A25AF"/>
    <w:rsid w:val="009A2B16"/>
    <w:rsid w:val="009A2FF4"/>
    <w:rsid w:val="009A3142"/>
    <w:rsid w:val="009A3D48"/>
    <w:rsid w:val="009A3EE1"/>
    <w:rsid w:val="009A40A8"/>
    <w:rsid w:val="009A41EB"/>
    <w:rsid w:val="009A45B1"/>
    <w:rsid w:val="009A47F0"/>
    <w:rsid w:val="009A4FA6"/>
    <w:rsid w:val="009A5090"/>
    <w:rsid w:val="009A50C4"/>
    <w:rsid w:val="009A53D1"/>
    <w:rsid w:val="009A5827"/>
    <w:rsid w:val="009A5911"/>
    <w:rsid w:val="009A5E2B"/>
    <w:rsid w:val="009A63AA"/>
    <w:rsid w:val="009A651F"/>
    <w:rsid w:val="009A69B9"/>
    <w:rsid w:val="009A7222"/>
    <w:rsid w:val="009A7367"/>
    <w:rsid w:val="009A7558"/>
    <w:rsid w:val="009A7CB3"/>
    <w:rsid w:val="009A7E7D"/>
    <w:rsid w:val="009B0715"/>
    <w:rsid w:val="009B0A24"/>
    <w:rsid w:val="009B0E5D"/>
    <w:rsid w:val="009B1331"/>
    <w:rsid w:val="009B1367"/>
    <w:rsid w:val="009B1EBF"/>
    <w:rsid w:val="009B1F85"/>
    <w:rsid w:val="009B2057"/>
    <w:rsid w:val="009B24CE"/>
    <w:rsid w:val="009B2CAF"/>
    <w:rsid w:val="009B2DC5"/>
    <w:rsid w:val="009B2F4A"/>
    <w:rsid w:val="009B3970"/>
    <w:rsid w:val="009B3AD3"/>
    <w:rsid w:val="009B4082"/>
    <w:rsid w:val="009B4EDF"/>
    <w:rsid w:val="009B5AB2"/>
    <w:rsid w:val="009B5E8D"/>
    <w:rsid w:val="009B5F31"/>
    <w:rsid w:val="009B6016"/>
    <w:rsid w:val="009B60B1"/>
    <w:rsid w:val="009B69CE"/>
    <w:rsid w:val="009B706F"/>
    <w:rsid w:val="009B70F7"/>
    <w:rsid w:val="009B71D6"/>
    <w:rsid w:val="009B792A"/>
    <w:rsid w:val="009B7F59"/>
    <w:rsid w:val="009C08F4"/>
    <w:rsid w:val="009C0AF2"/>
    <w:rsid w:val="009C0B24"/>
    <w:rsid w:val="009C0B51"/>
    <w:rsid w:val="009C0E31"/>
    <w:rsid w:val="009C12B3"/>
    <w:rsid w:val="009C15E2"/>
    <w:rsid w:val="009C16FB"/>
    <w:rsid w:val="009C1967"/>
    <w:rsid w:val="009C1A7A"/>
    <w:rsid w:val="009C28C9"/>
    <w:rsid w:val="009C29D0"/>
    <w:rsid w:val="009C2C4E"/>
    <w:rsid w:val="009C31BF"/>
    <w:rsid w:val="009C33BE"/>
    <w:rsid w:val="009C3A0F"/>
    <w:rsid w:val="009C3A80"/>
    <w:rsid w:val="009C3E02"/>
    <w:rsid w:val="009C3E03"/>
    <w:rsid w:val="009C403B"/>
    <w:rsid w:val="009C4250"/>
    <w:rsid w:val="009C4569"/>
    <w:rsid w:val="009C4750"/>
    <w:rsid w:val="009C4A5C"/>
    <w:rsid w:val="009C51FA"/>
    <w:rsid w:val="009C529D"/>
    <w:rsid w:val="009C5319"/>
    <w:rsid w:val="009C5C92"/>
    <w:rsid w:val="009C63EC"/>
    <w:rsid w:val="009C70DF"/>
    <w:rsid w:val="009C71D4"/>
    <w:rsid w:val="009C762D"/>
    <w:rsid w:val="009D0212"/>
    <w:rsid w:val="009D03ED"/>
    <w:rsid w:val="009D098C"/>
    <w:rsid w:val="009D0B8F"/>
    <w:rsid w:val="009D0C69"/>
    <w:rsid w:val="009D0CDC"/>
    <w:rsid w:val="009D0D42"/>
    <w:rsid w:val="009D1852"/>
    <w:rsid w:val="009D1978"/>
    <w:rsid w:val="009D2101"/>
    <w:rsid w:val="009D243C"/>
    <w:rsid w:val="009D254E"/>
    <w:rsid w:val="009D2578"/>
    <w:rsid w:val="009D26DD"/>
    <w:rsid w:val="009D2D19"/>
    <w:rsid w:val="009D2E7A"/>
    <w:rsid w:val="009D3025"/>
    <w:rsid w:val="009D32BD"/>
    <w:rsid w:val="009D3404"/>
    <w:rsid w:val="009D3650"/>
    <w:rsid w:val="009D44CD"/>
    <w:rsid w:val="009D4591"/>
    <w:rsid w:val="009D47BC"/>
    <w:rsid w:val="009D5008"/>
    <w:rsid w:val="009D50D8"/>
    <w:rsid w:val="009D560D"/>
    <w:rsid w:val="009D5634"/>
    <w:rsid w:val="009D563A"/>
    <w:rsid w:val="009D5EB4"/>
    <w:rsid w:val="009D5F80"/>
    <w:rsid w:val="009D600F"/>
    <w:rsid w:val="009D6217"/>
    <w:rsid w:val="009D6599"/>
    <w:rsid w:val="009D66B5"/>
    <w:rsid w:val="009D6A02"/>
    <w:rsid w:val="009D6C99"/>
    <w:rsid w:val="009D7032"/>
    <w:rsid w:val="009D7173"/>
    <w:rsid w:val="009D7C0B"/>
    <w:rsid w:val="009D7D44"/>
    <w:rsid w:val="009E0213"/>
    <w:rsid w:val="009E02CB"/>
    <w:rsid w:val="009E04DE"/>
    <w:rsid w:val="009E055A"/>
    <w:rsid w:val="009E05A0"/>
    <w:rsid w:val="009E0B0C"/>
    <w:rsid w:val="009E0F7A"/>
    <w:rsid w:val="009E1029"/>
    <w:rsid w:val="009E11B7"/>
    <w:rsid w:val="009E1674"/>
    <w:rsid w:val="009E173C"/>
    <w:rsid w:val="009E18C1"/>
    <w:rsid w:val="009E1D92"/>
    <w:rsid w:val="009E1FD7"/>
    <w:rsid w:val="009E219D"/>
    <w:rsid w:val="009E21EC"/>
    <w:rsid w:val="009E2333"/>
    <w:rsid w:val="009E267A"/>
    <w:rsid w:val="009E2A4D"/>
    <w:rsid w:val="009E2CE1"/>
    <w:rsid w:val="009E2CEC"/>
    <w:rsid w:val="009E37A5"/>
    <w:rsid w:val="009E3C3B"/>
    <w:rsid w:val="009E4020"/>
    <w:rsid w:val="009E43C6"/>
    <w:rsid w:val="009E4931"/>
    <w:rsid w:val="009E4BDB"/>
    <w:rsid w:val="009E5200"/>
    <w:rsid w:val="009E5E83"/>
    <w:rsid w:val="009E5ED4"/>
    <w:rsid w:val="009E6007"/>
    <w:rsid w:val="009E60D8"/>
    <w:rsid w:val="009E6C43"/>
    <w:rsid w:val="009E71E3"/>
    <w:rsid w:val="009E7472"/>
    <w:rsid w:val="009E7721"/>
    <w:rsid w:val="009E790D"/>
    <w:rsid w:val="009E7C3D"/>
    <w:rsid w:val="009E7DB0"/>
    <w:rsid w:val="009F00FE"/>
    <w:rsid w:val="009F030F"/>
    <w:rsid w:val="009F06E7"/>
    <w:rsid w:val="009F0E61"/>
    <w:rsid w:val="009F0F88"/>
    <w:rsid w:val="009F124B"/>
    <w:rsid w:val="009F1362"/>
    <w:rsid w:val="009F23C9"/>
    <w:rsid w:val="009F262E"/>
    <w:rsid w:val="009F36AC"/>
    <w:rsid w:val="009F3797"/>
    <w:rsid w:val="009F3C2B"/>
    <w:rsid w:val="009F4041"/>
    <w:rsid w:val="009F4327"/>
    <w:rsid w:val="009F4708"/>
    <w:rsid w:val="009F4A48"/>
    <w:rsid w:val="009F4D2D"/>
    <w:rsid w:val="009F5481"/>
    <w:rsid w:val="009F5BDF"/>
    <w:rsid w:val="009F6356"/>
    <w:rsid w:val="009F69E6"/>
    <w:rsid w:val="009F6F77"/>
    <w:rsid w:val="009F73AA"/>
    <w:rsid w:val="009F7796"/>
    <w:rsid w:val="00A00223"/>
    <w:rsid w:val="00A003DE"/>
    <w:rsid w:val="00A006A8"/>
    <w:rsid w:val="00A0072A"/>
    <w:rsid w:val="00A010EE"/>
    <w:rsid w:val="00A013DF"/>
    <w:rsid w:val="00A015C0"/>
    <w:rsid w:val="00A0178C"/>
    <w:rsid w:val="00A01D2F"/>
    <w:rsid w:val="00A02599"/>
    <w:rsid w:val="00A02B4B"/>
    <w:rsid w:val="00A02EA2"/>
    <w:rsid w:val="00A03033"/>
    <w:rsid w:val="00A031B8"/>
    <w:rsid w:val="00A0336F"/>
    <w:rsid w:val="00A0413F"/>
    <w:rsid w:val="00A0459D"/>
    <w:rsid w:val="00A04717"/>
    <w:rsid w:val="00A04ABF"/>
    <w:rsid w:val="00A04BE7"/>
    <w:rsid w:val="00A061ED"/>
    <w:rsid w:val="00A06FEA"/>
    <w:rsid w:val="00A07144"/>
    <w:rsid w:val="00A07413"/>
    <w:rsid w:val="00A07A50"/>
    <w:rsid w:val="00A07D53"/>
    <w:rsid w:val="00A07FEC"/>
    <w:rsid w:val="00A102B5"/>
    <w:rsid w:val="00A112CC"/>
    <w:rsid w:val="00A113BD"/>
    <w:rsid w:val="00A114B3"/>
    <w:rsid w:val="00A11868"/>
    <w:rsid w:val="00A11ABD"/>
    <w:rsid w:val="00A11AE5"/>
    <w:rsid w:val="00A11BE3"/>
    <w:rsid w:val="00A11C69"/>
    <w:rsid w:val="00A11CC3"/>
    <w:rsid w:val="00A11CD2"/>
    <w:rsid w:val="00A1241A"/>
    <w:rsid w:val="00A12428"/>
    <w:rsid w:val="00A12B1C"/>
    <w:rsid w:val="00A12CC9"/>
    <w:rsid w:val="00A12E0D"/>
    <w:rsid w:val="00A130D0"/>
    <w:rsid w:val="00A13352"/>
    <w:rsid w:val="00A13A60"/>
    <w:rsid w:val="00A13F88"/>
    <w:rsid w:val="00A140B9"/>
    <w:rsid w:val="00A1423F"/>
    <w:rsid w:val="00A147A4"/>
    <w:rsid w:val="00A1480C"/>
    <w:rsid w:val="00A14A12"/>
    <w:rsid w:val="00A1505B"/>
    <w:rsid w:val="00A159C8"/>
    <w:rsid w:val="00A15A24"/>
    <w:rsid w:val="00A15C6A"/>
    <w:rsid w:val="00A15EFF"/>
    <w:rsid w:val="00A16244"/>
    <w:rsid w:val="00A16471"/>
    <w:rsid w:val="00A164C5"/>
    <w:rsid w:val="00A1661D"/>
    <w:rsid w:val="00A16A3A"/>
    <w:rsid w:val="00A16C1C"/>
    <w:rsid w:val="00A16CD7"/>
    <w:rsid w:val="00A16DE1"/>
    <w:rsid w:val="00A178F0"/>
    <w:rsid w:val="00A17A9E"/>
    <w:rsid w:val="00A17FD3"/>
    <w:rsid w:val="00A20589"/>
    <w:rsid w:val="00A208BF"/>
    <w:rsid w:val="00A20991"/>
    <w:rsid w:val="00A2149A"/>
    <w:rsid w:val="00A21560"/>
    <w:rsid w:val="00A216DE"/>
    <w:rsid w:val="00A21866"/>
    <w:rsid w:val="00A218F5"/>
    <w:rsid w:val="00A21ADA"/>
    <w:rsid w:val="00A21E9B"/>
    <w:rsid w:val="00A22716"/>
    <w:rsid w:val="00A2284A"/>
    <w:rsid w:val="00A2294A"/>
    <w:rsid w:val="00A22A7E"/>
    <w:rsid w:val="00A22DD6"/>
    <w:rsid w:val="00A22DF0"/>
    <w:rsid w:val="00A22E45"/>
    <w:rsid w:val="00A22F0B"/>
    <w:rsid w:val="00A231E1"/>
    <w:rsid w:val="00A23C1F"/>
    <w:rsid w:val="00A23E5D"/>
    <w:rsid w:val="00A23E7B"/>
    <w:rsid w:val="00A241B6"/>
    <w:rsid w:val="00A24400"/>
    <w:rsid w:val="00A24466"/>
    <w:rsid w:val="00A244CE"/>
    <w:rsid w:val="00A24A04"/>
    <w:rsid w:val="00A24AD5"/>
    <w:rsid w:val="00A25826"/>
    <w:rsid w:val="00A263DA"/>
    <w:rsid w:val="00A264D5"/>
    <w:rsid w:val="00A2682C"/>
    <w:rsid w:val="00A268A8"/>
    <w:rsid w:val="00A26B72"/>
    <w:rsid w:val="00A26EDE"/>
    <w:rsid w:val="00A26FA7"/>
    <w:rsid w:val="00A27263"/>
    <w:rsid w:val="00A27363"/>
    <w:rsid w:val="00A27820"/>
    <w:rsid w:val="00A27EA6"/>
    <w:rsid w:val="00A27F1C"/>
    <w:rsid w:val="00A30023"/>
    <w:rsid w:val="00A30078"/>
    <w:rsid w:val="00A301A4"/>
    <w:rsid w:val="00A30253"/>
    <w:rsid w:val="00A304DB"/>
    <w:rsid w:val="00A30531"/>
    <w:rsid w:val="00A3056C"/>
    <w:rsid w:val="00A30866"/>
    <w:rsid w:val="00A309BF"/>
    <w:rsid w:val="00A30FC1"/>
    <w:rsid w:val="00A31161"/>
    <w:rsid w:val="00A31324"/>
    <w:rsid w:val="00A31BA7"/>
    <w:rsid w:val="00A31BD4"/>
    <w:rsid w:val="00A32051"/>
    <w:rsid w:val="00A3215A"/>
    <w:rsid w:val="00A32882"/>
    <w:rsid w:val="00A32A64"/>
    <w:rsid w:val="00A32B28"/>
    <w:rsid w:val="00A32D0C"/>
    <w:rsid w:val="00A32F60"/>
    <w:rsid w:val="00A33017"/>
    <w:rsid w:val="00A33A38"/>
    <w:rsid w:val="00A33C98"/>
    <w:rsid w:val="00A33EF4"/>
    <w:rsid w:val="00A345FC"/>
    <w:rsid w:val="00A348C3"/>
    <w:rsid w:val="00A34DC6"/>
    <w:rsid w:val="00A352B6"/>
    <w:rsid w:val="00A35403"/>
    <w:rsid w:val="00A354F1"/>
    <w:rsid w:val="00A35D7C"/>
    <w:rsid w:val="00A35F43"/>
    <w:rsid w:val="00A366DE"/>
    <w:rsid w:val="00A36744"/>
    <w:rsid w:val="00A36B5A"/>
    <w:rsid w:val="00A36B89"/>
    <w:rsid w:val="00A36ECD"/>
    <w:rsid w:val="00A37034"/>
    <w:rsid w:val="00A373B9"/>
    <w:rsid w:val="00A373DA"/>
    <w:rsid w:val="00A376FB"/>
    <w:rsid w:val="00A379A6"/>
    <w:rsid w:val="00A379C4"/>
    <w:rsid w:val="00A37AB1"/>
    <w:rsid w:val="00A37D79"/>
    <w:rsid w:val="00A37FA9"/>
    <w:rsid w:val="00A402DD"/>
    <w:rsid w:val="00A4064A"/>
    <w:rsid w:val="00A409C9"/>
    <w:rsid w:val="00A40E7B"/>
    <w:rsid w:val="00A41636"/>
    <w:rsid w:val="00A4188A"/>
    <w:rsid w:val="00A41B2C"/>
    <w:rsid w:val="00A41BA4"/>
    <w:rsid w:val="00A41D28"/>
    <w:rsid w:val="00A41E62"/>
    <w:rsid w:val="00A4226D"/>
    <w:rsid w:val="00A4272A"/>
    <w:rsid w:val="00A42974"/>
    <w:rsid w:val="00A42BB2"/>
    <w:rsid w:val="00A42C79"/>
    <w:rsid w:val="00A42FE5"/>
    <w:rsid w:val="00A43960"/>
    <w:rsid w:val="00A43A3B"/>
    <w:rsid w:val="00A43F26"/>
    <w:rsid w:val="00A43F36"/>
    <w:rsid w:val="00A4418A"/>
    <w:rsid w:val="00A44B5B"/>
    <w:rsid w:val="00A4523C"/>
    <w:rsid w:val="00A4533D"/>
    <w:rsid w:val="00A456DE"/>
    <w:rsid w:val="00A45878"/>
    <w:rsid w:val="00A45920"/>
    <w:rsid w:val="00A45B10"/>
    <w:rsid w:val="00A45BCC"/>
    <w:rsid w:val="00A45C87"/>
    <w:rsid w:val="00A46302"/>
    <w:rsid w:val="00A46565"/>
    <w:rsid w:val="00A46BC3"/>
    <w:rsid w:val="00A46C6E"/>
    <w:rsid w:val="00A46FA5"/>
    <w:rsid w:val="00A4769A"/>
    <w:rsid w:val="00A47E58"/>
    <w:rsid w:val="00A500C3"/>
    <w:rsid w:val="00A504DF"/>
    <w:rsid w:val="00A50610"/>
    <w:rsid w:val="00A506A7"/>
    <w:rsid w:val="00A50C4A"/>
    <w:rsid w:val="00A50D98"/>
    <w:rsid w:val="00A50E09"/>
    <w:rsid w:val="00A50E23"/>
    <w:rsid w:val="00A50F5E"/>
    <w:rsid w:val="00A512DF"/>
    <w:rsid w:val="00A51540"/>
    <w:rsid w:val="00A518C1"/>
    <w:rsid w:val="00A51A6B"/>
    <w:rsid w:val="00A525EC"/>
    <w:rsid w:val="00A527FA"/>
    <w:rsid w:val="00A528F0"/>
    <w:rsid w:val="00A529AF"/>
    <w:rsid w:val="00A52C17"/>
    <w:rsid w:val="00A52C82"/>
    <w:rsid w:val="00A53430"/>
    <w:rsid w:val="00A534F7"/>
    <w:rsid w:val="00A53502"/>
    <w:rsid w:val="00A53552"/>
    <w:rsid w:val="00A53AEE"/>
    <w:rsid w:val="00A5418F"/>
    <w:rsid w:val="00A543F8"/>
    <w:rsid w:val="00A54525"/>
    <w:rsid w:val="00A54BB1"/>
    <w:rsid w:val="00A54BF2"/>
    <w:rsid w:val="00A55465"/>
    <w:rsid w:val="00A5617C"/>
    <w:rsid w:val="00A563DA"/>
    <w:rsid w:val="00A57CFA"/>
    <w:rsid w:val="00A57F1A"/>
    <w:rsid w:val="00A60236"/>
    <w:rsid w:val="00A60419"/>
    <w:rsid w:val="00A608CA"/>
    <w:rsid w:val="00A609B7"/>
    <w:rsid w:val="00A60C4D"/>
    <w:rsid w:val="00A6132B"/>
    <w:rsid w:val="00A616E3"/>
    <w:rsid w:val="00A61E2C"/>
    <w:rsid w:val="00A626FA"/>
    <w:rsid w:val="00A632CB"/>
    <w:rsid w:val="00A63F64"/>
    <w:rsid w:val="00A640B6"/>
    <w:rsid w:val="00A6448E"/>
    <w:rsid w:val="00A64652"/>
    <w:rsid w:val="00A64763"/>
    <w:rsid w:val="00A64B6E"/>
    <w:rsid w:val="00A6503C"/>
    <w:rsid w:val="00A6512D"/>
    <w:rsid w:val="00A651CC"/>
    <w:rsid w:val="00A653D1"/>
    <w:rsid w:val="00A656E3"/>
    <w:rsid w:val="00A65DC0"/>
    <w:rsid w:val="00A666FC"/>
    <w:rsid w:val="00A6698C"/>
    <w:rsid w:val="00A66A03"/>
    <w:rsid w:val="00A67018"/>
    <w:rsid w:val="00A678B8"/>
    <w:rsid w:val="00A67A3B"/>
    <w:rsid w:val="00A67C75"/>
    <w:rsid w:val="00A67CEA"/>
    <w:rsid w:val="00A700B0"/>
    <w:rsid w:val="00A703EB"/>
    <w:rsid w:val="00A70727"/>
    <w:rsid w:val="00A70A26"/>
    <w:rsid w:val="00A71214"/>
    <w:rsid w:val="00A716A3"/>
    <w:rsid w:val="00A71779"/>
    <w:rsid w:val="00A717EC"/>
    <w:rsid w:val="00A71B2A"/>
    <w:rsid w:val="00A71C65"/>
    <w:rsid w:val="00A71CFF"/>
    <w:rsid w:val="00A7245D"/>
    <w:rsid w:val="00A7278C"/>
    <w:rsid w:val="00A7284C"/>
    <w:rsid w:val="00A72CA3"/>
    <w:rsid w:val="00A72D56"/>
    <w:rsid w:val="00A735A8"/>
    <w:rsid w:val="00A73E6D"/>
    <w:rsid w:val="00A73EC3"/>
    <w:rsid w:val="00A744C4"/>
    <w:rsid w:val="00A74743"/>
    <w:rsid w:val="00A74845"/>
    <w:rsid w:val="00A74853"/>
    <w:rsid w:val="00A749DC"/>
    <w:rsid w:val="00A74A90"/>
    <w:rsid w:val="00A74C31"/>
    <w:rsid w:val="00A74D1D"/>
    <w:rsid w:val="00A751C0"/>
    <w:rsid w:val="00A75251"/>
    <w:rsid w:val="00A754E9"/>
    <w:rsid w:val="00A7593F"/>
    <w:rsid w:val="00A75EF4"/>
    <w:rsid w:val="00A76302"/>
    <w:rsid w:val="00A76A4E"/>
    <w:rsid w:val="00A76CFB"/>
    <w:rsid w:val="00A770C0"/>
    <w:rsid w:val="00A77126"/>
    <w:rsid w:val="00A77716"/>
    <w:rsid w:val="00A77939"/>
    <w:rsid w:val="00A77B4A"/>
    <w:rsid w:val="00A77D3D"/>
    <w:rsid w:val="00A80277"/>
    <w:rsid w:val="00A80AAB"/>
    <w:rsid w:val="00A80C86"/>
    <w:rsid w:val="00A80C94"/>
    <w:rsid w:val="00A80E5C"/>
    <w:rsid w:val="00A80EB8"/>
    <w:rsid w:val="00A80FF8"/>
    <w:rsid w:val="00A81469"/>
    <w:rsid w:val="00A8164A"/>
    <w:rsid w:val="00A8187D"/>
    <w:rsid w:val="00A81C51"/>
    <w:rsid w:val="00A82028"/>
    <w:rsid w:val="00A821D1"/>
    <w:rsid w:val="00A8251A"/>
    <w:rsid w:val="00A82C7B"/>
    <w:rsid w:val="00A82CA3"/>
    <w:rsid w:val="00A83293"/>
    <w:rsid w:val="00A83701"/>
    <w:rsid w:val="00A837D9"/>
    <w:rsid w:val="00A83862"/>
    <w:rsid w:val="00A83928"/>
    <w:rsid w:val="00A8399E"/>
    <w:rsid w:val="00A83A29"/>
    <w:rsid w:val="00A83EA0"/>
    <w:rsid w:val="00A83EB0"/>
    <w:rsid w:val="00A84024"/>
    <w:rsid w:val="00A84633"/>
    <w:rsid w:val="00A8493E"/>
    <w:rsid w:val="00A849A5"/>
    <w:rsid w:val="00A850CD"/>
    <w:rsid w:val="00A855F2"/>
    <w:rsid w:val="00A85624"/>
    <w:rsid w:val="00A85627"/>
    <w:rsid w:val="00A85902"/>
    <w:rsid w:val="00A85FFB"/>
    <w:rsid w:val="00A8639E"/>
    <w:rsid w:val="00A863C0"/>
    <w:rsid w:val="00A86659"/>
    <w:rsid w:val="00A86713"/>
    <w:rsid w:val="00A86CEA"/>
    <w:rsid w:val="00A8757E"/>
    <w:rsid w:val="00A87700"/>
    <w:rsid w:val="00A904CD"/>
    <w:rsid w:val="00A909E7"/>
    <w:rsid w:val="00A90CFD"/>
    <w:rsid w:val="00A90DC1"/>
    <w:rsid w:val="00A90E01"/>
    <w:rsid w:val="00A9152A"/>
    <w:rsid w:val="00A91725"/>
    <w:rsid w:val="00A9213A"/>
    <w:rsid w:val="00A924C4"/>
    <w:rsid w:val="00A92565"/>
    <w:rsid w:val="00A937CE"/>
    <w:rsid w:val="00A93CDD"/>
    <w:rsid w:val="00A94499"/>
    <w:rsid w:val="00A949B2"/>
    <w:rsid w:val="00A96242"/>
    <w:rsid w:val="00A9686E"/>
    <w:rsid w:val="00A969DE"/>
    <w:rsid w:val="00A96CB1"/>
    <w:rsid w:val="00A96CC9"/>
    <w:rsid w:val="00A96D5B"/>
    <w:rsid w:val="00A97002"/>
    <w:rsid w:val="00A9709A"/>
    <w:rsid w:val="00A97268"/>
    <w:rsid w:val="00A97424"/>
    <w:rsid w:val="00A976FE"/>
    <w:rsid w:val="00AA03B5"/>
    <w:rsid w:val="00AA06A5"/>
    <w:rsid w:val="00AA083F"/>
    <w:rsid w:val="00AA0C9B"/>
    <w:rsid w:val="00AA0E45"/>
    <w:rsid w:val="00AA1216"/>
    <w:rsid w:val="00AA121B"/>
    <w:rsid w:val="00AA14A4"/>
    <w:rsid w:val="00AA1657"/>
    <w:rsid w:val="00AA1743"/>
    <w:rsid w:val="00AA1986"/>
    <w:rsid w:val="00AA1CC0"/>
    <w:rsid w:val="00AA22F7"/>
    <w:rsid w:val="00AA2CD6"/>
    <w:rsid w:val="00AA2D00"/>
    <w:rsid w:val="00AA3807"/>
    <w:rsid w:val="00AA3AF9"/>
    <w:rsid w:val="00AA429F"/>
    <w:rsid w:val="00AA4DED"/>
    <w:rsid w:val="00AA4E63"/>
    <w:rsid w:val="00AA4FCC"/>
    <w:rsid w:val="00AA5781"/>
    <w:rsid w:val="00AA586A"/>
    <w:rsid w:val="00AA58FE"/>
    <w:rsid w:val="00AA5A51"/>
    <w:rsid w:val="00AA62ED"/>
    <w:rsid w:val="00AA6BBE"/>
    <w:rsid w:val="00AA6DB2"/>
    <w:rsid w:val="00AA7072"/>
    <w:rsid w:val="00AA70CA"/>
    <w:rsid w:val="00AB0C55"/>
    <w:rsid w:val="00AB112B"/>
    <w:rsid w:val="00AB13EC"/>
    <w:rsid w:val="00AB1E2B"/>
    <w:rsid w:val="00AB2DD8"/>
    <w:rsid w:val="00AB2E40"/>
    <w:rsid w:val="00AB3275"/>
    <w:rsid w:val="00AB3353"/>
    <w:rsid w:val="00AB33E1"/>
    <w:rsid w:val="00AB3471"/>
    <w:rsid w:val="00AB34C4"/>
    <w:rsid w:val="00AB401C"/>
    <w:rsid w:val="00AB421B"/>
    <w:rsid w:val="00AB42FF"/>
    <w:rsid w:val="00AB446B"/>
    <w:rsid w:val="00AB464B"/>
    <w:rsid w:val="00AB5386"/>
    <w:rsid w:val="00AB53B2"/>
    <w:rsid w:val="00AB5653"/>
    <w:rsid w:val="00AB56C8"/>
    <w:rsid w:val="00AB5D52"/>
    <w:rsid w:val="00AB5E43"/>
    <w:rsid w:val="00AB6652"/>
    <w:rsid w:val="00AB6D4E"/>
    <w:rsid w:val="00AB71B3"/>
    <w:rsid w:val="00AB78C2"/>
    <w:rsid w:val="00AB79E7"/>
    <w:rsid w:val="00AB7BAD"/>
    <w:rsid w:val="00AC01DA"/>
    <w:rsid w:val="00AC056E"/>
    <w:rsid w:val="00AC0A0D"/>
    <w:rsid w:val="00AC0AD9"/>
    <w:rsid w:val="00AC0BD6"/>
    <w:rsid w:val="00AC0D43"/>
    <w:rsid w:val="00AC0DE6"/>
    <w:rsid w:val="00AC0E4F"/>
    <w:rsid w:val="00AC0E97"/>
    <w:rsid w:val="00AC11DF"/>
    <w:rsid w:val="00AC145B"/>
    <w:rsid w:val="00AC1667"/>
    <w:rsid w:val="00AC18F4"/>
    <w:rsid w:val="00AC1A82"/>
    <w:rsid w:val="00AC1DE9"/>
    <w:rsid w:val="00AC1F0D"/>
    <w:rsid w:val="00AC207F"/>
    <w:rsid w:val="00AC2188"/>
    <w:rsid w:val="00AC230D"/>
    <w:rsid w:val="00AC2FDE"/>
    <w:rsid w:val="00AC30FC"/>
    <w:rsid w:val="00AC3317"/>
    <w:rsid w:val="00AC382F"/>
    <w:rsid w:val="00AC387A"/>
    <w:rsid w:val="00AC3E81"/>
    <w:rsid w:val="00AC3EB2"/>
    <w:rsid w:val="00AC3F81"/>
    <w:rsid w:val="00AC4061"/>
    <w:rsid w:val="00AC4DCE"/>
    <w:rsid w:val="00AC4F89"/>
    <w:rsid w:val="00AC4FB6"/>
    <w:rsid w:val="00AC52A1"/>
    <w:rsid w:val="00AC53B8"/>
    <w:rsid w:val="00AC5845"/>
    <w:rsid w:val="00AC606F"/>
    <w:rsid w:val="00AC629C"/>
    <w:rsid w:val="00AC63D1"/>
    <w:rsid w:val="00AC6D01"/>
    <w:rsid w:val="00AC7260"/>
    <w:rsid w:val="00AC7263"/>
    <w:rsid w:val="00AC72C1"/>
    <w:rsid w:val="00AC747C"/>
    <w:rsid w:val="00AC75FD"/>
    <w:rsid w:val="00AC79AA"/>
    <w:rsid w:val="00AC7A5E"/>
    <w:rsid w:val="00AD042E"/>
    <w:rsid w:val="00AD064C"/>
    <w:rsid w:val="00AD147F"/>
    <w:rsid w:val="00AD155B"/>
    <w:rsid w:val="00AD15CA"/>
    <w:rsid w:val="00AD1735"/>
    <w:rsid w:val="00AD1B24"/>
    <w:rsid w:val="00AD248E"/>
    <w:rsid w:val="00AD27DA"/>
    <w:rsid w:val="00AD3486"/>
    <w:rsid w:val="00AD360C"/>
    <w:rsid w:val="00AD38A6"/>
    <w:rsid w:val="00AD3AF6"/>
    <w:rsid w:val="00AD3B5F"/>
    <w:rsid w:val="00AD3CAC"/>
    <w:rsid w:val="00AD451D"/>
    <w:rsid w:val="00AD48FC"/>
    <w:rsid w:val="00AD4AA8"/>
    <w:rsid w:val="00AD4AAB"/>
    <w:rsid w:val="00AD4D02"/>
    <w:rsid w:val="00AD4DE8"/>
    <w:rsid w:val="00AD4FC0"/>
    <w:rsid w:val="00AD5017"/>
    <w:rsid w:val="00AD53C1"/>
    <w:rsid w:val="00AD57FA"/>
    <w:rsid w:val="00AD648E"/>
    <w:rsid w:val="00AD6978"/>
    <w:rsid w:val="00AD69D2"/>
    <w:rsid w:val="00AD7059"/>
    <w:rsid w:val="00AD7276"/>
    <w:rsid w:val="00AD75DB"/>
    <w:rsid w:val="00AD7BFB"/>
    <w:rsid w:val="00AE003E"/>
    <w:rsid w:val="00AE057B"/>
    <w:rsid w:val="00AE0619"/>
    <w:rsid w:val="00AE0636"/>
    <w:rsid w:val="00AE08DF"/>
    <w:rsid w:val="00AE0CC5"/>
    <w:rsid w:val="00AE0D91"/>
    <w:rsid w:val="00AE0E3F"/>
    <w:rsid w:val="00AE0F0A"/>
    <w:rsid w:val="00AE152D"/>
    <w:rsid w:val="00AE15B0"/>
    <w:rsid w:val="00AE15F6"/>
    <w:rsid w:val="00AE1924"/>
    <w:rsid w:val="00AE1A7F"/>
    <w:rsid w:val="00AE1FC5"/>
    <w:rsid w:val="00AE2734"/>
    <w:rsid w:val="00AE2B53"/>
    <w:rsid w:val="00AE32B4"/>
    <w:rsid w:val="00AE33D1"/>
    <w:rsid w:val="00AE393A"/>
    <w:rsid w:val="00AE3D40"/>
    <w:rsid w:val="00AE3D7F"/>
    <w:rsid w:val="00AE4095"/>
    <w:rsid w:val="00AE4643"/>
    <w:rsid w:val="00AE4A01"/>
    <w:rsid w:val="00AE4EB9"/>
    <w:rsid w:val="00AE4EE1"/>
    <w:rsid w:val="00AE506B"/>
    <w:rsid w:val="00AE5272"/>
    <w:rsid w:val="00AE5541"/>
    <w:rsid w:val="00AE55E2"/>
    <w:rsid w:val="00AE5856"/>
    <w:rsid w:val="00AE5D36"/>
    <w:rsid w:val="00AE5E0E"/>
    <w:rsid w:val="00AE6888"/>
    <w:rsid w:val="00AE69B6"/>
    <w:rsid w:val="00AE77C8"/>
    <w:rsid w:val="00AE781C"/>
    <w:rsid w:val="00AE7A7C"/>
    <w:rsid w:val="00AE7CBA"/>
    <w:rsid w:val="00AF06B1"/>
    <w:rsid w:val="00AF09C6"/>
    <w:rsid w:val="00AF0B75"/>
    <w:rsid w:val="00AF0D5B"/>
    <w:rsid w:val="00AF15B6"/>
    <w:rsid w:val="00AF1672"/>
    <w:rsid w:val="00AF1913"/>
    <w:rsid w:val="00AF1B1F"/>
    <w:rsid w:val="00AF248F"/>
    <w:rsid w:val="00AF27E5"/>
    <w:rsid w:val="00AF323A"/>
    <w:rsid w:val="00AF35B6"/>
    <w:rsid w:val="00AF3FE0"/>
    <w:rsid w:val="00AF404B"/>
    <w:rsid w:val="00AF4222"/>
    <w:rsid w:val="00AF437D"/>
    <w:rsid w:val="00AF47AB"/>
    <w:rsid w:val="00AF59C6"/>
    <w:rsid w:val="00AF5E86"/>
    <w:rsid w:val="00AF616E"/>
    <w:rsid w:val="00AF61DE"/>
    <w:rsid w:val="00AF628F"/>
    <w:rsid w:val="00AF64A7"/>
    <w:rsid w:val="00AF678C"/>
    <w:rsid w:val="00AF6B19"/>
    <w:rsid w:val="00AF6CEF"/>
    <w:rsid w:val="00AF6EE4"/>
    <w:rsid w:val="00AF752F"/>
    <w:rsid w:val="00AF77AD"/>
    <w:rsid w:val="00AF7A14"/>
    <w:rsid w:val="00AF7FE3"/>
    <w:rsid w:val="00B00142"/>
    <w:rsid w:val="00B004AB"/>
    <w:rsid w:val="00B00613"/>
    <w:rsid w:val="00B0116F"/>
    <w:rsid w:val="00B01394"/>
    <w:rsid w:val="00B0166D"/>
    <w:rsid w:val="00B016B8"/>
    <w:rsid w:val="00B01884"/>
    <w:rsid w:val="00B0221A"/>
    <w:rsid w:val="00B03832"/>
    <w:rsid w:val="00B038F8"/>
    <w:rsid w:val="00B04056"/>
    <w:rsid w:val="00B040A3"/>
    <w:rsid w:val="00B04418"/>
    <w:rsid w:val="00B04838"/>
    <w:rsid w:val="00B04978"/>
    <w:rsid w:val="00B04984"/>
    <w:rsid w:val="00B04C9C"/>
    <w:rsid w:val="00B04D0A"/>
    <w:rsid w:val="00B04E69"/>
    <w:rsid w:val="00B06366"/>
    <w:rsid w:val="00B0664E"/>
    <w:rsid w:val="00B069CD"/>
    <w:rsid w:val="00B071ED"/>
    <w:rsid w:val="00B0763D"/>
    <w:rsid w:val="00B0771D"/>
    <w:rsid w:val="00B07722"/>
    <w:rsid w:val="00B07AAD"/>
    <w:rsid w:val="00B07C13"/>
    <w:rsid w:val="00B07C42"/>
    <w:rsid w:val="00B07DC4"/>
    <w:rsid w:val="00B07EC8"/>
    <w:rsid w:val="00B1014D"/>
    <w:rsid w:val="00B1032D"/>
    <w:rsid w:val="00B10721"/>
    <w:rsid w:val="00B10852"/>
    <w:rsid w:val="00B1090F"/>
    <w:rsid w:val="00B10BC5"/>
    <w:rsid w:val="00B10E84"/>
    <w:rsid w:val="00B11518"/>
    <w:rsid w:val="00B11656"/>
    <w:rsid w:val="00B1185E"/>
    <w:rsid w:val="00B11CE0"/>
    <w:rsid w:val="00B1243A"/>
    <w:rsid w:val="00B12F27"/>
    <w:rsid w:val="00B13BD4"/>
    <w:rsid w:val="00B14160"/>
    <w:rsid w:val="00B15D70"/>
    <w:rsid w:val="00B1617C"/>
    <w:rsid w:val="00B1620B"/>
    <w:rsid w:val="00B16DF2"/>
    <w:rsid w:val="00B16E58"/>
    <w:rsid w:val="00B16FA8"/>
    <w:rsid w:val="00B170DF"/>
    <w:rsid w:val="00B171DA"/>
    <w:rsid w:val="00B172D6"/>
    <w:rsid w:val="00B177A4"/>
    <w:rsid w:val="00B179F4"/>
    <w:rsid w:val="00B17AF2"/>
    <w:rsid w:val="00B17C3A"/>
    <w:rsid w:val="00B17C42"/>
    <w:rsid w:val="00B17DD0"/>
    <w:rsid w:val="00B2054A"/>
    <w:rsid w:val="00B20D5C"/>
    <w:rsid w:val="00B20E6B"/>
    <w:rsid w:val="00B21067"/>
    <w:rsid w:val="00B210A0"/>
    <w:rsid w:val="00B2147A"/>
    <w:rsid w:val="00B215F3"/>
    <w:rsid w:val="00B216EE"/>
    <w:rsid w:val="00B21B61"/>
    <w:rsid w:val="00B21CEA"/>
    <w:rsid w:val="00B21CFC"/>
    <w:rsid w:val="00B21E27"/>
    <w:rsid w:val="00B224CE"/>
    <w:rsid w:val="00B228F0"/>
    <w:rsid w:val="00B22B00"/>
    <w:rsid w:val="00B22B86"/>
    <w:rsid w:val="00B22D5A"/>
    <w:rsid w:val="00B22D7F"/>
    <w:rsid w:val="00B2382D"/>
    <w:rsid w:val="00B23838"/>
    <w:rsid w:val="00B23B9C"/>
    <w:rsid w:val="00B24424"/>
    <w:rsid w:val="00B247FC"/>
    <w:rsid w:val="00B247FF"/>
    <w:rsid w:val="00B248D6"/>
    <w:rsid w:val="00B249D3"/>
    <w:rsid w:val="00B24F6E"/>
    <w:rsid w:val="00B250E9"/>
    <w:rsid w:val="00B2512A"/>
    <w:rsid w:val="00B252E4"/>
    <w:rsid w:val="00B253CC"/>
    <w:rsid w:val="00B257D2"/>
    <w:rsid w:val="00B25C7D"/>
    <w:rsid w:val="00B25E62"/>
    <w:rsid w:val="00B25E68"/>
    <w:rsid w:val="00B2632E"/>
    <w:rsid w:val="00B26C0D"/>
    <w:rsid w:val="00B26D89"/>
    <w:rsid w:val="00B2705C"/>
    <w:rsid w:val="00B279E1"/>
    <w:rsid w:val="00B27A3B"/>
    <w:rsid w:val="00B27D8D"/>
    <w:rsid w:val="00B27F16"/>
    <w:rsid w:val="00B30068"/>
    <w:rsid w:val="00B3017B"/>
    <w:rsid w:val="00B30324"/>
    <w:rsid w:val="00B3068F"/>
    <w:rsid w:val="00B30AF1"/>
    <w:rsid w:val="00B319C3"/>
    <w:rsid w:val="00B32337"/>
    <w:rsid w:val="00B32380"/>
    <w:rsid w:val="00B32404"/>
    <w:rsid w:val="00B333AB"/>
    <w:rsid w:val="00B33465"/>
    <w:rsid w:val="00B33D43"/>
    <w:rsid w:val="00B33F9F"/>
    <w:rsid w:val="00B3403E"/>
    <w:rsid w:val="00B34A50"/>
    <w:rsid w:val="00B34AD8"/>
    <w:rsid w:val="00B34E23"/>
    <w:rsid w:val="00B34F95"/>
    <w:rsid w:val="00B358B2"/>
    <w:rsid w:val="00B359B3"/>
    <w:rsid w:val="00B35CF3"/>
    <w:rsid w:val="00B35D29"/>
    <w:rsid w:val="00B36000"/>
    <w:rsid w:val="00B36050"/>
    <w:rsid w:val="00B3623D"/>
    <w:rsid w:val="00B368D0"/>
    <w:rsid w:val="00B36994"/>
    <w:rsid w:val="00B36A56"/>
    <w:rsid w:val="00B36CCC"/>
    <w:rsid w:val="00B36E61"/>
    <w:rsid w:val="00B36E7D"/>
    <w:rsid w:val="00B36F15"/>
    <w:rsid w:val="00B3713F"/>
    <w:rsid w:val="00B371A8"/>
    <w:rsid w:val="00B376B6"/>
    <w:rsid w:val="00B37C75"/>
    <w:rsid w:val="00B37E98"/>
    <w:rsid w:val="00B4065F"/>
    <w:rsid w:val="00B409E0"/>
    <w:rsid w:val="00B40A49"/>
    <w:rsid w:val="00B40B2F"/>
    <w:rsid w:val="00B4141B"/>
    <w:rsid w:val="00B41D13"/>
    <w:rsid w:val="00B41DDF"/>
    <w:rsid w:val="00B41F64"/>
    <w:rsid w:val="00B42635"/>
    <w:rsid w:val="00B429B8"/>
    <w:rsid w:val="00B4316E"/>
    <w:rsid w:val="00B431BC"/>
    <w:rsid w:val="00B43892"/>
    <w:rsid w:val="00B43A64"/>
    <w:rsid w:val="00B43CD2"/>
    <w:rsid w:val="00B440B1"/>
    <w:rsid w:val="00B44470"/>
    <w:rsid w:val="00B445CB"/>
    <w:rsid w:val="00B4499C"/>
    <w:rsid w:val="00B44D21"/>
    <w:rsid w:val="00B45B6F"/>
    <w:rsid w:val="00B4605F"/>
    <w:rsid w:val="00B46365"/>
    <w:rsid w:val="00B4644E"/>
    <w:rsid w:val="00B46518"/>
    <w:rsid w:val="00B46771"/>
    <w:rsid w:val="00B469E6"/>
    <w:rsid w:val="00B46A6E"/>
    <w:rsid w:val="00B47252"/>
    <w:rsid w:val="00B47541"/>
    <w:rsid w:val="00B47552"/>
    <w:rsid w:val="00B47687"/>
    <w:rsid w:val="00B478A9"/>
    <w:rsid w:val="00B47CA6"/>
    <w:rsid w:val="00B47EB9"/>
    <w:rsid w:val="00B50075"/>
    <w:rsid w:val="00B500FA"/>
    <w:rsid w:val="00B5031C"/>
    <w:rsid w:val="00B50414"/>
    <w:rsid w:val="00B5096A"/>
    <w:rsid w:val="00B50D22"/>
    <w:rsid w:val="00B51028"/>
    <w:rsid w:val="00B5125A"/>
    <w:rsid w:val="00B51441"/>
    <w:rsid w:val="00B517F8"/>
    <w:rsid w:val="00B51E4A"/>
    <w:rsid w:val="00B5235A"/>
    <w:rsid w:val="00B5241C"/>
    <w:rsid w:val="00B5254A"/>
    <w:rsid w:val="00B5294F"/>
    <w:rsid w:val="00B53438"/>
    <w:rsid w:val="00B537C8"/>
    <w:rsid w:val="00B538D7"/>
    <w:rsid w:val="00B53A78"/>
    <w:rsid w:val="00B54119"/>
    <w:rsid w:val="00B541A9"/>
    <w:rsid w:val="00B54A3F"/>
    <w:rsid w:val="00B552AD"/>
    <w:rsid w:val="00B558DA"/>
    <w:rsid w:val="00B55920"/>
    <w:rsid w:val="00B55FEB"/>
    <w:rsid w:val="00B56148"/>
    <w:rsid w:val="00B56452"/>
    <w:rsid w:val="00B564C2"/>
    <w:rsid w:val="00B5662E"/>
    <w:rsid w:val="00B56765"/>
    <w:rsid w:val="00B569E1"/>
    <w:rsid w:val="00B56C6C"/>
    <w:rsid w:val="00B571AF"/>
    <w:rsid w:val="00B576D6"/>
    <w:rsid w:val="00B57883"/>
    <w:rsid w:val="00B57B37"/>
    <w:rsid w:val="00B57D1D"/>
    <w:rsid w:val="00B60399"/>
    <w:rsid w:val="00B60BBE"/>
    <w:rsid w:val="00B61318"/>
    <w:rsid w:val="00B61956"/>
    <w:rsid w:val="00B61AF8"/>
    <w:rsid w:val="00B62629"/>
    <w:rsid w:val="00B629BF"/>
    <w:rsid w:val="00B62B8A"/>
    <w:rsid w:val="00B63103"/>
    <w:rsid w:val="00B63749"/>
    <w:rsid w:val="00B639AF"/>
    <w:rsid w:val="00B639D8"/>
    <w:rsid w:val="00B63E6A"/>
    <w:rsid w:val="00B63F48"/>
    <w:rsid w:val="00B644DA"/>
    <w:rsid w:val="00B6451C"/>
    <w:rsid w:val="00B64585"/>
    <w:rsid w:val="00B64B81"/>
    <w:rsid w:val="00B64D1B"/>
    <w:rsid w:val="00B64D7A"/>
    <w:rsid w:val="00B64FBE"/>
    <w:rsid w:val="00B65054"/>
    <w:rsid w:val="00B65180"/>
    <w:rsid w:val="00B65699"/>
    <w:rsid w:val="00B657FA"/>
    <w:rsid w:val="00B65A9C"/>
    <w:rsid w:val="00B662B1"/>
    <w:rsid w:val="00B66444"/>
    <w:rsid w:val="00B66CB8"/>
    <w:rsid w:val="00B6730B"/>
    <w:rsid w:val="00B67319"/>
    <w:rsid w:val="00B67348"/>
    <w:rsid w:val="00B67492"/>
    <w:rsid w:val="00B67666"/>
    <w:rsid w:val="00B67874"/>
    <w:rsid w:val="00B67BC6"/>
    <w:rsid w:val="00B67D46"/>
    <w:rsid w:val="00B67E6B"/>
    <w:rsid w:val="00B701E6"/>
    <w:rsid w:val="00B704A6"/>
    <w:rsid w:val="00B705BE"/>
    <w:rsid w:val="00B70909"/>
    <w:rsid w:val="00B714B7"/>
    <w:rsid w:val="00B71962"/>
    <w:rsid w:val="00B71A1A"/>
    <w:rsid w:val="00B72182"/>
    <w:rsid w:val="00B727DE"/>
    <w:rsid w:val="00B72AA9"/>
    <w:rsid w:val="00B72AD1"/>
    <w:rsid w:val="00B72BB5"/>
    <w:rsid w:val="00B72DB7"/>
    <w:rsid w:val="00B739A4"/>
    <w:rsid w:val="00B73D61"/>
    <w:rsid w:val="00B7428C"/>
    <w:rsid w:val="00B7445A"/>
    <w:rsid w:val="00B74677"/>
    <w:rsid w:val="00B7575A"/>
    <w:rsid w:val="00B759C0"/>
    <w:rsid w:val="00B75D46"/>
    <w:rsid w:val="00B75DA3"/>
    <w:rsid w:val="00B76041"/>
    <w:rsid w:val="00B762C1"/>
    <w:rsid w:val="00B765B8"/>
    <w:rsid w:val="00B767E2"/>
    <w:rsid w:val="00B76BCE"/>
    <w:rsid w:val="00B76E8C"/>
    <w:rsid w:val="00B7783F"/>
    <w:rsid w:val="00B77964"/>
    <w:rsid w:val="00B77DC9"/>
    <w:rsid w:val="00B80087"/>
    <w:rsid w:val="00B801B1"/>
    <w:rsid w:val="00B808F8"/>
    <w:rsid w:val="00B80A82"/>
    <w:rsid w:val="00B80DB0"/>
    <w:rsid w:val="00B80FFA"/>
    <w:rsid w:val="00B8110B"/>
    <w:rsid w:val="00B814C9"/>
    <w:rsid w:val="00B81D22"/>
    <w:rsid w:val="00B81DD7"/>
    <w:rsid w:val="00B81F7E"/>
    <w:rsid w:val="00B82076"/>
    <w:rsid w:val="00B826F7"/>
    <w:rsid w:val="00B82CBF"/>
    <w:rsid w:val="00B82CD7"/>
    <w:rsid w:val="00B830D3"/>
    <w:rsid w:val="00B83771"/>
    <w:rsid w:val="00B83AD8"/>
    <w:rsid w:val="00B83F76"/>
    <w:rsid w:val="00B842DA"/>
    <w:rsid w:val="00B842EB"/>
    <w:rsid w:val="00B843A3"/>
    <w:rsid w:val="00B848C3"/>
    <w:rsid w:val="00B848FC"/>
    <w:rsid w:val="00B84E45"/>
    <w:rsid w:val="00B85449"/>
    <w:rsid w:val="00B85688"/>
    <w:rsid w:val="00B85D01"/>
    <w:rsid w:val="00B8647D"/>
    <w:rsid w:val="00B86608"/>
    <w:rsid w:val="00B8691D"/>
    <w:rsid w:val="00B86A97"/>
    <w:rsid w:val="00B86B9F"/>
    <w:rsid w:val="00B86E17"/>
    <w:rsid w:val="00B86E7E"/>
    <w:rsid w:val="00B87241"/>
    <w:rsid w:val="00B87655"/>
    <w:rsid w:val="00B876A1"/>
    <w:rsid w:val="00B87B87"/>
    <w:rsid w:val="00B87C02"/>
    <w:rsid w:val="00B901E9"/>
    <w:rsid w:val="00B90868"/>
    <w:rsid w:val="00B90A06"/>
    <w:rsid w:val="00B90B63"/>
    <w:rsid w:val="00B913BC"/>
    <w:rsid w:val="00B914DD"/>
    <w:rsid w:val="00B914F7"/>
    <w:rsid w:val="00B91638"/>
    <w:rsid w:val="00B9191F"/>
    <w:rsid w:val="00B91A08"/>
    <w:rsid w:val="00B91A3A"/>
    <w:rsid w:val="00B91B6F"/>
    <w:rsid w:val="00B91BCD"/>
    <w:rsid w:val="00B91D6C"/>
    <w:rsid w:val="00B91DAC"/>
    <w:rsid w:val="00B92049"/>
    <w:rsid w:val="00B9261D"/>
    <w:rsid w:val="00B928C8"/>
    <w:rsid w:val="00B92C14"/>
    <w:rsid w:val="00B9304E"/>
    <w:rsid w:val="00B93115"/>
    <w:rsid w:val="00B931A9"/>
    <w:rsid w:val="00B93672"/>
    <w:rsid w:val="00B938A0"/>
    <w:rsid w:val="00B9392D"/>
    <w:rsid w:val="00B93DA4"/>
    <w:rsid w:val="00B9424F"/>
    <w:rsid w:val="00B94416"/>
    <w:rsid w:val="00B949C2"/>
    <w:rsid w:val="00B949E8"/>
    <w:rsid w:val="00B94D64"/>
    <w:rsid w:val="00B9542B"/>
    <w:rsid w:val="00B95780"/>
    <w:rsid w:val="00B95DE9"/>
    <w:rsid w:val="00B95F0A"/>
    <w:rsid w:val="00B95FE9"/>
    <w:rsid w:val="00B96255"/>
    <w:rsid w:val="00B96400"/>
    <w:rsid w:val="00B96691"/>
    <w:rsid w:val="00B96A3D"/>
    <w:rsid w:val="00B96B0A"/>
    <w:rsid w:val="00B96C3D"/>
    <w:rsid w:val="00B96E5C"/>
    <w:rsid w:val="00B972C7"/>
    <w:rsid w:val="00B972E8"/>
    <w:rsid w:val="00B979C9"/>
    <w:rsid w:val="00B97EAE"/>
    <w:rsid w:val="00BA069D"/>
    <w:rsid w:val="00BA06A5"/>
    <w:rsid w:val="00BA0A96"/>
    <w:rsid w:val="00BA0BA3"/>
    <w:rsid w:val="00BA0C24"/>
    <w:rsid w:val="00BA0E3C"/>
    <w:rsid w:val="00BA10BE"/>
    <w:rsid w:val="00BA1381"/>
    <w:rsid w:val="00BA2D05"/>
    <w:rsid w:val="00BA2DC5"/>
    <w:rsid w:val="00BA2F83"/>
    <w:rsid w:val="00BA3094"/>
    <w:rsid w:val="00BA329F"/>
    <w:rsid w:val="00BA3382"/>
    <w:rsid w:val="00BA3A4F"/>
    <w:rsid w:val="00BA3F48"/>
    <w:rsid w:val="00BA434E"/>
    <w:rsid w:val="00BA4680"/>
    <w:rsid w:val="00BA46B4"/>
    <w:rsid w:val="00BA479D"/>
    <w:rsid w:val="00BA49E4"/>
    <w:rsid w:val="00BA4DE4"/>
    <w:rsid w:val="00BA4F45"/>
    <w:rsid w:val="00BA5336"/>
    <w:rsid w:val="00BA5A3E"/>
    <w:rsid w:val="00BA5BF2"/>
    <w:rsid w:val="00BA62E2"/>
    <w:rsid w:val="00BA6D2B"/>
    <w:rsid w:val="00BA6D62"/>
    <w:rsid w:val="00BA71CB"/>
    <w:rsid w:val="00BB0039"/>
    <w:rsid w:val="00BB05A8"/>
    <w:rsid w:val="00BB0921"/>
    <w:rsid w:val="00BB0B9F"/>
    <w:rsid w:val="00BB0F6D"/>
    <w:rsid w:val="00BB1235"/>
    <w:rsid w:val="00BB130C"/>
    <w:rsid w:val="00BB147C"/>
    <w:rsid w:val="00BB158E"/>
    <w:rsid w:val="00BB17F2"/>
    <w:rsid w:val="00BB1B2B"/>
    <w:rsid w:val="00BB1B9F"/>
    <w:rsid w:val="00BB1C18"/>
    <w:rsid w:val="00BB1CFD"/>
    <w:rsid w:val="00BB1E28"/>
    <w:rsid w:val="00BB1E9B"/>
    <w:rsid w:val="00BB1F07"/>
    <w:rsid w:val="00BB23D9"/>
    <w:rsid w:val="00BB28BB"/>
    <w:rsid w:val="00BB293B"/>
    <w:rsid w:val="00BB2DB8"/>
    <w:rsid w:val="00BB2E5E"/>
    <w:rsid w:val="00BB31FD"/>
    <w:rsid w:val="00BB3C0D"/>
    <w:rsid w:val="00BB3D89"/>
    <w:rsid w:val="00BB3E55"/>
    <w:rsid w:val="00BB4245"/>
    <w:rsid w:val="00BB44B1"/>
    <w:rsid w:val="00BB4826"/>
    <w:rsid w:val="00BB48FE"/>
    <w:rsid w:val="00BB4D98"/>
    <w:rsid w:val="00BB65B6"/>
    <w:rsid w:val="00BB6E2A"/>
    <w:rsid w:val="00BB7184"/>
    <w:rsid w:val="00BB7592"/>
    <w:rsid w:val="00BB78DF"/>
    <w:rsid w:val="00BB793F"/>
    <w:rsid w:val="00BB7F54"/>
    <w:rsid w:val="00BB7F82"/>
    <w:rsid w:val="00BC0298"/>
    <w:rsid w:val="00BC0311"/>
    <w:rsid w:val="00BC083B"/>
    <w:rsid w:val="00BC1266"/>
    <w:rsid w:val="00BC161F"/>
    <w:rsid w:val="00BC1767"/>
    <w:rsid w:val="00BC1838"/>
    <w:rsid w:val="00BC1C93"/>
    <w:rsid w:val="00BC1EB5"/>
    <w:rsid w:val="00BC2192"/>
    <w:rsid w:val="00BC22D6"/>
    <w:rsid w:val="00BC26E5"/>
    <w:rsid w:val="00BC2884"/>
    <w:rsid w:val="00BC2931"/>
    <w:rsid w:val="00BC2A7F"/>
    <w:rsid w:val="00BC2A92"/>
    <w:rsid w:val="00BC2B4A"/>
    <w:rsid w:val="00BC35A9"/>
    <w:rsid w:val="00BC385B"/>
    <w:rsid w:val="00BC3977"/>
    <w:rsid w:val="00BC3AF4"/>
    <w:rsid w:val="00BC3FBE"/>
    <w:rsid w:val="00BC3FF9"/>
    <w:rsid w:val="00BC4B1A"/>
    <w:rsid w:val="00BC4E6C"/>
    <w:rsid w:val="00BC4E89"/>
    <w:rsid w:val="00BC5319"/>
    <w:rsid w:val="00BC546A"/>
    <w:rsid w:val="00BC556E"/>
    <w:rsid w:val="00BC56AB"/>
    <w:rsid w:val="00BC5D58"/>
    <w:rsid w:val="00BC62E1"/>
    <w:rsid w:val="00BC6444"/>
    <w:rsid w:val="00BC6922"/>
    <w:rsid w:val="00BC70EF"/>
    <w:rsid w:val="00BC72AA"/>
    <w:rsid w:val="00BC72B7"/>
    <w:rsid w:val="00BC7808"/>
    <w:rsid w:val="00BC7FCF"/>
    <w:rsid w:val="00BD0443"/>
    <w:rsid w:val="00BD04F2"/>
    <w:rsid w:val="00BD0B76"/>
    <w:rsid w:val="00BD0CE2"/>
    <w:rsid w:val="00BD0DFD"/>
    <w:rsid w:val="00BD0F6A"/>
    <w:rsid w:val="00BD1855"/>
    <w:rsid w:val="00BD1D49"/>
    <w:rsid w:val="00BD1D74"/>
    <w:rsid w:val="00BD204B"/>
    <w:rsid w:val="00BD2EFF"/>
    <w:rsid w:val="00BD3330"/>
    <w:rsid w:val="00BD35B1"/>
    <w:rsid w:val="00BD3600"/>
    <w:rsid w:val="00BD3752"/>
    <w:rsid w:val="00BD3CA6"/>
    <w:rsid w:val="00BD4209"/>
    <w:rsid w:val="00BD4A44"/>
    <w:rsid w:val="00BD4ACB"/>
    <w:rsid w:val="00BD537C"/>
    <w:rsid w:val="00BD5D6B"/>
    <w:rsid w:val="00BD622E"/>
    <w:rsid w:val="00BD6230"/>
    <w:rsid w:val="00BD63BE"/>
    <w:rsid w:val="00BD64FC"/>
    <w:rsid w:val="00BD76FD"/>
    <w:rsid w:val="00BD7A34"/>
    <w:rsid w:val="00BD7B5D"/>
    <w:rsid w:val="00BE00B1"/>
    <w:rsid w:val="00BE04DA"/>
    <w:rsid w:val="00BE0895"/>
    <w:rsid w:val="00BE09BF"/>
    <w:rsid w:val="00BE0BD6"/>
    <w:rsid w:val="00BE0DF4"/>
    <w:rsid w:val="00BE0E6E"/>
    <w:rsid w:val="00BE0EF1"/>
    <w:rsid w:val="00BE0F0C"/>
    <w:rsid w:val="00BE119F"/>
    <w:rsid w:val="00BE14C3"/>
    <w:rsid w:val="00BE1715"/>
    <w:rsid w:val="00BE1B1B"/>
    <w:rsid w:val="00BE1B8A"/>
    <w:rsid w:val="00BE1BC8"/>
    <w:rsid w:val="00BE212B"/>
    <w:rsid w:val="00BE2516"/>
    <w:rsid w:val="00BE25AC"/>
    <w:rsid w:val="00BE26E2"/>
    <w:rsid w:val="00BE2D46"/>
    <w:rsid w:val="00BE2E5C"/>
    <w:rsid w:val="00BE34D8"/>
    <w:rsid w:val="00BE363F"/>
    <w:rsid w:val="00BE3706"/>
    <w:rsid w:val="00BE38FF"/>
    <w:rsid w:val="00BE3EE0"/>
    <w:rsid w:val="00BE409B"/>
    <w:rsid w:val="00BE438B"/>
    <w:rsid w:val="00BE4A6A"/>
    <w:rsid w:val="00BE4EAC"/>
    <w:rsid w:val="00BE4F89"/>
    <w:rsid w:val="00BE5643"/>
    <w:rsid w:val="00BE5B6F"/>
    <w:rsid w:val="00BE60BD"/>
    <w:rsid w:val="00BE6621"/>
    <w:rsid w:val="00BE6EC3"/>
    <w:rsid w:val="00BE70CD"/>
    <w:rsid w:val="00BE71B5"/>
    <w:rsid w:val="00BE72E3"/>
    <w:rsid w:val="00BE7618"/>
    <w:rsid w:val="00BE764C"/>
    <w:rsid w:val="00BE7BE4"/>
    <w:rsid w:val="00BE7FFE"/>
    <w:rsid w:val="00BF010B"/>
    <w:rsid w:val="00BF01E5"/>
    <w:rsid w:val="00BF0BEF"/>
    <w:rsid w:val="00BF112D"/>
    <w:rsid w:val="00BF113B"/>
    <w:rsid w:val="00BF1172"/>
    <w:rsid w:val="00BF13BB"/>
    <w:rsid w:val="00BF1903"/>
    <w:rsid w:val="00BF2046"/>
    <w:rsid w:val="00BF2425"/>
    <w:rsid w:val="00BF2431"/>
    <w:rsid w:val="00BF2481"/>
    <w:rsid w:val="00BF26E5"/>
    <w:rsid w:val="00BF31B3"/>
    <w:rsid w:val="00BF34EC"/>
    <w:rsid w:val="00BF3F95"/>
    <w:rsid w:val="00BF444F"/>
    <w:rsid w:val="00BF496B"/>
    <w:rsid w:val="00BF4D48"/>
    <w:rsid w:val="00BF52D3"/>
    <w:rsid w:val="00BF53CE"/>
    <w:rsid w:val="00BF55A5"/>
    <w:rsid w:val="00BF5EE6"/>
    <w:rsid w:val="00BF5F0F"/>
    <w:rsid w:val="00BF678D"/>
    <w:rsid w:val="00BF6FB4"/>
    <w:rsid w:val="00BF74CA"/>
    <w:rsid w:val="00BF756D"/>
    <w:rsid w:val="00BF795E"/>
    <w:rsid w:val="00BF7BD1"/>
    <w:rsid w:val="00BF7EB7"/>
    <w:rsid w:val="00C003A0"/>
    <w:rsid w:val="00C00530"/>
    <w:rsid w:val="00C00552"/>
    <w:rsid w:val="00C006D9"/>
    <w:rsid w:val="00C0105C"/>
    <w:rsid w:val="00C0169C"/>
    <w:rsid w:val="00C01807"/>
    <w:rsid w:val="00C01BC9"/>
    <w:rsid w:val="00C01E36"/>
    <w:rsid w:val="00C01EEF"/>
    <w:rsid w:val="00C0216F"/>
    <w:rsid w:val="00C021E6"/>
    <w:rsid w:val="00C025C4"/>
    <w:rsid w:val="00C027EA"/>
    <w:rsid w:val="00C02A1E"/>
    <w:rsid w:val="00C02A92"/>
    <w:rsid w:val="00C02B28"/>
    <w:rsid w:val="00C02BF7"/>
    <w:rsid w:val="00C0304C"/>
    <w:rsid w:val="00C0325D"/>
    <w:rsid w:val="00C032EC"/>
    <w:rsid w:val="00C0386E"/>
    <w:rsid w:val="00C03BC2"/>
    <w:rsid w:val="00C03D43"/>
    <w:rsid w:val="00C03D4D"/>
    <w:rsid w:val="00C04006"/>
    <w:rsid w:val="00C0463E"/>
    <w:rsid w:val="00C04A9B"/>
    <w:rsid w:val="00C04EC0"/>
    <w:rsid w:val="00C050FB"/>
    <w:rsid w:val="00C0519C"/>
    <w:rsid w:val="00C05414"/>
    <w:rsid w:val="00C05465"/>
    <w:rsid w:val="00C05B84"/>
    <w:rsid w:val="00C05EA2"/>
    <w:rsid w:val="00C06388"/>
    <w:rsid w:val="00C068B2"/>
    <w:rsid w:val="00C069EE"/>
    <w:rsid w:val="00C06A65"/>
    <w:rsid w:val="00C06D66"/>
    <w:rsid w:val="00C07293"/>
    <w:rsid w:val="00C074D1"/>
    <w:rsid w:val="00C074EE"/>
    <w:rsid w:val="00C07A7E"/>
    <w:rsid w:val="00C07AE7"/>
    <w:rsid w:val="00C100FA"/>
    <w:rsid w:val="00C10195"/>
    <w:rsid w:val="00C102EF"/>
    <w:rsid w:val="00C106A1"/>
    <w:rsid w:val="00C10898"/>
    <w:rsid w:val="00C108A6"/>
    <w:rsid w:val="00C1123A"/>
    <w:rsid w:val="00C11347"/>
    <w:rsid w:val="00C11777"/>
    <w:rsid w:val="00C12161"/>
    <w:rsid w:val="00C12802"/>
    <w:rsid w:val="00C12CF3"/>
    <w:rsid w:val="00C12F96"/>
    <w:rsid w:val="00C12FAB"/>
    <w:rsid w:val="00C132C4"/>
    <w:rsid w:val="00C1358D"/>
    <w:rsid w:val="00C1394B"/>
    <w:rsid w:val="00C13A26"/>
    <w:rsid w:val="00C13EDD"/>
    <w:rsid w:val="00C14937"/>
    <w:rsid w:val="00C14D56"/>
    <w:rsid w:val="00C154AD"/>
    <w:rsid w:val="00C15523"/>
    <w:rsid w:val="00C1580C"/>
    <w:rsid w:val="00C15BD9"/>
    <w:rsid w:val="00C16D3D"/>
    <w:rsid w:val="00C16DF9"/>
    <w:rsid w:val="00C16F8D"/>
    <w:rsid w:val="00C17A7A"/>
    <w:rsid w:val="00C17B7A"/>
    <w:rsid w:val="00C17D28"/>
    <w:rsid w:val="00C20035"/>
    <w:rsid w:val="00C20269"/>
    <w:rsid w:val="00C202BA"/>
    <w:rsid w:val="00C20359"/>
    <w:rsid w:val="00C20AD0"/>
    <w:rsid w:val="00C20AD9"/>
    <w:rsid w:val="00C2153D"/>
    <w:rsid w:val="00C217E5"/>
    <w:rsid w:val="00C21DB9"/>
    <w:rsid w:val="00C21DDF"/>
    <w:rsid w:val="00C224A2"/>
    <w:rsid w:val="00C23337"/>
    <w:rsid w:val="00C233EB"/>
    <w:rsid w:val="00C2371B"/>
    <w:rsid w:val="00C239EE"/>
    <w:rsid w:val="00C23C8E"/>
    <w:rsid w:val="00C24057"/>
    <w:rsid w:val="00C2406F"/>
    <w:rsid w:val="00C241D7"/>
    <w:rsid w:val="00C24247"/>
    <w:rsid w:val="00C243A2"/>
    <w:rsid w:val="00C24690"/>
    <w:rsid w:val="00C24879"/>
    <w:rsid w:val="00C24BA4"/>
    <w:rsid w:val="00C24E0F"/>
    <w:rsid w:val="00C24F89"/>
    <w:rsid w:val="00C25626"/>
    <w:rsid w:val="00C259B8"/>
    <w:rsid w:val="00C25E90"/>
    <w:rsid w:val="00C25EDF"/>
    <w:rsid w:val="00C2616D"/>
    <w:rsid w:val="00C2624D"/>
    <w:rsid w:val="00C26BFC"/>
    <w:rsid w:val="00C27670"/>
    <w:rsid w:val="00C27719"/>
    <w:rsid w:val="00C300B1"/>
    <w:rsid w:val="00C3022E"/>
    <w:rsid w:val="00C30911"/>
    <w:rsid w:val="00C30CDA"/>
    <w:rsid w:val="00C30FBD"/>
    <w:rsid w:val="00C3168E"/>
    <w:rsid w:val="00C31940"/>
    <w:rsid w:val="00C33306"/>
    <w:rsid w:val="00C33361"/>
    <w:rsid w:val="00C337F3"/>
    <w:rsid w:val="00C33D4D"/>
    <w:rsid w:val="00C33F29"/>
    <w:rsid w:val="00C348A3"/>
    <w:rsid w:val="00C34CD8"/>
    <w:rsid w:val="00C3509D"/>
    <w:rsid w:val="00C3510E"/>
    <w:rsid w:val="00C352B0"/>
    <w:rsid w:val="00C358FF"/>
    <w:rsid w:val="00C36384"/>
    <w:rsid w:val="00C36B7A"/>
    <w:rsid w:val="00C375A5"/>
    <w:rsid w:val="00C375E5"/>
    <w:rsid w:val="00C37633"/>
    <w:rsid w:val="00C40254"/>
    <w:rsid w:val="00C40CE7"/>
    <w:rsid w:val="00C4184E"/>
    <w:rsid w:val="00C41F04"/>
    <w:rsid w:val="00C42114"/>
    <w:rsid w:val="00C42496"/>
    <w:rsid w:val="00C42F39"/>
    <w:rsid w:val="00C43459"/>
    <w:rsid w:val="00C434BE"/>
    <w:rsid w:val="00C43D39"/>
    <w:rsid w:val="00C44434"/>
    <w:rsid w:val="00C44B68"/>
    <w:rsid w:val="00C44C25"/>
    <w:rsid w:val="00C44D55"/>
    <w:rsid w:val="00C45190"/>
    <w:rsid w:val="00C4593E"/>
    <w:rsid w:val="00C45CE6"/>
    <w:rsid w:val="00C46231"/>
    <w:rsid w:val="00C4650C"/>
    <w:rsid w:val="00C46697"/>
    <w:rsid w:val="00C46A66"/>
    <w:rsid w:val="00C46EBB"/>
    <w:rsid w:val="00C473B1"/>
    <w:rsid w:val="00C47529"/>
    <w:rsid w:val="00C50031"/>
    <w:rsid w:val="00C50702"/>
    <w:rsid w:val="00C51101"/>
    <w:rsid w:val="00C51192"/>
    <w:rsid w:val="00C5171E"/>
    <w:rsid w:val="00C51C66"/>
    <w:rsid w:val="00C51D1B"/>
    <w:rsid w:val="00C51D54"/>
    <w:rsid w:val="00C51D82"/>
    <w:rsid w:val="00C51DDD"/>
    <w:rsid w:val="00C51E4F"/>
    <w:rsid w:val="00C525F8"/>
    <w:rsid w:val="00C5271D"/>
    <w:rsid w:val="00C53626"/>
    <w:rsid w:val="00C53BDC"/>
    <w:rsid w:val="00C53F22"/>
    <w:rsid w:val="00C542AB"/>
    <w:rsid w:val="00C546E0"/>
    <w:rsid w:val="00C54753"/>
    <w:rsid w:val="00C547E9"/>
    <w:rsid w:val="00C54870"/>
    <w:rsid w:val="00C5493D"/>
    <w:rsid w:val="00C54D11"/>
    <w:rsid w:val="00C5514A"/>
    <w:rsid w:val="00C5576B"/>
    <w:rsid w:val="00C5598B"/>
    <w:rsid w:val="00C562F0"/>
    <w:rsid w:val="00C567AF"/>
    <w:rsid w:val="00C5708C"/>
    <w:rsid w:val="00C57180"/>
    <w:rsid w:val="00C571AA"/>
    <w:rsid w:val="00C57501"/>
    <w:rsid w:val="00C57EB4"/>
    <w:rsid w:val="00C604E6"/>
    <w:rsid w:val="00C60DB8"/>
    <w:rsid w:val="00C60FB2"/>
    <w:rsid w:val="00C61203"/>
    <w:rsid w:val="00C61357"/>
    <w:rsid w:val="00C61A35"/>
    <w:rsid w:val="00C61EA2"/>
    <w:rsid w:val="00C62253"/>
    <w:rsid w:val="00C625A0"/>
    <w:rsid w:val="00C627C4"/>
    <w:rsid w:val="00C62B68"/>
    <w:rsid w:val="00C62B74"/>
    <w:rsid w:val="00C62B80"/>
    <w:rsid w:val="00C62D61"/>
    <w:rsid w:val="00C62DCA"/>
    <w:rsid w:val="00C62F2E"/>
    <w:rsid w:val="00C62F68"/>
    <w:rsid w:val="00C631B8"/>
    <w:rsid w:val="00C635E2"/>
    <w:rsid w:val="00C638BD"/>
    <w:rsid w:val="00C63A5B"/>
    <w:rsid w:val="00C64290"/>
    <w:rsid w:val="00C6438E"/>
    <w:rsid w:val="00C64745"/>
    <w:rsid w:val="00C647CB"/>
    <w:rsid w:val="00C64F81"/>
    <w:rsid w:val="00C6523D"/>
    <w:rsid w:val="00C655DB"/>
    <w:rsid w:val="00C65757"/>
    <w:rsid w:val="00C65FC4"/>
    <w:rsid w:val="00C661AB"/>
    <w:rsid w:val="00C66386"/>
    <w:rsid w:val="00C66417"/>
    <w:rsid w:val="00C666A2"/>
    <w:rsid w:val="00C66AEC"/>
    <w:rsid w:val="00C66BBF"/>
    <w:rsid w:val="00C671A1"/>
    <w:rsid w:val="00C67745"/>
    <w:rsid w:val="00C67811"/>
    <w:rsid w:val="00C67956"/>
    <w:rsid w:val="00C67C1C"/>
    <w:rsid w:val="00C67E21"/>
    <w:rsid w:val="00C67EF8"/>
    <w:rsid w:val="00C70065"/>
    <w:rsid w:val="00C70C05"/>
    <w:rsid w:val="00C70E81"/>
    <w:rsid w:val="00C70F56"/>
    <w:rsid w:val="00C71267"/>
    <w:rsid w:val="00C715A2"/>
    <w:rsid w:val="00C7181E"/>
    <w:rsid w:val="00C72518"/>
    <w:rsid w:val="00C725AF"/>
    <w:rsid w:val="00C729A5"/>
    <w:rsid w:val="00C72DBB"/>
    <w:rsid w:val="00C72E79"/>
    <w:rsid w:val="00C73042"/>
    <w:rsid w:val="00C732C2"/>
    <w:rsid w:val="00C735AC"/>
    <w:rsid w:val="00C73B52"/>
    <w:rsid w:val="00C73C0E"/>
    <w:rsid w:val="00C73C7A"/>
    <w:rsid w:val="00C73E3F"/>
    <w:rsid w:val="00C73ED2"/>
    <w:rsid w:val="00C73EE3"/>
    <w:rsid w:val="00C74392"/>
    <w:rsid w:val="00C74513"/>
    <w:rsid w:val="00C74866"/>
    <w:rsid w:val="00C74A41"/>
    <w:rsid w:val="00C74DAA"/>
    <w:rsid w:val="00C75908"/>
    <w:rsid w:val="00C75D1A"/>
    <w:rsid w:val="00C75D5A"/>
    <w:rsid w:val="00C75FEC"/>
    <w:rsid w:val="00C76A46"/>
    <w:rsid w:val="00C770D3"/>
    <w:rsid w:val="00C7734B"/>
    <w:rsid w:val="00C775FB"/>
    <w:rsid w:val="00C776B9"/>
    <w:rsid w:val="00C77C30"/>
    <w:rsid w:val="00C802CF"/>
    <w:rsid w:val="00C8050B"/>
    <w:rsid w:val="00C8080E"/>
    <w:rsid w:val="00C80C0D"/>
    <w:rsid w:val="00C8148E"/>
    <w:rsid w:val="00C81887"/>
    <w:rsid w:val="00C81C8E"/>
    <w:rsid w:val="00C81D15"/>
    <w:rsid w:val="00C82341"/>
    <w:rsid w:val="00C82640"/>
    <w:rsid w:val="00C8290A"/>
    <w:rsid w:val="00C82B6B"/>
    <w:rsid w:val="00C82B8F"/>
    <w:rsid w:val="00C83C15"/>
    <w:rsid w:val="00C842D9"/>
    <w:rsid w:val="00C849AE"/>
    <w:rsid w:val="00C85109"/>
    <w:rsid w:val="00C851C1"/>
    <w:rsid w:val="00C8574C"/>
    <w:rsid w:val="00C85DBE"/>
    <w:rsid w:val="00C85EC5"/>
    <w:rsid w:val="00C8604F"/>
    <w:rsid w:val="00C86C9C"/>
    <w:rsid w:val="00C86EEC"/>
    <w:rsid w:val="00C8756B"/>
    <w:rsid w:val="00C87912"/>
    <w:rsid w:val="00C87DF9"/>
    <w:rsid w:val="00C87E25"/>
    <w:rsid w:val="00C9011F"/>
    <w:rsid w:val="00C9018B"/>
    <w:rsid w:val="00C90302"/>
    <w:rsid w:val="00C90630"/>
    <w:rsid w:val="00C9068F"/>
    <w:rsid w:val="00C90820"/>
    <w:rsid w:val="00C90A30"/>
    <w:rsid w:val="00C90AB7"/>
    <w:rsid w:val="00C90DBF"/>
    <w:rsid w:val="00C90EBA"/>
    <w:rsid w:val="00C90EE7"/>
    <w:rsid w:val="00C90EF0"/>
    <w:rsid w:val="00C9113F"/>
    <w:rsid w:val="00C91614"/>
    <w:rsid w:val="00C9180C"/>
    <w:rsid w:val="00C91841"/>
    <w:rsid w:val="00C919DC"/>
    <w:rsid w:val="00C91B4F"/>
    <w:rsid w:val="00C91C5F"/>
    <w:rsid w:val="00C91CC8"/>
    <w:rsid w:val="00C9258D"/>
    <w:rsid w:val="00C92691"/>
    <w:rsid w:val="00C926DC"/>
    <w:rsid w:val="00C928D1"/>
    <w:rsid w:val="00C92CC4"/>
    <w:rsid w:val="00C930C0"/>
    <w:rsid w:val="00C93440"/>
    <w:rsid w:val="00C9365F"/>
    <w:rsid w:val="00C937FD"/>
    <w:rsid w:val="00C9411A"/>
    <w:rsid w:val="00C94438"/>
    <w:rsid w:val="00C9445F"/>
    <w:rsid w:val="00C94904"/>
    <w:rsid w:val="00C94BDE"/>
    <w:rsid w:val="00C95221"/>
    <w:rsid w:val="00C95336"/>
    <w:rsid w:val="00C956A1"/>
    <w:rsid w:val="00C962DD"/>
    <w:rsid w:val="00C9673B"/>
    <w:rsid w:val="00C96A88"/>
    <w:rsid w:val="00C96DC4"/>
    <w:rsid w:val="00C96E91"/>
    <w:rsid w:val="00C96EDE"/>
    <w:rsid w:val="00C96FD6"/>
    <w:rsid w:val="00C97196"/>
    <w:rsid w:val="00CA01BA"/>
    <w:rsid w:val="00CA02D1"/>
    <w:rsid w:val="00CA0706"/>
    <w:rsid w:val="00CA0A4E"/>
    <w:rsid w:val="00CA0D63"/>
    <w:rsid w:val="00CA1808"/>
    <w:rsid w:val="00CA1D01"/>
    <w:rsid w:val="00CA1FF5"/>
    <w:rsid w:val="00CA2654"/>
    <w:rsid w:val="00CA2F58"/>
    <w:rsid w:val="00CA317F"/>
    <w:rsid w:val="00CA31F9"/>
    <w:rsid w:val="00CA3231"/>
    <w:rsid w:val="00CA32E8"/>
    <w:rsid w:val="00CA33FF"/>
    <w:rsid w:val="00CA42EE"/>
    <w:rsid w:val="00CA449F"/>
    <w:rsid w:val="00CA47D3"/>
    <w:rsid w:val="00CA4DC4"/>
    <w:rsid w:val="00CA4EAB"/>
    <w:rsid w:val="00CA4EB4"/>
    <w:rsid w:val="00CA619A"/>
    <w:rsid w:val="00CA6489"/>
    <w:rsid w:val="00CA670C"/>
    <w:rsid w:val="00CA6BD4"/>
    <w:rsid w:val="00CA6E4E"/>
    <w:rsid w:val="00CA6EFD"/>
    <w:rsid w:val="00CA7498"/>
    <w:rsid w:val="00CA7C64"/>
    <w:rsid w:val="00CB033E"/>
    <w:rsid w:val="00CB0A6D"/>
    <w:rsid w:val="00CB0D8C"/>
    <w:rsid w:val="00CB1703"/>
    <w:rsid w:val="00CB1868"/>
    <w:rsid w:val="00CB18D2"/>
    <w:rsid w:val="00CB1BF6"/>
    <w:rsid w:val="00CB1E5E"/>
    <w:rsid w:val="00CB24D4"/>
    <w:rsid w:val="00CB28C5"/>
    <w:rsid w:val="00CB2A7D"/>
    <w:rsid w:val="00CB2C6C"/>
    <w:rsid w:val="00CB2E1A"/>
    <w:rsid w:val="00CB3759"/>
    <w:rsid w:val="00CB3ABA"/>
    <w:rsid w:val="00CB3F06"/>
    <w:rsid w:val="00CB4111"/>
    <w:rsid w:val="00CB4126"/>
    <w:rsid w:val="00CB416F"/>
    <w:rsid w:val="00CB4236"/>
    <w:rsid w:val="00CB4725"/>
    <w:rsid w:val="00CB48F3"/>
    <w:rsid w:val="00CB4D9E"/>
    <w:rsid w:val="00CB4EEE"/>
    <w:rsid w:val="00CB50A8"/>
    <w:rsid w:val="00CB557F"/>
    <w:rsid w:val="00CB58E7"/>
    <w:rsid w:val="00CB5AC4"/>
    <w:rsid w:val="00CB6064"/>
    <w:rsid w:val="00CB6420"/>
    <w:rsid w:val="00CB6545"/>
    <w:rsid w:val="00CB6737"/>
    <w:rsid w:val="00CB6866"/>
    <w:rsid w:val="00CB6DF6"/>
    <w:rsid w:val="00CB6EA2"/>
    <w:rsid w:val="00CB7301"/>
    <w:rsid w:val="00CB7447"/>
    <w:rsid w:val="00CB77CC"/>
    <w:rsid w:val="00CB793C"/>
    <w:rsid w:val="00CB7CED"/>
    <w:rsid w:val="00CC010F"/>
    <w:rsid w:val="00CC03F7"/>
    <w:rsid w:val="00CC0413"/>
    <w:rsid w:val="00CC06A7"/>
    <w:rsid w:val="00CC08C1"/>
    <w:rsid w:val="00CC0C5F"/>
    <w:rsid w:val="00CC0E91"/>
    <w:rsid w:val="00CC0ED6"/>
    <w:rsid w:val="00CC101C"/>
    <w:rsid w:val="00CC15E9"/>
    <w:rsid w:val="00CC1C3A"/>
    <w:rsid w:val="00CC23D8"/>
    <w:rsid w:val="00CC27BB"/>
    <w:rsid w:val="00CC2B0E"/>
    <w:rsid w:val="00CC2EAE"/>
    <w:rsid w:val="00CC2FA8"/>
    <w:rsid w:val="00CC3061"/>
    <w:rsid w:val="00CC3240"/>
    <w:rsid w:val="00CC34A6"/>
    <w:rsid w:val="00CC378C"/>
    <w:rsid w:val="00CC3C70"/>
    <w:rsid w:val="00CC4638"/>
    <w:rsid w:val="00CC4723"/>
    <w:rsid w:val="00CC48EF"/>
    <w:rsid w:val="00CC560B"/>
    <w:rsid w:val="00CC5EBE"/>
    <w:rsid w:val="00CC609E"/>
    <w:rsid w:val="00CC6E6B"/>
    <w:rsid w:val="00CC7016"/>
    <w:rsid w:val="00CC70E9"/>
    <w:rsid w:val="00CC720E"/>
    <w:rsid w:val="00CC73B2"/>
    <w:rsid w:val="00CC79D2"/>
    <w:rsid w:val="00CC79DF"/>
    <w:rsid w:val="00CD003F"/>
    <w:rsid w:val="00CD01E4"/>
    <w:rsid w:val="00CD023A"/>
    <w:rsid w:val="00CD058F"/>
    <w:rsid w:val="00CD0A2A"/>
    <w:rsid w:val="00CD0E00"/>
    <w:rsid w:val="00CD0FB0"/>
    <w:rsid w:val="00CD108D"/>
    <w:rsid w:val="00CD168D"/>
    <w:rsid w:val="00CD1849"/>
    <w:rsid w:val="00CD18E6"/>
    <w:rsid w:val="00CD1EDE"/>
    <w:rsid w:val="00CD1FD8"/>
    <w:rsid w:val="00CD24C8"/>
    <w:rsid w:val="00CD287F"/>
    <w:rsid w:val="00CD2C86"/>
    <w:rsid w:val="00CD2E08"/>
    <w:rsid w:val="00CD2EEA"/>
    <w:rsid w:val="00CD37BB"/>
    <w:rsid w:val="00CD3B0A"/>
    <w:rsid w:val="00CD3E49"/>
    <w:rsid w:val="00CD4B63"/>
    <w:rsid w:val="00CD4F7F"/>
    <w:rsid w:val="00CD537E"/>
    <w:rsid w:val="00CD604B"/>
    <w:rsid w:val="00CD62FA"/>
    <w:rsid w:val="00CD6317"/>
    <w:rsid w:val="00CD63E6"/>
    <w:rsid w:val="00CD645B"/>
    <w:rsid w:val="00CD6541"/>
    <w:rsid w:val="00CD681E"/>
    <w:rsid w:val="00CD68D6"/>
    <w:rsid w:val="00CD7285"/>
    <w:rsid w:val="00CD76B7"/>
    <w:rsid w:val="00CE009A"/>
    <w:rsid w:val="00CE0348"/>
    <w:rsid w:val="00CE0554"/>
    <w:rsid w:val="00CE112B"/>
    <w:rsid w:val="00CE1411"/>
    <w:rsid w:val="00CE14A6"/>
    <w:rsid w:val="00CE1CF3"/>
    <w:rsid w:val="00CE1F0D"/>
    <w:rsid w:val="00CE22D4"/>
    <w:rsid w:val="00CE23BE"/>
    <w:rsid w:val="00CE2709"/>
    <w:rsid w:val="00CE314B"/>
    <w:rsid w:val="00CE318C"/>
    <w:rsid w:val="00CE3D01"/>
    <w:rsid w:val="00CE4270"/>
    <w:rsid w:val="00CE4840"/>
    <w:rsid w:val="00CE4988"/>
    <w:rsid w:val="00CE515A"/>
    <w:rsid w:val="00CE52E5"/>
    <w:rsid w:val="00CE53C8"/>
    <w:rsid w:val="00CE5F06"/>
    <w:rsid w:val="00CE64D5"/>
    <w:rsid w:val="00CE6C4D"/>
    <w:rsid w:val="00CE6E73"/>
    <w:rsid w:val="00CE706C"/>
    <w:rsid w:val="00CE7828"/>
    <w:rsid w:val="00CF0249"/>
    <w:rsid w:val="00CF03A5"/>
    <w:rsid w:val="00CF0511"/>
    <w:rsid w:val="00CF0C40"/>
    <w:rsid w:val="00CF0F95"/>
    <w:rsid w:val="00CF16C3"/>
    <w:rsid w:val="00CF18BA"/>
    <w:rsid w:val="00CF1937"/>
    <w:rsid w:val="00CF19C7"/>
    <w:rsid w:val="00CF19F2"/>
    <w:rsid w:val="00CF1A5D"/>
    <w:rsid w:val="00CF1BD4"/>
    <w:rsid w:val="00CF1E79"/>
    <w:rsid w:val="00CF1E9E"/>
    <w:rsid w:val="00CF1F4B"/>
    <w:rsid w:val="00CF296D"/>
    <w:rsid w:val="00CF2BA8"/>
    <w:rsid w:val="00CF2EDA"/>
    <w:rsid w:val="00CF3788"/>
    <w:rsid w:val="00CF3949"/>
    <w:rsid w:val="00CF3AD7"/>
    <w:rsid w:val="00CF3E49"/>
    <w:rsid w:val="00CF4349"/>
    <w:rsid w:val="00CF48F4"/>
    <w:rsid w:val="00CF4917"/>
    <w:rsid w:val="00CF4A67"/>
    <w:rsid w:val="00CF5698"/>
    <w:rsid w:val="00CF575C"/>
    <w:rsid w:val="00CF57A9"/>
    <w:rsid w:val="00CF5CF4"/>
    <w:rsid w:val="00CF5DFA"/>
    <w:rsid w:val="00CF5DFE"/>
    <w:rsid w:val="00CF6130"/>
    <w:rsid w:val="00CF62F3"/>
    <w:rsid w:val="00CF64A1"/>
    <w:rsid w:val="00CF664D"/>
    <w:rsid w:val="00CF6AA7"/>
    <w:rsid w:val="00CF71AC"/>
    <w:rsid w:val="00CF7267"/>
    <w:rsid w:val="00CF7502"/>
    <w:rsid w:val="00CF7588"/>
    <w:rsid w:val="00CF7626"/>
    <w:rsid w:val="00CF7B26"/>
    <w:rsid w:val="00CF7D53"/>
    <w:rsid w:val="00D0014D"/>
    <w:rsid w:val="00D001E8"/>
    <w:rsid w:val="00D00238"/>
    <w:rsid w:val="00D00274"/>
    <w:rsid w:val="00D00AE6"/>
    <w:rsid w:val="00D00B1F"/>
    <w:rsid w:val="00D00D9C"/>
    <w:rsid w:val="00D00EDE"/>
    <w:rsid w:val="00D00F58"/>
    <w:rsid w:val="00D017DA"/>
    <w:rsid w:val="00D01AE5"/>
    <w:rsid w:val="00D029AB"/>
    <w:rsid w:val="00D029D6"/>
    <w:rsid w:val="00D02CE5"/>
    <w:rsid w:val="00D0391D"/>
    <w:rsid w:val="00D03BAE"/>
    <w:rsid w:val="00D03F57"/>
    <w:rsid w:val="00D04162"/>
    <w:rsid w:val="00D043AF"/>
    <w:rsid w:val="00D044D7"/>
    <w:rsid w:val="00D0459D"/>
    <w:rsid w:val="00D04B39"/>
    <w:rsid w:val="00D04BD2"/>
    <w:rsid w:val="00D04CC3"/>
    <w:rsid w:val="00D04D08"/>
    <w:rsid w:val="00D04F85"/>
    <w:rsid w:val="00D04F8F"/>
    <w:rsid w:val="00D051A8"/>
    <w:rsid w:val="00D05836"/>
    <w:rsid w:val="00D05D57"/>
    <w:rsid w:val="00D0614B"/>
    <w:rsid w:val="00D06D2D"/>
    <w:rsid w:val="00D06E63"/>
    <w:rsid w:val="00D070B5"/>
    <w:rsid w:val="00D07180"/>
    <w:rsid w:val="00D07682"/>
    <w:rsid w:val="00D07BF9"/>
    <w:rsid w:val="00D07D8E"/>
    <w:rsid w:val="00D07F56"/>
    <w:rsid w:val="00D1034E"/>
    <w:rsid w:val="00D10378"/>
    <w:rsid w:val="00D108FB"/>
    <w:rsid w:val="00D10950"/>
    <w:rsid w:val="00D10E9D"/>
    <w:rsid w:val="00D10F3F"/>
    <w:rsid w:val="00D1138C"/>
    <w:rsid w:val="00D11B08"/>
    <w:rsid w:val="00D122B3"/>
    <w:rsid w:val="00D12657"/>
    <w:rsid w:val="00D129EC"/>
    <w:rsid w:val="00D12A79"/>
    <w:rsid w:val="00D12AD1"/>
    <w:rsid w:val="00D12C72"/>
    <w:rsid w:val="00D13703"/>
    <w:rsid w:val="00D137E3"/>
    <w:rsid w:val="00D13EFD"/>
    <w:rsid w:val="00D13F7E"/>
    <w:rsid w:val="00D142E6"/>
    <w:rsid w:val="00D143C3"/>
    <w:rsid w:val="00D14642"/>
    <w:rsid w:val="00D14834"/>
    <w:rsid w:val="00D14D5F"/>
    <w:rsid w:val="00D151B3"/>
    <w:rsid w:val="00D15505"/>
    <w:rsid w:val="00D156F2"/>
    <w:rsid w:val="00D15768"/>
    <w:rsid w:val="00D15F40"/>
    <w:rsid w:val="00D15F6D"/>
    <w:rsid w:val="00D16D44"/>
    <w:rsid w:val="00D1785A"/>
    <w:rsid w:val="00D17B0B"/>
    <w:rsid w:val="00D205B2"/>
    <w:rsid w:val="00D20AEF"/>
    <w:rsid w:val="00D20EAF"/>
    <w:rsid w:val="00D211AB"/>
    <w:rsid w:val="00D21312"/>
    <w:rsid w:val="00D21334"/>
    <w:rsid w:val="00D2154D"/>
    <w:rsid w:val="00D215BA"/>
    <w:rsid w:val="00D216CA"/>
    <w:rsid w:val="00D21A7E"/>
    <w:rsid w:val="00D21B15"/>
    <w:rsid w:val="00D21BDA"/>
    <w:rsid w:val="00D21F37"/>
    <w:rsid w:val="00D21F8A"/>
    <w:rsid w:val="00D22232"/>
    <w:rsid w:val="00D22333"/>
    <w:rsid w:val="00D22360"/>
    <w:rsid w:val="00D22CFF"/>
    <w:rsid w:val="00D22D6D"/>
    <w:rsid w:val="00D22EBF"/>
    <w:rsid w:val="00D23056"/>
    <w:rsid w:val="00D23116"/>
    <w:rsid w:val="00D233A5"/>
    <w:rsid w:val="00D233BC"/>
    <w:rsid w:val="00D23432"/>
    <w:rsid w:val="00D23454"/>
    <w:rsid w:val="00D2354A"/>
    <w:rsid w:val="00D2374B"/>
    <w:rsid w:val="00D23962"/>
    <w:rsid w:val="00D239E8"/>
    <w:rsid w:val="00D242BA"/>
    <w:rsid w:val="00D24369"/>
    <w:rsid w:val="00D244A1"/>
    <w:rsid w:val="00D24B96"/>
    <w:rsid w:val="00D24F5B"/>
    <w:rsid w:val="00D250C9"/>
    <w:rsid w:val="00D252A5"/>
    <w:rsid w:val="00D25399"/>
    <w:rsid w:val="00D25BB3"/>
    <w:rsid w:val="00D26104"/>
    <w:rsid w:val="00D26169"/>
    <w:rsid w:val="00D263D7"/>
    <w:rsid w:val="00D263EF"/>
    <w:rsid w:val="00D26CE3"/>
    <w:rsid w:val="00D27BF9"/>
    <w:rsid w:val="00D27C5E"/>
    <w:rsid w:val="00D30256"/>
    <w:rsid w:val="00D30343"/>
    <w:rsid w:val="00D3053A"/>
    <w:rsid w:val="00D308F2"/>
    <w:rsid w:val="00D30E34"/>
    <w:rsid w:val="00D31666"/>
    <w:rsid w:val="00D31FC5"/>
    <w:rsid w:val="00D32399"/>
    <w:rsid w:val="00D326AC"/>
    <w:rsid w:val="00D32ABD"/>
    <w:rsid w:val="00D32DBE"/>
    <w:rsid w:val="00D32DEF"/>
    <w:rsid w:val="00D33474"/>
    <w:rsid w:val="00D3348B"/>
    <w:rsid w:val="00D334C3"/>
    <w:rsid w:val="00D336C7"/>
    <w:rsid w:val="00D33A02"/>
    <w:rsid w:val="00D33DA6"/>
    <w:rsid w:val="00D33E9F"/>
    <w:rsid w:val="00D34066"/>
    <w:rsid w:val="00D3417A"/>
    <w:rsid w:val="00D346DA"/>
    <w:rsid w:val="00D350DD"/>
    <w:rsid w:val="00D3538E"/>
    <w:rsid w:val="00D35497"/>
    <w:rsid w:val="00D3580E"/>
    <w:rsid w:val="00D359E8"/>
    <w:rsid w:val="00D35A4A"/>
    <w:rsid w:val="00D35A95"/>
    <w:rsid w:val="00D35B51"/>
    <w:rsid w:val="00D35D54"/>
    <w:rsid w:val="00D361D8"/>
    <w:rsid w:val="00D36737"/>
    <w:rsid w:val="00D367ED"/>
    <w:rsid w:val="00D36AD9"/>
    <w:rsid w:val="00D372D1"/>
    <w:rsid w:val="00D37754"/>
    <w:rsid w:val="00D37970"/>
    <w:rsid w:val="00D379C3"/>
    <w:rsid w:val="00D40597"/>
    <w:rsid w:val="00D40862"/>
    <w:rsid w:val="00D409DB"/>
    <w:rsid w:val="00D40E99"/>
    <w:rsid w:val="00D41128"/>
    <w:rsid w:val="00D41A27"/>
    <w:rsid w:val="00D41C2D"/>
    <w:rsid w:val="00D42040"/>
    <w:rsid w:val="00D428AA"/>
    <w:rsid w:val="00D42997"/>
    <w:rsid w:val="00D42CE2"/>
    <w:rsid w:val="00D42E79"/>
    <w:rsid w:val="00D43499"/>
    <w:rsid w:val="00D437C1"/>
    <w:rsid w:val="00D43B3C"/>
    <w:rsid w:val="00D43F12"/>
    <w:rsid w:val="00D44617"/>
    <w:rsid w:val="00D44F68"/>
    <w:rsid w:val="00D45170"/>
    <w:rsid w:val="00D4554F"/>
    <w:rsid w:val="00D4565B"/>
    <w:rsid w:val="00D45E1F"/>
    <w:rsid w:val="00D4648F"/>
    <w:rsid w:val="00D4658B"/>
    <w:rsid w:val="00D46657"/>
    <w:rsid w:val="00D46A9E"/>
    <w:rsid w:val="00D46ACD"/>
    <w:rsid w:val="00D46AEE"/>
    <w:rsid w:val="00D46DCB"/>
    <w:rsid w:val="00D46EAC"/>
    <w:rsid w:val="00D46FED"/>
    <w:rsid w:val="00D47041"/>
    <w:rsid w:val="00D47904"/>
    <w:rsid w:val="00D479F5"/>
    <w:rsid w:val="00D47D8D"/>
    <w:rsid w:val="00D50078"/>
    <w:rsid w:val="00D50375"/>
    <w:rsid w:val="00D5052C"/>
    <w:rsid w:val="00D5055A"/>
    <w:rsid w:val="00D5083B"/>
    <w:rsid w:val="00D509E4"/>
    <w:rsid w:val="00D50CDC"/>
    <w:rsid w:val="00D511FA"/>
    <w:rsid w:val="00D51811"/>
    <w:rsid w:val="00D51E45"/>
    <w:rsid w:val="00D52501"/>
    <w:rsid w:val="00D52902"/>
    <w:rsid w:val="00D52EDA"/>
    <w:rsid w:val="00D530DD"/>
    <w:rsid w:val="00D5316A"/>
    <w:rsid w:val="00D53518"/>
    <w:rsid w:val="00D5395B"/>
    <w:rsid w:val="00D53EDD"/>
    <w:rsid w:val="00D5408D"/>
    <w:rsid w:val="00D54880"/>
    <w:rsid w:val="00D5493E"/>
    <w:rsid w:val="00D54BDB"/>
    <w:rsid w:val="00D5513F"/>
    <w:rsid w:val="00D55169"/>
    <w:rsid w:val="00D55A56"/>
    <w:rsid w:val="00D55F8F"/>
    <w:rsid w:val="00D563AD"/>
    <w:rsid w:val="00D568C5"/>
    <w:rsid w:val="00D56AE3"/>
    <w:rsid w:val="00D56B84"/>
    <w:rsid w:val="00D57827"/>
    <w:rsid w:val="00D579B9"/>
    <w:rsid w:val="00D57CF8"/>
    <w:rsid w:val="00D57EE0"/>
    <w:rsid w:val="00D60121"/>
    <w:rsid w:val="00D6025A"/>
    <w:rsid w:val="00D603C2"/>
    <w:rsid w:val="00D606C3"/>
    <w:rsid w:val="00D615D3"/>
    <w:rsid w:val="00D61773"/>
    <w:rsid w:val="00D618D7"/>
    <w:rsid w:val="00D61CEE"/>
    <w:rsid w:val="00D61D25"/>
    <w:rsid w:val="00D6201C"/>
    <w:rsid w:val="00D620B7"/>
    <w:rsid w:val="00D62390"/>
    <w:rsid w:val="00D6248A"/>
    <w:rsid w:val="00D6290D"/>
    <w:rsid w:val="00D62B6C"/>
    <w:rsid w:val="00D62E8A"/>
    <w:rsid w:val="00D63121"/>
    <w:rsid w:val="00D63423"/>
    <w:rsid w:val="00D63524"/>
    <w:rsid w:val="00D63543"/>
    <w:rsid w:val="00D63C7A"/>
    <w:rsid w:val="00D646FF"/>
    <w:rsid w:val="00D64ADE"/>
    <w:rsid w:val="00D64C66"/>
    <w:rsid w:val="00D64F4F"/>
    <w:rsid w:val="00D65077"/>
    <w:rsid w:val="00D65711"/>
    <w:rsid w:val="00D6586E"/>
    <w:rsid w:val="00D65967"/>
    <w:rsid w:val="00D65B9C"/>
    <w:rsid w:val="00D65C3D"/>
    <w:rsid w:val="00D65CBF"/>
    <w:rsid w:val="00D65D0A"/>
    <w:rsid w:val="00D66507"/>
    <w:rsid w:val="00D66AE5"/>
    <w:rsid w:val="00D67683"/>
    <w:rsid w:val="00D677F6"/>
    <w:rsid w:val="00D678CC"/>
    <w:rsid w:val="00D67C76"/>
    <w:rsid w:val="00D67FDE"/>
    <w:rsid w:val="00D7029B"/>
    <w:rsid w:val="00D70396"/>
    <w:rsid w:val="00D706D7"/>
    <w:rsid w:val="00D70748"/>
    <w:rsid w:val="00D709F2"/>
    <w:rsid w:val="00D70A5E"/>
    <w:rsid w:val="00D70FFF"/>
    <w:rsid w:val="00D71665"/>
    <w:rsid w:val="00D7193D"/>
    <w:rsid w:val="00D71AE8"/>
    <w:rsid w:val="00D71B19"/>
    <w:rsid w:val="00D71E95"/>
    <w:rsid w:val="00D72477"/>
    <w:rsid w:val="00D7248D"/>
    <w:rsid w:val="00D72618"/>
    <w:rsid w:val="00D72868"/>
    <w:rsid w:val="00D729EC"/>
    <w:rsid w:val="00D72C84"/>
    <w:rsid w:val="00D730E0"/>
    <w:rsid w:val="00D7331D"/>
    <w:rsid w:val="00D7363E"/>
    <w:rsid w:val="00D73D72"/>
    <w:rsid w:val="00D73FDD"/>
    <w:rsid w:val="00D74032"/>
    <w:rsid w:val="00D742A6"/>
    <w:rsid w:val="00D74A06"/>
    <w:rsid w:val="00D74CD8"/>
    <w:rsid w:val="00D74E80"/>
    <w:rsid w:val="00D74FDC"/>
    <w:rsid w:val="00D75284"/>
    <w:rsid w:val="00D759BD"/>
    <w:rsid w:val="00D75B5B"/>
    <w:rsid w:val="00D76083"/>
    <w:rsid w:val="00D762B1"/>
    <w:rsid w:val="00D7674D"/>
    <w:rsid w:val="00D77271"/>
    <w:rsid w:val="00D77324"/>
    <w:rsid w:val="00D77525"/>
    <w:rsid w:val="00D7777C"/>
    <w:rsid w:val="00D779A3"/>
    <w:rsid w:val="00D77BE6"/>
    <w:rsid w:val="00D77D68"/>
    <w:rsid w:val="00D77F68"/>
    <w:rsid w:val="00D77FB3"/>
    <w:rsid w:val="00D8097D"/>
    <w:rsid w:val="00D80DB5"/>
    <w:rsid w:val="00D80F30"/>
    <w:rsid w:val="00D8101F"/>
    <w:rsid w:val="00D81152"/>
    <w:rsid w:val="00D8115B"/>
    <w:rsid w:val="00D81220"/>
    <w:rsid w:val="00D8123B"/>
    <w:rsid w:val="00D814FA"/>
    <w:rsid w:val="00D81589"/>
    <w:rsid w:val="00D8178F"/>
    <w:rsid w:val="00D8179E"/>
    <w:rsid w:val="00D8249F"/>
    <w:rsid w:val="00D8288E"/>
    <w:rsid w:val="00D82D5A"/>
    <w:rsid w:val="00D8302E"/>
    <w:rsid w:val="00D832DC"/>
    <w:rsid w:val="00D8371F"/>
    <w:rsid w:val="00D83BA9"/>
    <w:rsid w:val="00D83EEC"/>
    <w:rsid w:val="00D8416D"/>
    <w:rsid w:val="00D84496"/>
    <w:rsid w:val="00D848E3"/>
    <w:rsid w:val="00D84B0C"/>
    <w:rsid w:val="00D84D99"/>
    <w:rsid w:val="00D85979"/>
    <w:rsid w:val="00D85FF9"/>
    <w:rsid w:val="00D86088"/>
    <w:rsid w:val="00D86644"/>
    <w:rsid w:val="00D869DE"/>
    <w:rsid w:val="00D86CD9"/>
    <w:rsid w:val="00D87126"/>
    <w:rsid w:val="00D878F3"/>
    <w:rsid w:val="00D90420"/>
    <w:rsid w:val="00D904EE"/>
    <w:rsid w:val="00D905CC"/>
    <w:rsid w:val="00D90A4E"/>
    <w:rsid w:val="00D90AD0"/>
    <w:rsid w:val="00D90D90"/>
    <w:rsid w:val="00D90DAC"/>
    <w:rsid w:val="00D90FC8"/>
    <w:rsid w:val="00D9100F"/>
    <w:rsid w:val="00D9121A"/>
    <w:rsid w:val="00D913B3"/>
    <w:rsid w:val="00D91C72"/>
    <w:rsid w:val="00D91D34"/>
    <w:rsid w:val="00D91D6C"/>
    <w:rsid w:val="00D92271"/>
    <w:rsid w:val="00D92AA4"/>
    <w:rsid w:val="00D92EF0"/>
    <w:rsid w:val="00D93096"/>
    <w:rsid w:val="00D9318A"/>
    <w:rsid w:val="00D93283"/>
    <w:rsid w:val="00D938B2"/>
    <w:rsid w:val="00D93D69"/>
    <w:rsid w:val="00D94111"/>
    <w:rsid w:val="00D94117"/>
    <w:rsid w:val="00D9437D"/>
    <w:rsid w:val="00D94440"/>
    <w:rsid w:val="00D947C6"/>
    <w:rsid w:val="00D94880"/>
    <w:rsid w:val="00D94F40"/>
    <w:rsid w:val="00D951D7"/>
    <w:rsid w:val="00D952C2"/>
    <w:rsid w:val="00D95407"/>
    <w:rsid w:val="00D95496"/>
    <w:rsid w:val="00D9573F"/>
    <w:rsid w:val="00D95BE9"/>
    <w:rsid w:val="00D96341"/>
    <w:rsid w:val="00D963B6"/>
    <w:rsid w:val="00D96745"/>
    <w:rsid w:val="00D96830"/>
    <w:rsid w:val="00D97045"/>
    <w:rsid w:val="00D97516"/>
    <w:rsid w:val="00D976FB"/>
    <w:rsid w:val="00DA01AD"/>
    <w:rsid w:val="00DA0283"/>
    <w:rsid w:val="00DA07B4"/>
    <w:rsid w:val="00DA0A3A"/>
    <w:rsid w:val="00DA1198"/>
    <w:rsid w:val="00DA13A2"/>
    <w:rsid w:val="00DA143A"/>
    <w:rsid w:val="00DA190B"/>
    <w:rsid w:val="00DA1DCE"/>
    <w:rsid w:val="00DA2145"/>
    <w:rsid w:val="00DA2178"/>
    <w:rsid w:val="00DA2749"/>
    <w:rsid w:val="00DA2C57"/>
    <w:rsid w:val="00DA3087"/>
    <w:rsid w:val="00DA316A"/>
    <w:rsid w:val="00DA34EC"/>
    <w:rsid w:val="00DA37B9"/>
    <w:rsid w:val="00DA393C"/>
    <w:rsid w:val="00DA3B58"/>
    <w:rsid w:val="00DA3BEB"/>
    <w:rsid w:val="00DA3F4D"/>
    <w:rsid w:val="00DA43DC"/>
    <w:rsid w:val="00DA4711"/>
    <w:rsid w:val="00DA4C30"/>
    <w:rsid w:val="00DA4EB1"/>
    <w:rsid w:val="00DA5241"/>
    <w:rsid w:val="00DA547F"/>
    <w:rsid w:val="00DA580D"/>
    <w:rsid w:val="00DA6054"/>
    <w:rsid w:val="00DA6192"/>
    <w:rsid w:val="00DA6551"/>
    <w:rsid w:val="00DA6B63"/>
    <w:rsid w:val="00DA718C"/>
    <w:rsid w:val="00DA7C6C"/>
    <w:rsid w:val="00DA7CD2"/>
    <w:rsid w:val="00DA7E90"/>
    <w:rsid w:val="00DB008C"/>
    <w:rsid w:val="00DB0384"/>
    <w:rsid w:val="00DB0E1F"/>
    <w:rsid w:val="00DB125F"/>
    <w:rsid w:val="00DB1380"/>
    <w:rsid w:val="00DB13C9"/>
    <w:rsid w:val="00DB1503"/>
    <w:rsid w:val="00DB1526"/>
    <w:rsid w:val="00DB1DFE"/>
    <w:rsid w:val="00DB1E34"/>
    <w:rsid w:val="00DB231B"/>
    <w:rsid w:val="00DB283A"/>
    <w:rsid w:val="00DB2D7B"/>
    <w:rsid w:val="00DB3914"/>
    <w:rsid w:val="00DB3B05"/>
    <w:rsid w:val="00DB3BD7"/>
    <w:rsid w:val="00DB4104"/>
    <w:rsid w:val="00DB439B"/>
    <w:rsid w:val="00DB5968"/>
    <w:rsid w:val="00DB59E2"/>
    <w:rsid w:val="00DB5D1A"/>
    <w:rsid w:val="00DB5D94"/>
    <w:rsid w:val="00DB61D2"/>
    <w:rsid w:val="00DB61F4"/>
    <w:rsid w:val="00DB63A1"/>
    <w:rsid w:val="00DB67B2"/>
    <w:rsid w:val="00DB692C"/>
    <w:rsid w:val="00DB6CE1"/>
    <w:rsid w:val="00DB72EC"/>
    <w:rsid w:val="00DC031B"/>
    <w:rsid w:val="00DC0476"/>
    <w:rsid w:val="00DC058C"/>
    <w:rsid w:val="00DC063A"/>
    <w:rsid w:val="00DC0662"/>
    <w:rsid w:val="00DC0DD1"/>
    <w:rsid w:val="00DC0EB2"/>
    <w:rsid w:val="00DC133F"/>
    <w:rsid w:val="00DC1373"/>
    <w:rsid w:val="00DC1893"/>
    <w:rsid w:val="00DC1E0E"/>
    <w:rsid w:val="00DC20B2"/>
    <w:rsid w:val="00DC22B6"/>
    <w:rsid w:val="00DC23C1"/>
    <w:rsid w:val="00DC23CB"/>
    <w:rsid w:val="00DC2842"/>
    <w:rsid w:val="00DC29B2"/>
    <w:rsid w:val="00DC2C10"/>
    <w:rsid w:val="00DC2D07"/>
    <w:rsid w:val="00DC301A"/>
    <w:rsid w:val="00DC3056"/>
    <w:rsid w:val="00DC3288"/>
    <w:rsid w:val="00DC32D8"/>
    <w:rsid w:val="00DC36F5"/>
    <w:rsid w:val="00DC3984"/>
    <w:rsid w:val="00DC3DE3"/>
    <w:rsid w:val="00DC417D"/>
    <w:rsid w:val="00DC4473"/>
    <w:rsid w:val="00DC4705"/>
    <w:rsid w:val="00DC4AC8"/>
    <w:rsid w:val="00DC4C49"/>
    <w:rsid w:val="00DC4F02"/>
    <w:rsid w:val="00DC4FE3"/>
    <w:rsid w:val="00DC54C3"/>
    <w:rsid w:val="00DC552C"/>
    <w:rsid w:val="00DC6067"/>
    <w:rsid w:val="00DC635B"/>
    <w:rsid w:val="00DC6627"/>
    <w:rsid w:val="00DC68D9"/>
    <w:rsid w:val="00DC6FB6"/>
    <w:rsid w:val="00DC703B"/>
    <w:rsid w:val="00DC7317"/>
    <w:rsid w:val="00DC75D9"/>
    <w:rsid w:val="00DC7C2E"/>
    <w:rsid w:val="00DC7CB1"/>
    <w:rsid w:val="00DC7D8B"/>
    <w:rsid w:val="00DC7EC3"/>
    <w:rsid w:val="00DD0065"/>
    <w:rsid w:val="00DD018B"/>
    <w:rsid w:val="00DD0870"/>
    <w:rsid w:val="00DD0F11"/>
    <w:rsid w:val="00DD0FD7"/>
    <w:rsid w:val="00DD15E2"/>
    <w:rsid w:val="00DD1956"/>
    <w:rsid w:val="00DD1BF8"/>
    <w:rsid w:val="00DD2258"/>
    <w:rsid w:val="00DD231C"/>
    <w:rsid w:val="00DD285D"/>
    <w:rsid w:val="00DD302E"/>
    <w:rsid w:val="00DD3143"/>
    <w:rsid w:val="00DD31FA"/>
    <w:rsid w:val="00DD3318"/>
    <w:rsid w:val="00DD3E39"/>
    <w:rsid w:val="00DD407A"/>
    <w:rsid w:val="00DD4736"/>
    <w:rsid w:val="00DD4A9D"/>
    <w:rsid w:val="00DD5344"/>
    <w:rsid w:val="00DD62D5"/>
    <w:rsid w:val="00DD688B"/>
    <w:rsid w:val="00DD6ECE"/>
    <w:rsid w:val="00DD75A8"/>
    <w:rsid w:val="00DD79D1"/>
    <w:rsid w:val="00DD79D2"/>
    <w:rsid w:val="00DD7A65"/>
    <w:rsid w:val="00DD7B7F"/>
    <w:rsid w:val="00DD7BC9"/>
    <w:rsid w:val="00DE0546"/>
    <w:rsid w:val="00DE060E"/>
    <w:rsid w:val="00DE0AAE"/>
    <w:rsid w:val="00DE0F99"/>
    <w:rsid w:val="00DE118C"/>
    <w:rsid w:val="00DE1445"/>
    <w:rsid w:val="00DE1946"/>
    <w:rsid w:val="00DE23EC"/>
    <w:rsid w:val="00DE2B45"/>
    <w:rsid w:val="00DE2D3D"/>
    <w:rsid w:val="00DE2F7F"/>
    <w:rsid w:val="00DE36E4"/>
    <w:rsid w:val="00DE39C2"/>
    <w:rsid w:val="00DE3DF0"/>
    <w:rsid w:val="00DE47AA"/>
    <w:rsid w:val="00DE4BED"/>
    <w:rsid w:val="00DE4D9F"/>
    <w:rsid w:val="00DE5332"/>
    <w:rsid w:val="00DE5405"/>
    <w:rsid w:val="00DE5620"/>
    <w:rsid w:val="00DE56CB"/>
    <w:rsid w:val="00DE657E"/>
    <w:rsid w:val="00DE6610"/>
    <w:rsid w:val="00DE68AB"/>
    <w:rsid w:val="00DE6AA6"/>
    <w:rsid w:val="00DE7456"/>
    <w:rsid w:val="00DE779B"/>
    <w:rsid w:val="00DE7C46"/>
    <w:rsid w:val="00DE7D34"/>
    <w:rsid w:val="00DF00A2"/>
    <w:rsid w:val="00DF00C5"/>
    <w:rsid w:val="00DF03EB"/>
    <w:rsid w:val="00DF0B7B"/>
    <w:rsid w:val="00DF0CA7"/>
    <w:rsid w:val="00DF1D2E"/>
    <w:rsid w:val="00DF238A"/>
    <w:rsid w:val="00DF24DA"/>
    <w:rsid w:val="00DF2A3A"/>
    <w:rsid w:val="00DF35E3"/>
    <w:rsid w:val="00DF3AD3"/>
    <w:rsid w:val="00DF4504"/>
    <w:rsid w:val="00DF45B1"/>
    <w:rsid w:val="00DF486B"/>
    <w:rsid w:val="00DF4A2F"/>
    <w:rsid w:val="00DF4DDE"/>
    <w:rsid w:val="00DF52BE"/>
    <w:rsid w:val="00DF52C7"/>
    <w:rsid w:val="00DF59BB"/>
    <w:rsid w:val="00DF5A1D"/>
    <w:rsid w:val="00DF5B86"/>
    <w:rsid w:val="00DF6B3D"/>
    <w:rsid w:val="00DF6D37"/>
    <w:rsid w:val="00DF75B7"/>
    <w:rsid w:val="00DF7D00"/>
    <w:rsid w:val="00E002AF"/>
    <w:rsid w:val="00E003BC"/>
    <w:rsid w:val="00E003F9"/>
    <w:rsid w:val="00E011D0"/>
    <w:rsid w:val="00E0153E"/>
    <w:rsid w:val="00E01A7C"/>
    <w:rsid w:val="00E0240A"/>
    <w:rsid w:val="00E02809"/>
    <w:rsid w:val="00E02D0D"/>
    <w:rsid w:val="00E03193"/>
    <w:rsid w:val="00E03523"/>
    <w:rsid w:val="00E036B2"/>
    <w:rsid w:val="00E03907"/>
    <w:rsid w:val="00E03BF2"/>
    <w:rsid w:val="00E04182"/>
    <w:rsid w:val="00E044A7"/>
    <w:rsid w:val="00E045C8"/>
    <w:rsid w:val="00E04C0F"/>
    <w:rsid w:val="00E04DC3"/>
    <w:rsid w:val="00E04E96"/>
    <w:rsid w:val="00E04FDE"/>
    <w:rsid w:val="00E050CB"/>
    <w:rsid w:val="00E0510E"/>
    <w:rsid w:val="00E0535A"/>
    <w:rsid w:val="00E05787"/>
    <w:rsid w:val="00E05BFE"/>
    <w:rsid w:val="00E061C1"/>
    <w:rsid w:val="00E06B3B"/>
    <w:rsid w:val="00E06E9F"/>
    <w:rsid w:val="00E06FEC"/>
    <w:rsid w:val="00E07130"/>
    <w:rsid w:val="00E073B3"/>
    <w:rsid w:val="00E079C5"/>
    <w:rsid w:val="00E07A19"/>
    <w:rsid w:val="00E07AC4"/>
    <w:rsid w:val="00E07C6C"/>
    <w:rsid w:val="00E107CB"/>
    <w:rsid w:val="00E10846"/>
    <w:rsid w:val="00E10881"/>
    <w:rsid w:val="00E10F42"/>
    <w:rsid w:val="00E10F67"/>
    <w:rsid w:val="00E110B6"/>
    <w:rsid w:val="00E112E2"/>
    <w:rsid w:val="00E112F6"/>
    <w:rsid w:val="00E114BB"/>
    <w:rsid w:val="00E115EB"/>
    <w:rsid w:val="00E1164F"/>
    <w:rsid w:val="00E118EC"/>
    <w:rsid w:val="00E11BAD"/>
    <w:rsid w:val="00E11BDB"/>
    <w:rsid w:val="00E11EDF"/>
    <w:rsid w:val="00E125C5"/>
    <w:rsid w:val="00E12670"/>
    <w:rsid w:val="00E12E2A"/>
    <w:rsid w:val="00E12EEE"/>
    <w:rsid w:val="00E1310E"/>
    <w:rsid w:val="00E13155"/>
    <w:rsid w:val="00E13263"/>
    <w:rsid w:val="00E1342E"/>
    <w:rsid w:val="00E13B6C"/>
    <w:rsid w:val="00E13DE4"/>
    <w:rsid w:val="00E14321"/>
    <w:rsid w:val="00E145D7"/>
    <w:rsid w:val="00E14B19"/>
    <w:rsid w:val="00E14B37"/>
    <w:rsid w:val="00E14E42"/>
    <w:rsid w:val="00E155B0"/>
    <w:rsid w:val="00E15EAC"/>
    <w:rsid w:val="00E15F02"/>
    <w:rsid w:val="00E1641C"/>
    <w:rsid w:val="00E16788"/>
    <w:rsid w:val="00E17973"/>
    <w:rsid w:val="00E17E50"/>
    <w:rsid w:val="00E17E96"/>
    <w:rsid w:val="00E201D2"/>
    <w:rsid w:val="00E206CC"/>
    <w:rsid w:val="00E207B4"/>
    <w:rsid w:val="00E20978"/>
    <w:rsid w:val="00E20CD5"/>
    <w:rsid w:val="00E20DAB"/>
    <w:rsid w:val="00E20DF6"/>
    <w:rsid w:val="00E211F3"/>
    <w:rsid w:val="00E2146D"/>
    <w:rsid w:val="00E21700"/>
    <w:rsid w:val="00E21C56"/>
    <w:rsid w:val="00E21C76"/>
    <w:rsid w:val="00E21F63"/>
    <w:rsid w:val="00E22081"/>
    <w:rsid w:val="00E2280F"/>
    <w:rsid w:val="00E229D8"/>
    <w:rsid w:val="00E22DD4"/>
    <w:rsid w:val="00E23023"/>
    <w:rsid w:val="00E2371B"/>
    <w:rsid w:val="00E23BAB"/>
    <w:rsid w:val="00E23BC5"/>
    <w:rsid w:val="00E23F57"/>
    <w:rsid w:val="00E2437E"/>
    <w:rsid w:val="00E24C52"/>
    <w:rsid w:val="00E25167"/>
    <w:rsid w:val="00E25243"/>
    <w:rsid w:val="00E257A9"/>
    <w:rsid w:val="00E25A5D"/>
    <w:rsid w:val="00E262A2"/>
    <w:rsid w:val="00E263FF"/>
    <w:rsid w:val="00E26630"/>
    <w:rsid w:val="00E266C4"/>
    <w:rsid w:val="00E26C04"/>
    <w:rsid w:val="00E26F9F"/>
    <w:rsid w:val="00E27010"/>
    <w:rsid w:val="00E27211"/>
    <w:rsid w:val="00E274F0"/>
    <w:rsid w:val="00E27880"/>
    <w:rsid w:val="00E27AC1"/>
    <w:rsid w:val="00E27B43"/>
    <w:rsid w:val="00E3065A"/>
    <w:rsid w:val="00E3065E"/>
    <w:rsid w:val="00E30876"/>
    <w:rsid w:val="00E30C50"/>
    <w:rsid w:val="00E30E43"/>
    <w:rsid w:val="00E312FE"/>
    <w:rsid w:val="00E316EE"/>
    <w:rsid w:val="00E318C1"/>
    <w:rsid w:val="00E318CE"/>
    <w:rsid w:val="00E31A8D"/>
    <w:rsid w:val="00E31EA2"/>
    <w:rsid w:val="00E324BB"/>
    <w:rsid w:val="00E328FE"/>
    <w:rsid w:val="00E329EB"/>
    <w:rsid w:val="00E32CB2"/>
    <w:rsid w:val="00E32E51"/>
    <w:rsid w:val="00E336F0"/>
    <w:rsid w:val="00E338A7"/>
    <w:rsid w:val="00E339CC"/>
    <w:rsid w:val="00E33A17"/>
    <w:rsid w:val="00E33CA8"/>
    <w:rsid w:val="00E343E3"/>
    <w:rsid w:val="00E34467"/>
    <w:rsid w:val="00E34570"/>
    <w:rsid w:val="00E34DCF"/>
    <w:rsid w:val="00E353D1"/>
    <w:rsid w:val="00E36147"/>
    <w:rsid w:val="00E361CA"/>
    <w:rsid w:val="00E36A63"/>
    <w:rsid w:val="00E36D4C"/>
    <w:rsid w:val="00E36D87"/>
    <w:rsid w:val="00E37C54"/>
    <w:rsid w:val="00E4050B"/>
    <w:rsid w:val="00E40BAD"/>
    <w:rsid w:val="00E40C96"/>
    <w:rsid w:val="00E40DE5"/>
    <w:rsid w:val="00E40F27"/>
    <w:rsid w:val="00E413CB"/>
    <w:rsid w:val="00E41A15"/>
    <w:rsid w:val="00E420AF"/>
    <w:rsid w:val="00E424F4"/>
    <w:rsid w:val="00E42650"/>
    <w:rsid w:val="00E42B29"/>
    <w:rsid w:val="00E42F15"/>
    <w:rsid w:val="00E434B8"/>
    <w:rsid w:val="00E43684"/>
    <w:rsid w:val="00E43829"/>
    <w:rsid w:val="00E43E76"/>
    <w:rsid w:val="00E43FEE"/>
    <w:rsid w:val="00E44047"/>
    <w:rsid w:val="00E44065"/>
    <w:rsid w:val="00E4449B"/>
    <w:rsid w:val="00E445B2"/>
    <w:rsid w:val="00E446F0"/>
    <w:rsid w:val="00E447C4"/>
    <w:rsid w:val="00E44961"/>
    <w:rsid w:val="00E44B0B"/>
    <w:rsid w:val="00E44F39"/>
    <w:rsid w:val="00E458F3"/>
    <w:rsid w:val="00E45998"/>
    <w:rsid w:val="00E45DA8"/>
    <w:rsid w:val="00E45EC3"/>
    <w:rsid w:val="00E45F44"/>
    <w:rsid w:val="00E46758"/>
    <w:rsid w:val="00E46F88"/>
    <w:rsid w:val="00E47D84"/>
    <w:rsid w:val="00E47EC2"/>
    <w:rsid w:val="00E5003D"/>
    <w:rsid w:val="00E50461"/>
    <w:rsid w:val="00E50632"/>
    <w:rsid w:val="00E51597"/>
    <w:rsid w:val="00E515FE"/>
    <w:rsid w:val="00E518A4"/>
    <w:rsid w:val="00E51AB0"/>
    <w:rsid w:val="00E51ADA"/>
    <w:rsid w:val="00E51EE0"/>
    <w:rsid w:val="00E527BE"/>
    <w:rsid w:val="00E5306B"/>
    <w:rsid w:val="00E5342E"/>
    <w:rsid w:val="00E548E7"/>
    <w:rsid w:val="00E54A95"/>
    <w:rsid w:val="00E54D54"/>
    <w:rsid w:val="00E55477"/>
    <w:rsid w:val="00E55A19"/>
    <w:rsid w:val="00E55BE1"/>
    <w:rsid w:val="00E560D8"/>
    <w:rsid w:val="00E56B3C"/>
    <w:rsid w:val="00E56BD3"/>
    <w:rsid w:val="00E56C6E"/>
    <w:rsid w:val="00E56EDB"/>
    <w:rsid w:val="00E56EEC"/>
    <w:rsid w:val="00E56F45"/>
    <w:rsid w:val="00E570EA"/>
    <w:rsid w:val="00E57167"/>
    <w:rsid w:val="00E5724E"/>
    <w:rsid w:val="00E5731D"/>
    <w:rsid w:val="00E57483"/>
    <w:rsid w:val="00E5766C"/>
    <w:rsid w:val="00E57998"/>
    <w:rsid w:val="00E61555"/>
    <w:rsid w:val="00E61723"/>
    <w:rsid w:val="00E6176C"/>
    <w:rsid w:val="00E61BFA"/>
    <w:rsid w:val="00E62213"/>
    <w:rsid w:val="00E62233"/>
    <w:rsid w:val="00E625EF"/>
    <w:rsid w:val="00E626C1"/>
    <w:rsid w:val="00E627F3"/>
    <w:rsid w:val="00E62B4D"/>
    <w:rsid w:val="00E62BC6"/>
    <w:rsid w:val="00E62E60"/>
    <w:rsid w:val="00E63146"/>
    <w:rsid w:val="00E631B2"/>
    <w:rsid w:val="00E631ED"/>
    <w:rsid w:val="00E64127"/>
    <w:rsid w:val="00E64189"/>
    <w:rsid w:val="00E642E6"/>
    <w:rsid w:val="00E64441"/>
    <w:rsid w:val="00E6477D"/>
    <w:rsid w:val="00E64C31"/>
    <w:rsid w:val="00E64D54"/>
    <w:rsid w:val="00E64E68"/>
    <w:rsid w:val="00E659E3"/>
    <w:rsid w:val="00E65A77"/>
    <w:rsid w:val="00E66719"/>
    <w:rsid w:val="00E667B8"/>
    <w:rsid w:val="00E66A6D"/>
    <w:rsid w:val="00E678C8"/>
    <w:rsid w:val="00E67DE5"/>
    <w:rsid w:val="00E700F7"/>
    <w:rsid w:val="00E701DA"/>
    <w:rsid w:val="00E70D10"/>
    <w:rsid w:val="00E70EB4"/>
    <w:rsid w:val="00E71A54"/>
    <w:rsid w:val="00E71C46"/>
    <w:rsid w:val="00E71EB5"/>
    <w:rsid w:val="00E7217B"/>
    <w:rsid w:val="00E7226D"/>
    <w:rsid w:val="00E72442"/>
    <w:rsid w:val="00E727C9"/>
    <w:rsid w:val="00E7369F"/>
    <w:rsid w:val="00E738FE"/>
    <w:rsid w:val="00E73970"/>
    <w:rsid w:val="00E73FF0"/>
    <w:rsid w:val="00E74039"/>
    <w:rsid w:val="00E747B1"/>
    <w:rsid w:val="00E74B00"/>
    <w:rsid w:val="00E74D4F"/>
    <w:rsid w:val="00E74E71"/>
    <w:rsid w:val="00E74EE0"/>
    <w:rsid w:val="00E74FFF"/>
    <w:rsid w:val="00E7500D"/>
    <w:rsid w:val="00E750BF"/>
    <w:rsid w:val="00E75401"/>
    <w:rsid w:val="00E7567E"/>
    <w:rsid w:val="00E75842"/>
    <w:rsid w:val="00E75E49"/>
    <w:rsid w:val="00E76392"/>
    <w:rsid w:val="00E76648"/>
    <w:rsid w:val="00E76684"/>
    <w:rsid w:val="00E76770"/>
    <w:rsid w:val="00E769B0"/>
    <w:rsid w:val="00E76A1F"/>
    <w:rsid w:val="00E76F2E"/>
    <w:rsid w:val="00E76FF2"/>
    <w:rsid w:val="00E771C2"/>
    <w:rsid w:val="00E775D8"/>
    <w:rsid w:val="00E77B78"/>
    <w:rsid w:val="00E77BB4"/>
    <w:rsid w:val="00E80880"/>
    <w:rsid w:val="00E8096A"/>
    <w:rsid w:val="00E80F69"/>
    <w:rsid w:val="00E812FE"/>
    <w:rsid w:val="00E819EF"/>
    <w:rsid w:val="00E824B9"/>
    <w:rsid w:val="00E82546"/>
    <w:rsid w:val="00E82599"/>
    <w:rsid w:val="00E82758"/>
    <w:rsid w:val="00E82AF3"/>
    <w:rsid w:val="00E82C64"/>
    <w:rsid w:val="00E82CAC"/>
    <w:rsid w:val="00E82D08"/>
    <w:rsid w:val="00E8354B"/>
    <w:rsid w:val="00E837F4"/>
    <w:rsid w:val="00E837FF"/>
    <w:rsid w:val="00E83F33"/>
    <w:rsid w:val="00E84810"/>
    <w:rsid w:val="00E84975"/>
    <w:rsid w:val="00E84B7F"/>
    <w:rsid w:val="00E84C37"/>
    <w:rsid w:val="00E84CAB"/>
    <w:rsid w:val="00E84E32"/>
    <w:rsid w:val="00E85041"/>
    <w:rsid w:val="00E856C3"/>
    <w:rsid w:val="00E8612F"/>
    <w:rsid w:val="00E86DAE"/>
    <w:rsid w:val="00E86DD9"/>
    <w:rsid w:val="00E86EA8"/>
    <w:rsid w:val="00E86F4E"/>
    <w:rsid w:val="00E86FBF"/>
    <w:rsid w:val="00E87355"/>
    <w:rsid w:val="00E87952"/>
    <w:rsid w:val="00E87959"/>
    <w:rsid w:val="00E87E05"/>
    <w:rsid w:val="00E87FA9"/>
    <w:rsid w:val="00E909EE"/>
    <w:rsid w:val="00E90C92"/>
    <w:rsid w:val="00E90EDF"/>
    <w:rsid w:val="00E91175"/>
    <w:rsid w:val="00E91253"/>
    <w:rsid w:val="00E913D3"/>
    <w:rsid w:val="00E91796"/>
    <w:rsid w:val="00E91A78"/>
    <w:rsid w:val="00E91C78"/>
    <w:rsid w:val="00E927FC"/>
    <w:rsid w:val="00E92963"/>
    <w:rsid w:val="00E92F69"/>
    <w:rsid w:val="00E932E7"/>
    <w:rsid w:val="00E93466"/>
    <w:rsid w:val="00E93A50"/>
    <w:rsid w:val="00E93AEC"/>
    <w:rsid w:val="00E93BAE"/>
    <w:rsid w:val="00E93BC0"/>
    <w:rsid w:val="00E93D4E"/>
    <w:rsid w:val="00E93EFC"/>
    <w:rsid w:val="00E94674"/>
    <w:rsid w:val="00E94B64"/>
    <w:rsid w:val="00E94E6D"/>
    <w:rsid w:val="00E94F5A"/>
    <w:rsid w:val="00E94FF6"/>
    <w:rsid w:val="00E95449"/>
    <w:rsid w:val="00E95A0B"/>
    <w:rsid w:val="00E95E26"/>
    <w:rsid w:val="00E960F7"/>
    <w:rsid w:val="00E966F1"/>
    <w:rsid w:val="00E96BB0"/>
    <w:rsid w:val="00E96D2E"/>
    <w:rsid w:val="00E96F01"/>
    <w:rsid w:val="00E96F1E"/>
    <w:rsid w:val="00E96F25"/>
    <w:rsid w:val="00E97478"/>
    <w:rsid w:val="00E97899"/>
    <w:rsid w:val="00E97C87"/>
    <w:rsid w:val="00E97CB6"/>
    <w:rsid w:val="00EA0031"/>
    <w:rsid w:val="00EA0384"/>
    <w:rsid w:val="00EA03C1"/>
    <w:rsid w:val="00EA0432"/>
    <w:rsid w:val="00EA078A"/>
    <w:rsid w:val="00EA0A78"/>
    <w:rsid w:val="00EA0AB2"/>
    <w:rsid w:val="00EA0C6B"/>
    <w:rsid w:val="00EA1955"/>
    <w:rsid w:val="00EA1B11"/>
    <w:rsid w:val="00EA1EBC"/>
    <w:rsid w:val="00EA2742"/>
    <w:rsid w:val="00EA27B9"/>
    <w:rsid w:val="00EA2BC0"/>
    <w:rsid w:val="00EA308C"/>
    <w:rsid w:val="00EA32A0"/>
    <w:rsid w:val="00EA380F"/>
    <w:rsid w:val="00EA3855"/>
    <w:rsid w:val="00EA3AF2"/>
    <w:rsid w:val="00EA453B"/>
    <w:rsid w:val="00EA4BF1"/>
    <w:rsid w:val="00EA4C08"/>
    <w:rsid w:val="00EA4EB5"/>
    <w:rsid w:val="00EA4FE5"/>
    <w:rsid w:val="00EA5353"/>
    <w:rsid w:val="00EA5358"/>
    <w:rsid w:val="00EA537E"/>
    <w:rsid w:val="00EA5AB0"/>
    <w:rsid w:val="00EA5B00"/>
    <w:rsid w:val="00EA5B5F"/>
    <w:rsid w:val="00EA5F54"/>
    <w:rsid w:val="00EA5FBC"/>
    <w:rsid w:val="00EA61FC"/>
    <w:rsid w:val="00EA63DF"/>
    <w:rsid w:val="00EA6A9F"/>
    <w:rsid w:val="00EA6E7A"/>
    <w:rsid w:val="00EA6EC4"/>
    <w:rsid w:val="00EA759E"/>
    <w:rsid w:val="00EA782B"/>
    <w:rsid w:val="00EA78A9"/>
    <w:rsid w:val="00EA7E88"/>
    <w:rsid w:val="00EB0947"/>
    <w:rsid w:val="00EB0FBB"/>
    <w:rsid w:val="00EB153C"/>
    <w:rsid w:val="00EB164C"/>
    <w:rsid w:val="00EB17AB"/>
    <w:rsid w:val="00EB2743"/>
    <w:rsid w:val="00EB2BCA"/>
    <w:rsid w:val="00EB2E23"/>
    <w:rsid w:val="00EB2FB4"/>
    <w:rsid w:val="00EB343F"/>
    <w:rsid w:val="00EB3A6A"/>
    <w:rsid w:val="00EB3DD8"/>
    <w:rsid w:val="00EB3F43"/>
    <w:rsid w:val="00EB40FF"/>
    <w:rsid w:val="00EB4420"/>
    <w:rsid w:val="00EB53A8"/>
    <w:rsid w:val="00EB5405"/>
    <w:rsid w:val="00EB5B61"/>
    <w:rsid w:val="00EB5DA9"/>
    <w:rsid w:val="00EB5EDB"/>
    <w:rsid w:val="00EB60D0"/>
    <w:rsid w:val="00EB736E"/>
    <w:rsid w:val="00EB7A1E"/>
    <w:rsid w:val="00EB7E19"/>
    <w:rsid w:val="00EC014A"/>
    <w:rsid w:val="00EC0398"/>
    <w:rsid w:val="00EC1C1F"/>
    <w:rsid w:val="00EC1C3B"/>
    <w:rsid w:val="00EC2111"/>
    <w:rsid w:val="00EC249E"/>
    <w:rsid w:val="00EC266C"/>
    <w:rsid w:val="00EC2D5E"/>
    <w:rsid w:val="00EC369A"/>
    <w:rsid w:val="00EC3706"/>
    <w:rsid w:val="00EC3999"/>
    <w:rsid w:val="00EC3AD1"/>
    <w:rsid w:val="00EC3C91"/>
    <w:rsid w:val="00EC3E18"/>
    <w:rsid w:val="00EC3FBF"/>
    <w:rsid w:val="00EC4D2A"/>
    <w:rsid w:val="00EC4D97"/>
    <w:rsid w:val="00EC4DF5"/>
    <w:rsid w:val="00EC5A14"/>
    <w:rsid w:val="00EC5FAA"/>
    <w:rsid w:val="00EC605E"/>
    <w:rsid w:val="00EC6254"/>
    <w:rsid w:val="00EC66B0"/>
    <w:rsid w:val="00EC67A8"/>
    <w:rsid w:val="00EC6DEF"/>
    <w:rsid w:val="00EC71FD"/>
    <w:rsid w:val="00EC7675"/>
    <w:rsid w:val="00EC7A07"/>
    <w:rsid w:val="00EC7B5C"/>
    <w:rsid w:val="00ED01BE"/>
    <w:rsid w:val="00ED054A"/>
    <w:rsid w:val="00ED09B9"/>
    <w:rsid w:val="00ED0C3D"/>
    <w:rsid w:val="00ED0D38"/>
    <w:rsid w:val="00ED127E"/>
    <w:rsid w:val="00ED1331"/>
    <w:rsid w:val="00ED1526"/>
    <w:rsid w:val="00ED1833"/>
    <w:rsid w:val="00ED22A2"/>
    <w:rsid w:val="00ED23A9"/>
    <w:rsid w:val="00ED23CF"/>
    <w:rsid w:val="00ED2BCB"/>
    <w:rsid w:val="00ED2D0F"/>
    <w:rsid w:val="00ED2FCF"/>
    <w:rsid w:val="00ED326C"/>
    <w:rsid w:val="00ED35F9"/>
    <w:rsid w:val="00ED39CE"/>
    <w:rsid w:val="00ED40ED"/>
    <w:rsid w:val="00ED4131"/>
    <w:rsid w:val="00ED46BC"/>
    <w:rsid w:val="00ED4797"/>
    <w:rsid w:val="00ED495C"/>
    <w:rsid w:val="00ED4B97"/>
    <w:rsid w:val="00ED4BB0"/>
    <w:rsid w:val="00ED4F9B"/>
    <w:rsid w:val="00ED533B"/>
    <w:rsid w:val="00ED574F"/>
    <w:rsid w:val="00ED5C8E"/>
    <w:rsid w:val="00ED6908"/>
    <w:rsid w:val="00ED6E0F"/>
    <w:rsid w:val="00ED6E23"/>
    <w:rsid w:val="00ED713B"/>
    <w:rsid w:val="00ED71B9"/>
    <w:rsid w:val="00ED74DC"/>
    <w:rsid w:val="00ED77EB"/>
    <w:rsid w:val="00ED79D5"/>
    <w:rsid w:val="00ED7FE7"/>
    <w:rsid w:val="00EE0030"/>
    <w:rsid w:val="00EE0202"/>
    <w:rsid w:val="00EE020E"/>
    <w:rsid w:val="00EE07FC"/>
    <w:rsid w:val="00EE08F3"/>
    <w:rsid w:val="00EE0BCC"/>
    <w:rsid w:val="00EE116A"/>
    <w:rsid w:val="00EE1268"/>
    <w:rsid w:val="00EE13AE"/>
    <w:rsid w:val="00EE17B9"/>
    <w:rsid w:val="00EE1B39"/>
    <w:rsid w:val="00EE1BED"/>
    <w:rsid w:val="00EE2251"/>
    <w:rsid w:val="00EE28B0"/>
    <w:rsid w:val="00EE2B4E"/>
    <w:rsid w:val="00EE2C1C"/>
    <w:rsid w:val="00EE2C6A"/>
    <w:rsid w:val="00EE333C"/>
    <w:rsid w:val="00EE34CF"/>
    <w:rsid w:val="00EE37D1"/>
    <w:rsid w:val="00EE3DDB"/>
    <w:rsid w:val="00EE3EA3"/>
    <w:rsid w:val="00EE44D3"/>
    <w:rsid w:val="00EE4884"/>
    <w:rsid w:val="00EE5024"/>
    <w:rsid w:val="00EE5340"/>
    <w:rsid w:val="00EE5681"/>
    <w:rsid w:val="00EE5A29"/>
    <w:rsid w:val="00EE5D84"/>
    <w:rsid w:val="00EE61F0"/>
    <w:rsid w:val="00EE6308"/>
    <w:rsid w:val="00EE66D4"/>
    <w:rsid w:val="00EE6880"/>
    <w:rsid w:val="00EE69E1"/>
    <w:rsid w:val="00EE6DB9"/>
    <w:rsid w:val="00EE749E"/>
    <w:rsid w:val="00EE7554"/>
    <w:rsid w:val="00EE761D"/>
    <w:rsid w:val="00EE7808"/>
    <w:rsid w:val="00EE7C24"/>
    <w:rsid w:val="00EE7FD1"/>
    <w:rsid w:val="00EF0380"/>
    <w:rsid w:val="00EF0BEA"/>
    <w:rsid w:val="00EF10EA"/>
    <w:rsid w:val="00EF1186"/>
    <w:rsid w:val="00EF197B"/>
    <w:rsid w:val="00EF1D1D"/>
    <w:rsid w:val="00EF1EA3"/>
    <w:rsid w:val="00EF1F16"/>
    <w:rsid w:val="00EF1FC9"/>
    <w:rsid w:val="00EF2277"/>
    <w:rsid w:val="00EF22D5"/>
    <w:rsid w:val="00EF25DA"/>
    <w:rsid w:val="00EF2658"/>
    <w:rsid w:val="00EF2725"/>
    <w:rsid w:val="00EF2D63"/>
    <w:rsid w:val="00EF2F47"/>
    <w:rsid w:val="00EF358E"/>
    <w:rsid w:val="00EF3624"/>
    <w:rsid w:val="00EF392A"/>
    <w:rsid w:val="00EF3CE8"/>
    <w:rsid w:val="00EF3D43"/>
    <w:rsid w:val="00EF481C"/>
    <w:rsid w:val="00EF4A4E"/>
    <w:rsid w:val="00EF4D45"/>
    <w:rsid w:val="00EF50D2"/>
    <w:rsid w:val="00EF54D6"/>
    <w:rsid w:val="00EF56EC"/>
    <w:rsid w:val="00EF5F93"/>
    <w:rsid w:val="00EF63B9"/>
    <w:rsid w:val="00EF64B0"/>
    <w:rsid w:val="00EF6661"/>
    <w:rsid w:val="00EF66DA"/>
    <w:rsid w:val="00EF691A"/>
    <w:rsid w:val="00EF6975"/>
    <w:rsid w:val="00EF6E3D"/>
    <w:rsid w:val="00EF6E5E"/>
    <w:rsid w:val="00EF7B54"/>
    <w:rsid w:val="00F00EF3"/>
    <w:rsid w:val="00F011D6"/>
    <w:rsid w:val="00F013DD"/>
    <w:rsid w:val="00F02495"/>
    <w:rsid w:val="00F025BE"/>
    <w:rsid w:val="00F028BB"/>
    <w:rsid w:val="00F02995"/>
    <w:rsid w:val="00F02DBC"/>
    <w:rsid w:val="00F02EA9"/>
    <w:rsid w:val="00F0310B"/>
    <w:rsid w:val="00F035A7"/>
    <w:rsid w:val="00F03DFD"/>
    <w:rsid w:val="00F03F0F"/>
    <w:rsid w:val="00F04213"/>
    <w:rsid w:val="00F0470E"/>
    <w:rsid w:val="00F047A8"/>
    <w:rsid w:val="00F052F8"/>
    <w:rsid w:val="00F05962"/>
    <w:rsid w:val="00F0637C"/>
    <w:rsid w:val="00F06563"/>
    <w:rsid w:val="00F065DD"/>
    <w:rsid w:val="00F065DF"/>
    <w:rsid w:val="00F068AD"/>
    <w:rsid w:val="00F06A6F"/>
    <w:rsid w:val="00F06B4C"/>
    <w:rsid w:val="00F06CCB"/>
    <w:rsid w:val="00F070C7"/>
    <w:rsid w:val="00F073C7"/>
    <w:rsid w:val="00F074DE"/>
    <w:rsid w:val="00F077E2"/>
    <w:rsid w:val="00F07B23"/>
    <w:rsid w:val="00F07BD6"/>
    <w:rsid w:val="00F10512"/>
    <w:rsid w:val="00F10BA6"/>
    <w:rsid w:val="00F115AB"/>
    <w:rsid w:val="00F1188E"/>
    <w:rsid w:val="00F11FCF"/>
    <w:rsid w:val="00F12088"/>
    <w:rsid w:val="00F12172"/>
    <w:rsid w:val="00F12463"/>
    <w:rsid w:val="00F1299B"/>
    <w:rsid w:val="00F12A7A"/>
    <w:rsid w:val="00F12F52"/>
    <w:rsid w:val="00F12FF0"/>
    <w:rsid w:val="00F13065"/>
    <w:rsid w:val="00F13092"/>
    <w:rsid w:val="00F1326C"/>
    <w:rsid w:val="00F13404"/>
    <w:rsid w:val="00F134DE"/>
    <w:rsid w:val="00F13D44"/>
    <w:rsid w:val="00F140E7"/>
    <w:rsid w:val="00F14809"/>
    <w:rsid w:val="00F14C9D"/>
    <w:rsid w:val="00F153CF"/>
    <w:rsid w:val="00F15743"/>
    <w:rsid w:val="00F15A54"/>
    <w:rsid w:val="00F15C13"/>
    <w:rsid w:val="00F15E54"/>
    <w:rsid w:val="00F16342"/>
    <w:rsid w:val="00F16391"/>
    <w:rsid w:val="00F1653B"/>
    <w:rsid w:val="00F16757"/>
    <w:rsid w:val="00F16AF8"/>
    <w:rsid w:val="00F16D87"/>
    <w:rsid w:val="00F16E0C"/>
    <w:rsid w:val="00F17282"/>
    <w:rsid w:val="00F174B2"/>
    <w:rsid w:val="00F17667"/>
    <w:rsid w:val="00F17793"/>
    <w:rsid w:val="00F1782A"/>
    <w:rsid w:val="00F17CD8"/>
    <w:rsid w:val="00F17D1D"/>
    <w:rsid w:val="00F205BC"/>
    <w:rsid w:val="00F20708"/>
    <w:rsid w:val="00F207F2"/>
    <w:rsid w:val="00F2176F"/>
    <w:rsid w:val="00F21C19"/>
    <w:rsid w:val="00F21DA0"/>
    <w:rsid w:val="00F21DE0"/>
    <w:rsid w:val="00F21F37"/>
    <w:rsid w:val="00F2203A"/>
    <w:rsid w:val="00F223A2"/>
    <w:rsid w:val="00F226AA"/>
    <w:rsid w:val="00F226DF"/>
    <w:rsid w:val="00F2286F"/>
    <w:rsid w:val="00F22C29"/>
    <w:rsid w:val="00F22FA6"/>
    <w:rsid w:val="00F23497"/>
    <w:rsid w:val="00F2405C"/>
    <w:rsid w:val="00F24212"/>
    <w:rsid w:val="00F24223"/>
    <w:rsid w:val="00F24D43"/>
    <w:rsid w:val="00F24DB0"/>
    <w:rsid w:val="00F24FE5"/>
    <w:rsid w:val="00F25215"/>
    <w:rsid w:val="00F254BA"/>
    <w:rsid w:val="00F2575B"/>
    <w:rsid w:val="00F25A3D"/>
    <w:rsid w:val="00F2604B"/>
    <w:rsid w:val="00F26259"/>
    <w:rsid w:val="00F2632B"/>
    <w:rsid w:val="00F26364"/>
    <w:rsid w:val="00F265B3"/>
    <w:rsid w:val="00F2671E"/>
    <w:rsid w:val="00F26831"/>
    <w:rsid w:val="00F26838"/>
    <w:rsid w:val="00F26887"/>
    <w:rsid w:val="00F26B1B"/>
    <w:rsid w:val="00F26CB9"/>
    <w:rsid w:val="00F27430"/>
    <w:rsid w:val="00F275C8"/>
    <w:rsid w:val="00F30237"/>
    <w:rsid w:val="00F30402"/>
    <w:rsid w:val="00F30D62"/>
    <w:rsid w:val="00F30E60"/>
    <w:rsid w:val="00F30F36"/>
    <w:rsid w:val="00F30F69"/>
    <w:rsid w:val="00F3124A"/>
    <w:rsid w:val="00F31451"/>
    <w:rsid w:val="00F31723"/>
    <w:rsid w:val="00F31753"/>
    <w:rsid w:val="00F31935"/>
    <w:rsid w:val="00F31DC0"/>
    <w:rsid w:val="00F31F2E"/>
    <w:rsid w:val="00F32E89"/>
    <w:rsid w:val="00F330CB"/>
    <w:rsid w:val="00F330FF"/>
    <w:rsid w:val="00F3349A"/>
    <w:rsid w:val="00F335B9"/>
    <w:rsid w:val="00F338D5"/>
    <w:rsid w:val="00F33976"/>
    <w:rsid w:val="00F33AB2"/>
    <w:rsid w:val="00F33B3D"/>
    <w:rsid w:val="00F33BB4"/>
    <w:rsid w:val="00F33EB9"/>
    <w:rsid w:val="00F33ECB"/>
    <w:rsid w:val="00F3464D"/>
    <w:rsid w:val="00F346D6"/>
    <w:rsid w:val="00F34AEB"/>
    <w:rsid w:val="00F34C1B"/>
    <w:rsid w:val="00F35061"/>
    <w:rsid w:val="00F351CC"/>
    <w:rsid w:val="00F35479"/>
    <w:rsid w:val="00F358B6"/>
    <w:rsid w:val="00F35A03"/>
    <w:rsid w:val="00F35BF6"/>
    <w:rsid w:val="00F35DFF"/>
    <w:rsid w:val="00F36371"/>
    <w:rsid w:val="00F36BC1"/>
    <w:rsid w:val="00F36CFB"/>
    <w:rsid w:val="00F37BFF"/>
    <w:rsid w:val="00F37E2F"/>
    <w:rsid w:val="00F4000B"/>
    <w:rsid w:val="00F40172"/>
    <w:rsid w:val="00F4017F"/>
    <w:rsid w:val="00F40ECD"/>
    <w:rsid w:val="00F41841"/>
    <w:rsid w:val="00F41AF0"/>
    <w:rsid w:val="00F420E9"/>
    <w:rsid w:val="00F42CA5"/>
    <w:rsid w:val="00F43284"/>
    <w:rsid w:val="00F438A9"/>
    <w:rsid w:val="00F43952"/>
    <w:rsid w:val="00F4396F"/>
    <w:rsid w:val="00F43986"/>
    <w:rsid w:val="00F44613"/>
    <w:rsid w:val="00F44A0C"/>
    <w:rsid w:val="00F44C29"/>
    <w:rsid w:val="00F44D45"/>
    <w:rsid w:val="00F44E5D"/>
    <w:rsid w:val="00F44E95"/>
    <w:rsid w:val="00F44F25"/>
    <w:rsid w:val="00F44F67"/>
    <w:rsid w:val="00F4521B"/>
    <w:rsid w:val="00F455CA"/>
    <w:rsid w:val="00F45936"/>
    <w:rsid w:val="00F464A4"/>
    <w:rsid w:val="00F46742"/>
    <w:rsid w:val="00F46BDF"/>
    <w:rsid w:val="00F46C72"/>
    <w:rsid w:val="00F46D3C"/>
    <w:rsid w:val="00F472F6"/>
    <w:rsid w:val="00F47D56"/>
    <w:rsid w:val="00F47ED9"/>
    <w:rsid w:val="00F50411"/>
    <w:rsid w:val="00F50DE1"/>
    <w:rsid w:val="00F512F7"/>
    <w:rsid w:val="00F513C5"/>
    <w:rsid w:val="00F515BE"/>
    <w:rsid w:val="00F51735"/>
    <w:rsid w:val="00F51921"/>
    <w:rsid w:val="00F51DFE"/>
    <w:rsid w:val="00F52501"/>
    <w:rsid w:val="00F52C6E"/>
    <w:rsid w:val="00F52DBD"/>
    <w:rsid w:val="00F53336"/>
    <w:rsid w:val="00F53D46"/>
    <w:rsid w:val="00F53F4E"/>
    <w:rsid w:val="00F54207"/>
    <w:rsid w:val="00F54327"/>
    <w:rsid w:val="00F54333"/>
    <w:rsid w:val="00F548DE"/>
    <w:rsid w:val="00F54B6D"/>
    <w:rsid w:val="00F54DCC"/>
    <w:rsid w:val="00F54F1F"/>
    <w:rsid w:val="00F55282"/>
    <w:rsid w:val="00F5538C"/>
    <w:rsid w:val="00F554B8"/>
    <w:rsid w:val="00F55E5F"/>
    <w:rsid w:val="00F56125"/>
    <w:rsid w:val="00F56279"/>
    <w:rsid w:val="00F562C6"/>
    <w:rsid w:val="00F56750"/>
    <w:rsid w:val="00F56BDE"/>
    <w:rsid w:val="00F5702E"/>
    <w:rsid w:val="00F5727F"/>
    <w:rsid w:val="00F57284"/>
    <w:rsid w:val="00F573E6"/>
    <w:rsid w:val="00F57499"/>
    <w:rsid w:val="00F57E75"/>
    <w:rsid w:val="00F603C3"/>
    <w:rsid w:val="00F6076E"/>
    <w:rsid w:val="00F60C55"/>
    <w:rsid w:val="00F60DDD"/>
    <w:rsid w:val="00F60F0B"/>
    <w:rsid w:val="00F6111B"/>
    <w:rsid w:val="00F615A1"/>
    <w:rsid w:val="00F61665"/>
    <w:rsid w:val="00F61876"/>
    <w:rsid w:val="00F61B28"/>
    <w:rsid w:val="00F61DAE"/>
    <w:rsid w:val="00F62014"/>
    <w:rsid w:val="00F6239F"/>
    <w:rsid w:val="00F626BB"/>
    <w:rsid w:val="00F62E29"/>
    <w:rsid w:val="00F633E6"/>
    <w:rsid w:val="00F63647"/>
    <w:rsid w:val="00F63863"/>
    <w:rsid w:val="00F642D5"/>
    <w:rsid w:val="00F64330"/>
    <w:rsid w:val="00F64AD7"/>
    <w:rsid w:val="00F64F17"/>
    <w:rsid w:val="00F65008"/>
    <w:rsid w:val="00F6524A"/>
    <w:rsid w:val="00F65D2C"/>
    <w:rsid w:val="00F660BD"/>
    <w:rsid w:val="00F664FD"/>
    <w:rsid w:val="00F667F6"/>
    <w:rsid w:val="00F668C0"/>
    <w:rsid w:val="00F66BD3"/>
    <w:rsid w:val="00F66DB3"/>
    <w:rsid w:val="00F66E42"/>
    <w:rsid w:val="00F6737C"/>
    <w:rsid w:val="00F6744E"/>
    <w:rsid w:val="00F67770"/>
    <w:rsid w:val="00F701AD"/>
    <w:rsid w:val="00F70946"/>
    <w:rsid w:val="00F70C18"/>
    <w:rsid w:val="00F70D46"/>
    <w:rsid w:val="00F71798"/>
    <w:rsid w:val="00F71B1D"/>
    <w:rsid w:val="00F722F5"/>
    <w:rsid w:val="00F723B1"/>
    <w:rsid w:val="00F725B4"/>
    <w:rsid w:val="00F72679"/>
    <w:rsid w:val="00F72781"/>
    <w:rsid w:val="00F72942"/>
    <w:rsid w:val="00F72BC1"/>
    <w:rsid w:val="00F72D61"/>
    <w:rsid w:val="00F72ED2"/>
    <w:rsid w:val="00F7321D"/>
    <w:rsid w:val="00F7330B"/>
    <w:rsid w:val="00F736E7"/>
    <w:rsid w:val="00F7431A"/>
    <w:rsid w:val="00F746AF"/>
    <w:rsid w:val="00F747C4"/>
    <w:rsid w:val="00F74B2E"/>
    <w:rsid w:val="00F758F1"/>
    <w:rsid w:val="00F75B20"/>
    <w:rsid w:val="00F75FB3"/>
    <w:rsid w:val="00F7603E"/>
    <w:rsid w:val="00F7615D"/>
    <w:rsid w:val="00F76354"/>
    <w:rsid w:val="00F7637D"/>
    <w:rsid w:val="00F76708"/>
    <w:rsid w:val="00F768E4"/>
    <w:rsid w:val="00F76AAA"/>
    <w:rsid w:val="00F76F78"/>
    <w:rsid w:val="00F774DA"/>
    <w:rsid w:val="00F774DC"/>
    <w:rsid w:val="00F777FB"/>
    <w:rsid w:val="00F77CB8"/>
    <w:rsid w:val="00F77DCC"/>
    <w:rsid w:val="00F800E6"/>
    <w:rsid w:val="00F801AE"/>
    <w:rsid w:val="00F80477"/>
    <w:rsid w:val="00F80693"/>
    <w:rsid w:val="00F80904"/>
    <w:rsid w:val="00F809E4"/>
    <w:rsid w:val="00F80DFE"/>
    <w:rsid w:val="00F81192"/>
    <w:rsid w:val="00F813DE"/>
    <w:rsid w:val="00F81636"/>
    <w:rsid w:val="00F81AAD"/>
    <w:rsid w:val="00F81B09"/>
    <w:rsid w:val="00F81BF9"/>
    <w:rsid w:val="00F82124"/>
    <w:rsid w:val="00F822ED"/>
    <w:rsid w:val="00F82A27"/>
    <w:rsid w:val="00F82C1E"/>
    <w:rsid w:val="00F82C5B"/>
    <w:rsid w:val="00F83119"/>
    <w:rsid w:val="00F83C5A"/>
    <w:rsid w:val="00F83C8A"/>
    <w:rsid w:val="00F84016"/>
    <w:rsid w:val="00F8430F"/>
    <w:rsid w:val="00F844DA"/>
    <w:rsid w:val="00F8481A"/>
    <w:rsid w:val="00F84920"/>
    <w:rsid w:val="00F8515A"/>
    <w:rsid w:val="00F851C1"/>
    <w:rsid w:val="00F85424"/>
    <w:rsid w:val="00F85CFF"/>
    <w:rsid w:val="00F86147"/>
    <w:rsid w:val="00F86156"/>
    <w:rsid w:val="00F86713"/>
    <w:rsid w:val="00F87163"/>
    <w:rsid w:val="00F87299"/>
    <w:rsid w:val="00F876A9"/>
    <w:rsid w:val="00F87A2F"/>
    <w:rsid w:val="00F900BB"/>
    <w:rsid w:val="00F90130"/>
    <w:rsid w:val="00F90785"/>
    <w:rsid w:val="00F90842"/>
    <w:rsid w:val="00F90A84"/>
    <w:rsid w:val="00F90E8A"/>
    <w:rsid w:val="00F90F0B"/>
    <w:rsid w:val="00F90F3D"/>
    <w:rsid w:val="00F9110C"/>
    <w:rsid w:val="00F91792"/>
    <w:rsid w:val="00F919E0"/>
    <w:rsid w:val="00F91A90"/>
    <w:rsid w:val="00F91B67"/>
    <w:rsid w:val="00F9271A"/>
    <w:rsid w:val="00F927BF"/>
    <w:rsid w:val="00F92FCF"/>
    <w:rsid w:val="00F937FF"/>
    <w:rsid w:val="00F9381F"/>
    <w:rsid w:val="00F9394C"/>
    <w:rsid w:val="00F93CD2"/>
    <w:rsid w:val="00F940D1"/>
    <w:rsid w:val="00F9446C"/>
    <w:rsid w:val="00F945E1"/>
    <w:rsid w:val="00F94D83"/>
    <w:rsid w:val="00F94E0A"/>
    <w:rsid w:val="00F9522C"/>
    <w:rsid w:val="00F952C4"/>
    <w:rsid w:val="00F954C2"/>
    <w:rsid w:val="00F95777"/>
    <w:rsid w:val="00F96342"/>
    <w:rsid w:val="00F96408"/>
    <w:rsid w:val="00F9648D"/>
    <w:rsid w:val="00F9687C"/>
    <w:rsid w:val="00F97298"/>
    <w:rsid w:val="00F97340"/>
    <w:rsid w:val="00F973FC"/>
    <w:rsid w:val="00F9788E"/>
    <w:rsid w:val="00F97A57"/>
    <w:rsid w:val="00F97B39"/>
    <w:rsid w:val="00F97B45"/>
    <w:rsid w:val="00F97D34"/>
    <w:rsid w:val="00F97F42"/>
    <w:rsid w:val="00FA03E9"/>
    <w:rsid w:val="00FA06FB"/>
    <w:rsid w:val="00FA082C"/>
    <w:rsid w:val="00FA0887"/>
    <w:rsid w:val="00FA0B90"/>
    <w:rsid w:val="00FA120A"/>
    <w:rsid w:val="00FA188F"/>
    <w:rsid w:val="00FA1A50"/>
    <w:rsid w:val="00FA1D86"/>
    <w:rsid w:val="00FA23A0"/>
    <w:rsid w:val="00FA2414"/>
    <w:rsid w:val="00FA29D0"/>
    <w:rsid w:val="00FA2AC2"/>
    <w:rsid w:val="00FA2BA8"/>
    <w:rsid w:val="00FA2CFD"/>
    <w:rsid w:val="00FA3357"/>
    <w:rsid w:val="00FA3C65"/>
    <w:rsid w:val="00FA42AE"/>
    <w:rsid w:val="00FA4460"/>
    <w:rsid w:val="00FA4476"/>
    <w:rsid w:val="00FA4F55"/>
    <w:rsid w:val="00FA59FC"/>
    <w:rsid w:val="00FA5AF6"/>
    <w:rsid w:val="00FA6159"/>
    <w:rsid w:val="00FA648A"/>
    <w:rsid w:val="00FA66F7"/>
    <w:rsid w:val="00FA6BCC"/>
    <w:rsid w:val="00FA6D70"/>
    <w:rsid w:val="00FA7233"/>
    <w:rsid w:val="00FB016C"/>
    <w:rsid w:val="00FB025E"/>
    <w:rsid w:val="00FB0D67"/>
    <w:rsid w:val="00FB145A"/>
    <w:rsid w:val="00FB14FE"/>
    <w:rsid w:val="00FB1DF9"/>
    <w:rsid w:val="00FB20AB"/>
    <w:rsid w:val="00FB249B"/>
    <w:rsid w:val="00FB2665"/>
    <w:rsid w:val="00FB27C5"/>
    <w:rsid w:val="00FB2A60"/>
    <w:rsid w:val="00FB3386"/>
    <w:rsid w:val="00FB3501"/>
    <w:rsid w:val="00FB3827"/>
    <w:rsid w:val="00FB386A"/>
    <w:rsid w:val="00FB3920"/>
    <w:rsid w:val="00FB4299"/>
    <w:rsid w:val="00FB465D"/>
    <w:rsid w:val="00FB505D"/>
    <w:rsid w:val="00FB539B"/>
    <w:rsid w:val="00FB5A5A"/>
    <w:rsid w:val="00FB61E1"/>
    <w:rsid w:val="00FB6863"/>
    <w:rsid w:val="00FB700B"/>
    <w:rsid w:val="00FC0066"/>
    <w:rsid w:val="00FC0082"/>
    <w:rsid w:val="00FC0B5E"/>
    <w:rsid w:val="00FC0FE3"/>
    <w:rsid w:val="00FC1AAB"/>
    <w:rsid w:val="00FC1CFC"/>
    <w:rsid w:val="00FC28AE"/>
    <w:rsid w:val="00FC3A66"/>
    <w:rsid w:val="00FC3B9C"/>
    <w:rsid w:val="00FC4DDA"/>
    <w:rsid w:val="00FC52FC"/>
    <w:rsid w:val="00FC5B06"/>
    <w:rsid w:val="00FC5CB6"/>
    <w:rsid w:val="00FC5DC5"/>
    <w:rsid w:val="00FC60CE"/>
    <w:rsid w:val="00FC630A"/>
    <w:rsid w:val="00FC6983"/>
    <w:rsid w:val="00FC6F0D"/>
    <w:rsid w:val="00FC70C1"/>
    <w:rsid w:val="00FC73CF"/>
    <w:rsid w:val="00FC7553"/>
    <w:rsid w:val="00FC7772"/>
    <w:rsid w:val="00FC7777"/>
    <w:rsid w:val="00FC7905"/>
    <w:rsid w:val="00FC7B9A"/>
    <w:rsid w:val="00FC7D9D"/>
    <w:rsid w:val="00FC7DD9"/>
    <w:rsid w:val="00FC7EFD"/>
    <w:rsid w:val="00FC7FDB"/>
    <w:rsid w:val="00FD0159"/>
    <w:rsid w:val="00FD0457"/>
    <w:rsid w:val="00FD054B"/>
    <w:rsid w:val="00FD05C2"/>
    <w:rsid w:val="00FD079F"/>
    <w:rsid w:val="00FD084A"/>
    <w:rsid w:val="00FD0862"/>
    <w:rsid w:val="00FD0C92"/>
    <w:rsid w:val="00FD1047"/>
    <w:rsid w:val="00FD1128"/>
    <w:rsid w:val="00FD11CD"/>
    <w:rsid w:val="00FD15E6"/>
    <w:rsid w:val="00FD164E"/>
    <w:rsid w:val="00FD1D2B"/>
    <w:rsid w:val="00FD1F28"/>
    <w:rsid w:val="00FD1F6D"/>
    <w:rsid w:val="00FD2069"/>
    <w:rsid w:val="00FD23AE"/>
    <w:rsid w:val="00FD2AC9"/>
    <w:rsid w:val="00FD2B1C"/>
    <w:rsid w:val="00FD2B90"/>
    <w:rsid w:val="00FD2D26"/>
    <w:rsid w:val="00FD3555"/>
    <w:rsid w:val="00FD3901"/>
    <w:rsid w:val="00FD3D45"/>
    <w:rsid w:val="00FD3E02"/>
    <w:rsid w:val="00FD3F1A"/>
    <w:rsid w:val="00FD3F9C"/>
    <w:rsid w:val="00FD4315"/>
    <w:rsid w:val="00FD46E2"/>
    <w:rsid w:val="00FD4D39"/>
    <w:rsid w:val="00FD4DC2"/>
    <w:rsid w:val="00FD5BB2"/>
    <w:rsid w:val="00FD5CD3"/>
    <w:rsid w:val="00FD60D5"/>
    <w:rsid w:val="00FD6714"/>
    <w:rsid w:val="00FD6776"/>
    <w:rsid w:val="00FD68DA"/>
    <w:rsid w:val="00FD6935"/>
    <w:rsid w:val="00FD6976"/>
    <w:rsid w:val="00FD701F"/>
    <w:rsid w:val="00FD7377"/>
    <w:rsid w:val="00FD73E7"/>
    <w:rsid w:val="00FD79B4"/>
    <w:rsid w:val="00FD7D55"/>
    <w:rsid w:val="00FE0615"/>
    <w:rsid w:val="00FE0BB7"/>
    <w:rsid w:val="00FE0BD5"/>
    <w:rsid w:val="00FE0EA0"/>
    <w:rsid w:val="00FE115B"/>
    <w:rsid w:val="00FE11FF"/>
    <w:rsid w:val="00FE2027"/>
    <w:rsid w:val="00FE225B"/>
    <w:rsid w:val="00FE2A8A"/>
    <w:rsid w:val="00FE2FB8"/>
    <w:rsid w:val="00FE3179"/>
    <w:rsid w:val="00FE3304"/>
    <w:rsid w:val="00FE35A2"/>
    <w:rsid w:val="00FE3F12"/>
    <w:rsid w:val="00FE4141"/>
    <w:rsid w:val="00FE44BD"/>
    <w:rsid w:val="00FE46AD"/>
    <w:rsid w:val="00FE4947"/>
    <w:rsid w:val="00FE4E81"/>
    <w:rsid w:val="00FE5351"/>
    <w:rsid w:val="00FE53C8"/>
    <w:rsid w:val="00FE565A"/>
    <w:rsid w:val="00FE571A"/>
    <w:rsid w:val="00FE5835"/>
    <w:rsid w:val="00FE58C2"/>
    <w:rsid w:val="00FE58DF"/>
    <w:rsid w:val="00FE58E4"/>
    <w:rsid w:val="00FE5C74"/>
    <w:rsid w:val="00FE5F7B"/>
    <w:rsid w:val="00FE6108"/>
    <w:rsid w:val="00FE617B"/>
    <w:rsid w:val="00FE6A97"/>
    <w:rsid w:val="00FE6F3D"/>
    <w:rsid w:val="00FE72D9"/>
    <w:rsid w:val="00FE743E"/>
    <w:rsid w:val="00FE77B0"/>
    <w:rsid w:val="00FE799E"/>
    <w:rsid w:val="00FE79E6"/>
    <w:rsid w:val="00FE7B8E"/>
    <w:rsid w:val="00FE7DAA"/>
    <w:rsid w:val="00FF046D"/>
    <w:rsid w:val="00FF04F6"/>
    <w:rsid w:val="00FF0757"/>
    <w:rsid w:val="00FF0DBC"/>
    <w:rsid w:val="00FF166A"/>
    <w:rsid w:val="00FF19A9"/>
    <w:rsid w:val="00FF1B85"/>
    <w:rsid w:val="00FF234F"/>
    <w:rsid w:val="00FF30AE"/>
    <w:rsid w:val="00FF30FE"/>
    <w:rsid w:val="00FF40D0"/>
    <w:rsid w:val="00FF42B7"/>
    <w:rsid w:val="00FF4327"/>
    <w:rsid w:val="00FF4620"/>
    <w:rsid w:val="00FF46AB"/>
    <w:rsid w:val="00FF4CDD"/>
    <w:rsid w:val="00FF51F9"/>
    <w:rsid w:val="00FF53E4"/>
    <w:rsid w:val="00FF5605"/>
    <w:rsid w:val="00FF57E0"/>
    <w:rsid w:val="00FF5C3A"/>
    <w:rsid w:val="00FF60EC"/>
    <w:rsid w:val="00FF641D"/>
    <w:rsid w:val="00FF673C"/>
    <w:rsid w:val="00FF69FF"/>
    <w:rsid w:val="00FF6E70"/>
    <w:rsid w:val="00FF7658"/>
    <w:rsid w:val="00FF7E61"/>
    <w:rsid w:val="0146F57A"/>
    <w:rsid w:val="1B4E8874"/>
    <w:rsid w:val="3E8C4755"/>
    <w:rsid w:val="47F188A6"/>
    <w:rsid w:val="54AC7C87"/>
    <w:rsid w:val="75F7B57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FD5A5"/>
  <w15:chartTrackingRefBased/>
  <w15:docId w15:val="{0F544217-6DBA-4077-A795-60307C3A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880"/>
    <w:pPr>
      <w:spacing w:before="240" w:after="240" w:line="252" w:lineRule="auto"/>
    </w:pPr>
    <w:rPr>
      <w:rFonts w:ascii="PP Mori" w:hAnsi="PP Mori"/>
      <w:sz w:val="18"/>
    </w:rPr>
  </w:style>
  <w:style w:type="paragraph" w:styleId="Heading1">
    <w:name w:val="heading 1"/>
    <w:basedOn w:val="Normal"/>
    <w:next w:val="Normal"/>
    <w:link w:val="Heading1Char"/>
    <w:uiPriority w:val="9"/>
    <w:qFormat/>
    <w:rsid w:val="00480192"/>
    <w:pPr>
      <w:keepNext/>
      <w:keepLines/>
      <w:numPr>
        <w:numId w:val="1"/>
      </w:numPr>
      <w:spacing w:after="0"/>
      <w:outlineLvl w:val="0"/>
    </w:pPr>
    <w:rPr>
      <w:rFonts w:ascii="PP Mori SemiBold" w:eastAsiaTheme="majorEastAsia" w:hAnsi="PP Mori SemiBold" w:cstheme="majorBidi"/>
      <w:color w:val="013C4C" w:themeColor="text1"/>
      <w:sz w:val="32"/>
      <w:szCs w:val="40"/>
    </w:rPr>
  </w:style>
  <w:style w:type="paragraph" w:styleId="Heading2">
    <w:name w:val="heading 2"/>
    <w:basedOn w:val="Normal"/>
    <w:next w:val="Normal"/>
    <w:link w:val="Heading2Char"/>
    <w:uiPriority w:val="9"/>
    <w:unhideWhenUsed/>
    <w:qFormat/>
    <w:rsid w:val="00F02995"/>
    <w:pPr>
      <w:keepNext/>
      <w:keepLines/>
      <w:numPr>
        <w:ilvl w:val="1"/>
        <w:numId w:val="1"/>
      </w:numPr>
      <w:spacing w:before="360" w:after="120"/>
      <w:outlineLvl w:val="1"/>
    </w:pPr>
    <w:rPr>
      <w:rFonts w:ascii="PP Mori SemiBold" w:eastAsiaTheme="majorEastAsia" w:hAnsi="PP Mori SemiBold" w:cstheme="majorBidi"/>
      <w:color w:val="002C38" w:themeColor="accent1" w:themeShade="BF"/>
      <w:sz w:val="26"/>
      <w:szCs w:val="33"/>
    </w:rPr>
  </w:style>
  <w:style w:type="paragraph" w:styleId="Heading3">
    <w:name w:val="heading 3"/>
    <w:basedOn w:val="Normal"/>
    <w:next w:val="Normal"/>
    <w:link w:val="Heading3Char"/>
    <w:uiPriority w:val="9"/>
    <w:unhideWhenUsed/>
    <w:qFormat/>
    <w:rsid w:val="00E56B3C"/>
    <w:pPr>
      <w:keepNext/>
      <w:keepLines/>
      <w:numPr>
        <w:ilvl w:val="2"/>
        <w:numId w:val="1"/>
      </w:numPr>
      <w:spacing w:before="40" w:after="120"/>
      <w:outlineLvl w:val="2"/>
    </w:pPr>
    <w:rPr>
      <w:rFonts w:ascii="PP Mori SemiBold" w:eastAsiaTheme="majorEastAsia" w:hAnsi="PP Mori SemiBold" w:cstheme="majorBidi"/>
      <w:color w:val="001D25" w:themeColor="accent1" w:themeShade="7F"/>
      <w:sz w:val="24"/>
      <w:szCs w:val="30"/>
    </w:rPr>
  </w:style>
  <w:style w:type="paragraph" w:styleId="Heading4">
    <w:name w:val="heading 4"/>
    <w:basedOn w:val="Normal"/>
    <w:next w:val="Normal"/>
    <w:link w:val="Heading4Char"/>
    <w:uiPriority w:val="9"/>
    <w:unhideWhenUsed/>
    <w:qFormat/>
    <w:rsid w:val="000C5211"/>
    <w:pPr>
      <w:keepNext/>
      <w:keepLines/>
      <w:numPr>
        <w:ilvl w:val="3"/>
        <w:numId w:val="1"/>
      </w:numPr>
      <w:spacing w:before="40" w:after="0"/>
      <w:outlineLvl w:val="3"/>
    </w:pPr>
    <w:rPr>
      <w:rFonts w:ascii="PP Mori SemiBold" w:eastAsiaTheme="majorEastAsia" w:hAnsi="PP Mori SemiBold" w:cstheme="majorBidi"/>
      <w:i/>
      <w:iCs/>
      <w:color w:val="002C38" w:themeColor="accent1" w:themeShade="BF"/>
    </w:rPr>
  </w:style>
  <w:style w:type="paragraph" w:styleId="Heading5">
    <w:name w:val="heading 5"/>
    <w:basedOn w:val="Normal"/>
    <w:next w:val="Normal"/>
    <w:link w:val="Heading5Char"/>
    <w:uiPriority w:val="9"/>
    <w:semiHidden/>
    <w:unhideWhenUsed/>
    <w:qFormat/>
    <w:rsid w:val="00167664"/>
    <w:pPr>
      <w:keepNext/>
      <w:keepLines/>
      <w:numPr>
        <w:ilvl w:val="4"/>
        <w:numId w:val="1"/>
      </w:numPr>
      <w:spacing w:before="40" w:after="0"/>
      <w:outlineLvl w:val="4"/>
    </w:pPr>
    <w:rPr>
      <w:rFonts w:asciiTheme="majorHAnsi" w:eastAsiaTheme="majorEastAsia" w:hAnsiTheme="majorHAnsi" w:cstheme="majorBidi"/>
      <w:color w:val="002C38" w:themeColor="accent1" w:themeShade="BF"/>
    </w:rPr>
  </w:style>
  <w:style w:type="paragraph" w:styleId="Heading6">
    <w:name w:val="heading 6"/>
    <w:basedOn w:val="Normal"/>
    <w:next w:val="Normal"/>
    <w:link w:val="Heading6Char"/>
    <w:uiPriority w:val="9"/>
    <w:semiHidden/>
    <w:unhideWhenUsed/>
    <w:qFormat/>
    <w:rsid w:val="00167664"/>
    <w:pPr>
      <w:keepNext/>
      <w:keepLines/>
      <w:numPr>
        <w:ilvl w:val="5"/>
        <w:numId w:val="1"/>
      </w:numPr>
      <w:spacing w:before="40" w:after="0"/>
      <w:outlineLvl w:val="5"/>
    </w:pPr>
    <w:rPr>
      <w:rFonts w:asciiTheme="majorHAnsi" w:eastAsiaTheme="majorEastAsia" w:hAnsiTheme="majorHAnsi" w:cstheme="majorBidi"/>
      <w:color w:val="001D25" w:themeColor="accent1" w:themeShade="7F"/>
    </w:rPr>
  </w:style>
  <w:style w:type="paragraph" w:styleId="Heading7">
    <w:name w:val="heading 7"/>
    <w:basedOn w:val="Normal"/>
    <w:next w:val="Normal"/>
    <w:link w:val="Heading7Char"/>
    <w:uiPriority w:val="9"/>
    <w:semiHidden/>
    <w:unhideWhenUsed/>
    <w:qFormat/>
    <w:rsid w:val="00167664"/>
    <w:pPr>
      <w:keepNext/>
      <w:keepLines/>
      <w:numPr>
        <w:ilvl w:val="6"/>
        <w:numId w:val="1"/>
      </w:numPr>
      <w:spacing w:before="40" w:after="0"/>
      <w:outlineLvl w:val="6"/>
    </w:pPr>
    <w:rPr>
      <w:rFonts w:asciiTheme="majorHAnsi" w:eastAsiaTheme="majorEastAsia" w:hAnsiTheme="majorHAnsi" w:cstheme="majorBidi"/>
      <w:i/>
      <w:iCs/>
      <w:color w:val="001D25" w:themeColor="accent1" w:themeShade="7F"/>
    </w:rPr>
  </w:style>
  <w:style w:type="paragraph" w:styleId="Heading8">
    <w:name w:val="heading 8"/>
    <w:basedOn w:val="Normal"/>
    <w:next w:val="Normal"/>
    <w:link w:val="Heading8Char"/>
    <w:uiPriority w:val="9"/>
    <w:semiHidden/>
    <w:unhideWhenUsed/>
    <w:qFormat/>
    <w:rsid w:val="00167664"/>
    <w:pPr>
      <w:keepNext/>
      <w:keepLines/>
      <w:numPr>
        <w:ilvl w:val="7"/>
        <w:numId w:val="1"/>
      </w:numPr>
      <w:spacing w:before="40" w:after="0"/>
      <w:outlineLvl w:val="7"/>
    </w:pPr>
    <w:rPr>
      <w:rFonts w:asciiTheme="majorHAnsi" w:eastAsiaTheme="majorEastAsia" w:hAnsiTheme="majorHAnsi" w:cstheme="majorBidi"/>
      <w:color w:val="026F8D" w:themeColor="text1" w:themeTint="D8"/>
      <w:sz w:val="21"/>
      <w:szCs w:val="26"/>
    </w:rPr>
  </w:style>
  <w:style w:type="paragraph" w:styleId="Heading9">
    <w:name w:val="heading 9"/>
    <w:basedOn w:val="Normal"/>
    <w:next w:val="Normal"/>
    <w:link w:val="Heading9Char"/>
    <w:uiPriority w:val="9"/>
    <w:semiHidden/>
    <w:unhideWhenUsed/>
    <w:qFormat/>
    <w:rsid w:val="00167664"/>
    <w:pPr>
      <w:keepNext/>
      <w:keepLines/>
      <w:numPr>
        <w:ilvl w:val="8"/>
        <w:numId w:val="1"/>
      </w:numPr>
      <w:spacing w:before="40" w:after="0"/>
      <w:outlineLvl w:val="8"/>
    </w:pPr>
    <w:rPr>
      <w:rFonts w:asciiTheme="majorHAnsi" w:eastAsiaTheme="majorEastAsia" w:hAnsiTheme="majorHAnsi" w:cstheme="majorBidi"/>
      <w:i/>
      <w:iCs/>
      <w:color w:val="026F8D"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61"/>
  </w:style>
  <w:style w:type="paragraph" w:styleId="Footer">
    <w:name w:val="footer"/>
    <w:basedOn w:val="Normal"/>
    <w:link w:val="FooterChar"/>
    <w:uiPriority w:val="99"/>
    <w:unhideWhenUsed/>
    <w:rsid w:val="00714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61"/>
  </w:style>
  <w:style w:type="character" w:customStyle="1" w:styleId="Heading1Char">
    <w:name w:val="Heading 1 Char"/>
    <w:basedOn w:val="DefaultParagraphFont"/>
    <w:link w:val="Heading1"/>
    <w:uiPriority w:val="9"/>
    <w:rsid w:val="00480192"/>
    <w:rPr>
      <w:rFonts w:ascii="PP Mori SemiBold" w:eastAsiaTheme="majorEastAsia" w:hAnsi="PP Mori SemiBold" w:cstheme="majorBidi"/>
      <w:color w:val="013C4C" w:themeColor="text1"/>
      <w:sz w:val="32"/>
      <w:szCs w:val="40"/>
    </w:rPr>
  </w:style>
  <w:style w:type="character" w:customStyle="1" w:styleId="Heading2Char">
    <w:name w:val="Heading 2 Char"/>
    <w:basedOn w:val="DefaultParagraphFont"/>
    <w:link w:val="Heading2"/>
    <w:uiPriority w:val="9"/>
    <w:rsid w:val="00F02995"/>
    <w:rPr>
      <w:rFonts w:ascii="PP Mori SemiBold" w:eastAsiaTheme="majorEastAsia" w:hAnsi="PP Mori SemiBold" w:cstheme="majorBidi"/>
      <w:color w:val="002C38" w:themeColor="accent1" w:themeShade="BF"/>
      <w:sz w:val="26"/>
      <w:szCs w:val="33"/>
    </w:rPr>
  </w:style>
  <w:style w:type="character" w:styleId="SubtleEmphasis">
    <w:name w:val="Subtle Emphasis"/>
    <w:basedOn w:val="DefaultParagraphFont"/>
    <w:uiPriority w:val="19"/>
    <w:rsid w:val="00714A61"/>
    <w:rPr>
      <w:i/>
      <w:iCs/>
      <w:color w:val="0290B7" w:themeColor="text1" w:themeTint="BF"/>
    </w:rPr>
  </w:style>
  <w:style w:type="paragraph" w:styleId="Title">
    <w:name w:val="Title"/>
    <w:basedOn w:val="Normal"/>
    <w:next w:val="Normal"/>
    <w:link w:val="TitleChar"/>
    <w:uiPriority w:val="10"/>
    <w:qFormat/>
    <w:rsid w:val="002827E4"/>
    <w:pPr>
      <w:spacing w:before="1920" w:after="0" w:line="240" w:lineRule="auto"/>
      <w:contextualSpacing/>
    </w:pPr>
    <w:rPr>
      <w:rFonts w:ascii="PP Mori SemiBold" w:eastAsiaTheme="majorEastAsia" w:hAnsi="PP Mori SemiBold" w:cstheme="majorBidi"/>
      <w:spacing w:val="-10"/>
      <w:kern w:val="28"/>
      <w:sz w:val="56"/>
      <w:szCs w:val="71"/>
    </w:rPr>
  </w:style>
  <w:style w:type="paragraph" w:styleId="IntenseQuote">
    <w:name w:val="Intense Quote"/>
    <w:basedOn w:val="Normal"/>
    <w:next w:val="Normal"/>
    <w:link w:val="IntenseQuoteChar"/>
    <w:uiPriority w:val="30"/>
    <w:rsid w:val="00714A61"/>
    <w:pPr>
      <w:pBdr>
        <w:top w:val="single" w:sz="4" w:space="10" w:color="013C4C" w:themeColor="accent1"/>
        <w:bottom w:val="single" w:sz="4" w:space="10" w:color="013C4C" w:themeColor="accent1"/>
      </w:pBdr>
      <w:spacing w:before="360" w:after="360"/>
      <w:ind w:left="864" w:right="864"/>
      <w:jc w:val="center"/>
    </w:pPr>
    <w:rPr>
      <w:i/>
      <w:iCs/>
      <w:color w:val="013C4C" w:themeColor="accent1"/>
    </w:rPr>
  </w:style>
  <w:style w:type="character" w:customStyle="1" w:styleId="IntenseQuoteChar">
    <w:name w:val="Intense Quote Char"/>
    <w:basedOn w:val="DefaultParagraphFont"/>
    <w:link w:val="IntenseQuote"/>
    <w:uiPriority w:val="30"/>
    <w:rsid w:val="00714A61"/>
    <w:rPr>
      <w:rFonts w:ascii="Lucida Sans" w:hAnsi="Lucida Sans"/>
      <w:i/>
      <w:iCs/>
      <w:color w:val="013C4C" w:themeColor="accent1"/>
    </w:rPr>
  </w:style>
  <w:style w:type="character" w:customStyle="1" w:styleId="TitleChar">
    <w:name w:val="Title Char"/>
    <w:basedOn w:val="DefaultParagraphFont"/>
    <w:link w:val="Title"/>
    <w:uiPriority w:val="10"/>
    <w:rsid w:val="002827E4"/>
    <w:rPr>
      <w:rFonts w:ascii="PP Mori SemiBold" w:eastAsiaTheme="majorEastAsia" w:hAnsi="PP Mori SemiBold" w:cstheme="majorBidi"/>
      <w:spacing w:val="-10"/>
      <w:kern w:val="28"/>
      <w:sz w:val="56"/>
      <w:szCs w:val="71"/>
    </w:rPr>
  </w:style>
  <w:style w:type="paragraph" w:styleId="NoSpacing">
    <w:name w:val="No Spacing"/>
    <w:aliases w:val="Details"/>
    <w:uiPriority w:val="1"/>
    <w:qFormat/>
    <w:rsid w:val="00714A61"/>
    <w:pPr>
      <w:spacing w:after="0" w:line="240" w:lineRule="auto"/>
    </w:pPr>
    <w:rPr>
      <w:rFonts w:ascii="Lucida Sans" w:hAnsi="Lucida Sans"/>
    </w:rPr>
  </w:style>
  <w:style w:type="character" w:customStyle="1" w:styleId="Heading3Char">
    <w:name w:val="Heading 3 Char"/>
    <w:basedOn w:val="DefaultParagraphFont"/>
    <w:link w:val="Heading3"/>
    <w:uiPriority w:val="9"/>
    <w:rsid w:val="00E56B3C"/>
    <w:rPr>
      <w:rFonts w:ascii="PP Mori SemiBold" w:eastAsiaTheme="majorEastAsia" w:hAnsi="PP Mori SemiBold" w:cstheme="majorBidi"/>
      <w:color w:val="001D25" w:themeColor="accent1" w:themeShade="7F"/>
      <w:sz w:val="24"/>
      <w:szCs w:val="30"/>
    </w:rPr>
  </w:style>
  <w:style w:type="character" w:customStyle="1" w:styleId="Heading4Char">
    <w:name w:val="Heading 4 Char"/>
    <w:basedOn w:val="DefaultParagraphFont"/>
    <w:link w:val="Heading4"/>
    <w:uiPriority w:val="9"/>
    <w:rsid w:val="000C5211"/>
    <w:rPr>
      <w:rFonts w:ascii="PP Mori SemiBold" w:eastAsiaTheme="majorEastAsia" w:hAnsi="PP Mori SemiBold" w:cstheme="majorBidi"/>
      <w:i/>
      <w:iCs/>
      <w:color w:val="002C38" w:themeColor="accent1" w:themeShade="BF"/>
      <w:sz w:val="18"/>
    </w:rPr>
  </w:style>
  <w:style w:type="character" w:customStyle="1" w:styleId="Heading5Char">
    <w:name w:val="Heading 5 Char"/>
    <w:basedOn w:val="DefaultParagraphFont"/>
    <w:link w:val="Heading5"/>
    <w:uiPriority w:val="9"/>
    <w:semiHidden/>
    <w:rsid w:val="00167664"/>
    <w:rPr>
      <w:rFonts w:asciiTheme="majorHAnsi" w:eastAsiaTheme="majorEastAsia" w:hAnsiTheme="majorHAnsi" w:cstheme="majorBidi"/>
      <w:color w:val="002C38" w:themeColor="accent1" w:themeShade="BF"/>
      <w:sz w:val="18"/>
    </w:rPr>
  </w:style>
  <w:style w:type="character" w:customStyle="1" w:styleId="Heading6Char">
    <w:name w:val="Heading 6 Char"/>
    <w:basedOn w:val="DefaultParagraphFont"/>
    <w:link w:val="Heading6"/>
    <w:uiPriority w:val="9"/>
    <w:semiHidden/>
    <w:rsid w:val="00167664"/>
    <w:rPr>
      <w:rFonts w:asciiTheme="majorHAnsi" w:eastAsiaTheme="majorEastAsia" w:hAnsiTheme="majorHAnsi" w:cstheme="majorBidi"/>
      <w:color w:val="001D25" w:themeColor="accent1" w:themeShade="7F"/>
      <w:sz w:val="18"/>
    </w:rPr>
  </w:style>
  <w:style w:type="character" w:customStyle="1" w:styleId="Heading7Char">
    <w:name w:val="Heading 7 Char"/>
    <w:basedOn w:val="DefaultParagraphFont"/>
    <w:link w:val="Heading7"/>
    <w:uiPriority w:val="9"/>
    <w:semiHidden/>
    <w:rsid w:val="00167664"/>
    <w:rPr>
      <w:rFonts w:asciiTheme="majorHAnsi" w:eastAsiaTheme="majorEastAsia" w:hAnsiTheme="majorHAnsi" w:cstheme="majorBidi"/>
      <w:i/>
      <w:iCs/>
      <w:color w:val="001D25" w:themeColor="accent1" w:themeShade="7F"/>
      <w:sz w:val="18"/>
    </w:rPr>
  </w:style>
  <w:style w:type="character" w:customStyle="1" w:styleId="Heading8Char">
    <w:name w:val="Heading 8 Char"/>
    <w:basedOn w:val="DefaultParagraphFont"/>
    <w:link w:val="Heading8"/>
    <w:uiPriority w:val="9"/>
    <w:semiHidden/>
    <w:rsid w:val="00167664"/>
    <w:rPr>
      <w:rFonts w:asciiTheme="majorHAnsi" w:eastAsiaTheme="majorEastAsia" w:hAnsiTheme="majorHAnsi" w:cstheme="majorBidi"/>
      <w:color w:val="026F8D" w:themeColor="text1" w:themeTint="D8"/>
      <w:sz w:val="21"/>
      <w:szCs w:val="26"/>
    </w:rPr>
  </w:style>
  <w:style w:type="character" w:customStyle="1" w:styleId="Heading9Char">
    <w:name w:val="Heading 9 Char"/>
    <w:basedOn w:val="DefaultParagraphFont"/>
    <w:link w:val="Heading9"/>
    <w:uiPriority w:val="9"/>
    <w:semiHidden/>
    <w:rsid w:val="00167664"/>
    <w:rPr>
      <w:rFonts w:asciiTheme="majorHAnsi" w:eastAsiaTheme="majorEastAsia" w:hAnsiTheme="majorHAnsi" w:cstheme="majorBidi"/>
      <w:i/>
      <w:iCs/>
      <w:color w:val="026F8D" w:themeColor="text1" w:themeTint="D8"/>
      <w:sz w:val="21"/>
      <w:szCs w:val="26"/>
    </w:rPr>
  </w:style>
  <w:style w:type="paragraph" w:styleId="TOCHeading">
    <w:name w:val="TOC Heading"/>
    <w:basedOn w:val="Heading1"/>
    <w:next w:val="Normal"/>
    <w:uiPriority w:val="39"/>
    <w:unhideWhenUsed/>
    <w:qFormat/>
    <w:rsid w:val="00744C73"/>
    <w:pPr>
      <w:numPr>
        <w:numId w:val="0"/>
      </w:numPr>
      <w:spacing w:line="259" w:lineRule="auto"/>
      <w:outlineLvl w:val="9"/>
    </w:pPr>
    <w:rPr>
      <w:color w:val="002C38" w:themeColor="accent1" w:themeShade="BF"/>
      <w:kern w:val="0"/>
      <w:szCs w:val="32"/>
      <w:lang w:val="en-US" w:eastAsia="en-US" w:bidi="ar-SA"/>
      <w14:ligatures w14:val="none"/>
    </w:rPr>
  </w:style>
  <w:style w:type="paragraph" w:styleId="TOC1">
    <w:name w:val="toc 1"/>
    <w:basedOn w:val="Normal"/>
    <w:next w:val="Normal"/>
    <w:autoRedefine/>
    <w:uiPriority w:val="39"/>
    <w:unhideWhenUsed/>
    <w:rsid w:val="00201714"/>
    <w:pPr>
      <w:tabs>
        <w:tab w:val="left" w:pos="567"/>
        <w:tab w:val="right" w:leader="dot" w:pos="10348"/>
      </w:tabs>
      <w:spacing w:after="100"/>
    </w:pPr>
    <w:rPr>
      <w:rFonts w:ascii="PP Mori SemiBold" w:hAnsi="PP Mori SemiBold"/>
      <w:sz w:val="24"/>
    </w:rPr>
  </w:style>
  <w:style w:type="paragraph" w:styleId="TOC2">
    <w:name w:val="toc 2"/>
    <w:basedOn w:val="Normal"/>
    <w:next w:val="Normal"/>
    <w:autoRedefine/>
    <w:uiPriority w:val="39"/>
    <w:unhideWhenUsed/>
    <w:rsid w:val="00201714"/>
    <w:pPr>
      <w:tabs>
        <w:tab w:val="left" w:pos="1134"/>
        <w:tab w:val="right" w:leader="dot" w:pos="10348"/>
      </w:tabs>
      <w:spacing w:after="100"/>
      <w:ind w:left="1276" w:hanging="709"/>
    </w:pPr>
    <w:rPr>
      <w:sz w:val="20"/>
    </w:rPr>
  </w:style>
  <w:style w:type="character" w:styleId="Hyperlink">
    <w:name w:val="Hyperlink"/>
    <w:basedOn w:val="DefaultParagraphFont"/>
    <w:uiPriority w:val="99"/>
    <w:unhideWhenUsed/>
    <w:rsid w:val="00744C73"/>
    <w:rPr>
      <w:color w:val="F85C5D" w:themeColor="hyperlink"/>
      <w:u w:val="single"/>
    </w:rPr>
  </w:style>
  <w:style w:type="paragraph" w:styleId="TOC3">
    <w:name w:val="toc 3"/>
    <w:basedOn w:val="Normal"/>
    <w:next w:val="Normal"/>
    <w:autoRedefine/>
    <w:uiPriority w:val="39"/>
    <w:unhideWhenUsed/>
    <w:rsid w:val="00201714"/>
    <w:pPr>
      <w:tabs>
        <w:tab w:val="left" w:pos="1985"/>
        <w:tab w:val="right" w:leader="dot" w:pos="10348"/>
      </w:tabs>
      <w:spacing w:after="100"/>
      <w:ind w:left="1843" w:hanging="709"/>
    </w:pPr>
  </w:style>
  <w:style w:type="paragraph" w:styleId="ListParagraph">
    <w:name w:val="List Paragraph"/>
    <w:aliases w:val="Without Spacing,PECI Bullets (Content),Number Bullets,First Level Outline,Ha,MCHIP_list paragraph,List Paragraph1,Recommendation,List bullets,Bullet Styles para,Primus H 3,lp1,Use Case List Paragraph,YC Bulet,List Paragraph 1"/>
    <w:basedOn w:val="Normal"/>
    <w:link w:val="ListParagraphChar"/>
    <w:uiPriority w:val="34"/>
    <w:qFormat/>
    <w:rsid w:val="008C69C0"/>
    <w:pPr>
      <w:numPr>
        <w:numId w:val="2"/>
      </w:numPr>
      <w:spacing w:before="120" w:after="120" w:line="276" w:lineRule="auto"/>
    </w:pPr>
  </w:style>
  <w:style w:type="table" w:styleId="GridTable4">
    <w:name w:val="Grid Table 4"/>
    <w:basedOn w:val="TableNormal"/>
    <w:uiPriority w:val="49"/>
    <w:rsid w:val="00F02995"/>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color w:val="FAFAFA" w:themeColor="background1"/>
      </w:rPr>
      <w:tblPr/>
      <w:tcPr>
        <w:tcBorders>
          <w:top w:val="single" w:sz="4" w:space="0" w:color="013C4C" w:themeColor="text1"/>
          <w:left w:val="single" w:sz="4" w:space="0" w:color="013C4C" w:themeColor="text1"/>
          <w:bottom w:val="single" w:sz="4" w:space="0" w:color="013C4C" w:themeColor="text1"/>
          <w:right w:val="single" w:sz="4" w:space="0" w:color="013C4C" w:themeColor="text1"/>
          <w:insideH w:val="nil"/>
          <w:insideV w:val="nil"/>
        </w:tcBorders>
        <w:shd w:val="clear" w:color="auto" w:fill="013C4C" w:themeFill="text1"/>
      </w:tcPr>
    </w:tblStylePr>
    <w:tblStylePr w:type="lastRow">
      <w:rPr>
        <w:b/>
        <w:bCs/>
      </w:rPr>
      <w:tblPr/>
      <w:tcPr>
        <w:tcBorders>
          <w:top w:val="double" w:sz="4" w:space="0" w:color="013C4C" w:themeColor="text1"/>
        </w:tcBorders>
      </w:tcPr>
    </w:tblStylePr>
    <w:tblStylePr w:type="firstCol">
      <w:rPr>
        <w:b/>
        <w:bCs/>
      </w:rPr>
    </w:tblStylePr>
    <w:tblStylePr w:type="lastCol">
      <w:rPr>
        <w:b/>
        <w:bCs/>
      </w:rPr>
    </w:tblStylePr>
    <w:tblStylePr w:type="band1Vert">
      <w:tblPr/>
      <w:tcPr>
        <w:shd w:val="clear" w:color="auto" w:fill="A9EBFE" w:themeFill="text1" w:themeFillTint="33"/>
      </w:tcPr>
    </w:tblStylePr>
    <w:tblStylePr w:type="band1Horz">
      <w:tblPr/>
      <w:tcPr>
        <w:shd w:val="clear" w:color="auto" w:fill="A9EBFE" w:themeFill="text1" w:themeFillTint="33"/>
      </w:tcPr>
    </w:tblStylePr>
  </w:style>
  <w:style w:type="paragraph" w:styleId="Quote">
    <w:name w:val="Quote"/>
    <w:basedOn w:val="Normal"/>
    <w:next w:val="Normal"/>
    <w:link w:val="QuoteChar"/>
    <w:uiPriority w:val="29"/>
    <w:qFormat/>
    <w:rsid w:val="00DE36E4"/>
    <w:pPr>
      <w:ind w:left="720"/>
    </w:pPr>
    <w:rPr>
      <w:i/>
      <w:iCs/>
    </w:rPr>
  </w:style>
  <w:style w:type="character" w:customStyle="1" w:styleId="QuoteChar">
    <w:name w:val="Quote Char"/>
    <w:basedOn w:val="DefaultParagraphFont"/>
    <w:link w:val="Quote"/>
    <w:uiPriority w:val="29"/>
    <w:rsid w:val="00DE36E4"/>
    <w:rPr>
      <w:rFonts w:ascii="PP Mori" w:hAnsi="PP Mori"/>
      <w:i/>
      <w:iCs/>
      <w:sz w:val="18"/>
    </w:rPr>
  </w:style>
  <w:style w:type="character" w:styleId="Strong">
    <w:name w:val="Strong"/>
    <w:uiPriority w:val="22"/>
    <w:qFormat/>
    <w:rsid w:val="0014714A"/>
    <w:rPr>
      <w:rFonts w:ascii="PP Mori SemiBold" w:hAnsi="PP Mori SemiBold"/>
    </w:rPr>
  </w:style>
  <w:style w:type="paragraph" w:styleId="Subtitle">
    <w:name w:val="Subtitle"/>
    <w:basedOn w:val="Normal"/>
    <w:next w:val="Normal"/>
    <w:link w:val="SubtitleChar"/>
    <w:uiPriority w:val="11"/>
    <w:qFormat/>
    <w:rsid w:val="00661261"/>
    <w:rPr>
      <w:rFonts w:ascii="PP Mori ExtraLight" w:hAnsi="PP Mori ExtraLight"/>
      <w:sz w:val="28"/>
      <w:szCs w:val="44"/>
    </w:rPr>
  </w:style>
  <w:style w:type="character" w:customStyle="1" w:styleId="SubtitleChar">
    <w:name w:val="Subtitle Char"/>
    <w:basedOn w:val="DefaultParagraphFont"/>
    <w:link w:val="Subtitle"/>
    <w:uiPriority w:val="11"/>
    <w:rsid w:val="00661261"/>
    <w:rPr>
      <w:rFonts w:ascii="PP Mori ExtraLight" w:hAnsi="PP Mori ExtraLight"/>
      <w:sz w:val="28"/>
      <w:szCs w:val="44"/>
    </w:rPr>
  </w:style>
  <w:style w:type="character" w:styleId="UnresolvedMention">
    <w:name w:val="Unresolved Mention"/>
    <w:basedOn w:val="DefaultParagraphFont"/>
    <w:uiPriority w:val="99"/>
    <w:semiHidden/>
    <w:unhideWhenUsed/>
    <w:rsid w:val="00207652"/>
    <w:rPr>
      <w:color w:val="605E5C"/>
      <w:shd w:val="clear" w:color="auto" w:fill="E1DFDD"/>
    </w:rPr>
  </w:style>
  <w:style w:type="paragraph" w:styleId="Caption">
    <w:name w:val="caption"/>
    <w:basedOn w:val="Normal"/>
    <w:next w:val="Normal"/>
    <w:uiPriority w:val="35"/>
    <w:unhideWhenUsed/>
    <w:qFormat/>
    <w:rsid w:val="00FF4327"/>
    <w:pPr>
      <w:spacing w:before="0" w:after="200" w:line="240" w:lineRule="auto"/>
      <w:jc w:val="center"/>
    </w:pPr>
    <w:rPr>
      <w:i/>
      <w:iCs/>
      <w:color w:val="013C4C" w:themeColor="text1"/>
      <w:szCs w:val="22"/>
    </w:rPr>
  </w:style>
  <w:style w:type="paragraph" w:styleId="FootnoteText">
    <w:name w:val="footnote text"/>
    <w:basedOn w:val="Normal"/>
    <w:link w:val="FootnoteTextChar"/>
    <w:uiPriority w:val="99"/>
    <w:unhideWhenUsed/>
    <w:rsid w:val="0025410A"/>
    <w:pPr>
      <w:spacing w:before="0" w:after="0" w:line="240" w:lineRule="auto"/>
    </w:pPr>
    <w:rPr>
      <w:sz w:val="20"/>
      <w:szCs w:val="25"/>
    </w:rPr>
  </w:style>
  <w:style w:type="character" w:customStyle="1" w:styleId="FootnoteTextChar">
    <w:name w:val="Footnote Text Char"/>
    <w:basedOn w:val="DefaultParagraphFont"/>
    <w:link w:val="FootnoteText"/>
    <w:uiPriority w:val="99"/>
    <w:rsid w:val="0025410A"/>
    <w:rPr>
      <w:rFonts w:ascii="PP Mori" w:hAnsi="PP Mori"/>
      <w:sz w:val="20"/>
      <w:szCs w:val="25"/>
    </w:rPr>
  </w:style>
  <w:style w:type="character" w:styleId="FootnoteReference">
    <w:name w:val="footnote reference"/>
    <w:basedOn w:val="DefaultParagraphFont"/>
    <w:uiPriority w:val="99"/>
    <w:semiHidden/>
    <w:unhideWhenUsed/>
    <w:rsid w:val="0025410A"/>
    <w:rPr>
      <w:vertAlign w:val="superscript"/>
    </w:rPr>
  </w:style>
  <w:style w:type="paragraph" w:styleId="NormalWeb">
    <w:name w:val="Normal (Web)"/>
    <w:basedOn w:val="Normal"/>
    <w:uiPriority w:val="99"/>
    <w:unhideWhenUsed/>
    <w:rsid w:val="00E66A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uiPriority w:val="99"/>
    <w:unhideWhenUsed/>
    <w:rsid w:val="00FC6983"/>
    <w:pPr>
      <w:spacing w:before="0" w:after="0" w:line="240" w:lineRule="auto"/>
    </w:pPr>
    <w:rPr>
      <w:sz w:val="20"/>
      <w:szCs w:val="25"/>
    </w:rPr>
  </w:style>
  <w:style w:type="character" w:customStyle="1" w:styleId="EndnoteTextChar">
    <w:name w:val="Endnote Text Char"/>
    <w:basedOn w:val="DefaultParagraphFont"/>
    <w:link w:val="EndnoteText"/>
    <w:uiPriority w:val="99"/>
    <w:rsid w:val="00FC6983"/>
    <w:rPr>
      <w:rFonts w:ascii="PP Mori" w:hAnsi="PP Mori"/>
      <w:sz w:val="20"/>
      <w:szCs w:val="25"/>
    </w:rPr>
  </w:style>
  <w:style w:type="character" w:styleId="EndnoteReference">
    <w:name w:val="endnote reference"/>
    <w:basedOn w:val="DefaultParagraphFont"/>
    <w:uiPriority w:val="99"/>
    <w:semiHidden/>
    <w:unhideWhenUsed/>
    <w:rsid w:val="00FC6983"/>
    <w:rPr>
      <w:vertAlign w:val="superscript"/>
    </w:rPr>
  </w:style>
  <w:style w:type="character" w:styleId="FollowedHyperlink">
    <w:name w:val="FollowedHyperlink"/>
    <w:basedOn w:val="DefaultParagraphFont"/>
    <w:uiPriority w:val="99"/>
    <w:semiHidden/>
    <w:unhideWhenUsed/>
    <w:rsid w:val="0051162E"/>
    <w:rPr>
      <w:color w:val="8DD1E8" w:themeColor="followedHyperlink"/>
      <w:u w:val="single"/>
    </w:rPr>
  </w:style>
  <w:style w:type="table" w:styleId="TableGrid">
    <w:name w:val="Table Grid"/>
    <w:basedOn w:val="TableNormal"/>
    <w:uiPriority w:val="59"/>
    <w:rsid w:val="0002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C9269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tcBorders>
        <w:shd w:val="clear" w:color="auto" w:fill="2F2F2F" w:themeFill="accent5"/>
      </w:tcPr>
    </w:tblStylePr>
    <w:tblStylePr w:type="lastRow">
      <w:rPr>
        <w:b/>
        <w:bCs/>
      </w:rPr>
      <w:tblPr/>
      <w:tcPr>
        <w:tcBorders>
          <w:top w:val="double" w:sz="4" w:space="0" w:color="828282" w:themeColor="accent5" w:themeTint="99"/>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2-Accent5">
    <w:name w:val="List Table 2 Accent 5"/>
    <w:basedOn w:val="TableNormal"/>
    <w:uiPriority w:val="47"/>
    <w:rsid w:val="00C92691"/>
    <w:pPr>
      <w:spacing w:after="0" w:line="240" w:lineRule="auto"/>
    </w:pPr>
    <w:tblPr>
      <w:tblStyleRowBandSize w:val="1"/>
      <w:tblStyleColBandSize w:val="1"/>
      <w:tblBorders>
        <w:top w:val="single" w:sz="4" w:space="0" w:color="828282" w:themeColor="accent5" w:themeTint="99"/>
        <w:bottom w:val="single" w:sz="4" w:space="0" w:color="828282" w:themeColor="accent5" w:themeTint="99"/>
        <w:insideH w:val="single" w:sz="4" w:space="0" w:color="8282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7Colorful-Accent5">
    <w:name w:val="List Table 7 Colorful Accent 5"/>
    <w:basedOn w:val="TableNormal"/>
    <w:uiPriority w:val="52"/>
    <w:rsid w:val="00911E5C"/>
    <w:pPr>
      <w:spacing w:after="0" w:line="240" w:lineRule="auto"/>
    </w:pPr>
    <w:rPr>
      <w:color w:val="23232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2F2F" w:themeColor="accent5"/>
        </w:tcBorders>
        <w:shd w:val="clear" w:color="auto" w:fill="FAFAFA" w:themeFill="background1"/>
      </w:tcPr>
    </w:tblStylePr>
    <w:tblStylePr w:type="lastRow">
      <w:rPr>
        <w:rFonts w:asciiTheme="majorHAnsi" w:eastAsiaTheme="majorEastAsia" w:hAnsiTheme="majorHAnsi" w:cstheme="majorBidi"/>
        <w:i/>
        <w:iCs/>
        <w:sz w:val="26"/>
      </w:rPr>
      <w:tblPr/>
      <w:tcPr>
        <w:tcBorders>
          <w:top w:val="single" w:sz="4" w:space="0" w:color="2F2F2F" w:themeColor="accent5"/>
        </w:tcBorders>
        <w:shd w:val="clear" w:color="auto" w:fill="FAFAF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2F2F" w:themeColor="accent5"/>
        </w:tcBorders>
        <w:shd w:val="clear" w:color="auto" w:fill="FAFAFA" w:themeFill="background1"/>
      </w:tcPr>
    </w:tblStylePr>
    <w:tblStylePr w:type="lastCol">
      <w:rPr>
        <w:rFonts w:asciiTheme="majorHAnsi" w:eastAsiaTheme="majorEastAsia" w:hAnsiTheme="majorHAnsi" w:cstheme="majorBidi"/>
        <w:i/>
        <w:iCs/>
        <w:sz w:val="26"/>
      </w:rPr>
      <w:tblPr/>
      <w:tcPr>
        <w:tcBorders>
          <w:left w:val="single" w:sz="4" w:space="0" w:color="2F2F2F" w:themeColor="accent5"/>
        </w:tcBorders>
        <w:shd w:val="clear" w:color="auto" w:fill="FAFAFA" w:themeFill="background1"/>
      </w:tcPr>
    </w:tblStylePr>
    <w:tblStylePr w:type="band1Vert">
      <w:tblPr/>
      <w:tcPr>
        <w:shd w:val="clear" w:color="auto" w:fill="D5D5D5" w:themeFill="accent5" w:themeFillTint="33"/>
      </w:tcPr>
    </w:tblStylePr>
    <w:tblStylePr w:type="band1Horz">
      <w:tblPr/>
      <w:tcPr>
        <w:shd w:val="clear" w:color="auto" w:fill="D5D5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736939"/>
    <w:rPr>
      <w:sz w:val="16"/>
      <w:szCs w:val="16"/>
    </w:rPr>
  </w:style>
  <w:style w:type="paragraph" w:styleId="CommentText">
    <w:name w:val="annotation text"/>
    <w:basedOn w:val="Normal"/>
    <w:link w:val="CommentTextChar"/>
    <w:uiPriority w:val="99"/>
    <w:unhideWhenUsed/>
    <w:rsid w:val="00736939"/>
    <w:pPr>
      <w:spacing w:line="240" w:lineRule="auto"/>
    </w:pPr>
    <w:rPr>
      <w:sz w:val="20"/>
      <w:szCs w:val="25"/>
    </w:rPr>
  </w:style>
  <w:style w:type="character" w:customStyle="1" w:styleId="CommentTextChar">
    <w:name w:val="Comment Text Char"/>
    <w:basedOn w:val="DefaultParagraphFont"/>
    <w:link w:val="CommentText"/>
    <w:uiPriority w:val="99"/>
    <w:rsid w:val="00736939"/>
    <w:rPr>
      <w:rFonts w:ascii="PP Mori" w:hAnsi="PP Mori"/>
      <w:sz w:val="20"/>
      <w:szCs w:val="25"/>
    </w:rPr>
  </w:style>
  <w:style w:type="paragraph" w:styleId="CommentSubject">
    <w:name w:val="annotation subject"/>
    <w:basedOn w:val="CommentText"/>
    <w:next w:val="CommentText"/>
    <w:link w:val="CommentSubjectChar"/>
    <w:uiPriority w:val="99"/>
    <w:semiHidden/>
    <w:unhideWhenUsed/>
    <w:rsid w:val="00736939"/>
    <w:rPr>
      <w:b/>
      <w:bCs/>
    </w:rPr>
  </w:style>
  <w:style w:type="character" w:customStyle="1" w:styleId="CommentSubjectChar">
    <w:name w:val="Comment Subject Char"/>
    <w:basedOn w:val="CommentTextChar"/>
    <w:link w:val="CommentSubject"/>
    <w:uiPriority w:val="99"/>
    <w:semiHidden/>
    <w:rsid w:val="00736939"/>
    <w:rPr>
      <w:rFonts w:ascii="PP Mori" w:hAnsi="PP Mori"/>
      <w:b/>
      <w:bCs/>
      <w:sz w:val="20"/>
      <w:szCs w:val="25"/>
    </w:rPr>
  </w:style>
  <w:style w:type="character" w:styleId="Mention">
    <w:name w:val="Mention"/>
    <w:basedOn w:val="DefaultParagraphFont"/>
    <w:uiPriority w:val="99"/>
    <w:unhideWhenUsed/>
    <w:rsid w:val="00736939"/>
    <w:rPr>
      <w:color w:val="2B579A"/>
      <w:shd w:val="clear" w:color="auto" w:fill="E1DFDD"/>
    </w:rPr>
  </w:style>
  <w:style w:type="table" w:styleId="GridTable3">
    <w:name w:val="Grid Table 3"/>
    <w:basedOn w:val="TableNormal"/>
    <w:uiPriority w:val="48"/>
    <w:rsid w:val="00D91D34"/>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rPr>
      <w:tblPr/>
      <w:tcPr>
        <w:tcBorders>
          <w:top w:val="nil"/>
          <w:left w:val="nil"/>
          <w:right w:val="nil"/>
          <w:insideH w:val="nil"/>
          <w:insideV w:val="nil"/>
        </w:tcBorders>
        <w:shd w:val="clear" w:color="auto" w:fill="FAFAFA" w:themeFill="background1"/>
      </w:tcPr>
    </w:tblStylePr>
    <w:tblStylePr w:type="lastRow">
      <w:rPr>
        <w:b/>
        <w:bCs/>
      </w:rPr>
      <w:tblPr/>
      <w:tcPr>
        <w:tcBorders>
          <w:left w:val="nil"/>
          <w:bottom w:val="nil"/>
          <w:right w:val="nil"/>
          <w:insideH w:val="nil"/>
          <w:insideV w:val="nil"/>
        </w:tcBorders>
        <w:shd w:val="clear" w:color="auto" w:fill="FAFAFA" w:themeFill="background1"/>
      </w:tcPr>
    </w:tblStylePr>
    <w:tblStylePr w:type="firstCol">
      <w:pPr>
        <w:jc w:val="right"/>
      </w:pPr>
      <w:rPr>
        <w:i/>
        <w:iCs/>
      </w:rPr>
      <w:tblPr/>
      <w:tcPr>
        <w:tcBorders>
          <w:top w:val="nil"/>
          <w:left w:val="nil"/>
          <w:bottom w:val="nil"/>
          <w:insideH w:val="nil"/>
          <w:insideV w:val="nil"/>
        </w:tcBorders>
        <w:shd w:val="clear" w:color="auto" w:fill="FAFAFA" w:themeFill="background1"/>
      </w:tcPr>
    </w:tblStylePr>
    <w:tblStylePr w:type="lastCol">
      <w:rPr>
        <w:i/>
        <w:iCs/>
      </w:rPr>
      <w:tblPr/>
      <w:tcPr>
        <w:tcBorders>
          <w:top w:val="nil"/>
          <w:bottom w:val="nil"/>
          <w:right w:val="nil"/>
          <w:insideH w:val="nil"/>
          <w:insideV w:val="nil"/>
        </w:tcBorders>
        <w:shd w:val="clear" w:color="auto" w:fill="FAFAFA" w:themeFill="background1"/>
      </w:tcPr>
    </w:tblStylePr>
    <w:tblStylePr w:type="band1Vert">
      <w:tblPr/>
      <w:tcPr>
        <w:shd w:val="clear" w:color="auto" w:fill="A9EBFE" w:themeFill="text1" w:themeFillTint="33"/>
      </w:tcPr>
    </w:tblStylePr>
    <w:tblStylePr w:type="band1Horz">
      <w:tblPr/>
      <w:tcPr>
        <w:shd w:val="clear" w:color="auto" w:fill="A9EBFE" w:themeFill="text1" w:themeFillTint="33"/>
      </w:tcPr>
    </w:tblStylePr>
    <w:tblStylePr w:type="neCell">
      <w:tblPr/>
      <w:tcPr>
        <w:tcBorders>
          <w:bottom w:val="single" w:sz="4" w:space="0" w:color="03C2F6" w:themeColor="text1" w:themeTint="99"/>
        </w:tcBorders>
      </w:tcPr>
    </w:tblStylePr>
    <w:tblStylePr w:type="nwCell">
      <w:tblPr/>
      <w:tcPr>
        <w:tcBorders>
          <w:bottom w:val="single" w:sz="4" w:space="0" w:color="03C2F6" w:themeColor="text1" w:themeTint="99"/>
        </w:tcBorders>
      </w:tcPr>
    </w:tblStylePr>
    <w:tblStylePr w:type="seCell">
      <w:tblPr/>
      <w:tcPr>
        <w:tcBorders>
          <w:top w:val="single" w:sz="4" w:space="0" w:color="03C2F6" w:themeColor="text1" w:themeTint="99"/>
        </w:tcBorders>
      </w:tcPr>
    </w:tblStylePr>
    <w:tblStylePr w:type="swCell">
      <w:tblPr/>
      <w:tcPr>
        <w:tcBorders>
          <w:top w:val="single" w:sz="4" w:space="0" w:color="03C2F6" w:themeColor="text1" w:themeTint="99"/>
        </w:tcBorders>
      </w:tcPr>
    </w:tblStylePr>
  </w:style>
  <w:style w:type="paragraph" w:styleId="Bibliography">
    <w:name w:val="Bibliography"/>
    <w:basedOn w:val="Normal"/>
    <w:next w:val="Normal"/>
    <w:uiPriority w:val="37"/>
    <w:unhideWhenUsed/>
    <w:rsid w:val="009858D0"/>
  </w:style>
  <w:style w:type="table" w:styleId="GridTable4-Accent5">
    <w:name w:val="Grid Table 4 Accent 5"/>
    <w:basedOn w:val="TableNormal"/>
    <w:uiPriority w:val="49"/>
    <w:rsid w:val="00F940D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insideV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insideV w:val="nil"/>
        </w:tcBorders>
        <w:shd w:val="clear" w:color="auto" w:fill="2F2F2F" w:themeFill="accent5"/>
      </w:tcPr>
    </w:tblStylePr>
    <w:tblStylePr w:type="lastRow">
      <w:rPr>
        <w:b/>
        <w:bCs/>
      </w:rPr>
      <w:tblPr/>
      <w:tcPr>
        <w:tcBorders>
          <w:top w:val="double" w:sz="4" w:space="0" w:color="2F2F2F" w:themeColor="accent5"/>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paragraph" w:styleId="Revision">
    <w:name w:val="Revision"/>
    <w:hidden/>
    <w:uiPriority w:val="99"/>
    <w:semiHidden/>
    <w:rsid w:val="0046078F"/>
    <w:pPr>
      <w:spacing w:after="0" w:line="240" w:lineRule="auto"/>
    </w:pPr>
    <w:rPr>
      <w:rFonts w:ascii="PP Mori" w:hAnsi="PP Mori"/>
      <w:sz w:val="18"/>
    </w:rPr>
  </w:style>
  <w:style w:type="paragraph" w:customStyle="1" w:styleId="Default">
    <w:name w:val="Default"/>
    <w:rsid w:val="00165D1B"/>
    <w:pPr>
      <w:autoSpaceDE w:val="0"/>
      <w:autoSpaceDN w:val="0"/>
      <w:adjustRightInd w:val="0"/>
      <w:spacing w:after="0" w:line="240" w:lineRule="auto"/>
    </w:pPr>
    <w:rPr>
      <w:rFonts w:ascii="Calibri" w:hAnsi="Calibri" w:cs="Calibri"/>
      <w:color w:val="000000"/>
      <w:kern w:val="0"/>
      <w:sz w:val="24"/>
      <w:szCs w:val="24"/>
    </w:rPr>
  </w:style>
  <w:style w:type="table" w:styleId="ListTable3-Accent1">
    <w:name w:val="List Table 3 Accent 1"/>
    <w:basedOn w:val="TableNormal"/>
    <w:uiPriority w:val="48"/>
    <w:rsid w:val="00C66386"/>
    <w:pPr>
      <w:spacing w:after="0" w:line="240" w:lineRule="auto"/>
    </w:pPr>
    <w:tblPr>
      <w:tblStyleRowBandSize w:val="1"/>
      <w:tblStyleColBandSize w:val="1"/>
      <w:tblBorders>
        <w:top w:val="single" w:sz="4" w:space="0" w:color="013C4C" w:themeColor="accent1"/>
        <w:left w:val="single" w:sz="4" w:space="0" w:color="013C4C" w:themeColor="accent1"/>
        <w:bottom w:val="single" w:sz="4" w:space="0" w:color="013C4C" w:themeColor="accent1"/>
        <w:right w:val="single" w:sz="4" w:space="0" w:color="013C4C" w:themeColor="accent1"/>
      </w:tblBorders>
    </w:tblPr>
    <w:tblStylePr w:type="firstRow">
      <w:rPr>
        <w:b/>
        <w:bCs/>
        <w:color w:val="FAFAFA" w:themeColor="background1"/>
      </w:rPr>
      <w:tblPr/>
      <w:tcPr>
        <w:shd w:val="clear" w:color="auto" w:fill="013C4C" w:themeFill="accent1"/>
      </w:tcPr>
    </w:tblStylePr>
    <w:tblStylePr w:type="lastRow">
      <w:rPr>
        <w:b/>
        <w:bCs/>
      </w:rPr>
      <w:tblPr/>
      <w:tcPr>
        <w:tcBorders>
          <w:top w:val="double" w:sz="4" w:space="0" w:color="013C4C" w:themeColor="accen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accent1"/>
          <w:right w:val="single" w:sz="4" w:space="0" w:color="013C4C" w:themeColor="accent1"/>
        </w:tcBorders>
      </w:tcPr>
    </w:tblStylePr>
    <w:tblStylePr w:type="band1Horz">
      <w:tblPr/>
      <w:tcPr>
        <w:tcBorders>
          <w:top w:val="single" w:sz="4" w:space="0" w:color="013C4C" w:themeColor="accent1"/>
          <w:bottom w:val="single" w:sz="4" w:space="0" w:color="013C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accent1"/>
          <w:left w:val="nil"/>
        </w:tcBorders>
      </w:tcPr>
    </w:tblStylePr>
    <w:tblStylePr w:type="swCell">
      <w:tblPr/>
      <w:tcPr>
        <w:tcBorders>
          <w:top w:val="double" w:sz="4" w:space="0" w:color="013C4C" w:themeColor="accent1"/>
          <w:right w:val="nil"/>
        </w:tcBorders>
      </w:tcPr>
    </w:tblStylePr>
  </w:style>
  <w:style w:type="table" w:styleId="PlainTable2">
    <w:name w:val="Plain Table 2"/>
    <w:basedOn w:val="TableNormal"/>
    <w:uiPriority w:val="42"/>
    <w:rsid w:val="004C4E1C"/>
    <w:pPr>
      <w:spacing w:after="0" w:line="240" w:lineRule="auto"/>
    </w:pPr>
    <w:tblPr>
      <w:tblStyleRowBandSize w:val="1"/>
      <w:tblStyleColBandSize w:val="1"/>
      <w:tblBorders>
        <w:top w:val="single" w:sz="4" w:space="0" w:color="28CEFC" w:themeColor="text1" w:themeTint="80"/>
        <w:bottom w:val="single" w:sz="4" w:space="0" w:color="28CEFC" w:themeColor="text1" w:themeTint="80"/>
      </w:tblBorders>
    </w:tblPr>
    <w:tblStylePr w:type="firstRow">
      <w:rPr>
        <w:b/>
        <w:bCs/>
      </w:rPr>
      <w:tblPr/>
      <w:tcPr>
        <w:tcBorders>
          <w:bottom w:val="single" w:sz="4" w:space="0" w:color="28CEFC" w:themeColor="text1" w:themeTint="80"/>
        </w:tcBorders>
      </w:tcPr>
    </w:tblStylePr>
    <w:tblStylePr w:type="lastRow">
      <w:rPr>
        <w:b/>
        <w:bCs/>
      </w:rPr>
      <w:tblPr/>
      <w:tcPr>
        <w:tcBorders>
          <w:top w:val="single" w:sz="4" w:space="0" w:color="28CEFC" w:themeColor="text1" w:themeTint="80"/>
        </w:tcBorders>
      </w:tcPr>
    </w:tblStylePr>
    <w:tblStylePr w:type="firstCol">
      <w:rPr>
        <w:b/>
        <w:bCs/>
      </w:rPr>
    </w:tblStylePr>
    <w:tblStylePr w:type="lastCol">
      <w:rPr>
        <w:b/>
        <w:bCs/>
      </w:rPr>
    </w:tblStylePr>
    <w:tblStylePr w:type="band1Vert">
      <w:tblPr/>
      <w:tcPr>
        <w:tcBorders>
          <w:left w:val="single" w:sz="4" w:space="0" w:color="28CEFC" w:themeColor="text1" w:themeTint="80"/>
          <w:right w:val="single" w:sz="4" w:space="0" w:color="28CEFC" w:themeColor="text1" w:themeTint="80"/>
        </w:tcBorders>
      </w:tcPr>
    </w:tblStylePr>
    <w:tblStylePr w:type="band2Vert">
      <w:tblPr/>
      <w:tcPr>
        <w:tcBorders>
          <w:left w:val="single" w:sz="4" w:space="0" w:color="28CEFC" w:themeColor="text1" w:themeTint="80"/>
          <w:right w:val="single" w:sz="4" w:space="0" w:color="28CEFC" w:themeColor="text1" w:themeTint="80"/>
        </w:tcBorders>
      </w:tcPr>
    </w:tblStylePr>
    <w:tblStylePr w:type="band1Horz">
      <w:tblPr/>
      <w:tcPr>
        <w:tcBorders>
          <w:top w:val="single" w:sz="4" w:space="0" w:color="28CEFC" w:themeColor="text1" w:themeTint="80"/>
          <w:bottom w:val="single" w:sz="4" w:space="0" w:color="28CEFC" w:themeColor="text1" w:themeTint="80"/>
        </w:tcBorders>
      </w:tcPr>
    </w:tblStylePr>
  </w:style>
  <w:style w:type="table" w:styleId="GridTable5Dark-Accent3">
    <w:name w:val="Grid Table 5 Dark Accent 3"/>
    <w:basedOn w:val="TableNormal"/>
    <w:uiPriority w:val="50"/>
    <w:rsid w:val="004C4E1C"/>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BAEBFC" w:themeFill="accent3"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67296" w:themeFill="accent3"/>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67296" w:themeFill="accent3"/>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67296" w:themeFill="accent3"/>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67296" w:themeFill="accent3"/>
      </w:tcPr>
    </w:tblStylePr>
    <w:tblStylePr w:type="band1Vert">
      <w:tblPr/>
      <w:tcPr>
        <w:shd w:val="clear" w:color="auto" w:fill="76D8F9" w:themeFill="accent3" w:themeFillTint="66"/>
      </w:tcPr>
    </w:tblStylePr>
    <w:tblStylePr w:type="band1Horz">
      <w:tblPr/>
      <w:tcPr>
        <w:shd w:val="clear" w:color="auto" w:fill="76D8F9" w:themeFill="accent3" w:themeFillTint="66"/>
      </w:tcPr>
    </w:tblStylePr>
  </w:style>
  <w:style w:type="character" w:customStyle="1" w:styleId="ListParagraphChar">
    <w:name w:val="List Paragraph Char"/>
    <w:aliases w:val="Without Spacing Char,PECI Bullets (Content) Char,Number Bullets Char,First Level Outline Char,Ha Char,MCHIP_list paragraph Char,List Paragraph1 Char,Recommendation Char,List bullets Char,Bullet Styles para Char,Primus H 3 Char"/>
    <w:basedOn w:val="DefaultParagraphFont"/>
    <w:link w:val="ListParagraph"/>
    <w:uiPriority w:val="34"/>
    <w:qFormat/>
    <w:rsid w:val="008C69C0"/>
    <w:rPr>
      <w:rFonts w:ascii="PP Mori" w:hAnsi="PP Mori"/>
      <w:sz w:val="18"/>
    </w:rPr>
  </w:style>
  <w:style w:type="table" w:styleId="PlainTable1">
    <w:name w:val="Plain Table 1"/>
    <w:basedOn w:val="TableNormal"/>
    <w:uiPriority w:val="41"/>
    <w:rsid w:val="008F21D4"/>
    <w:pPr>
      <w:spacing w:after="0" w:line="240" w:lineRule="auto"/>
    </w:pPr>
    <w:tblPr>
      <w:tblStyleRowBandSize w:val="1"/>
      <w:tblStyleColBandSize w:val="1"/>
      <w:tblBorders>
        <w:top w:val="single" w:sz="4" w:space="0" w:color="BBBBBB" w:themeColor="background1" w:themeShade="BF"/>
        <w:left w:val="single" w:sz="4" w:space="0" w:color="BBBBBB" w:themeColor="background1" w:themeShade="BF"/>
        <w:bottom w:val="single" w:sz="4" w:space="0" w:color="BBBBBB" w:themeColor="background1" w:themeShade="BF"/>
        <w:right w:val="single" w:sz="4" w:space="0" w:color="BBBBBB" w:themeColor="background1" w:themeShade="BF"/>
        <w:insideH w:val="single" w:sz="4" w:space="0" w:color="BBBBBB" w:themeColor="background1" w:themeShade="BF"/>
        <w:insideV w:val="single" w:sz="4" w:space="0" w:color="BBBBBB" w:themeColor="background1" w:themeShade="BF"/>
      </w:tblBorders>
    </w:tblPr>
    <w:tblStylePr w:type="firstRow">
      <w:rPr>
        <w:b/>
        <w:bCs/>
      </w:rPr>
    </w:tblStylePr>
    <w:tblStylePr w:type="lastRow">
      <w:rPr>
        <w:b/>
        <w:bCs/>
      </w:rPr>
      <w:tblPr/>
      <w:tcPr>
        <w:tcBorders>
          <w:top w:val="double" w:sz="4" w:space="0" w:color="BBBBBB" w:themeColor="background1" w:themeShade="BF"/>
        </w:tcBorders>
      </w:tcPr>
    </w:tblStylePr>
    <w:tblStylePr w:type="firstCol">
      <w:rPr>
        <w:b/>
        <w:bCs/>
      </w:rPr>
    </w:tblStylePr>
    <w:tblStylePr w:type="lastCol">
      <w:rPr>
        <w:b/>
        <w:bCs/>
      </w:rPr>
    </w:tblStylePr>
    <w:tblStylePr w:type="band1Vert">
      <w:tblPr/>
      <w:tcPr>
        <w:shd w:val="clear" w:color="auto" w:fill="EDEDED" w:themeFill="background1" w:themeFillShade="F2"/>
      </w:tcPr>
    </w:tblStylePr>
    <w:tblStylePr w:type="band1Horz">
      <w:tblPr/>
      <w:tcPr>
        <w:shd w:val="clear" w:color="auto" w:fill="EDEDED" w:themeFill="background1" w:themeFillShade="F2"/>
      </w:tcPr>
    </w:tblStylePr>
  </w:style>
  <w:style w:type="table" w:styleId="ListTable3">
    <w:name w:val="List Table 3"/>
    <w:basedOn w:val="TableNormal"/>
    <w:uiPriority w:val="48"/>
    <w:rsid w:val="006C5AC0"/>
    <w:pPr>
      <w:spacing w:after="0" w:line="240" w:lineRule="auto"/>
    </w:pPr>
    <w:tblPr>
      <w:tblStyleRowBandSize w:val="1"/>
      <w:tblStyleColBandSize w:val="1"/>
      <w:tblBorders>
        <w:top w:val="single" w:sz="4" w:space="0" w:color="013C4C" w:themeColor="text1"/>
        <w:left w:val="single" w:sz="4" w:space="0" w:color="013C4C" w:themeColor="text1"/>
        <w:bottom w:val="single" w:sz="4" w:space="0" w:color="013C4C" w:themeColor="text1"/>
        <w:right w:val="single" w:sz="4" w:space="0" w:color="013C4C" w:themeColor="text1"/>
      </w:tblBorders>
    </w:tblPr>
    <w:tblStylePr w:type="firstRow">
      <w:rPr>
        <w:b/>
        <w:bCs/>
        <w:color w:val="FAFAFA" w:themeColor="background1"/>
      </w:rPr>
      <w:tblPr/>
      <w:tcPr>
        <w:shd w:val="clear" w:color="auto" w:fill="013C4C" w:themeFill="text1"/>
      </w:tcPr>
    </w:tblStylePr>
    <w:tblStylePr w:type="lastRow">
      <w:rPr>
        <w:b/>
        <w:bCs/>
      </w:rPr>
      <w:tblPr/>
      <w:tcPr>
        <w:tcBorders>
          <w:top w:val="double" w:sz="4" w:space="0" w:color="013C4C" w:themeColor="tex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text1"/>
          <w:right w:val="single" w:sz="4" w:space="0" w:color="013C4C" w:themeColor="text1"/>
        </w:tcBorders>
      </w:tcPr>
    </w:tblStylePr>
    <w:tblStylePr w:type="band1Horz">
      <w:tblPr/>
      <w:tcPr>
        <w:tcBorders>
          <w:top w:val="single" w:sz="4" w:space="0" w:color="013C4C" w:themeColor="text1"/>
          <w:bottom w:val="single" w:sz="4" w:space="0" w:color="013C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text1"/>
          <w:left w:val="nil"/>
        </w:tcBorders>
      </w:tcPr>
    </w:tblStylePr>
    <w:tblStylePr w:type="swCell">
      <w:tblPr/>
      <w:tcPr>
        <w:tcBorders>
          <w:top w:val="double" w:sz="4" w:space="0" w:color="013C4C" w:themeColor="text1"/>
          <w:right w:val="nil"/>
        </w:tcBorders>
      </w:tcPr>
    </w:tblStylePr>
  </w:style>
  <w:style w:type="paragraph" w:customStyle="1" w:styleId="Heading4no">
    <w:name w:val="Heading 4 (no #)"/>
    <w:basedOn w:val="Heading4"/>
    <w:qFormat/>
    <w:rsid w:val="000C5211"/>
    <w:pPr>
      <w:numPr>
        <w:ilvl w:val="0"/>
        <w:numId w:val="0"/>
      </w:numPr>
      <w:ind w:left="864" w:hanging="297"/>
    </w:pPr>
    <w:rPr>
      <w:i w:val="0"/>
      <w:iCs w:val="0"/>
    </w:rPr>
  </w:style>
  <w:style w:type="character" w:customStyle="1" w:styleId="wacimagecontainer">
    <w:name w:val="wacimagecontainer"/>
    <w:basedOn w:val="DefaultParagraphFont"/>
    <w:rsid w:val="00107FDD"/>
  </w:style>
  <w:style w:type="table" w:customStyle="1" w:styleId="TableGrid1">
    <w:name w:val="Table Grid1"/>
    <w:basedOn w:val="TableNormal"/>
    <w:next w:val="TableGrid"/>
    <w:uiPriority w:val="39"/>
    <w:rsid w:val="00CD1F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11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14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66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E58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E49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02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F36A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ED5C8E"/>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A9EBFE" w:themeFill="text1"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13C4C" w:themeFill="text1"/>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13C4C" w:themeFill="text1"/>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13C4C" w:themeFill="text1"/>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13C4C" w:themeFill="text1"/>
      </w:tcPr>
    </w:tblStylePr>
    <w:tblStylePr w:type="band1Vert">
      <w:tblPr/>
      <w:tcPr>
        <w:shd w:val="clear" w:color="auto" w:fill="53D8FC" w:themeFill="text1" w:themeFillTint="66"/>
      </w:tcPr>
    </w:tblStylePr>
    <w:tblStylePr w:type="band1Horz">
      <w:tblPr/>
      <w:tcPr>
        <w:shd w:val="clear" w:color="auto" w:fill="53D8FC" w:themeFill="text1" w:themeFillTint="66"/>
      </w:tcPr>
    </w:tblStylePr>
  </w:style>
  <w:style w:type="table" w:styleId="ListTable3-Accent3">
    <w:name w:val="List Table 3 Accent 3"/>
    <w:basedOn w:val="TableNormal"/>
    <w:uiPriority w:val="48"/>
    <w:rsid w:val="00A904CD"/>
    <w:pPr>
      <w:spacing w:after="0" w:line="240" w:lineRule="auto"/>
    </w:pPr>
    <w:rPr>
      <w:kern w:val="0"/>
      <w14:ligatures w14:val="none"/>
    </w:rPr>
    <w:tblPr>
      <w:tblStyleRowBandSize w:val="1"/>
      <w:tblStyleColBandSize w:val="1"/>
      <w:tblBorders>
        <w:top w:val="single" w:sz="4" w:space="0" w:color="067296" w:themeColor="accent3"/>
        <w:left w:val="single" w:sz="4" w:space="0" w:color="067296" w:themeColor="accent3"/>
        <w:bottom w:val="single" w:sz="4" w:space="0" w:color="067296" w:themeColor="accent3"/>
        <w:right w:val="single" w:sz="4" w:space="0" w:color="067296" w:themeColor="accent3"/>
      </w:tblBorders>
    </w:tblPr>
    <w:tblStylePr w:type="firstRow">
      <w:rPr>
        <w:b/>
        <w:bCs/>
        <w:color w:val="FAFAFA" w:themeColor="background1"/>
      </w:rPr>
      <w:tblPr/>
      <w:tcPr>
        <w:shd w:val="clear" w:color="auto" w:fill="067296" w:themeFill="accent3"/>
      </w:tcPr>
    </w:tblStylePr>
    <w:tblStylePr w:type="lastRow">
      <w:rPr>
        <w:b/>
        <w:bCs/>
      </w:rPr>
      <w:tblPr/>
      <w:tcPr>
        <w:tcBorders>
          <w:top w:val="double" w:sz="4" w:space="0" w:color="067296" w:themeColor="accent3"/>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67296" w:themeColor="accent3"/>
          <w:right w:val="single" w:sz="4" w:space="0" w:color="067296" w:themeColor="accent3"/>
        </w:tcBorders>
      </w:tcPr>
    </w:tblStylePr>
    <w:tblStylePr w:type="band1Horz">
      <w:tblPr/>
      <w:tcPr>
        <w:tcBorders>
          <w:top w:val="single" w:sz="4" w:space="0" w:color="067296" w:themeColor="accent3"/>
          <w:bottom w:val="single" w:sz="4" w:space="0" w:color="0672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7296" w:themeColor="accent3"/>
          <w:left w:val="nil"/>
        </w:tcBorders>
      </w:tcPr>
    </w:tblStylePr>
    <w:tblStylePr w:type="swCell">
      <w:tblPr/>
      <w:tcPr>
        <w:tcBorders>
          <w:top w:val="double" w:sz="4" w:space="0" w:color="067296" w:themeColor="accent3"/>
          <w:right w:val="nil"/>
        </w:tcBorders>
      </w:tcPr>
    </w:tblStylePr>
  </w:style>
  <w:style w:type="paragraph" w:styleId="BodyText">
    <w:name w:val="Body Text"/>
    <w:basedOn w:val="Normal"/>
    <w:link w:val="BodyTextChar"/>
    <w:qFormat/>
    <w:rsid w:val="009360EB"/>
    <w:pPr>
      <w:spacing w:before="120" w:after="120" w:line="312" w:lineRule="auto"/>
    </w:pPr>
    <w:rPr>
      <w:rFonts w:asciiTheme="minorHAnsi" w:eastAsiaTheme="minorHAnsi" w:hAnsiTheme="minorHAnsi"/>
      <w:color w:val="013C4C" w:themeColor="text1"/>
      <w:kern w:val="0"/>
      <w:sz w:val="20"/>
      <w:szCs w:val="22"/>
      <w:lang w:eastAsia="en-US" w:bidi="ar-SA"/>
      <w14:ligatures w14:val="none"/>
    </w:rPr>
  </w:style>
  <w:style w:type="character" w:customStyle="1" w:styleId="BodyTextChar">
    <w:name w:val="Body Text Char"/>
    <w:basedOn w:val="DefaultParagraphFont"/>
    <w:link w:val="BodyText"/>
    <w:rsid w:val="009360EB"/>
    <w:rPr>
      <w:rFonts w:eastAsiaTheme="minorHAnsi"/>
      <w:color w:val="013C4C" w:themeColor="text1"/>
      <w:kern w:val="0"/>
      <w:sz w:val="20"/>
      <w:szCs w:val="22"/>
      <w:lang w:eastAsia="en-US" w:bidi="ar-SA"/>
      <w14:ligatures w14:val="none"/>
    </w:rPr>
  </w:style>
  <w:style w:type="character" w:styleId="IntenseEmphasis">
    <w:name w:val="Intense Emphasis"/>
    <w:basedOn w:val="DefaultParagraphFont"/>
    <w:uiPriority w:val="21"/>
    <w:qFormat/>
    <w:rsid w:val="00531977"/>
    <w:rPr>
      <w:i/>
      <w:iCs/>
      <w:color w:val="013C4C" w:themeColor="accent1"/>
    </w:rPr>
  </w:style>
  <w:style w:type="paragraph" w:styleId="TableofFigures">
    <w:name w:val="table of figures"/>
    <w:basedOn w:val="Normal"/>
    <w:next w:val="Normal"/>
    <w:uiPriority w:val="99"/>
    <w:unhideWhenUsed/>
    <w:rsid w:val="00583B37"/>
    <w:pPr>
      <w:spacing w:after="0"/>
    </w:pPr>
  </w:style>
  <w:style w:type="paragraph" w:customStyle="1" w:styleId="Heading10">
    <w:name w:val="Heading 1 (#)"/>
    <w:basedOn w:val="Heading1"/>
    <w:qFormat/>
    <w:rsid w:val="00F2176F"/>
    <w:pPr>
      <w:numPr>
        <w:numId w:val="0"/>
      </w:numPr>
      <w:spacing w:line="264" w:lineRule="auto"/>
      <w:ind w:left="2134" w:hanging="432"/>
    </w:pPr>
  </w:style>
  <w:style w:type="paragraph" w:customStyle="1" w:styleId="11Heading">
    <w:name w:val="1.1 Heading"/>
    <w:basedOn w:val="Heading2"/>
    <w:next w:val="Heading2"/>
    <w:qFormat/>
    <w:rsid w:val="00063465"/>
    <w:pPr>
      <w:numPr>
        <w:numId w:val="38"/>
      </w:numPr>
      <w:spacing w:line="264" w:lineRule="auto"/>
    </w:pPr>
    <w:rPr>
      <w:szCs w:val="28"/>
    </w:rPr>
  </w:style>
  <w:style w:type="table" w:customStyle="1" w:styleId="TableGrid11">
    <w:name w:val="Table Grid11"/>
    <w:basedOn w:val="TableNormal"/>
    <w:next w:val="TableGrid"/>
    <w:uiPriority w:val="39"/>
    <w:rsid w:val="0089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640">
      <w:bodyDiv w:val="1"/>
      <w:marLeft w:val="0"/>
      <w:marRight w:val="0"/>
      <w:marTop w:val="0"/>
      <w:marBottom w:val="0"/>
      <w:divBdr>
        <w:top w:val="none" w:sz="0" w:space="0" w:color="auto"/>
        <w:left w:val="none" w:sz="0" w:space="0" w:color="auto"/>
        <w:bottom w:val="none" w:sz="0" w:space="0" w:color="auto"/>
        <w:right w:val="none" w:sz="0" w:space="0" w:color="auto"/>
      </w:divBdr>
    </w:div>
    <w:div w:id="5257581">
      <w:bodyDiv w:val="1"/>
      <w:marLeft w:val="0"/>
      <w:marRight w:val="0"/>
      <w:marTop w:val="0"/>
      <w:marBottom w:val="0"/>
      <w:divBdr>
        <w:top w:val="none" w:sz="0" w:space="0" w:color="auto"/>
        <w:left w:val="none" w:sz="0" w:space="0" w:color="auto"/>
        <w:bottom w:val="none" w:sz="0" w:space="0" w:color="auto"/>
        <w:right w:val="none" w:sz="0" w:space="0" w:color="auto"/>
      </w:divBdr>
    </w:div>
    <w:div w:id="7874436">
      <w:bodyDiv w:val="1"/>
      <w:marLeft w:val="0"/>
      <w:marRight w:val="0"/>
      <w:marTop w:val="0"/>
      <w:marBottom w:val="0"/>
      <w:divBdr>
        <w:top w:val="none" w:sz="0" w:space="0" w:color="auto"/>
        <w:left w:val="none" w:sz="0" w:space="0" w:color="auto"/>
        <w:bottom w:val="none" w:sz="0" w:space="0" w:color="auto"/>
        <w:right w:val="none" w:sz="0" w:space="0" w:color="auto"/>
      </w:divBdr>
    </w:div>
    <w:div w:id="7946452">
      <w:bodyDiv w:val="1"/>
      <w:marLeft w:val="0"/>
      <w:marRight w:val="0"/>
      <w:marTop w:val="0"/>
      <w:marBottom w:val="0"/>
      <w:divBdr>
        <w:top w:val="none" w:sz="0" w:space="0" w:color="auto"/>
        <w:left w:val="none" w:sz="0" w:space="0" w:color="auto"/>
        <w:bottom w:val="none" w:sz="0" w:space="0" w:color="auto"/>
        <w:right w:val="none" w:sz="0" w:space="0" w:color="auto"/>
      </w:divBdr>
    </w:div>
    <w:div w:id="8143504">
      <w:bodyDiv w:val="1"/>
      <w:marLeft w:val="0"/>
      <w:marRight w:val="0"/>
      <w:marTop w:val="0"/>
      <w:marBottom w:val="0"/>
      <w:divBdr>
        <w:top w:val="none" w:sz="0" w:space="0" w:color="auto"/>
        <w:left w:val="none" w:sz="0" w:space="0" w:color="auto"/>
        <w:bottom w:val="none" w:sz="0" w:space="0" w:color="auto"/>
        <w:right w:val="none" w:sz="0" w:space="0" w:color="auto"/>
      </w:divBdr>
    </w:div>
    <w:div w:id="21592966">
      <w:bodyDiv w:val="1"/>
      <w:marLeft w:val="0"/>
      <w:marRight w:val="0"/>
      <w:marTop w:val="0"/>
      <w:marBottom w:val="0"/>
      <w:divBdr>
        <w:top w:val="none" w:sz="0" w:space="0" w:color="auto"/>
        <w:left w:val="none" w:sz="0" w:space="0" w:color="auto"/>
        <w:bottom w:val="none" w:sz="0" w:space="0" w:color="auto"/>
        <w:right w:val="none" w:sz="0" w:space="0" w:color="auto"/>
      </w:divBdr>
    </w:div>
    <w:div w:id="23412861">
      <w:bodyDiv w:val="1"/>
      <w:marLeft w:val="0"/>
      <w:marRight w:val="0"/>
      <w:marTop w:val="0"/>
      <w:marBottom w:val="0"/>
      <w:divBdr>
        <w:top w:val="none" w:sz="0" w:space="0" w:color="auto"/>
        <w:left w:val="none" w:sz="0" w:space="0" w:color="auto"/>
        <w:bottom w:val="none" w:sz="0" w:space="0" w:color="auto"/>
        <w:right w:val="none" w:sz="0" w:space="0" w:color="auto"/>
      </w:divBdr>
    </w:div>
    <w:div w:id="29308846">
      <w:bodyDiv w:val="1"/>
      <w:marLeft w:val="0"/>
      <w:marRight w:val="0"/>
      <w:marTop w:val="0"/>
      <w:marBottom w:val="0"/>
      <w:divBdr>
        <w:top w:val="none" w:sz="0" w:space="0" w:color="auto"/>
        <w:left w:val="none" w:sz="0" w:space="0" w:color="auto"/>
        <w:bottom w:val="none" w:sz="0" w:space="0" w:color="auto"/>
        <w:right w:val="none" w:sz="0" w:space="0" w:color="auto"/>
      </w:divBdr>
    </w:div>
    <w:div w:id="36784613">
      <w:bodyDiv w:val="1"/>
      <w:marLeft w:val="0"/>
      <w:marRight w:val="0"/>
      <w:marTop w:val="0"/>
      <w:marBottom w:val="0"/>
      <w:divBdr>
        <w:top w:val="none" w:sz="0" w:space="0" w:color="auto"/>
        <w:left w:val="none" w:sz="0" w:space="0" w:color="auto"/>
        <w:bottom w:val="none" w:sz="0" w:space="0" w:color="auto"/>
        <w:right w:val="none" w:sz="0" w:space="0" w:color="auto"/>
      </w:divBdr>
    </w:div>
    <w:div w:id="37167313">
      <w:bodyDiv w:val="1"/>
      <w:marLeft w:val="0"/>
      <w:marRight w:val="0"/>
      <w:marTop w:val="0"/>
      <w:marBottom w:val="0"/>
      <w:divBdr>
        <w:top w:val="none" w:sz="0" w:space="0" w:color="auto"/>
        <w:left w:val="none" w:sz="0" w:space="0" w:color="auto"/>
        <w:bottom w:val="none" w:sz="0" w:space="0" w:color="auto"/>
        <w:right w:val="none" w:sz="0" w:space="0" w:color="auto"/>
      </w:divBdr>
    </w:div>
    <w:div w:id="39208523">
      <w:bodyDiv w:val="1"/>
      <w:marLeft w:val="0"/>
      <w:marRight w:val="0"/>
      <w:marTop w:val="0"/>
      <w:marBottom w:val="0"/>
      <w:divBdr>
        <w:top w:val="none" w:sz="0" w:space="0" w:color="auto"/>
        <w:left w:val="none" w:sz="0" w:space="0" w:color="auto"/>
        <w:bottom w:val="none" w:sz="0" w:space="0" w:color="auto"/>
        <w:right w:val="none" w:sz="0" w:space="0" w:color="auto"/>
      </w:divBdr>
    </w:div>
    <w:div w:id="42337188">
      <w:bodyDiv w:val="1"/>
      <w:marLeft w:val="0"/>
      <w:marRight w:val="0"/>
      <w:marTop w:val="0"/>
      <w:marBottom w:val="0"/>
      <w:divBdr>
        <w:top w:val="none" w:sz="0" w:space="0" w:color="auto"/>
        <w:left w:val="none" w:sz="0" w:space="0" w:color="auto"/>
        <w:bottom w:val="none" w:sz="0" w:space="0" w:color="auto"/>
        <w:right w:val="none" w:sz="0" w:space="0" w:color="auto"/>
      </w:divBdr>
    </w:div>
    <w:div w:id="43258239">
      <w:bodyDiv w:val="1"/>
      <w:marLeft w:val="0"/>
      <w:marRight w:val="0"/>
      <w:marTop w:val="0"/>
      <w:marBottom w:val="0"/>
      <w:divBdr>
        <w:top w:val="none" w:sz="0" w:space="0" w:color="auto"/>
        <w:left w:val="none" w:sz="0" w:space="0" w:color="auto"/>
        <w:bottom w:val="none" w:sz="0" w:space="0" w:color="auto"/>
        <w:right w:val="none" w:sz="0" w:space="0" w:color="auto"/>
      </w:divBdr>
    </w:div>
    <w:div w:id="51387350">
      <w:bodyDiv w:val="1"/>
      <w:marLeft w:val="0"/>
      <w:marRight w:val="0"/>
      <w:marTop w:val="0"/>
      <w:marBottom w:val="0"/>
      <w:divBdr>
        <w:top w:val="none" w:sz="0" w:space="0" w:color="auto"/>
        <w:left w:val="none" w:sz="0" w:space="0" w:color="auto"/>
        <w:bottom w:val="none" w:sz="0" w:space="0" w:color="auto"/>
        <w:right w:val="none" w:sz="0" w:space="0" w:color="auto"/>
      </w:divBdr>
    </w:div>
    <w:div w:id="52781037">
      <w:bodyDiv w:val="1"/>
      <w:marLeft w:val="0"/>
      <w:marRight w:val="0"/>
      <w:marTop w:val="0"/>
      <w:marBottom w:val="0"/>
      <w:divBdr>
        <w:top w:val="none" w:sz="0" w:space="0" w:color="auto"/>
        <w:left w:val="none" w:sz="0" w:space="0" w:color="auto"/>
        <w:bottom w:val="none" w:sz="0" w:space="0" w:color="auto"/>
        <w:right w:val="none" w:sz="0" w:space="0" w:color="auto"/>
      </w:divBdr>
    </w:div>
    <w:div w:id="53356943">
      <w:bodyDiv w:val="1"/>
      <w:marLeft w:val="0"/>
      <w:marRight w:val="0"/>
      <w:marTop w:val="0"/>
      <w:marBottom w:val="0"/>
      <w:divBdr>
        <w:top w:val="none" w:sz="0" w:space="0" w:color="auto"/>
        <w:left w:val="none" w:sz="0" w:space="0" w:color="auto"/>
        <w:bottom w:val="none" w:sz="0" w:space="0" w:color="auto"/>
        <w:right w:val="none" w:sz="0" w:space="0" w:color="auto"/>
      </w:divBdr>
    </w:div>
    <w:div w:id="60954237">
      <w:bodyDiv w:val="1"/>
      <w:marLeft w:val="0"/>
      <w:marRight w:val="0"/>
      <w:marTop w:val="0"/>
      <w:marBottom w:val="0"/>
      <w:divBdr>
        <w:top w:val="none" w:sz="0" w:space="0" w:color="auto"/>
        <w:left w:val="none" w:sz="0" w:space="0" w:color="auto"/>
        <w:bottom w:val="none" w:sz="0" w:space="0" w:color="auto"/>
        <w:right w:val="none" w:sz="0" w:space="0" w:color="auto"/>
      </w:divBdr>
    </w:div>
    <w:div w:id="61607295">
      <w:bodyDiv w:val="1"/>
      <w:marLeft w:val="0"/>
      <w:marRight w:val="0"/>
      <w:marTop w:val="0"/>
      <w:marBottom w:val="0"/>
      <w:divBdr>
        <w:top w:val="none" w:sz="0" w:space="0" w:color="auto"/>
        <w:left w:val="none" w:sz="0" w:space="0" w:color="auto"/>
        <w:bottom w:val="none" w:sz="0" w:space="0" w:color="auto"/>
        <w:right w:val="none" w:sz="0" w:space="0" w:color="auto"/>
      </w:divBdr>
    </w:div>
    <w:div w:id="62291629">
      <w:bodyDiv w:val="1"/>
      <w:marLeft w:val="0"/>
      <w:marRight w:val="0"/>
      <w:marTop w:val="0"/>
      <w:marBottom w:val="0"/>
      <w:divBdr>
        <w:top w:val="none" w:sz="0" w:space="0" w:color="auto"/>
        <w:left w:val="none" w:sz="0" w:space="0" w:color="auto"/>
        <w:bottom w:val="none" w:sz="0" w:space="0" w:color="auto"/>
        <w:right w:val="none" w:sz="0" w:space="0" w:color="auto"/>
      </w:divBdr>
    </w:div>
    <w:div w:id="73359975">
      <w:bodyDiv w:val="1"/>
      <w:marLeft w:val="0"/>
      <w:marRight w:val="0"/>
      <w:marTop w:val="0"/>
      <w:marBottom w:val="0"/>
      <w:divBdr>
        <w:top w:val="none" w:sz="0" w:space="0" w:color="auto"/>
        <w:left w:val="none" w:sz="0" w:space="0" w:color="auto"/>
        <w:bottom w:val="none" w:sz="0" w:space="0" w:color="auto"/>
        <w:right w:val="none" w:sz="0" w:space="0" w:color="auto"/>
      </w:divBdr>
    </w:div>
    <w:div w:id="81461282">
      <w:bodyDiv w:val="1"/>
      <w:marLeft w:val="0"/>
      <w:marRight w:val="0"/>
      <w:marTop w:val="0"/>
      <w:marBottom w:val="0"/>
      <w:divBdr>
        <w:top w:val="none" w:sz="0" w:space="0" w:color="auto"/>
        <w:left w:val="none" w:sz="0" w:space="0" w:color="auto"/>
        <w:bottom w:val="none" w:sz="0" w:space="0" w:color="auto"/>
        <w:right w:val="none" w:sz="0" w:space="0" w:color="auto"/>
      </w:divBdr>
    </w:div>
    <w:div w:id="83307672">
      <w:bodyDiv w:val="1"/>
      <w:marLeft w:val="0"/>
      <w:marRight w:val="0"/>
      <w:marTop w:val="0"/>
      <w:marBottom w:val="0"/>
      <w:divBdr>
        <w:top w:val="none" w:sz="0" w:space="0" w:color="auto"/>
        <w:left w:val="none" w:sz="0" w:space="0" w:color="auto"/>
        <w:bottom w:val="none" w:sz="0" w:space="0" w:color="auto"/>
        <w:right w:val="none" w:sz="0" w:space="0" w:color="auto"/>
      </w:divBdr>
    </w:div>
    <w:div w:id="91316657">
      <w:bodyDiv w:val="1"/>
      <w:marLeft w:val="0"/>
      <w:marRight w:val="0"/>
      <w:marTop w:val="0"/>
      <w:marBottom w:val="0"/>
      <w:divBdr>
        <w:top w:val="none" w:sz="0" w:space="0" w:color="auto"/>
        <w:left w:val="none" w:sz="0" w:space="0" w:color="auto"/>
        <w:bottom w:val="none" w:sz="0" w:space="0" w:color="auto"/>
        <w:right w:val="none" w:sz="0" w:space="0" w:color="auto"/>
      </w:divBdr>
    </w:div>
    <w:div w:id="94061077">
      <w:bodyDiv w:val="1"/>
      <w:marLeft w:val="0"/>
      <w:marRight w:val="0"/>
      <w:marTop w:val="0"/>
      <w:marBottom w:val="0"/>
      <w:divBdr>
        <w:top w:val="none" w:sz="0" w:space="0" w:color="auto"/>
        <w:left w:val="none" w:sz="0" w:space="0" w:color="auto"/>
        <w:bottom w:val="none" w:sz="0" w:space="0" w:color="auto"/>
        <w:right w:val="none" w:sz="0" w:space="0" w:color="auto"/>
      </w:divBdr>
    </w:div>
    <w:div w:id="96491237">
      <w:bodyDiv w:val="1"/>
      <w:marLeft w:val="0"/>
      <w:marRight w:val="0"/>
      <w:marTop w:val="0"/>
      <w:marBottom w:val="0"/>
      <w:divBdr>
        <w:top w:val="none" w:sz="0" w:space="0" w:color="auto"/>
        <w:left w:val="none" w:sz="0" w:space="0" w:color="auto"/>
        <w:bottom w:val="none" w:sz="0" w:space="0" w:color="auto"/>
        <w:right w:val="none" w:sz="0" w:space="0" w:color="auto"/>
      </w:divBdr>
    </w:div>
    <w:div w:id="96993519">
      <w:bodyDiv w:val="1"/>
      <w:marLeft w:val="0"/>
      <w:marRight w:val="0"/>
      <w:marTop w:val="0"/>
      <w:marBottom w:val="0"/>
      <w:divBdr>
        <w:top w:val="none" w:sz="0" w:space="0" w:color="auto"/>
        <w:left w:val="none" w:sz="0" w:space="0" w:color="auto"/>
        <w:bottom w:val="none" w:sz="0" w:space="0" w:color="auto"/>
        <w:right w:val="none" w:sz="0" w:space="0" w:color="auto"/>
      </w:divBdr>
    </w:div>
    <w:div w:id="99877882">
      <w:bodyDiv w:val="1"/>
      <w:marLeft w:val="0"/>
      <w:marRight w:val="0"/>
      <w:marTop w:val="0"/>
      <w:marBottom w:val="0"/>
      <w:divBdr>
        <w:top w:val="none" w:sz="0" w:space="0" w:color="auto"/>
        <w:left w:val="none" w:sz="0" w:space="0" w:color="auto"/>
        <w:bottom w:val="none" w:sz="0" w:space="0" w:color="auto"/>
        <w:right w:val="none" w:sz="0" w:space="0" w:color="auto"/>
      </w:divBdr>
    </w:div>
    <w:div w:id="102727042">
      <w:bodyDiv w:val="1"/>
      <w:marLeft w:val="0"/>
      <w:marRight w:val="0"/>
      <w:marTop w:val="0"/>
      <w:marBottom w:val="0"/>
      <w:divBdr>
        <w:top w:val="none" w:sz="0" w:space="0" w:color="auto"/>
        <w:left w:val="none" w:sz="0" w:space="0" w:color="auto"/>
        <w:bottom w:val="none" w:sz="0" w:space="0" w:color="auto"/>
        <w:right w:val="none" w:sz="0" w:space="0" w:color="auto"/>
      </w:divBdr>
    </w:div>
    <w:div w:id="103237096">
      <w:bodyDiv w:val="1"/>
      <w:marLeft w:val="0"/>
      <w:marRight w:val="0"/>
      <w:marTop w:val="0"/>
      <w:marBottom w:val="0"/>
      <w:divBdr>
        <w:top w:val="none" w:sz="0" w:space="0" w:color="auto"/>
        <w:left w:val="none" w:sz="0" w:space="0" w:color="auto"/>
        <w:bottom w:val="none" w:sz="0" w:space="0" w:color="auto"/>
        <w:right w:val="none" w:sz="0" w:space="0" w:color="auto"/>
      </w:divBdr>
    </w:div>
    <w:div w:id="112674695">
      <w:bodyDiv w:val="1"/>
      <w:marLeft w:val="0"/>
      <w:marRight w:val="0"/>
      <w:marTop w:val="0"/>
      <w:marBottom w:val="0"/>
      <w:divBdr>
        <w:top w:val="none" w:sz="0" w:space="0" w:color="auto"/>
        <w:left w:val="none" w:sz="0" w:space="0" w:color="auto"/>
        <w:bottom w:val="none" w:sz="0" w:space="0" w:color="auto"/>
        <w:right w:val="none" w:sz="0" w:space="0" w:color="auto"/>
      </w:divBdr>
    </w:div>
    <w:div w:id="113990518">
      <w:bodyDiv w:val="1"/>
      <w:marLeft w:val="0"/>
      <w:marRight w:val="0"/>
      <w:marTop w:val="0"/>
      <w:marBottom w:val="0"/>
      <w:divBdr>
        <w:top w:val="none" w:sz="0" w:space="0" w:color="auto"/>
        <w:left w:val="none" w:sz="0" w:space="0" w:color="auto"/>
        <w:bottom w:val="none" w:sz="0" w:space="0" w:color="auto"/>
        <w:right w:val="none" w:sz="0" w:space="0" w:color="auto"/>
      </w:divBdr>
    </w:div>
    <w:div w:id="119537840">
      <w:bodyDiv w:val="1"/>
      <w:marLeft w:val="0"/>
      <w:marRight w:val="0"/>
      <w:marTop w:val="0"/>
      <w:marBottom w:val="0"/>
      <w:divBdr>
        <w:top w:val="none" w:sz="0" w:space="0" w:color="auto"/>
        <w:left w:val="none" w:sz="0" w:space="0" w:color="auto"/>
        <w:bottom w:val="none" w:sz="0" w:space="0" w:color="auto"/>
        <w:right w:val="none" w:sz="0" w:space="0" w:color="auto"/>
      </w:divBdr>
    </w:div>
    <w:div w:id="121847081">
      <w:bodyDiv w:val="1"/>
      <w:marLeft w:val="0"/>
      <w:marRight w:val="0"/>
      <w:marTop w:val="0"/>
      <w:marBottom w:val="0"/>
      <w:divBdr>
        <w:top w:val="none" w:sz="0" w:space="0" w:color="auto"/>
        <w:left w:val="none" w:sz="0" w:space="0" w:color="auto"/>
        <w:bottom w:val="none" w:sz="0" w:space="0" w:color="auto"/>
        <w:right w:val="none" w:sz="0" w:space="0" w:color="auto"/>
      </w:divBdr>
    </w:div>
    <w:div w:id="125239561">
      <w:bodyDiv w:val="1"/>
      <w:marLeft w:val="0"/>
      <w:marRight w:val="0"/>
      <w:marTop w:val="0"/>
      <w:marBottom w:val="0"/>
      <w:divBdr>
        <w:top w:val="none" w:sz="0" w:space="0" w:color="auto"/>
        <w:left w:val="none" w:sz="0" w:space="0" w:color="auto"/>
        <w:bottom w:val="none" w:sz="0" w:space="0" w:color="auto"/>
        <w:right w:val="none" w:sz="0" w:space="0" w:color="auto"/>
      </w:divBdr>
    </w:div>
    <w:div w:id="128789823">
      <w:bodyDiv w:val="1"/>
      <w:marLeft w:val="0"/>
      <w:marRight w:val="0"/>
      <w:marTop w:val="0"/>
      <w:marBottom w:val="0"/>
      <w:divBdr>
        <w:top w:val="none" w:sz="0" w:space="0" w:color="auto"/>
        <w:left w:val="none" w:sz="0" w:space="0" w:color="auto"/>
        <w:bottom w:val="none" w:sz="0" w:space="0" w:color="auto"/>
        <w:right w:val="none" w:sz="0" w:space="0" w:color="auto"/>
      </w:divBdr>
    </w:div>
    <w:div w:id="133790108">
      <w:bodyDiv w:val="1"/>
      <w:marLeft w:val="0"/>
      <w:marRight w:val="0"/>
      <w:marTop w:val="0"/>
      <w:marBottom w:val="0"/>
      <w:divBdr>
        <w:top w:val="none" w:sz="0" w:space="0" w:color="auto"/>
        <w:left w:val="none" w:sz="0" w:space="0" w:color="auto"/>
        <w:bottom w:val="none" w:sz="0" w:space="0" w:color="auto"/>
        <w:right w:val="none" w:sz="0" w:space="0" w:color="auto"/>
      </w:divBdr>
    </w:div>
    <w:div w:id="140000539">
      <w:bodyDiv w:val="1"/>
      <w:marLeft w:val="0"/>
      <w:marRight w:val="0"/>
      <w:marTop w:val="0"/>
      <w:marBottom w:val="0"/>
      <w:divBdr>
        <w:top w:val="none" w:sz="0" w:space="0" w:color="auto"/>
        <w:left w:val="none" w:sz="0" w:space="0" w:color="auto"/>
        <w:bottom w:val="none" w:sz="0" w:space="0" w:color="auto"/>
        <w:right w:val="none" w:sz="0" w:space="0" w:color="auto"/>
      </w:divBdr>
    </w:div>
    <w:div w:id="140197392">
      <w:bodyDiv w:val="1"/>
      <w:marLeft w:val="0"/>
      <w:marRight w:val="0"/>
      <w:marTop w:val="0"/>
      <w:marBottom w:val="0"/>
      <w:divBdr>
        <w:top w:val="none" w:sz="0" w:space="0" w:color="auto"/>
        <w:left w:val="none" w:sz="0" w:space="0" w:color="auto"/>
        <w:bottom w:val="none" w:sz="0" w:space="0" w:color="auto"/>
        <w:right w:val="none" w:sz="0" w:space="0" w:color="auto"/>
      </w:divBdr>
    </w:div>
    <w:div w:id="142047499">
      <w:bodyDiv w:val="1"/>
      <w:marLeft w:val="0"/>
      <w:marRight w:val="0"/>
      <w:marTop w:val="0"/>
      <w:marBottom w:val="0"/>
      <w:divBdr>
        <w:top w:val="none" w:sz="0" w:space="0" w:color="auto"/>
        <w:left w:val="none" w:sz="0" w:space="0" w:color="auto"/>
        <w:bottom w:val="none" w:sz="0" w:space="0" w:color="auto"/>
        <w:right w:val="none" w:sz="0" w:space="0" w:color="auto"/>
      </w:divBdr>
    </w:div>
    <w:div w:id="143208035">
      <w:bodyDiv w:val="1"/>
      <w:marLeft w:val="0"/>
      <w:marRight w:val="0"/>
      <w:marTop w:val="0"/>
      <w:marBottom w:val="0"/>
      <w:divBdr>
        <w:top w:val="none" w:sz="0" w:space="0" w:color="auto"/>
        <w:left w:val="none" w:sz="0" w:space="0" w:color="auto"/>
        <w:bottom w:val="none" w:sz="0" w:space="0" w:color="auto"/>
        <w:right w:val="none" w:sz="0" w:space="0" w:color="auto"/>
      </w:divBdr>
    </w:div>
    <w:div w:id="144128385">
      <w:bodyDiv w:val="1"/>
      <w:marLeft w:val="0"/>
      <w:marRight w:val="0"/>
      <w:marTop w:val="0"/>
      <w:marBottom w:val="0"/>
      <w:divBdr>
        <w:top w:val="none" w:sz="0" w:space="0" w:color="auto"/>
        <w:left w:val="none" w:sz="0" w:space="0" w:color="auto"/>
        <w:bottom w:val="none" w:sz="0" w:space="0" w:color="auto"/>
        <w:right w:val="none" w:sz="0" w:space="0" w:color="auto"/>
      </w:divBdr>
    </w:div>
    <w:div w:id="146216729">
      <w:bodyDiv w:val="1"/>
      <w:marLeft w:val="0"/>
      <w:marRight w:val="0"/>
      <w:marTop w:val="0"/>
      <w:marBottom w:val="0"/>
      <w:divBdr>
        <w:top w:val="none" w:sz="0" w:space="0" w:color="auto"/>
        <w:left w:val="none" w:sz="0" w:space="0" w:color="auto"/>
        <w:bottom w:val="none" w:sz="0" w:space="0" w:color="auto"/>
        <w:right w:val="none" w:sz="0" w:space="0" w:color="auto"/>
      </w:divBdr>
    </w:div>
    <w:div w:id="150634407">
      <w:bodyDiv w:val="1"/>
      <w:marLeft w:val="0"/>
      <w:marRight w:val="0"/>
      <w:marTop w:val="0"/>
      <w:marBottom w:val="0"/>
      <w:divBdr>
        <w:top w:val="none" w:sz="0" w:space="0" w:color="auto"/>
        <w:left w:val="none" w:sz="0" w:space="0" w:color="auto"/>
        <w:bottom w:val="none" w:sz="0" w:space="0" w:color="auto"/>
        <w:right w:val="none" w:sz="0" w:space="0" w:color="auto"/>
      </w:divBdr>
    </w:div>
    <w:div w:id="155145937">
      <w:bodyDiv w:val="1"/>
      <w:marLeft w:val="0"/>
      <w:marRight w:val="0"/>
      <w:marTop w:val="0"/>
      <w:marBottom w:val="0"/>
      <w:divBdr>
        <w:top w:val="none" w:sz="0" w:space="0" w:color="auto"/>
        <w:left w:val="none" w:sz="0" w:space="0" w:color="auto"/>
        <w:bottom w:val="none" w:sz="0" w:space="0" w:color="auto"/>
        <w:right w:val="none" w:sz="0" w:space="0" w:color="auto"/>
      </w:divBdr>
    </w:div>
    <w:div w:id="155808957">
      <w:bodyDiv w:val="1"/>
      <w:marLeft w:val="0"/>
      <w:marRight w:val="0"/>
      <w:marTop w:val="0"/>
      <w:marBottom w:val="0"/>
      <w:divBdr>
        <w:top w:val="none" w:sz="0" w:space="0" w:color="auto"/>
        <w:left w:val="none" w:sz="0" w:space="0" w:color="auto"/>
        <w:bottom w:val="none" w:sz="0" w:space="0" w:color="auto"/>
        <w:right w:val="none" w:sz="0" w:space="0" w:color="auto"/>
      </w:divBdr>
    </w:div>
    <w:div w:id="163009063">
      <w:bodyDiv w:val="1"/>
      <w:marLeft w:val="0"/>
      <w:marRight w:val="0"/>
      <w:marTop w:val="0"/>
      <w:marBottom w:val="0"/>
      <w:divBdr>
        <w:top w:val="none" w:sz="0" w:space="0" w:color="auto"/>
        <w:left w:val="none" w:sz="0" w:space="0" w:color="auto"/>
        <w:bottom w:val="none" w:sz="0" w:space="0" w:color="auto"/>
        <w:right w:val="none" w:sz="0" w:space="0" w:color="auto"/>
      </w:divBdr>
    </w:div>
    <w:div w:id="164325111">
      <w:bodyDiv w:val="1"/>
      <w:marLeft w:val="0"/>
      <w:marRight w:val="0"/>
      <w:marTop w:val="0"/>
      <w:marBottom w:val="0"/>
      <w:divBdr>
        <w:top w:val="none" w:sz="0" w:space="0" w:color="auto"/>
        <w:left w:val="none" w:sz="0" w:space="0" w:color="auto"/>
        <w:bottom w:val="none" w:sz="0" w:space="0" w:color="auto"/>
        <w:right w:val="none" w:sz="0" w:space="0" w:color="auto"/>
      </w:divBdr>
    </w:div>
    <w:div w:id="167058457">
      <w:bodyDiv w:val="1"/>
      <w:marLeft w:val="0"/>
      <w:marRight w:val="0"/>
      <w:marTop w:val="0"/>
      <w:marBottom w:val="0"/>
      <w:divBdr>
        <w:top w:val="none" w:sz="0" w:space="0" w:color="auto"/>
        <w:left w:val="none" w:sz="0" w:space="0" w:color="auto"/>
        <w:bottom w:val="none" w:sz="0" w:space="0" w:color="auto"/>
        <w:right w:val="none" w:sz="0" w:space="0" w:color="auto"/>
      </w:divBdr>
    </w:div>
    <w:div w:id="168101097">
      <w:bodyDiv w:val="1"/>
      <w:marLeft w:val="0"/>
      <w:marRight w:val="0"/>
      <w:marTop w:val="0"/>
      <w:marBottom w:val="0"/>
      <w:divBdr>
        <w:top w:val="none" w:sz="0" w:space="0" w:color="auto"/>
        <w:left w:val="none" w:sz="0" w:space="0" w:color="auto"/>
        <w:bottom w:val="none" w:sz="0" w:space="0" w:color="auto"/>
        <w:right w:val="none" w:sz="0" w:space="0" w:color="auto"/>
      </w:divBdr>
    </w:div>
    <w:div w:id="168182023">
      <w:bodyDiv w:val="1"/>
      <w:marLeft w:val="0"/>
      <w:marRight w:val="0"/>
      <w:marTop w:val="0"/>
      <w:marBottom w:val="0"/>
      <w:divBdr>
        <w:top w:val="none" w:sz="0" w:space="0" w:color="auto"/>
        <w:left w:val="none" w:sz="0" w:space="0" w:color="auto"/>
        <w:bottom w:val="none" w:sz="0" w:space="0" w:color="auto"/>
        <w:right w:val="none" w:sz="0" w:space="0" w:color="auto"/>
      </w:divBdr>
    </w:div>
    <w:div w:id="170998669">
      <w:bodyDiv w:val="1"/>
      <w:marLeft w:val="0"/>
      <w:marRight w:val="0"/>
      <w:marTop w:val="0"/>
      <w:marBottom w:val="0"/>
      <w:divBdr>
        <w:top w:val="none" w:sz="0" w:space="0" w:color="auto"/>
        <w:left w:val="none" w:sz="0" w:space="0" w:color="auto"/>
        <w:bottom w:val="none" w:sz="0" w:space="0" w:color="auto"/>
        <w:right w:val="none" w:sz="0" w:space="0" w:color="auto"/>
      </w:divBdr>
    </w:div>
    <w:div w:id="177087693">
      <w:bodyDiv w:val="1"/>
      <w:marLeft w:val="0"/>
      <w:marRight w:val="0"/>
      <w:marTop w:val="0"/>
      <w:marBottom w:val="0"/>
      <w:divBdr>
        <w:top w:val="none" w:sz="0" w:space="0" w:color="auto"/>
        <w:left w:val="none" w:sz="0" w:space="0" w:color="auto"/>
        <w:bottom w:val="none" w:sz="0" w:space="0" w:color="auto"/>
        <w:right w:val="none" w:sz="0" w:space="0" w:color="auto"/>
      </w:divBdr>
    </w:div>
    <w:div w:id="183180384">
      <w:bodyDiv w:val="1"/>
      <w:marLeft w:val="0"/>
      <w:marRight w:val="0"/>
      <w:marTop w:val="0"/>
      <w:marBottom w:val="0"/>
      <w:divBdr>
        <w:top w:val="none" w:sz="0" w:space="0" w:color="auto"/>
        <w:left w:val="none" w:sz="0" w:space="0" w:color="auto"/>
        <w:bottom w:val="none" w:sz="0" w:space="0" w:color="auto"/>
        <w:right w:val="none" w:sz="0" w:space="0" w:color="auto"/>
      </w:divBdr>
    </w:div>
    <w:div w:id="183330062">
      <w:bodyDiv w:val="1"/>
      <w:marLeft w:val="0"/>
      <w:marRight w:val="0"/>
      <w:marTop w:val="0"/>
      <w:marBottom w:val="0"/>
      <w:divBdr>
        <w:top w:val="none" w:sz="0" w:space="0" w:color="auto"/>
        <w:left w:val="none" w:sz="0" w:space="0" w:color="auto"/>
        <w:bottom w:val="none" w:sz="0" w:space="0" w:color="auto"/>
        <w:right w:val="none" w:sz="0" w:space="0" w:color="auto"/>
      </w:divBdr>
    </w:div>
    <w:div w:id="185220243">
      <w:bodyDiv w:val="1"/>
      <w:marLeft w:val="0"/>
      <w:marRight w:val="0"/>
      <w:marTop w:val="0"/>
      <w:marBottom w:val="0"/>
      <w:divBdr>
        <w:top w:val="none" w:sz="0" w:space="0" w:color="auto"/>
        <w:left w:val="none" w:sz="0" w:space="0" w:color="auto"/>
        <w:bottom w:val="none" w:sz="0" w:space="0" w:color="auto"/>
        <w:right w:val="none" w:sz="0" w:space="0" w:color="auto"/>
      </w:divBdr>
    </w:div>
    <w:div w:id="188684451">
      <w:bodyDiv w:val="1"/>
      <w:marLeft w:val="0"/>
      <w:marRight w:val="0"/>
      <w:marTop w:val="0"/>
      <w:marBottom w:val="0"/>
      <w:divBdr>
        <w:top w:val="none" w:sz="0" w:space="0" w:color="auto"/>
        <w:left w:val="none" w:sz="0" w:space="0" w:color="auto"/>
        <w:bottom w:val="none" w:sz="0" w:space="0" w:color="auto"/>
        <w:right w:val="none" w:sz="0" w:space="0" w:color="auto"/>
      </w:divBdr>
    </w:div>
    <w:div w:id="195512097">
      <w:bodyDiv w:val="1"/>
      <w:marLeft w:val="0"/>
      <w:marRight w:val="0"/>
      <w:marTop w:val="0"/>
      <w:marBottom w:val="0"/>
      <w:divBdr>
        <w:top w:val="none" w:sz="0" w:space="0" w:color="auto"/>
        <w:left w:val="none" w:sz="0" w:space="0" w:color="auto"/>
        <w:bottom w:val="none" w:sz="0" w:space="0" w:color="auto"/>
        <w:right w:val="none" w:sz="0" w:space="0" w:color="auto"/>
      </w:divBdr>
    </w:div>
    <w:div w:id="201944023">
      <w:bodyDiv w:val="1"/>
      <w:marLeft w:val="0"/>
      <w:marRight w:val="0"/>
      <w:marTop w:val="0"/>
      <w:marBottom w:val="0"/>
      <w:divBdr>
        <w:top w:val="none" w:sz="0" w:space="0" w:color="auto"/>
        <w:left w:val="none" w:sz="0" w:space="0" w:color="auto"/>
        <w:bottom w:val="none" w:sz="0" w:space="0" w:color="auto"/>
        <w:right w:val="none" w:sz="0" w:space="0" w:color="auto"/>
      </w:divBdr>
    </w:div>
    <w:div w:id="208421612">
      <w:bodyDiv w:val="1"/>
      <w:marLeft w:val="0"/>
      <w:marRight w:val="0"/>
      <w:marTop w:val="0"/>
      <w:marBottom w:val="0"/>
      <w:divBdr>
        <w:top w:val="none" w:sz="0" w:space="0" w:color="auto"/>
        <w:left w:val="none" w:sz="0" w:space="0" w:color="auto"/>
        <w:bottom w:val="none" w:sz="0" w:space="0" w:color="auto"/>
        <w:right w:val="none" w:sz="0" w:space="0" w:color="auto"/>
      </w:divBdr>
    </w:div>
    <w:div w:id="209340263">
      <w:bodyDiv w:val="1"/>
      <w:marLeft w:val="0"/>
      <w:marRight w:val="0"/>
      <w:marTop w:val="0"/>
      <w:marBottom w:val="0"/>
      <w:divBdr>
        <w:top w:val="none" w:sz="0" w:space="0" w:color="auto"/>
        <w:left w:val="none" w:sz="0" w:space="0" w:color="auto"/>
        <w:bottom w:val="none" w:sz="0" w:space="0" w:color="auto"/>
        <w:right w:val="none" w:sz="0" w:space="0" w:color="auto"/>
      </w:divBdr>
    </w:div>
    <w:div w:id="221332272">
      <w:bodyDiv w:val="1"/>
      <w:marLeft w:val="0"/>
      <w:marRight w:val="0"/>
      <w:marTop w:val="0"/>
      <w:marBottom w:val="0"/>
      <w:divBdr>
        <w:top w:val="none" w:sz="0" w:space="0" w:color="auto"/>
        <w:left w:val="none" w:sz="0" w:space="0" w:color="auto"/>
        <w:bottom w:val="none" w:sz="0" w:space="0" w:color="auto"/>
        <w:right w:val="none" w:sz="0" w:space="0" w:color="auto"/>
      </w:divBdr>
    </w:div>
    <w:div w:id="224224086">
      <w:bodyDiv w:val="1"/>
      <w:marLeft w:val="0"/>
      <w:marRight w:val="0"/>
      <w:marTop w:val="0"/>
      <w:marBottom w:val="0"/>
      <w:divBdr>
        <w:top w:val="none" w:sz="0" w:space="0" w:color="auto"/>
        <w:left w:val="none" w:sz="0" w:space="0" w:color="auto"/>
        <w:bottom w:val="none" w:sz="0" w:space="0" w:color="auto"/>
        <w:right w:val="none" w:sz="0" w:space="0" w:color="auto"/>
      </w:divBdr>
    </w:div>
    <w:div w:id="227228910">
      <w:bodyDiv w:val="1"/>
      <w:marLeft w:val="0"/>
      <w:marRight w:val="0"/>
      <w:marTop w:val="0"/>
      <w:marBottom w:val="0"/>
      <w:divBdr>
        <w:top w:val="none" w:sz="0" w:space="0" w:color="auto"/>
        <w:left w:val="none" w:sz="0" w:space="0" w:color="auto"/>
        <w:bottom w:val="none" w:sz="0" w:space="0" w:color="auto"/>
        <w:right w:val="none" w:sz="0" w:space="0" w:color="auto"/>
      </w:divBdr>
    </w:div>
    <w:div w:id="227887280">
      <w:bodyDiv w:val="1"/>
      <w:marLeft w:val="0"/>
      <w:marRight w:val="0"/>
      <w:marTop w:val="0"/>
      <w:marBottom w:val="0"/>
      <w:divBdr>
        <w:top w:val="none" w:sz="0" w:space="0" w:color="auto"/>
        <w:left w:val="none" w:sz="0" w:space="0" w:color="auto"/>
        <w:bottom w:val="none" w:sz="0" w:space="0" w:color="auto"/>
        <w:right w:val="none" w:sz="0" w:space="0" w:color="auto"/>
      </w:divBdr>
    </w:div>
    <w:div w:id="232400468">
      <w:bodyDiv w:val="1"/>
      <w:marLeft w:val="0"/>
      <w:marRight w:val="0"/>
      <w:marTop w:val="0"/>
      <w:marBottom w:val="0"/>
      <w:divBdr>
        <w:top w:val="none" w:sz="0" w:space="0" w:color="auto"/>
        <w:left w:val="none" w:sz="0" w:space="0" w:color="auto"/>
        <w:bottom w:val="none" w:sz="0" w:space="0" w:color="auto"/>
        <w:right w:val="none" w:sz="0" w:space="0" w:color="auto"/>
      </w:divBdr>
    </w:div>
    <w:div w:id="233668117">
      <w:bodyDiv w:val="1"/>
      <w:marLeft w:val="0"/>
      <w:marRight w:val="0"/>
      <w:marTop w:val="0"/>
      <w:marBottom w:val="0"/>
      <w:divBdr>
        <w:top w:val="none" w:sz="0" w:space="0" w:color="auto"/>
        <w:left w:val="none" w:sz="0" w:space="0" w:color="auto"/>
        <w:bottom w:val="none" w:sz="0" w:space="0" w:color="auto"/>
        <w:right w:val="none" w:sz="0" w:space="0" w:color="auto"/>
      </w:divBdr>
    </w:div>
    <w:div w:id="235747786">
      <w:bodyDiv w:val="1"/>
      <w:marLeft w:val="0"/>
      <w:marRight w:val="0"/>
      <w:marTop w:val="0"/>
      <w:marBottom w:val="0"/>
      <w:divBdr>
        <w:top w:val="none" w:sz="0" w:space="0" w:color="auto"/>
        <w:left w:val="none" w:sz="0" w:space="0" w:color="auto"/>
        <w:bottom w:val="none" w:sz="0" w:space="0" w:color="auto"/>
        <w:right w:val="none" w:sz="0" w:space="0" w:color="auto"/>
      </w:divBdr>
    </w:div>
    <w:div w:id="245771715">
      <w:bodyDiv w:val="1"/>
      <w:marLeft w:val="0"/>
      <w:marRight w:val="0"/>
      <w:marTop w:val="0"/>
      <w:marBottom w:val="0"/>
      <w:divBdr>
        <w:top w:val="none" w:sz="0" w:space="0" w:color="auto"/>
        <w:left w:val="none" w:sz="0" w:space="0" w:color="auto"/>
        <w:bottom w:val="none" w:sz="0" w:space="0" w:color="auto"/>
        <w:right w:val="none" w:sz="0" w:space="0" w:color="auto"/>
      </w:divBdr>
    </w:div>
    <w:div w:id="245892599">
      <w:bodyDiv w:val="1"/>
      <w:marLeft w:val="0"/>
      <w:marRight w:val="0"/>
      <w:marTop w:val="0"/>
      <w:marBottom w:val="0"/>
      <w:divBdr>
        <w:top w:val="none" w:sz="0" w:space="0" w:color="auto"/>
        <w:left w:val="none" w:sz="0" w:space="0" w:color="auto"/>
        <w:bottom w:val="none" w:sz="0" w:space="0" w:color="auto"/>
        <w:right w:val="none" w:sz="0" w:space="0" w:color="auto"/>
      </w:divBdr>
    </w:div>
    <w:div w:id="252738887">
      <w:bodyDiv w:val="1"/>
      <w:marLeft w:val="0"/>
      <w:marRight w:val="0"/>
      <w:marTop w:val="0"/>
      <w:marBottom w:val="0"/>
      <w:divBdr>
        <w:top w:val="none" w:sz="0" w:space="0" w:color="auto"/>
        <w:left w:val="none" w:sz="0" w:space="0" w:color="auto"/>
        <w:bottom w:val="none" w:sz="0" w:space="0" w:color="auto"/>
        <w:right w:val="none" w:sz="0" w:space="0" w:color="auto"/>
      </w:divBdr>
    </w:div>
    <w:div w:id="253973082">
      <w:bodyDiv w:val="1"/>
      <w:marLeft w:val="0"/>
      <w:marRight w:val="0"/>
      <w:marTop w:val="0"/>
      <w:marBottom w:val="0"/>
      <w:divBdr>
        <w:top w:val="none" w:sz="0" w:space="0" w:color="auto"/>
        <w:left w:val="none" w:sz="0" w:space="0" w:color="auto"/>
        <w:bottom w:val="none" w:sz="0" w:space="0" w:color="auto"/>
        <w:right w:val="none" w:sz="0" w:space="0" w:color="auto"/>
      </w:divBdr>
    </w:div>
    <w:div w:id="254099415">
      <w:bodyDiv w:val="1"/>
      <w:marLeft w:val="0"/>
      <w:marRight w:val="0"/>
      <w:marTop w:val="0"/>
      <w:marBottom w:val="0"/>
      <w:divBdr>
        <w:top w:val="none" w:sz="0" w:space="0" w:color="auto"/>
        <w:left w:val="none" w:sz="0" w:space="0" w:color="auto"/>
        <w:bottom w:val="none" w:sz="0" w:space="0" w:color="auto"/>
        <w:right w:val="none" w:sz="0" w:space="0" w:color="auto"/>
      </w:divBdr>
    </w:div>
    <w:div w:id="269901847">
      <w:bodyDiv w:val="1"/>
      <w:marLeft w:val="0"/>
      <w:marRight w:val="0"/>
      <w:marTop w:val="0"/>
      <w:marBottom w:val="0"/>
      <w:divBdr>
        <w:top w:val="none" w:sz="0" w:space="0" w:color="auto"/>
        <w:left w:val="none" w:sz="0" w:space="0" w:color="auto"/>
        <w:bottom w:val="none" w:sz="0" w:space="0" w:color="auto"/>
        <w:right w:val="none" w:sz="0" w:space="0" w:color="auto"/>
      </w:divBdr>
    </w:div>
    <w:div w:id="270017681">
      <w:bodyDiv w:val="1"/>
      <w:marLeft w:val="0"/>
      <w:marRight w:val="0"/>
      <w:marTop w:val="0"/>
      <w:marBottom w:val="0"/>
      <w:divBdr>
        <w:top w:val="none" w:sz="0" w:space="0" w:color="auto"/>
        <w:left w:val="none" w:sz="0" w:space="0" w:color="auto"/>
        <w:bottom w:val="none" w:sz="0" w:space="0" w:color="auto"/>
        <w:right w:val="none" w:sz="0" w:space="0" w:color="auto"/>
      </w:divBdr>
    </w:div>
    <w:div w:id="273513844">
      <w:bodyDiv w:val="1"/>
      <w:marLeft w:val="0"/>
      <w:marRight w:val="0"/>
      <w:marTop w:val="0"/>
      <w:marBottom w:val="0"/>
      <w:divBdr>
        <w:top w:val="none" w:sz="0" w:space="0" w:color="auto"/>
        <w:left w:val="none" w:sz="0" w:space="0" w:color="auto"/>
        <w:bottom w:val="none" w:sz="0" w:space="0" w:color="auto"/>
        <w:right w:val="none" w:sz="0" w:space="0" w:color="auto"/>
      </w:divBdr>
    </w:div>
    <w:div w:id="280767797">
      <w:bodyDiv w:val="1"/>
      <w:marLeft w:val="0"/>
      <w:marRight w:val="0"/>
      <w:marTop w:val="0"/>
      <w:marBottom w:val="0"/>
      <w:divBdr>
        <w:top w:val="none" w:sz="0" w:space="0" w:color="auto"/>
        <w:left w:val="none" w:sz="0" w:space="0" w:color="auto"/>
        <w:bottom w:val="none" w:sz="0" w:space="0" w:color="auto"/>
        <w:right w:val="none" w:sz="0" w:space="0" w:color="auto"/>
      </w:divBdr>
    </w:div>
    <w:div w:id="297956665">
      <w:bodyDiv w:val="1"/>
      <w:marLeft w:val="0"/>
      <w:marRight w:val="0"/>
      <w:marTop w:val="0"/>
      <w:marBottom w:val="0"/>
      <w:divBdr>
        <w:top w:val="none" w:sz="0" w:space="0" w:color="auto"/>
        <w:left w:val="none" w:sz="0" w:space="0" w:color="auto"/>
        <w:bottom w:val="none" w:sz="0" w:space="0" w:color="auto"/>
        <w:right w:val="none" w:sz="0" w:space="0" w:color="auto"/>
      </w:divBdr>
    </w:div>
    <w:div w:id="312951284">
      <w:bodyDiv w:val="1"/>
      <w:marLeft w:val="0"/>
      <w:marRight w:val="0"/>
      <w:marTop w:val="0"/>
      <w:marBottom w:val="0"/>
      <w:divBdr>
        <w:top w:val="none" w:sz="0" w:space="0" w:color="auto"/>
        <w:left w:val="none" w:sz="0" w:space="0" w:color="auto"/>
        <w:bottom w:val="none" w:sz="0" w:space="0" w:color="auto"/>
        <w:right w:val="none" w:sz="0" w:space="0" w:color="auto"/>
      </w:divBdr>
    </w:div>
    <w:div w:id="318198780">
      <w:bodyDiv w:val="1"/>
      <w:marLeft w:val="0"/>
      <w:marRight w:val="0"/>
      <w:marTop w:val="0"/>
      <w:marBottom w:val="0"/>
      <w:divBdr>
        <w:top w:val="none" w:sz="0" w:space="0" w:color="auto"/>
        <w:left w:val="none" w:sz="0" w:space="0" w:color="auto"/>
        <w:bottom w:val="none" w:sz="0" w:space="0" w:color="auto"/>
        <w:right w:val="none" w:sz="0" w:space="0" w:color="auto"/>
      </w:divBdr>
    </w:div>
    <w:div w:id="320236500">
      <w:bodyDiv w:val="1"/>
      <w:marLeft w:val="0"/>
      <w:marRight w:val="0"/>
      <w:marTop w:val="0"/>
      <w:marBottom w:val="0"/>
      <w:divBdr>
        <w:top w:val="none" w:sz="0" w:space="0" w:color="auto"/>
        <w:left w:val="none" w:sz="0" w:space="0" w:color="auto"/>
        <w:bottom w:val="none" w:sz="0" w:space="0" w:color="auto"/>
        <w:right w:val="none" w:sz="0" w:space="0" w:color="auto"/>
      </w:divBdr>
    </w:div>
    <w:div w:id="321086490">
      <w:bodyDiv w:val="1"/>
      <w:marLeft w:val="0"/>
      <w:marRight w:val="0"/>
      <w:marTop w:val="0"/>
      <w:marBottom w:val="0"/>
      <w:divBdr>
        <w:top w:val="none" w:sz="0" w:space="0" w:color="auto"/>
        <w:left w:val="none" w:sz="0" w:space="0" w:color="auto"/>
        <w:bottom w:val="none" w:sz="0" w:space="0" w:color="auto"/>
        <w:right w:val="none" w:sz="0" w:space="0" w:color="auto"/>
      </w:divBdr>
    </w:div>
    <w:div w:id="322664148">
      <w:bodyDiv w:val="1"/>
      <w:marLeft w:val="0"/>
      <w:marRight w:val="0"/>
      <w:marTop w:val="0"/>
      <w:marBottom w:val="0"/>
      <w:divBdr>
        <w:top w:val="none" w:sz="0" w:space="0" w:color="auto"/>
        <w:left w:val="none" w:sz="0" w:space="0" w:color="auto"/>
        <w:bottom w:val="none" w:sz="0" w:space="0" w:color="auto"/>
        <w:right w:val="none" w:sz="0" w:space="0" w:color="auto"/>
      </w:divBdr>
    </w:div>
    <w:div w:id="323896487">
      <w:bodyDiv w:val="1"/>
      <w:marLeft w:val="0"/>
      <w:marRight w:val="0"/>
      <w:marTop w:val="0"/>
      <w:marBottom w:val="0"/>
      <w:divBdr>
        <w:top w:val="none" w:sz="0" w:space="0" w:color="auto"/>
        <w:left w:val="none" w:sz="0" w:space="0" w:color="auto"/>
        <w:bottom w:val="none" w:sz="0" w:space="0" w:color="auto"/>
        <w:right w:val="none" w:sz="0" w:space="0" w:color="auto"/>
      </w:divBdr>
    </w:div>
    <w:div w:id="326634061">
      <w:bodyDiv w:val="1"/>
      <w:marLeft w:val="0"/>
      <w:marRight w:val="0"/>
      <w:marTop w:val="0"/>
      <w:marBottom w:val="0"/>
      <w:divBdr>
        <w:top w:val="none" w:sz="0" w:space="0" w:color="auto"/>
        <w:left w:val="none" w:sz="0" w:space="0" w:color="auto"/>
        <w:bottom w:val="none" w:sz="0" w:space="0" w:color="auto"/>
        <w:right w:val="none" w:sz="0" w:space="0" w:color="auto"/>
      </w:divBdr>
    </w:div>
    <w:div w:id="327295467">
      <w:bodyDiv w:val="1"/>
      <w:marLeft w:val="0"/>
      <w:marRight w:val="0"/>
      <w:marTop w:val="0"/>
      <w:marBottom w:val="0"/>
      <w:divBdr>
        <w:top w:val="none" w:sz="0" w:space="0" w:color="auto"/>
        <w:left w:val="none" w:sz="0" w:space="0" w:color="auto"/>
        <w:bottom w:val="none" w:sz="0" w:space="0" w:color="auto"/>
        <w:right w:val="none" w:sz="0" w:space="0" w:color="auto"/>
      </w:divBdr>
    </w:div>
    <w:div w:id="330449032">
      <w:bodyDiv w:val="1"/>
      <w:marLeft w:val="0"/>
      <w:marRight w:val="0"/>
      <w:marTop w:val="0"/>
      <w:marBottom w:val="0"/>
      <w:divBdr>
        <w:top w:val="none" w:sz="0" w:space="0" w:color="auto"/>
        <w:left w:val="none" w:sz="0" w:space="0" w:color="auto"/>
        <w:bottom w:val="none" w:sz="0" w:space="0" w:color="auto"/>
        <w:right w:val="none" w:sz="0" w:space="0" w:color="auto"/>
      </w:divBdr>
    </w:div>
    <w:div w:id="331841373">
      <w:bodyDiv w:val="1"/>
      <w:marLeft w:val="0"/>
      <w:marRight w:val="0"/>
      <w:marTop w:val="0"/>
      <w:marBottom w:val="0"/>
      <w:divBdr>
        <w:top w:val="none" w:sz="0" w:space="0" w:color="auto"/>
        <w:left w:val="none" w:sz="0" w:space="0" w:color="auto"/>
        <w:bottom w:val="none" w:sz="0" w:space="0" w:color="auto"/>
        <w:right w:val="none" w:sz="0" w:space="0" w:color="auto"/>
      </w:divBdr>
    </w:div>
    <w:div w:id="332949556">
      <w:bodyDiv w:val="1"/>
      <w:marLeft w:val="0"/>
      <w:marRight w:val="0"/>
      <w:marTop w:val="0"/>
      <w:marBottom w:val="0"/>
      <w:divBdr>
        <w:top w:val="none" w:sz="0" w:space="0" w:color="auto"/>
        <w:left w:val="none" w:sz="0" w:space="0" w:color="auto"/>
        <w:bottom w:val="none" w:sz="0" w:space="0" w:color="auto"/>
        <w:right w:val="none" w:sz="0" w:space="0" w:color="auto"/>
      </w:divBdr>
    </w:div>
    <w:div w:id="337079167">
      <w:bodyDiv w:val="1"/>
      <w:marLeft w:val="0"/>
      <w:marRight w:val="0"/>
      <w:marTop w:val="0"/>
      <w:marBottom w:val="0"/>
      <w:divBdr>
        <w:top w:val="none" w:sz="0" w:space="0" w:color="auto"/>
        <w:left w:val="none" w:sz="0" w:space="0" w:color="auto"/>
        <w:bottom w:val="none" w:sz="0" w:space="0" w:color="auto"/>
        <w:right w:val="none" w:sz="0" w:space="0" w:color="auto"/>
      </w:divBdr>
    </w:div>
    <w:div w:id="342440287">
      <w:bodyDiv w:val="1"/>
      <w:marLeft w:val="0"/>
      <w:marRight w:val="0"/>
      <w:marTop w:val="0"/>
      <w:marBottom w:val="0"/>
      <w:divBdr>
        <w:top w:val="none" w:sz="0" w:space="0" w:color="auto"/>
        <w:left w:val="none" w:sz="0" w:space="0" w:color="auto"/>
        <w:bottom w:val="none" w:sz="0" w:space="0" w:color="auto"/>
        <w:right w:val="none" w:sz="0" w:space="0" w:color="auto"/>
      </w:divBdr>
    </w:div>
    <w:div w:id="348216458">
      <w:bodyDiv w:val="1"/>
      <w:marLeft w:val="0"/>
      <w:marRight w:val="0"/>
      <w:marTop w:val="0"/>
      <w:marBottom w:val="0"/>
      <w:divBdr>
        <w:top w:val="none" w:sz="0" w:space="0" w:color="auto"/>
        <w:left w:val="none" w:sz="0" w:space="0" w:color="auto"/>
        <w:bottom w:val="none" w:sz="0" w:space="0" w:color="auto"/>
        <w:right w:val="none" w:sz="0" w:space="0" w:color="auto"/>
      </w:divBdr>
    </w:div>
    <w:div w:id="350569185">
      <w:bodyDiv w:val="1"/>
      <w:marLeft w:val="0"/>
      <w:marRight w:val="0"/>
      <w:marTop w:val="0"/>
      <w:marBottom w:val="0"/>
      <w:divBdr>
        <w:top w:val="none" w:sz="0" w:space="0" w:color="auto"/>
        <w:left w:val="none" w:sz="0" w:space="0" w:color="auto"/>
        <w:bottom w:val="none" w:sz="0" w:space="0" w:color="auto"/>
        <w:right w:val="none" w:sz="0" w:space="0" w:color="auto"/>
      </w:divBdr>
    </w:div>
    <w:div w:id="367266327">
      <w:bodyDiv w:val="1"/>
      <w:marLeft w:val="0"/>
      <w:marRight w:val="0"/>
      <w:marTop w:val="0"/>
      <w:marBottom w:val="0"/>
      <w:divBdr>
        <w:top w:val="none" w:sz="0" w:space="0" w:color="auto"/>
        <w:left w:val="none" w:sz="0" w:space="0" w:color="auto"/>
        <w:bottom w:val="none" w:sz="0" w:space="0" w:color="auto"/>
        <w:right w:val="none" w:sz="0" w:space="0" w:color="auto"/>
      </w:divBdr>
    </w:div>
    <w:div w:id="368410174">
      <w:bodyDiv w:val="1"/>
      <w:marLeft w:val="0"/>
      <w:marRight w:val="0"/>
      <w:marTop w:val="0"/>
      <w:marBottom w:val="0"/>
      <w:divBdr>
        <w:top w:val="none" w:sz="0" w:space="0" w:color="auto"/>
        <w:left w:val="none" w:sz="0" w:space="0" w:color="auto"/>
        <w:bottom w:val="none" w:sz="0" w:space="0" w:color="auto"/>
        <w:right w:val="none" w:sz="0" w:space="0" w:color="auto"/>
      </w:divBdr>
    </w:div>
    <w:div w:id="369036706">
      <w:bodyDiv w:val="1"/>
      <w:marLeft w:val="0"/>
      <w:marRight w:val="0"/>
      <w:marTop w:val="0"/>
      <w:marBottom w:val="0"/>
      <w:divBdr>
        <w:top w:val="none" w:sz="0" w:space="0" w:color="auto"/>
        <w:left w:val="none" w:sz="0" w:space="0" w:color="auto"/>
        <w:bottom w:val="none" w:sz="0" w:space="0" w:color="auto"/>
        <w:right w:val="none" w:sz="0" w:space="0" w:color="auto"/>
      </w:divBdr>
    </w:div>
    <w:div w:id="370542003">
      <w:bodyDiv w:val="1"/>
      <w:marLeft w:val="0"/>
      <w:marRight w:val="0"/>
      <w:marTop w:val="0"/>
      <w:marBottom w:val="0"/>
      <w:divBdr>
        <w:top w:val="none" w:sz="0" w:space="0" w:color="auto"/>
        <w:left w:val="none" w:sz="0" w:space="0" w:color="auto"/>
        <w:bottom w:val="none" w:sz="0" w:space="0" w:color="auto"/>
        <w:right w:val="none" w:sz="0" w:space="0" w:color="auto"/>
      </w:divBdr>
    </w:div>
    <w:div w:id="370959068">
      <w:bodyDiv w:val="1"/>
      <w:marLeft w:val="0"/>
      <w:marRight w:val="0"/>
      <w:marTop w:val="0"/>
      <w:marBottom w:val="0"/>
      <w:divBdr>
        <w:top w:val="none" w:sz="0" w:space="0" w:color="auto"/>
        <w:left w:val="none" w:sz="0" w:space="0" w:color="auto"/>
        <w:bottom w:val="none" w:sz="0" w:space="0" w:color="auto"/>
        <w:right w:val="none" w:sz="0" w:space="0" w:color="auto"/>
      </w:divBdr>
    </w:div>
    <w:div w:id="375278442">
      <w:bodyDiv w:val="1"/>
      <w:marLeft w:val="0"/>
      <w:marRight w:val="0"/>
      <w:marTop w:val="0"/>
      <w:marBottom w:val="0"/>
      <w:divBdr>
        <w:top w:val="none" w:sz="0" w:space="0" w:color="auto"/>
        <w:left w:val="none" w:sz="0" w:space="0" w:color="auto"/>
        <w:bottom w:val="none" w:sz="0" w:space="0" w:color="auto"/>
        <w:right w:val="none" w:sz="0" w:space="0" w:color="auto"/>
      </w:divBdr>
    </w:div>
    <w:div w:id="376785328">
      <w:bodyDiv w:val="1"/>
      <w:marLeft w:val="0"/>
      <w:marRight w:val="0"/>
      <w:marTop w:val="0"/>
      <w:marBottom w:val="0"/>
      <w:divBdr>
        <w:top w:val="none" w:sz="0" w:space="0" w:color="auto"/>
        <w:left w:val="none" w:sz="0" w:space="0" w:color="auto"/>
        <w:bottom w:val="none" w:sz="0" w:space="0" w:color="auto"/>
        <w:right w:val="none" w:sz="0" w:space="0" w:color="auto"/>
      </w:divBdr>
    </w:div>
    <w:div w:id="378162934">
      <w:bodyDiv w:val="1"/>
      <w:marLeft w:val="0"/>
      <w:marRight w:val="0"/>
      <w:marTop w:val="0"/>
      <w:marBottom w:val="0"/>
      <w:divBdr>
        <w:top w:val="none" w:sz="0" w:space="0" w:color="auto"/>
        <w:left w:val="none" w:sz="0" w:space="0" w:color="auto"/>
        <w:bottom w:val="none" w:sz="0" w:space="0" w:color="auto"/>
        <w:right w:val="none" w:sz="0" w:space="0" w:color="auto"/>
      </w:divBdr>
    </w:div>
    <w:div w:id="381102483">
      <w:bodyDiv w:val="1"/>
      <w:marLeft w:val="0"/>
      <w:marRight w:val="0"/>
      <w:marTop w:val="0"/>
      <w:marBottom w:val="0"/>
      <w:divBdr>
        <w:top w:val="none" w:sz="0" w:space="0" w:color="auto"/>
        <w:left w:val="none" w:sz="0" w:space="0" w:color="auto"/>
        <w:bottom w:val="none" w:sz="0" w:space="0" w:color="auto"/>
        <w:right w:val="none" w:sz="0" w:space="0" w:color="auto"/>
      </w:divBdr>
    </w:div>
    <w:div w:id="381252689">
      <w:bodyDiv w:val="1"/>
      <w:marLeft w:val="0"/>
      <w:marRight w:val="0"/>
      <w:marTop w:val="0"/>
      <w:marBottom w:val="0"/>
      <w:divBdr>
        <w:top w:val="none" w:sz="0" w:space="0" w:color="auto"/>
        <w:left w:val="none" w:sz="0" w:space="0" w:color="auto"/>
        <w:bottom w:val="none" w:sz="0" w:space="0" w:color="auto"/>
        <w:right w:val="none" w:sz="0" w:space="0" w:color="auto"/>
      </w:divBdr>
    </w:div>
    <w:div w:id="382409976">
      <w:bodyDiv w:val="1"/>
      <w:marLeft w:val="0"/>
      <w:marRight w:val="0"/>
      <w:marTop w:val="0"/>
      <w:marBottom w:val="0"/>
      <w:divBdr>
        <w:top w:val="none" w:sz="0" w:space="0" w:color="auto"/>
        <w:left w:val="none" w:sz="0" w:space="0" w:color="auto"/>
        <w:bottom w:val="none" w:sz="0" w:space="0" w:color="auto"/>
        <w:right w:val="none" w:sz="0" w:space="0" w:color="auto"/>
      </w:divBdr>
    </w:div>
    <w:div w:id="384566410">
      <w:bodyDiv w:val="1"/>
      <w:marLeft w:val="0"/>
      <w:marRight w:val="0"/>
      <w:marTop w:val="0"/>
      <w:marBottom w:val="0"/>
      <w:divBdr>
        <w:top w:val="none" w:sz="0" w:space="0" w:color="auto"/>
        <w:left w:val="none" w:sz="0" w:space="0" w:color="auto"/>
        <w:bottom w:val="none" w:sz="0" w:space="0" w:color="auto"/>
        <w:right w:val="none" w:sz="0" w:space="0" w:color="auto"/>
      </w:divBdr>
    </w:div>
    <w:div w:id="385953164">
      <w:bodyDiv w:val="1"/>
      <w:marLeft w:val="0"/>
      <w:marRight w:val="0"/>
      <w:marTop w:val="0"/>
      <w:marBottom w:val="0"/>
      <w:divBdr>
        <w:top w:val="none" w:sz="0" w:space="0" w:color="auto"/>
        <w:left w:val="none" w:sz="0" w:space="0" w:color="auto"/>
        <w:bottom w:val="none" w:sz="0" w:space="0" w:color="auto"/>
        <w:right w:val="none" w:sz="0" w:space="0" w:color="auto"/>
      </w:divBdr>
    </w:div>
    <w:div w:id="389112485">
      <w:bodyDiv w:val="1"/>
      <w:marLeft w:val="0"/>
      <w:marRight w:val="0"/>
      <w:marTop w:val="0"/>
      <w:marBottom w:val="0"/>
      <w:divBdr>
        <w:top w:val="none" w:sz="0" w:space="0" w:color="auto"/>
        <w:left w:val="none" w:sz="0" w:space="0" w:color="auto"/>
        <w:bottom w:val="none" w:sz="0" w:space="0" w:color="auto"/>
        <w:right w:val="none" w:sz="0" w:space="0" w:color="auto"/>
      </w:divBdr>
    </w:div>
    <w:div w:id="390495868">
      <w:bodyDiv w:val="1"/>
      <w:marLeft w:val="0"/>
      <w:marRight w:val="0"/>
      <w:marTop w:val="0"/>
      <w:marBottom w:val="0"/>
      <w:divBdr>
        <w:top w:val="none" w:sz="0" w:space="0" w:color="auto"/>
        <w:left w:val="none" w:sz="0" w:space="0" w:color="auto"/>
        <w:bottom w:val="none" w:sz="0" w:space="0" w:color="auto"/>
        <w:right w:val="none" w:sz="0" w:space="0" w:color="auto"/>
      </w:divBdr>
    </w:div>
    <w:div w:id="394551793">
      <w:bodyDiv w:val="1"/>
      <w:marLeft w:val="0"/>
      <w:marRight w:val="0"/>
      <w:marTop w:val="0"/>
      <w:marBottom w:val="0"/>
      <w:divBdr>
        <w:top w:val="none" w:sz="0" w:space="0" w:color="auto"/>
        <w:left w:val="none" w:sz="0" w:space="0" w:color="auto"/>
        <w:bottom w:val="none" w:sz="0" w:space="0" w:color="auto"/>
        <w:right w:val="none" w:sz="0" w:space="0" w:color="auto"/>
      </w:divBdr>
    </w:div>
    <w:div w:id="394745703">
      <w:bodyDiv w:val="1"/>
      <w:marLeft w:val="0"/>
      <w:marRight w:val="0"/>
      <w:marTop w:val="0"/>
      <w:marBottom w:val="0"/>
      <w:divBdr>
        <w:top w:val="none" w:sz="0" w:space="0" w:color="auto"/>
        <w:left w:val="none" w:sz="0" w:space="0" w:color="auto"/>
        <w:bottom w:val="none" w:sz="0" w:space="0" w:color="auto"/>
        <w:right w:val="none" w:sz="0" w:space="0" w:color="auto"/>
      </w:divBdr>
    </w:div>
    <w:div w:id="397633409">
      <w:bodyDiv w:val="1"/>
      <w:marLeft w:val="0"/>
      <w:marRight w:val="0"/>
      <w:marTop w:val="0"/>
      <w:marBottom w:val="0"/>
      <w:divBdr>
        <w:top w:val="none" w:sz="0" w:space="0" w:color="auto"/>
        <w:left w:val="none" w:sz="0" w:space="0" w:color="auto"/>
        <w:bottom w:val="none" w:sz="0" w:space="0" w:color="auto"/>
        <w:right w:val="none" w:sz="0" w:space="0" w:color="auto"/>
      </w:divBdr>
    </w:div>
    <w:div w:id="401951426">
      <w:bodyDiv w:val="1"/>
      <w:marLeft w:val="0"/>
      <w:marRight w:val="0"/>
      <w:marTop w:val="0"/>
      <w:marBottom w:val="0"/>
      <w:divBdr>
        <w:top w:val="none" w:sz="0" w:space="0" w:color="auto"/>
        <w:left w:val="none" w:sz="0" w:space="0" w:color="auto"/>
        <w:bottom w:val="none" w:sz="0" w:space="0" w:color="auto"/>
        <w:right w:val="none" w:sz="0" w:space="0" w:color="auto"/>
      </w:divBdr>
    </w:div>
    <w:div w:id="408234763">
      <w:bodyDiv w:val="1"/>
      <w:marLeft w:val="0"/>
      <w:marRight w:val="0"/>
      <w:marTop w:val="0"/>
      <w:marBottom w:val="0"/>
      <w:divBdr>
        <w:top w:val="none" w:sz="0" w:space="0" w:color="auto"/>
        <w:left w:val="none" w:sz="0" w:space="0" w:color="auto"/>
        <w:bottom w:val="none" w:sz="0" w:space="0" w:color="auto"/>
        <w:right w:val="none" w:sz="0" w:space="0" w:color="auto"/>
      </w:divBdr>
    </w:div>
    <w:div w:id="408313837">
      <w:bodyDiv w:val="1"/>
      <w:marLeft w:val="0"/>
      <w:marRight w:val="0"/>
      <w:marTop w:val="0"/>
      <w:marBottom w:val="0"/>
      <w:divBdr>
        <w:top w:val="none" w:sz="0" w:space="0" w:color="auto"/>
        <w:left w:val="none" w:sz="0" w:space="0" w:color="auto"/>
        <w:bottom w:val="none" w:sz="0" w:space="0" w:color="auto"/>
        <w:right w:val="none" w:sz="0" w:space="0" w:color="auto"/>
      </w:divBdr>
    </w:div>
    <w:div w:id="412048703">
      <w:bodyDiv w:val="1"/>
      <w:marLeft w:val="0"/>
      <w:marRight w:val="0"/>
      <w:marTop w:val="0"/>
      <w:marBottom w:val="0"/>
      <w:divBdr>
        <w:top w:val="none" w:sz="0" w:space="0" w:color="auto"/>
        <w:left w:val="none" w:sz="0" w:space="0" w:color="auto"/>
        <w:bottom w:val="none" w:sz="0" w:space="0" w:color="auto"/>
        <w:right w:val="none" w:sz="0" w:space="0" w:color="auto"/>
      </w:divBdr>
    </w:div>
    <w:div w:id="415253920">
      <w:bodyDiv w:val="1"/>
      <w:marLeft w:val="0"/>
      <w:marRight w:val="0"/>
      <w:marTop w:val="0"/>
      <w:marBottom w:val="0"/>
      <w:divBdr>
        <w:top w:val="none" w:sz="0" w:space="0" w:color="auto"/>
        <w:left w:val="none" w:sz="0" w:space="0" w:color="auto"/>
        <w:bottom w:val="none" w:sz="0" w:space="0" w:color="auto"/>
        <w:right w:val="none" w:sz="0" w:space="0" w:color="auto"/>
      </w:divBdr>
    </w:div>
    <w:div w:id="418796647">
      <w:bodyDiv w:val="1"/>
      <w:marLeft w:val="0"/>
      <w:marRight w:val="0"/>
      <w:marTop w:val="0"/>
      <w:marBottom w:val="0"/>
      <w:divBdr>
        <w:top w:val="none" w:sz="0" w:space="0" w:color="auto"/>
        <w:left w:val="none" w:sz="0" w:space="0" w:color="auto"/>
        <w:bottom w:val="none" w:sz="0" w:space="0" w:color="auto"/>
        <w:right w:val="none" w:sz="0" w:space="0" w:color="auto"/>
      </w:divBdr>
    </w:div>
    <w:div w:id="419301379">
      <w:bodyDiv w:val="1"/>
      <w:marLeft w:val="0"/>
      <w:marRight w:val="0"/>
      <w:marTop w:val="0"/>
      <w:marBottom w:val="0"/>
      <w:divBdr>
        <w:top w:val="none" w:sz="0" w:space="0" w:color="auto"/>
        <w:left w:val="none" w:sz="0" w:space="0" w:color="auto"/>
        <w:bottom w:val="none" w:sz="0" w:space="0" w:color="auto"/>
        <w:right w:val="none" w:sz="0" w:space="0" w:color="auto"/>
      </w:divBdr>
    </w:div>
    <w:div w:id="420371597">
      <w:bodyDiv w:val="1"/>
      <w:marLeft w:val="0"/>
      <w:marRight w:val="0"/>
      <w:marTop w:val="0"/>
      <w:marBottom w:val="0"/>
      <w:divBdr>
        <w:top w:val="none" w:sz="0" w:space="0" w:color="auto"/>
        <w:left w:val="none" w:sz="0" w:space="0" w:color="auto"/>
        <w:bottom w:val="none" w:sz="0" w:space="0" w:color="auto"/>
        <w:right w:val="none" w:sz="0" w:space="0" w:color="auto"/>
      </w:divBdr>
    </w:div>
    <w:div w:id="424225320">
      <w:bodyDiv w:val="1"/>
      <w:marLeft w:val="0"/>
      <w:marRight w:val="0"/>
      <w:marTop w:val="0"/>
      <w:marBottom w:val="0"/>
      <w:divBdr>
        <w:top w:val="none" w:sz="0" w:space="0" w:color="auto"/>
        <w:left w:val="none" w:sz="0" w:space="0" w:color="auto"/>
        <w:bottom w:val="none" w:sz="0" w:space="0" w:color="auto"/>
        <w:right w:val="none" w:sz="0" w:space="0" w:color="auto"/>
      </w:divBdr>
    </w:div>
    <w:div w:id="426510434">
      <w:bodyDiv w:val="1"/>
      <w:marLeft w:val="0"/>
      <w:marRight w:val="0"/>
      <w:marTop w:val="0"/>
      <w:marBottom w:val="0"/>
      <w:divBdr>
        <w:top w:val="none" w:sz="0" w:space="0" w:color="auto"/>
        <w:left w:val="none" w:sz="0" w:space="0" w:color="auto"/>
        <w:bottom w:val="none" w:sz="0" w:space="0" w:color="auto"/>
        <w:right w:val="none" w:sz="0" w:space="0" w:color="auto"/>
      </w:divBdr>
    </w:div>
    <w:div w:id="427970719">
      <w:bodyDiv w:val="1"/>
      <w:marLeft w:val="0"/>
      <w:marRight w:val="0"/>
      <w:marTop w:val="0"/>
      <w:marBottom w:val="0"/>
      <w:divBdr>
        <w:top w:val="none" w:sz="0" w:space="0" w:color="auto"/>
        <w:left w:val="none" w:sz="0" w:space="0" w:color="auto"/>
        <w:bottom w:val="none" w:sz="0" w:space="0" w:color="auto"/>
        <w:right w:val="none" w:sz="0" w:space="0" w:color="auto"/>
      </w:divBdr>
    </w:div>
    <w:div w:id="430052879">
      <w:bodyDiv w:val="1"/>
      <w:marLeft w:val="0"/>
      <w:marRight w:val="0"/>
      <w:marTop w:val="0"/>
      <w:marBottom w:val="0"/>
      <w:divBdr>
        <w:top w:val="none" w:sz="0" w:space="0" w:color="auto"/>
        <w:left w:val="none" w:sz="0" w:space="0" w:color="auto"/>
        <w:bottom w:val="none" w:sz="0" w:space="0" w:color="auto"/>
        <w:right w:val="none" w:sz="0" w:space="0" w:color="auto"/>
      </w:divBdr>
    </w:div>
    <w:div w:id="435639261">
      <w:bodyDiv w:val="1"/>
      <w:marLeft w:val="0"/>
      <w:marRight w:val="0"/>
      <w:marTop w:val="0"/>
      <w:marBottom w:val="0"/>
      <w:divBdr>
        <w:top w:val="none" w:sz="0" w:space="0" w:color="auto"/>
        <w:left w:val="none" w:sz="0" w:space="0" w:color="auto"/>
        <w:bottom w:val="none" w:sz="0" w:space="0" w:color="auto"/>
        <w:right w:val="none" w:sz="0" w:space="0" w:color="auto"/>
      </w:divBdr>
    </w:div>
    <w:div w:id="456412437">
      <w:bodyDiv w:val="1"/>
      <w:marLeft w:val="0"/>
      <w:marRight w:val="0"/>
      <w:marTop w:val="0"/>
      <w:marBottom w:val="0"/>
      <w:divBdr>
        <w:top w:val="none" w:sz="0" w:space="0" w:color="auto"/>
        <w:left w:val="none" w:sz="0" w:space="0" w:color="auto"/>
        <w:bottom w:val="none" w:sz="0" w:space="0" w:color="auto"/>
        <w:right w:val="none" w:sz="0" w:space="0" w:color="auto"/>
      </w:divBdr>
    </w:div>
    <w:div w:id="459497659">
      <w:bodyDiv w:val="1"/>
      <w:marLeft w:val="0"/>
      <w:marRight w:val="0"/>
      <w:marTop w:val="0"/>
      <w:marBottom w:val="0"/>
      <w:divBdr>
        <w:top w:val="none" w:sz="0" w:space="0" w:color="auto"/>
        <w:left w:val="none" w:sz="0" w:space="0" w:color="auto"/>
        <w:bottom w:val="none" w:sz="0" w:space="0" w:color="auto"/>
        <w:right w:val="none" w:sz="0" w:space="0" w:color="auto"/>
      </w:divBdr>
    </w:div>
    <w:div w:id="464397475">
      <w:bodyDiv w:val="1"/>
      <w:marLeft w:val="0"/>
      <w:marRight w:val="0"/>
      <w:marTop w:val="0"/>
      <w:marBottom w:val="0"/>
      <w:divBdr>
        <w:top w:val="none" w:sz="0" w:space="0" w:color="auto"/>
        <w:left w:val="none" w:sz="0" w:space="0" w:color="auto"/>
        <w:bottom w:val="none" w:sz="0" w:space="0" w:color="auto"/>
        <w:right w:val="none" w:sz="0" w:space="0" w:color="auto"/>
      </w:divBdr>
    </w:div>
    <w:div w:id="465512209">
      <w:bodyDiv w:val="1"/>
      <w:marLeft w:val="0"/>
      <w:marRight w:val="0"/>
      <w:marTop w:val="0"/>
      <w:marBottom w:val="0"/>
      <w:divBdr>
        <w:top w:val="none" w:sz="0" w:space="0" w:color="auto"/>
        <w:left w:val="none" w:sz="0" w:space="0" w:color="auto"/>
        <w:bottom w:val="none" w:sz="0" w:space="0" w:color="auto"/>
        <w:right w:val="none" w:sz="0" w:space="0" w:color="auto"/>
      </w:divBdr>
    </w:div>
    <w:div w:id="467674743">
      <w:bodyDiv w:val="1"/>
      <w:marLeft w:val="0"/>
      <w:marRight w:val="0"/>
      <w:marTop w:val="0"/>
      <w:marBottom w:val="0"/>
      <w:divBdr>
        <w:top w:val="none" w:sz="0" w:space="0" w:color="auto"/>
        <w:left w:val="none" w:sz="0" w:space="0" w:color="auto"/>
        <w:bottom w:val="none" w:sz="0" w:space="0" w:color="auto"/>
        <w:right w:val="none" w:sz="0" w:space="0" w:color="auto"/>
      </w:divBdr>
    </w:div>
    <w:div w:id="482353524">
      <w:bodyDiv w:val="1"/>
      <w:marLeft w:val="0"/>
      <w:marRight w:val="0"/>
      <w:marTop w:val="0"/>
      <w:marBottom w:val="0"/>
      <w:divBdr>
        <w:top w:val="none" w:sz="0" w:space="0" w:color="auto"/>
        <w:left w:val="none" w:sz="0" w:space="0" w:color="auto"/>
        <w:bottom w:val="none" w:sz="0" w:space="0" w:color="auto"/>
        <w:right w:val="none" w:sz="0" w:space="0" w:color="auto"/>
      </w:divBdr>
    </w:div>
    <w:div w:id="483090427">
      <w:bodyDiv w:val="1"/>
      <w:marLeft w:val="0"/>
      <w:marRight w:val="0"/>
      <w:marTop w:val="0"/>
      <w:marBottom w:val="0"/>
      <w:divBdr>
        <w:top w:val="none" w:sz="0" w:space="0" w:color="auto"/>
        <w:left w:val="none" w:sz="0" w:space="0" w:color="auto"/>
        <w:bottom w:val="none" w:sz="0" w:space="0" w:color="auto"/>
        <w:right w:val="none" w:sz="0" w:space="0" w:color="auto"/>
      </w:divBdr>
    </w:div>
    <w:div w:id="489904533">
      <w:bodyDiv w:val="1"/>
      <w:marLeft w:val="0"/>
      <w:marRight w:val="0"/>
      <w:marTop w:val="0"/>
      <w:marBottom w:val="0"/>
      <w:divBdr>
        <w:top w:val="none" w:sz="0" w:space="0" w:color="auto"/>
        <w:left w:val="none" w:sz="0" w:space="0" w:color="auto"/>
        <w:bottom w:val="none" w:sz="0" w:space="0" w:color="auto"/>
        <w:right w:val="none" w:sz="0" w:space="0" w:color="auto"/>
      </w:divBdr>
    </w:div>
    <w:div w:id="493420686">
      <w:bodyDiv w:val="1"/>
      <w:marLeft w:val="0"/>
      <w:marRight w:val="0"/>
      <w:marTop w:val="0"/>
      <w:marBottom w:val="0"/>
      <w:divBdr>
        <w:top w:val="none" w:sz="0" w:space="0" w:color="auto"/>
        <w:left w:val="none" w:sz="0" w:space="0" w:color="auto"/>
        <w:bottom w:val="none" w:sz="0" w:space="0" w:color="auto"/>
        <w:right w:val="none" w:sz="0" w:space="0" w:color="auto"/>
      </w:divBdr>
    </w:div>
    <w:div w:id="495344055">
      <w:bodyDiv w:val="1"/>
      <w:marLeft w:val="0"/>
      <w:marRight w:val="0"/>
      <w:marTop w:val="0"/>
      <w:marBottom w:val="0"/>
      <w:divBdr>
        <w:top w:val="none" w:sz="0" w:space="0" w:color="auto"/>
        <w:left w:val="none" w:sz="0" w:space="0" w:color="auto"/>
        <w:bottom w:val="none" w:sz="0" w:space="0" w:color="auto"/>
        <w:right w:val="none" w:sz="0" w:space="0" w:color="auto"/>
      </w:divBdr>
    </w:div>
    <w:div w:id="498034396">
      <w:bodyDiv w:val="1"/>
      <w:marLeft w:val="0"/>
      <w:marRight w:val="0"/>
      <w:marTop w:val="0"/>
      <w:marBottom w:val="0"/>
      <w:divBdr>
        <w:top w:val="none" w:sz="0" w:space="0" w:color="auto"/>
        <w:left w:val="none" w:sz="0" w:space="0" w:color="auto"/>
        <w:bottom w:val="none" w:sz="0" w:space="0" w:color="auto"/>
        <w:right w:val="none" w:sz="0" w:space="0" w:color="auto"/>
      </w:divBdr>
    </w:div>
    <w:div w:id="501966863">
      <w:bodyDiv w:val="1"/>
      <w:marLeft w:val="0"/>
      <w:marRight w:val="0"/>
      <w:marTop w:val="0"/>
      <w:marBottom w:val="0"/>
      <w:divBdr>
        <w:top w:val="none" w:sz="0" w:space="0" w:color="auto"/>
        <w:left w:val="none" w:sz="0" w:space="0" w:color="auto"/>
        <w:bottom w:val="none" w:sz="0" w:space="0" w:color="auto"/>
        <w:right w:val="none" w:sz="0" w:space="0" w:color="auto"/>
      </w:divBdr>
    </w:div>
    <w:div w:id="504049923">
      <w:bodyDiv w:val="1"/>
      <w:marLeft w:val="0"/>
      <w:marRight w:val="0"/>
      <w:marTop w:val="0"/>
      <w:marBottom w:val="0"/>
      <w:divBdr>
        <w:top w:val="none" w:sz="0" w:space="0" w:color="auto"/>
        <w:left w:val="none" w:sz="0" w:space="0" w:color="auto"/>
        <w:bottom w:val="none" w:sz="0" w:space="0" w:color="auto"/>
        <w:right w:val="none" w:sz="0" w:space="0" w:color="auto"/>
      </w:divBdr>
    </w:div>
    <w:div w:id="507330152">
      <w:bodyDiv w:val="1"/>
      <w:marLeft w:val="0"/>
      <w:marRight w:val="0"/>
      <w:marTop w:val="0"/>
      <w:marBottom w:val="0"/>
      <w:divBdr>
        <w:top w:val="none" w:sz="0" w:space="0" w:color="auto"/>
        <w:left w:val="none" w:sz="0" w:space="0" w:color="auto"/>
        <w:bottom w:val="none" w:sz="0" w:space="0" w:color="auto"/>
        <w:right w:val="none" w:sz="0" w:space="0" w:color="auto"/>
      </w:divBdr>
    </w:div>
    <w:div w:id="512306437">
      <w:bodyDiv w:val="1"/>
      <w:marLeft w:val="0"/>
      <w:marRight w:val="0"/>
      <w:marTop w:val="0"/>
      <w:marBottom w:val="0"/>
      <w:divBdr>
        <w:top w:val="none" w:sz="0" w:space="0" w:color="auto"/>
        <w:left w:val="none" w:sz="0" w:space="0" w:color="auto"/>
        <w:bottom w:val="none" w:sz="0" w:space="0" w:color="auto"/>
        <w:right w:val="none" w:sz="0" w:space="0" w:color="auto"/>
      </w:divBdr>
    </w:div>
    <w:div w:id="519709053">
      <w:bodyDiv w:val="1"/>
      <w:marLeft w:val="0"/>
      <w:marRight w:val="0"/>
      <w:marTop w:val="0"/>
      <w:marBottom w:val="0"/>
      <w:divBdr>
        <w:top w:val="none" w:sz="0" w:space="0" w:color="auto"/>
        <w:left w:val="none" w:sz="0" w:space="0" w:color="auto"/>
        <w:bottom w:val="none" w:sz="0" w:space="0" w:color="auto"/>
        <w:right w:val="none" w:sz="0" w:space="0" w:color="auto"/>
      </w:divBdr>
    </w:div>
    <w:div w:id="526675223">
      <w:bodyDiv w:val="1"/>
      <w:marLeft w:val="0"/>
      <w:marRight w:val="0"/>
      <w:marTop w:val="0"/>
      <w:marBottom w:val="0"/>
      <w:divBdr>
        <w:top w:val="none" w:sz="0" w:space="0" w:color="auto"/>
        <w:left w:val="none" w:sz="0" w:space="0" w:color="auto"/>
        <w:bottom w:val="none" w:sz="0" w:space="0" w:color="auto"/>
        <w:right w:val="none" w:sz="0" w:space="0" w:color="auto"/>
      </w:divBdr>
    </w:div>
    <w:div w:id="532621966">
      <w:bodyDiv w:val="1"/>
      <w:marLeft w:val="0"/>
      <w:marRight w:val="0"/>
      <w:marTop w:val="0"/>
      <w:marBottom w:val="0"/>
      <w:divBdr>
        <w:top w:val="none" w:sz="0" w:space="0" w:color="auto"/>
        <w:left w:val="none" w:sz="0" w:space="0" w:color="auto"/>
        <w:bottom w:val="none" w:sz="0" w:space="0" w:color="auto"/>
        <w:right w:val="none" w:sz="0" w:space="0" w:color="auto"/>
      </w:divBdr>
    </w:div>
    <w:div w:id="535898627">
      <w:bodyDiv w:val="1"/>
      <w:marLeft w:val="0"/>
      <w:marRight w:val="0"/>
      <w:marTop w:val="0"/>
      <w:marBottom w:val="0"/>
      <w:divBdr>
        <w:top w:val="none" w:sz="0" w:space="0" w:color="auto"/>
        <w:left w:val="none" w:sz="0" w:space="0" w:color="auto"/>
        <w:bottom w:val="none" w:sz="0" w:space="0" w:color="auto"/>
        <w:right w:val="none" w:sz="0" w:space="0" w:color="auto"/>
      </w:divBdr>
    </w:div>
    <w:div w:id="537862014">
      <w:bodyDiv w:val="1"/>
      <w:marLeft w:val="0"/>
      <w:marRight w:val="0"/>
      <w:marTop w:val="0"/>
      <w:marBottom w:val="0"/>
      <w:divBdr>
        <w:top w:val="none" w:sz="0" w:space="0" w:color="auto"/>
        <w:left w:val="none" w:sz="0" w:space="0" w:color="auto"/>
        <w:bottom w:val="none" w:sz="0" w:space="0" w:color="auto"/>
        <w:right w:val="none" w:sz="0" w:space="0" w:color="auto"/>
      </w:divBdr>
    </w:div>
    <w:div w:id="540938691">
      <w:bodyDiv w:val="1"/>
      <w:marLeft w:val="0"/>
      <w:marRight w:val="0"/>
      <w:marTop w:val="0"/>
      <w:marBottom w:val="0"/>
      <w:divBdr>
        <w:top w:val="none" w:sz="0" w:space="0" w:color="auto"/>
        <w:left w:val="none" w:sz="0" w:space="0" w:color="auto"/>
        <w:bottom w:val="none" w:sz="0" w:space="0" w:color="auto"/>
        <w:right w:val="none" w:sz="0" w:space="0" w:color="auto"/>
      </w:divBdr>
    </w:div>
    <w:div w:id="541136169">
      <w:bodyDiv w:val="1"/>
      <w:marLeft w:val="0"/>
      <w:marRight w:val="0"/>
      <w:marTop w:val="0"/>
      <w:marBottom w:val="0"/>
      <w:divBdr>
        <w:top w:val="none" w:sz="0" w:space="0" w:color="auto"/>
        <w:left w:val="none" w:sz="0" w:space="0" w:color="auto"/>
        <w:bottom w:val="none" w:sz="0" w:space="0" w:color="auto"/>
        <w:right w:val="none" w:sz="0" w:space="0" w:color="auto"/>
      </w:divBdr>
    </w:div>
    <w:div w:id="543713892">
      <w:bodyDiv w:val="1"/>
      <w:marLeft w:val="0"/>
      <w:marRight w:val="0"/>
      <w:marTop w:val="0"/>
      <w:marBottom w:val="0"/>
      <w:divBdr>
        <w:top w:val="none" w:sz="0" w:space="0" w:color="auto"/>
        <w:left w:val="none" w:sz="0" w:space="0" w:color="auto"/>
        <w:bottom w:val="none" w:sz="0" w:space="0" w:color="auto"/>
        <w:right w:val="none" w:sz="0" w:space="0" w:color="auto"/>
      </w:divBdr>
    </w:div>
    <w:div w:id="545063682">
      <w:bodyDiv w:val="1"/>
      <w:marLeft w:val="0"/>
      <w:marRight w:val="0"/>
      <w:marTop w:val="0"/>
      <w:marBottom w:val="0"/>
      <w:divBdr>
        <w:top w:val="none" w:sz="0" w:space="0" w:color="auto"/>
        <w:left w:val="none" w:sz="0" w:space="0" w:color="auto"/>
        <w:bottom w:val="none" w:sz="0" w:space="0" w:color="auto"/>
        <w:right w:val="none" w:sz="0" w:space="0" w:color="auto"/>
      </w:divBdr>
    </w:div>
    <w:div w:id="546456496">
      <w:bodyDiv w:val="1"/>
      <w:marLeft w:val="0"/>
      <w:marRight w:val="0"/>
      <w:marTop w:val="0"/>
      <w:marBottom w:val="0"/>
      <w:divBdr>
        <w:top w:val="none" w:sz="0" w:space="0" w:color="auto"/>
        <w:left w:val="none" w:sz="0" w:space="0" w:color="auto"/>
        <w:bottom w:val="none" w:sz="0" w:space="0" w:color="auto"/>
        <w:right w:val="none" w:sz="0" w:space="0" w:color="auto"/>
      </w:divBdr>
    </w:div>
    <w:div w:id="549734079">
      <w:bodyDiv w:val="1"/>
      <w:marLeft w:val="0"/>
      <w:marRight w:val="0"/>
      <w:marTop w:val="0"/>
      <w:marBottom w:val="0"/>
      <w:divBdr>
        <w:top w:val="none" w:sz="0" w:space="0" w:color="auto"/>
        <w:left w:val="none" w:sz="0" w:space="0" w:color="auto"/>
        <w:bottom w:val="none" w:sz="0" w:space="0" w:color="auto"/>
        <w:right w:val="none" w:sz="0" w:space="0" w:color="auto"/>
      </w:divBdr>
    </w:div>
    <w:div w:id="550574399">
      <w:bodyDiv w:val="1"/>
      <w:marLeft w:val="0"/>
      <w:marRight w:val="0"/>
      <w:marTop w:val="0"/>
      <w:marBottom w:val="0"/>
      <w:divBdr>
        <w:top w:val="none" w:sz="0" w:space="0" w:color="auto"/>
        <w:left w:val="none" w:sz="0" w:space="0" w:color="auto"/>
        <w:bottom w:val="none" w:sz="0" w:space="0" w:color="auto"/>
        <w:right w:val="none" w:sz="0" w:space="0" w:color="auto"/>
      </w:divBdr>
    </w:div>
    <w:div w:id="554198590">
      <w:bodyDiv w:val="1"/>
      <w:marLeft w:val="0"/>
      <w:marRight w:val="0"/>
      <w:marTop w:val="0"/>
      <w:marBottom w:val="0"/>
      <w:divBdr>
        <w:top w:val="none" w:sz="0" w:space="0" w:color="auto"/>
        <w:left w:val="none" w:sz="0" w:space="0" w:color="auto"/>
        <w:bottom w:val="none" w:sz="0" w:space="0" w:color="auto"/>
        <w:right w:val="none" w:sz="0" w:space="0" w:color="auto"/>
      </w:divBdr>
    </w:div>
    <w:div w:id="566309650">
      <w:bodyDiv w:val="1"/>
      <w:marLeft w:val="0"/>
      <w:marRight w:val="0"/>
      <w:marTop w:val="0"/>
      <w:marBottom w:val="0"/>
      <w:divBdr>
        <w:top w:val="none" w:sz="0" w:space="0" w:color="auto"/>
        <w:left w:val="none" w:sz="0" w:space="0" w:color="auto"/>
        <w:bottom w:val="none" w:sz="0" w:space="0" w:color="auto"/>
        <w:right w:val="none" w:sz="0" w:space="0" w:color="auto"/>
      </w:divBdr>
    </w:div>
    <w:div w:id="568418364">
      <w:bodyDiv w:val="1"/>
      <w:marLeft w:val="0"/>
      <w:marRight w:val="0"/>
      <w:marTop w:val="0"/>
      <w:marBottom w:val="0"/>
      <w:divBdr>
        <w:top w:val="none" w:sz="0" w:space="0" w:color="auto"/>
        <w:left w:val="none" w:sz="0" w:space="0" w:color="auto"/>
        <w:bottom w:val="none" w:sz="0" w:space="0" w:color="auto"/>
        <w:right w:val="none" w:sz="0" w:space="0" w:color="auto"/>
      </w:divBdr>
    </w:div>
    <w:div w:id="569929882">
      <w:bodyDiv w:val="1"/>
      <w:marLeft w:val="0"/>
      <w:marRight w:val="0"/>
      <w:marTop w:val="0"/>
      <w:marBottom w:val="0"/>
      <w:divBdr>
        <w:top w:val="none" w:sz="0" w:space="0" w:color="auto"/>
        <w:left w:val="none" w:sz="0" w:space="0" w:color="auto"/>
        <w:bottom w:val="none" w:sz="0" w:space="0" w:color="auto"/>
        <w:right w:val="none" w:sz="0" w:space="0" w:color="auto"/>
      </w:divBdr>
    </w:div>
    <w:div w:id="573003737">
      <w:bodyDiv w:val="1"/>
      <w:marLeft w:val="0"/>
      <w:marRight w:val="0"/>
      <w:marTop w:val="0"/>
      <w:marBottom w:val="0"/>
      <w:divBdr>
        <w:top w:val="none" w:sz="0" w:space="0" w:color="auto"/>
        <w:left w:val="none" w:sz="0" w:space="0" w:color="auto"/>
        <w:bottom w:val="none" w:sz="0" w:space="0" w:color="auto"/>
        <w:right w:val="none" w:sz="0" w:space="0" w:color="auto"/>
      </w:divBdr>
    </w:div>
    <w:div w:id="574166878">
      <w:bodyDiv w:val="1"/>
      <w:marLeft w:val="0"/>
      <w:marRight w:val="0"/>
      <w:marTop w:val="0"/>
      <w:marBottom w:val="0"/>
      <w:divBdr>
        <w:top w:val="none" w:sz="0" w:space="0" w:color="auto"/>
        <w:left w:val="none" w:sz="0" w:space="0" w:color="auto"/>
        <w:bottom w:val="none" w:sz="0" w:space="0" w:color="auto"/>
        <w:right w:val="none" w:sz="0" w:space="0" w:color="auto"/>
      </w:divBdr>
    </w:div>
    <w:div w:id="575821015">
      <w:bodyDiv w:val="1"/>
      <w:marLeft w:val="0"/>
      <w:marRight w:val="0"/>
      <w:marTop w:val="0"/>
      <w:marBottom w:val="0"/>
      <w:divBdr>
        <w:top w:val="none" w:sz="0" w:space="0" w:color="auto"/>
        <w:left w:val="none" w:sz="0" w:space="0" w:color="auto"/>
        <w:bottom w:val="none" w:sz="0" w:space="0" w:color="auto"/>
        <w:right w:val="none" w:sz="0" w:space="0" w:color="auto"/>
      </w:divBdr>
    </w:div>
    <w:div w:id="579485617">
      <w:bodyDiv w:val="1"/>
      <w:marLeft w:val="0"/>
      <w:marRight w:val="0"/>
      <w:marTop w:val="0"/>
      <w:marBottom w:val="0"/>
      <w:divBdr>
        <w:top w:val="none" w:sz="0" w:space="0" w:color="auto"/>
        <w:left w:val="none" w:sz="0" w:space="0" w:color="auto"/>
        <w:bottom w:val="none" w:sz="0" w:space="0" w:color="auto"/>
        <w:right w:val="none" w:sz="0" w:space="0" w:color="auto"/>
      </w:divBdr>
    </w:div>
    <w:div w:id="585110679">
      <w:bodyDiv w:val="1"/>
      <w:marLeft w:val="0"/>
      <w:marRight w:val="0"/>
      <w:marTop w:val="0"/>
      <w:marBottom w:val="0"/>
      <w:divBdr>
        <w:top w:val="none" w:sz="0" w:space="0" w:color="auto"/>
        <w:left w:val="none" w:sz="0" w:space="0" w:color="auto"/>
        <w:bottom w:val="none" w:sz="0" w:space="0" w:color="auto"/>
        <w:right w:val="none" w:sz="0" w:space="0" w:color="auto"/>
      </w:divBdr>
    </w:div>
    <w:div w:id="592982170">
      <w:bodyDiv w:val="1"/>
      <w:marLeft w:val="0"/>
      <w:marRight w:val="0"/>
      <w:marTop w:val="0"/>
      <w:marBottom w:val="0"/>
      <w:divBdr>
        <w:top w:val="none" w:sz="0" w:space="0" w:color="auto"/>
        <w:left w:val="none" w:sz="0" w:space="0" w:color="auto"/>
        <w:bottom w:val="none" w:sz="0" w:space="0" w:color="auto"/>
        <w:right w:val="none" w:sz="0" w:space="0" w:color="auto"/>
      </w:divBdr>
    </w:div>
    <w:div w:id="593513836">
      <w:bodyDiv w:val="1"/>
      <w:marLeft w:val="0"/>
      <w:marRight w:val="0"/>
      <w:marTop w:val="0"/>
      <w:marBottom w:val="0"/>
      <w:divBdr>
        <w:top w:val="none" w:sz="0" w:space="0" w:color="auto"/>
        <w:left w:val="none" w:sz="0" w:space="0" w:color="auto"/>
        <w:bottom w:val="none" w:sz="0" w:space="0" w:color="auto"/>
        <w:right w:val="none" w:sz="0" w:space="0" w:color="auto"/>
      </w:divBdr>
    </w:div>
    <w:div w:id="596446460">
      <w:bodyDiv w:val="1"/>
      <w:marLeft w:val="0"/>
      <w:marRight w:val="0"/>
      <w:marTop w:val="0"/>
      <w:marBottom w:val="0"/>
      <w:divBdr>
        <w:top w:val="none" w:sz="0" w:space="0" w:color="auto"/>
        <w:left w:val="none" w:sz="0" w:space="0" w:color="auto"/>
        <w:bottom w:val="none" w:sz="0" w:space="0" w:color="auto"/>
        <w:right w:val="none" w:sz="0" w:space="0" w:color="auto"/>
      </w:divBdr>
    </w:div>
    <w:div w:id="597717991">
      <w:bodyDiv w:val="1"/>
      <w:marLeft w:val="0"/>
      <w:marRight w:val="0"/>
      <w:marTop w:val="0"/>
      <w:marBottom w:val="0"/>
      <w:divBdr>
        <w:top w:val="none" w:sz="0" w:space="0" w:color="auto"/>
        <w:left w:val="none" w:sz="0" w:space="0" w:color="auto"/>
        <w:bottom w:val="none" w:sz="0" w:space="0" w:color="auto"/>
        <w:right w:val="none" w:sz="0" w:space="0" w:color="auto"/>
      </w:divBdr>
    </w:div>
    <w:div w:id="597755383">
      <w:bodyDiv w:val="1"/>
      <w:marLeft w:val="0"/>
      <w:marRight w:val="0"/>
      <w:marTop w:val="0"/>
      <w:marBottom w:val="0"/>
      <w:divBdr>
        <w:top w:val="none" w:sz="0" w:space="0" w:color="auto"/>
        <w:left w:val="none" w:sz="0" w:space="0" w:color="auto"/>
        <w:bottom w:val="none" w:sz="0" w:space="0" w:color="auto"/>
        <w:right w:val="none" w:sz="0" w:space="0" w:color="auto"/>
      </w:divBdr>
    </w:div>
    <w:div w:id="605772424">
      <w:bodyDiv w:val="1"/>
      <w:marLeft w:val="0"/>
      <w:marRight w:val="0"/>
      <w:marTop w:val="0"/>
      <w:marBottom w:val="0"/>
      <w:divBdr>
        <w:top w:val="none" w:sz="0" w:space="0" w:color="auto"/>
        <w:left w:val="none" w:sz="0" w:space="0" w:color="auto"/>
        <w:bottom w:val="none" w:sz="0" w:space="0" w:color="auto"/>
        <w:right w:val="none" w:sz="0" w:space="0" w:color="auto"/>
      </w:divBdr>
    </w:div>
    <w:div w:id="622033815">
      <w:bodyDiv w:val="1"/>
      <w:marLeft w:val="0"/>
      <w:marRight w:val="0"/>
      <w:marTop w:val="0"/>
      <w:marBottom w:val="0"/>
      <w:divBdr>
        <w:top w:val="none" w:sz="0" w:space="0" w:color="auto"/>
        <w:left w:val="none" w:sz="0" w:space="0" w:color="auto"/>
        <w:bottom w:val="none" w:sz="0" w:space="0" w:color="auto"/>
        <w:right w:val="none" w:sz="0" w:space="0" w:color="auto"/>
      </w:divBdr>
    </w:div>
    <w:div w:id="624389553">
      <w:bodyDiv w:val="1"/>
      <w:marLeft w:val="0"/>
      <w:marRight w:val="0"/>
      <w:marTop w:val="0"/>
      <w:marBottom w:val="0"/>
      <w:divBdr>
        <w:top w:val="none" w:sz="0" w:space="0" w:color="auto"/>
        <w:left w:val="none" w:sz="0" w:space="0" w:color="auto"/>
        <w:bottom w:val="none" w:sz="0" w:space="0" w:color="auto"/>
        <w:right w:val="none" w:sz="0" w:space="0" w:color="auto"/>
      </w:divBdr>
    </w:div>
    <w:div w:id="624891444">
      <w:bodyDiv w:val="1"/>
      <w:marLeft w:val="0"/>
      <w:marRight w:val="0"/>
      <w:marTop w:val="0"/>
      <w:marBottom w:val="0"/>
      <w:divBdr>
        <w:top w:val="none" w:sz="0" w:space="0" w:color="auto"/>
        <w:left w:val="none" w:sz="0" w:space="0" w:color="auto"/>
        <w:bottom w:val="none" w:sz="0" w:space="0" w:color="auto"/>
        <w:right w:val="none" w:sz="0" w:space="0" w:color="auto"/>
      </w:divBdr>
    </w:div>
    <w:div w:id="626548854">
      <w:bodyDiv w:val="1"/>
      <w:marLeft w:val="0"/>
      <w:marRight w:val="0"/>
      <w:marTop w:val="0"/>
      <w:marBottom w:val="0"/>
      <w:divBdr>
        <w:top w:val="none" w:sz="0" w:space="0" w:color="auto"/>
        <w:left w:val="none" w:sz="0" w:space="0" w:color="auto"/>
        <w:bottom w:val="none" w:sz="0" w:space="0" w:color="auto"/>
        <w:right w:val="none" w:sz="0" w:space="0" w:color="auto"/>
      </w:divBdr>
    </w:div>
    <w:div w:id="637344572">
      <w:bodyDiv w:val="1"/>
      <w:marLeft w:val="0"/>
      <w:marRight w:val="0"/>
      <w:marTop w:val="0"/>
      <w:marBottom w:val="0"/>
      <w:divBdr>
        <w:top w:val="none" w:sz="0" w:space="0" w:color="auto"/>
        <w:left w:val="none" w:sz="0" w:space="0" w:color="auto"/>
        <w:bottom w:val="none" w:sz="0" w:space="0" w:color="auto"/>
        <w:right w:val="none" w:sz="0" w:space="0" w:color="auto"/>
      </w:divBdr>
    </w:div>
    <w:div w:id="646476331">
      <w:bodyDiv w:val="1"/>
      <w:marLeft w:val="0"/>
      <w:marRight w:val="0"/>
      <w:marTop w:val="0"/>
      <w:marBottom w:val="0"/>
      <w:divBdr>
        <w:top w:val="none" w:sz="0" w:space="0" w:color="auto"/>
        <w:left w:val="none" w:sz="0" w:space="0" w:color="auto"/>
        <w:bottom w:val="none" w:sz="0" w:space="0" w:color="auto"/>
        <w:right w:val="none" w:sz="0" w:space="0" w:color="auto"/>
      </w:divBdr>
    </w:div>
    <w:div w:id="649793159">
      <w:bodyDiv w:val="1"/>
      <w:marLeft w:val="0"/>
      <w:marRight w:val="0"/>
      <w:marTop w:val="0"/>
      <w:marBottom w:val="0"/>
      <w:divBdr>
        <w:top w:val="none" w:sz="0" w:space="0" w:color="auto"/>
        <w:left w:val="none" w:sz="0" w:space="0" w:color="auto"/>
        <w:bottom w:val="none" w:sz="0" w:space="0" w:color="auto"/>
        <w:right w:val="none" w:sz="0" w:space="0" w:color="auto"/>
      </w:divBdr>
    </w:div>
    <w:div w:id="651301506">
      <w:bodyDiv w:val="1"/>
      <w:marLeft w:val="0"/>
      <w:marRight w:val="0"/>
      <w:marTop w:val="0"/>
      <w:marBottom w:val="0"/>
      <w:divBdr>
        <w:top w:val="none" w:sz="0" w:space="0" w:color="auto"/>
        <w:left w:val="none" w:sz="0" w:space="0" w:color="auto"/>
        <w:bottom w:val="none" w:sz="0" w:space="0" w:color="auto"/>
        <w:right w:val="none" w:sz="0" w:space="0" w:color="auto"/>
      </w:divBdr>
    </w:div>
    <w:div w:id="651834451">
      <w:bodyDiv w:val="1"/>
      <w:marLeft w:val="0"/>
      <w:marRight w:val="0"/>
      <w:marTop w:val="0"/>
      <w:marBottom w:val="0"/>
      <w:divBdr>
        <w:top w:val="none" w:sz="0" w:space="0" w:color="auto"/>
        <w:left w:val="none" w:sz="0" w:space="0" w:color="auto"/>
        <w:bottom w:val="none" w:sz="0" w:space="0" w:color="auto"/>
        <w:right w:val="none" w:sz="0" w:space="0" w:color="auto"/>
      </w:divBdr>
    </w:div>
    <w:div w:id="660894315">
      <w:bodyDiv w:val="1"/>
      <w:marLeft w:val="0"/>
      <w:marRight w:val="0"/>
      <w:marTop w:val="0"/>
      <w:marBottom w:val="0"/>
      <w:divBdr>
        <w:top w:val="none" w:sz="0" w:space="0" w:color="auto"/>
        <w:left w:val="none" w:sz="0" w:space="0" w:color="auto"/>
        <w:bottom w:val="none" w:sz="0" w:space="0" w:color="auto"/>
        <w:right w:val="none" w:sz="0" w:space="0" w:color="auto"/>
      </w:divBdr>
    </w:div>
    <w:div w:id="662860455">
      <w:bodyDiv w:val="1"/>
      <w:marLeft w:val="0"/>
      <w:marRight w:val="0"/>
      <w:marTop w:val="0"/>
      <w:marBottom w:val="0"/>
      <w:divBdr>
        <w:top w:val="none" w:sz="0" w:space="0" w:color="auto"/>
        <w:left w:val="none" w:sz="0" w:space="0" w:color="auto"/>
        <w:bottom w:val="none" w:sz="0" w:space="0" w:color="auto"/>
        <w:right w:val="none" w:sz="0" w:space="0" w:color="auto"/>
      </w:divBdr>
    </w:div>
    <w:div w:id="666136852">
      <w:bodyDiv w:val="1"/>
      <w:marLeft w:val="0"/>
      <w:marRight w:val="0"/>
      <w:marTop w:val="0"/>
      <w:marBottom w:val="0"/>
      <w:divBdr>
        <w:top w:val="none" w:sz="0" w:space="0" w:color="auto"/>
        <w:left w:val="none" w:sz="0" w:space="0" w:color="auto"/>
        <w:bottom w:val="none" w:sz="0" w:space="0" w:color="auto"/>
        <w:right w:val="none" w:sz="0" w:space="0" w:color="auto"/>
      </w:divBdr>
    </w:div>
    <w:div w:id="666830478">
      <w:bodyDiv w:val="1"/>
      <w:marLeft w:val="0"/>
      <w:marRight w:val="0"/>
      <w:marTop w:val="0"/>
      <w:marBottom w:val="0"/>
      <w:divBdr>
        <w:top w:val="none" w:sz="0" w:space="0" w:color="auto"/>
        <w:left w:val="none" w:sz="0" w:space="0" w:color="auto"/>
        <w:bottom w:val="none" w:sz="0" w:space="0" w:color="auto"/>
        <w:right w:val="none" w:sz="0" w:space="0" w:color="auto"/>
      </w:divBdr>
    </w:div>
    <w:div w:id="670135616">
      <w:bodyDiv w:val="1"/>
      <w:marLeft w:val="0"/>
      <w:marRight w:val="0"/>
      <w:marTop w:val="0"/>
      <w:marBottom w:val="0"/>
      <w:divBdr>
        <w:top w:val="none" w:sz="0" w:space="0" w:color="auto"/>
        <w:left w:val="none" w:sz="0" w:space="0" w:color="auto"/>
        <w:bottom w:val="none" w:sz="0" w:space="0" w:color="auto"/>
        <w:right w:val="none" w:sz="0" w:space="0" w:color="auto"/>
      </w:divBdr>
    </w:div>
    <w:div w:id="670328784">
      <w:bodyDiv w:val="1"/>
      <w:marLeft w:val="0"/>
      <w:marRight w:val="0"/>
      <w:marTop w:val="0"/>
      <w:marBottom w:val="0"/>
      <w:divBdr>
        <w:top w:val="none" w:sz="0" w:space="0" w:color="auto"/>
        <w:left w:val="none" w:sz="0" w:space="0" w:color="auto"/>
        <w:bottom w:val="none" w:sz="0" w:space="0" w:color="auto"/>
        <w:right w:val="none" w:sz="0" w:space="0" w:color="auto"/>
      </w:divBdr>
    </w:div>
    <w:div w:id="672339189">
      <w:bodyDiv w:val="1"/>
      <w:marLeft w:val="0"/>
      <w:marRight w:val="0"/>
      <w:marTop w:val="0"/>
      <w:marBottom w:val="0"/>
      <w:divBdr>
        <w:top w:val="none" w:sz="0" w:space="0" w:color="auto"/>
        <w:left w:val="none" w:sz="0" w:space="0" w:color="auto"/>
        <w:bottom w:val="none" w:sz="0" w:space="0" w:color="auto"/>
        <w:right w:val="none" w:sz="0" w:space="0" w:color="auto"/>
      </w:divBdr>
    </w:div>
    <w:div w:id="674502773">
      <w:bodyDiv w:val="1"/>
      <w:marLeft w:val="0"/>
      <w:marRight w:val="0"/>
      <w:marTop w:val="0"/>
      <w:marBottom w:val="0"/>
      <w:divBdr>
        <w:top w:val="none" w:sz="0" w:space="0" w:color="auto"/>
        <w:left w:val="none" w:sz="0" w:space="0" w:color="auto"/>
        <w:bottom w:val="none" w:sz="0" w:space="0" w:color="auto"/>
        <w:right w:val="none" w:sz="0" w:space="0" w:color="auto"/>
      </w:divBdr>
    </w:div>
    <w:div w:id="679893987">
      <w:bodyDiv w:val="1"/>
      <w:marLeft w:val="0"/>
      <w:marRight w:val="0"/>
      <w:marTop w:val="0"/>
      <w:marBottom w:val="0"/>
      <w:divBdr>
        <w:top w:val="none" w:sz="0" w:space="0" w:color="auto"/>
        <w:left w:val="none" w:sz="0" w:space="0" w:color="auto"/>
        <w:bottom w:val="none" w:sz="0" w:space="0" w:color="auto"/>
        <w:right w:val="none" w:sz="0" w:space="0" w:color="auto"/>
      </w:divBdr>
    </w:div>
    <w:div w:id="684552336">
      <w:bodyDiv w:val="1"/>
      <w:marLeft w:val="0"/>
      <w:marRight w:val="0"/>
      <w:marTop w:val="0"/>
      <w:marBottom w:val="0"/>
      <w:divBdr>
        <w:top w:val="none" w:sz="0" w:space="0" w:color="auto"/>
        <w:left w:val="none" w:sz="0" w:space="0" w:color="auto"/>
        <w:bottom w:val="none" w:sz="0" w:space="0" w:color="auto"/>
        <w:right w:val="none" w:sz="0" w:space="0" w:color="auto"/>
      </w:divBdr>
    </w:div>
    <w:div w:id="684596500">
      <w:bodyDiv w:val="1"/>
      <w:marLeft w:val="0"/>
      <w:marRight w:val="0"/>
      <w:marTop w:val="0"/>
      <w:marBottom w:val="0"/>
      <w:divBdr>
        <w:top w:val="none" w:sz="0" w:space="0" w:color="auto"/>
        <w:left w:val="none" w:sz="0" w:space="0" w:color="auto"/>
        <w:bottom w:val="none" w:sz="0" w:space="0" w:color="auto"/>
        <w:right w:val="none" w:sz="0" w:space="0" w:color="auto"/>
      </w:divBdr>
    </w:div>
    <w:div w:id="687146500">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90228626">
      <w:bodyDiv w:val="1"/>
      <w:marLeft w:val="0"/>
      <w:marRight w:val="0"/>
      <w:marTop w:val="0"/>
      <w:marBottom w:val="0"/>
      <w:divBdr>
        <w:top w:val="none" w:sz="0" w:space="0" w:color="auto"/>
        <w:left w:val="none" w:sz="0" w:space="0" w:color="auto"/>
        <w:bottom w:val="none" w:sz="0" w:space="0" w:color="auto"/>
        <w:right w:val="none" w:sz="0" w:space="0" w:color="auto"/>
      </w:divBdr>
    </w:div>
    <w:div w:id="697853037">
      <w:bodyDiv w:val="1"/>
      <w:marLeft w:val="0"/>
      <w:marRight w:val="0"/>
      <w:marTop w:val="0"/>
      <w:marBottom w:val="0"/>
      <w:divBdr>
        <w:top w:val="none" w:sz="0" w:space="0" w:color="auto"/>
        <w:left w:val="none" w:sz="0" w:space="0" w:color="auto"/>
        <w:bottom w:val="none" w:sz="0" w:space="0" w:color="auto"/>
        <w:right w:val="none" w:sz="0" w:space="0" w:color="auto"/>
      </w:divBdr>
    </w:div>
    <w:div w:id="702175139">
      <w:bodyDiv w:val="1"/>
      <w:marLeft w:val="0"/>
      <w:marRight w:val="0"/>
      <w:marTop w:val="0"/>
      <w:marBottom w:val="0"/>
      <w:divBdr>
        <w:top w:val="none" w:sz="0" w:space="0" w:color="auto"/>
        <w:left w:val="none" w:sz="0" w:space="0" w:color="auto"/>
        <w:bottom w:val="none" w:sz="0" w:space="0" w:color="auto"/>
        <w:right w:val="none" w:sz="0" w:space="0" w:color="auto"/>
      </w:divBdr>
    </w:div>
    <w:div w:id="704521214">
      <w:bodyDiv w:val="1"/>
      <w:marLeft w:val="0"/>
      <w:marRight w:val="0"/>
      <w:marTop w:val="0"/>
      <w:marBottom w:val="0"/>
      <w:divBdr>
        <w:top w:val="none" w:sz="0" w:space="0" w:color="auto"/>
        <w:left w:val="none" w:sz="0" w:space="0" w:color="auto"/>
        <w:bottom w:val="none" w:sz="0" w:space="0" w:color="auto"/>
        <w:right w:val="none" w:sz="0" w:space="0" w:color="auto"/>
      </w:divBdr>
    </w:div>
    <w:div w:id="705645619">
      <w:bodyDiv w:val="1"/>
      <w:marLeft w:val="0"/>
      <w:marRight w:val="0"/>
      <w:marTop w:val="0"/>
      <w:marBottom w:val="0"/>
      <w:divBdr>
        <w:top w:val="none" w:sz="0" w:space="0" w:color="auto"/>
        <w:left w:val="none" w:sz="0" w:space="0" w:color="auto"/>
        <w:bottom w:val="none" w:sz="0" w:space="0" w:color="auto"/>
        <w:right w:val="none" w:sz="0" w:space="0" w:color="auto"/>
      </w:divBdr>
    </w:div>
    <w:div w:id="706107551">
      <w:bodyDiv w:val="1"/>
      <w:marLeft w:val="0"/>
      <w:marRight w:val="0"/>
      <w:marTop w:val="0"/>
      <w:marBottom w:val="0"/>
      <w:divBdr>
        <w:top w:val="none" w:sz="0" w:space="0" w:color="auto"/>
        <w:left w:val="none" w:sz="0" w:space="0" w:color="auto"/>
        <w:bottom w:val="none" w:sz="0" w:space="0" w:color="auto"/>
        <w:right w:val="none" w:sz="0" w:space="0" w:color="auto"/>
      </w:divBdr>
    </w:div>
    <w:div w:id="707687476">
      <w:bodyDiv w:val="1"/>
      <w:marLeft w:val="0"/>
      <w:marRight w:val="0"/>
      <w:marTop w:val="0"/>
      <w:marBottom w:val="0"/>
      <w:divBdr>
        <w:top w:val="none" w:sz="0" w:space="0" w:color="auto"/>
        <w:left w:val="none" w:sz="0" w:space="0" w:color="auto"/>
        <w:bottom w:val="none" w:sz="0" w:space="0" w:color="auto"/>
        <w:right w:val="none" w:sz="0" w:space="0" w:color="auto"/>
      </w:divBdr>
    </w:div>
    <w:div w:id="715466860">
      <w:bodyDiv w:val="1"/>
      <w:marLeft w:val="0"/>
      <w:marRight w:val="0"/>
      <w:marTop w:val="0"/>
      <w:marBottom w:val="0"/>
      <w:divBdr>
        <w:top w:val="none" w:sz="0" w:space="0" w:color="auto"/>
        <w:left w:val="none" w:sz="0" w:space="0" w:color="auto"/>
        <w:bottom w:val="none" w:sz="0" w:space="0" w:color="auto"/>
        <w:right w:val="none" w:sz="0" w:space="0" w:color="auto"/>
      </w:divBdr>
    </w:div>
    <w:div w:id="720400422">
      <w:bodyDiv w:val="1"/>
      <w:marLeft w:val="0"/>
      <w:marRight w:val="0"/>
      <w:marTop w:val="0"/>
      <w:marBottom w:val="0"/>
      <w:divBdr>
        <w:top w:val="none" w:sz="0" w:space="0" w:color="auto"/>
        <w:left w:val="none" w:sz="0" w:space="0" w:color="auto"/>
        <w:bottom w:val="none" w:sz="0" w:space="0" w:color="auto"/>
        <w:right w:val="none" w:sz="0" w:space="0" w:color="auto"/>
      </w:divBdr>
    </w:div>
    <w:div w:id="721103354">
      <w:bodyDiv w:val="1"/>
      <w:marLeft w:val="0"/>
      <w:marRight w:val="0"/>
      <w:marTop w:val="0"/>
      <w:marBottom w:val="0"/>
      <w:divBdr>
        <w:top w:val="none" w:sz="0" w:space="0" w:color="auto"/>
        <w:left w:val="none" w:sz="0" w:space="0" w:color="auto"/>
        <w:bottom w:val="none" w:sz="0" w:space="0" w:color="auto"/>
        <w:right w:val="none" w:sz="0" w:space="0" w:color="auto"/>
      </w:divBdr>
    </w:div>
    <w:div w:id="725766040">
      <w:bodyDiv w:val="1"/>
      <w:marLeft w:val="0"/>
      <w:marRight w:val="0"/>
      <w:marTop w:val="0"/>
      <w:marBottom w:val="0"/>
      <w:divBdr>
        <w:top w:val="none" w:sz="0" w:space="0" w:color="auto"/>
        <w:left w:val="none" w:sz="0" w:space="0" w:color="auto"/>
        <w:bottom w:val="none" w:sz="0" w:space="0" w:color="auto"/>
        <w:right w:val="none" w:sz="0" w:space="0" w:color="auto"/>
      </w:divBdr>
    </w:div>
    <w:div w:id="726345847">
      <w:bodyDiv w:val="1"/>
      <w:marLeft w:val="0"/>
      <w:marRight w:val="0"/>
      <w:marTop w:val="0"/>
      <w:marBottom w:val="0"/>
      <w:divBdr>
        <w:top w:val="none" w:sz="0" w:space="0" w:color="auto"/>
        <w:left w:val="none" w:sz="0" w:space="0" w:color="auto"/>
        <w:bottom w:val="none" w:sz="0" w:space="0" w:color="auto"/>
        <w:right w:val="none" w:sz="0" w:space="0" w:color="auto"/>
      </w:divBdr>
    </w:div>
    <w:div w:id="734010755">
      <w:bodyDiv w:val="1"/>
      <w:marLeft w:val="0"/>
      <w:marRight w:val="0"/>
      <w:marTop w:val="0"/>
      <w:marBottom w:val="0"/>
      <w:divBdr>
        <w:top w:val="none" w:sz="0" w:space="0" w:color="auto"/>
        <w:left w:val="none" w:sz="0" w:space="0" w:color="auto"/>
        <w:bottom w:val="none" w:sz="0" w:space="0" w:color="auto"/>
        <w:right w:val="none" w:sz="0" w:space="0" w:color="auto"/>
      </w:divBdr>
    </w:div>
    <w:div w:id="737560522">
      <w:bodyDiv w:val="1"/>
      <w:marLeft w:val="0"/>
      <w:marRight w:val="0"/>
      <w:marTop w:val="0"/>
      <w:marBottom w:val="0"/>
      <w:divBdr>
        <w:top w:val="none" w:sz="0" w:space="0" w:color="auto"/>
        <w:left w:val="none" w:sz="0" w:space="0" w:color="auto"/>
        <w:bottom w:val="none" w:sz="0" w:space="0" w:color="auto"/>
        <w:right w:val="none" w:sz="0" w:space="0" w:color="auto"/>
      </w:divBdr>
    </w:div>
    <w:div w:id="743768409">
      <w:bodyDiv w:val="1"/>
      <w:marLeft w:val="0"/>
      <w:marRight w:val="0"/>
      <w:marTop w:val="0"/>
      <w:marBottom w:val="0"/>
      <w:divBdr>
        <w:top w:val="none" w:sz="0" w:space="0" w:color="auto"/>
        <w:left w:val="none" w:sz="0" w:space="0" w:color="auto"/>
        <w:bottom w:val="none" w:sz="0" w:space="0" w:color="auto"/>
        <w:right w:val="none" w:sz="0" w:space="0" w:color="auto"/>
      </w:divBdr>
    </w:div>
    <w:div w:id="748118884">
      <w:bodyDiv w:val="1"/>
      <w:marLeft w:val="0"/>
      <w:marRight w:val="0"/>
      <w:marTop w:val="0"/>
      <w:marBottom w:val="0"/>
      <w:divBdr>
        <w:top w:val="none" w:sz="0" w:space="0" w:color="auto"/>
        <w:left w:val="none" w:sz="0" w:space="0" w:color="auto"/>
        <w:bottom w:val="none" w:sz="0" w:space="0" w:color="auto"/>
        <w:right w:val="none" w:sz="0" w:space="0" w:color="auto"/>
      </w:divBdr>
    </w:div>
    <w:div w:id="748817166">
      <w:bodyDiv w:val="1"/>
      <w:marLeft w:val="0"/>
      <w:marRight w:val="0"/>
      <w:marTop w:val="0"/>
      <w:marBottom w:val="0"/>
      <w:divBdr>
        <w:top w:val="none" w:sz="0" w:space="0" w:color="auto"/>
        <w:left w:val="none" w:sz="0" w:space="0" w:color="auto"/>
        <w:bottom w:val="none" w:sz="0" w:space="0" w:color="auto"/>
        <w:right w:val="none" w:sz="0" w:space="0" w:color="auto"/>
      </w:divBdr>
    </w:div>
    <w:div w:id="750392968">
      <w:bodyDiv w:val="1"/>
      <w:marLeft w:val="0"/>
      <w:marRight w:val="0"/>
      <w:marTop w:val="0"/>
      <w:marBottom w:val="0"/>
      <w:divBdr>
        <w:top w:val="none" w:sz="0" w:space="0" w:color="auto"/>
        <w:left w:val="none" w:sz="0" w:space="0" w:color="auto"/>
        <w:bottom w:val="none" w:sz="0" w:space="0" w:color="auto"/>
        <w:right w:val="none" w:sz="0" w:space="0" w:color="auto"/>
      </w:divBdr>
    </w:div>
    <w:div w:id="751850959">
      <w:bodyDiv w:val="1"/>
      <w:marLeft w:val="0"/>
      <w:marRight w:val="0"/>
      <w:marTop w:val="0"/>
      <w:marBottom w:val="0"/>
      <w:divBdr>
        <w:top w:val="none" w:sz="0" w:space="0" w:color="auto"/>
        <w:left w:val="none" w:sz="0" w:space="0" w:color="auto"/>
        <w:bottom w:val="none" w:sz="0" w:space="0" w:color="auto"/>
        <w:right w:val="none" w:sz="0" w:space="0" w:color="auto"/>
      </w:divBdr>
    </w:div>
    <w:div w:id="752706817">
      <w:bodyDiv w:val="1"/>
      <w:marLeft w:val="0"/>
      <w:marRight w:val="0"/>
      <w:marTop w:val="0"/>
      <w:marBottom w:val="0"/>
      <w:divBdr>
        <w:top w:val="none" w:sz="0" w:space="0" w:color="auto"/>
        <w:left w:val="none" w:sz="0" w:space="0" w:color="auto"/>
        <w:bottom w:val="none" w:sz="0" w:space="0" w:color="auto"/>
        <w:right w:val="none" w:sz="0" w:space="0" w:color="auto"/>
      </w:divBdr>
    </w:div>
    <w:div w:id="754398538">
      <w:bodyDiv w:val="1"/>
      <w:marLeft w:val="0"/>
      <w:marRight w:val="0"/>
      <w:marTop w:val="0"/>
      <w:marBottom w:val="0"/>
      <w:divBdr>
        <w:top w:val="none" w:sz="0" w:space="0" w:color="auto"/>
        <w:left w:val="none" w:sz="0" w:space="0" w:color="auto"/>
        <w:bottom w:val="none" w:sz="0" w:space="0" w:color="auto"/>
        <w:right w:val="none" w:sz="0" w:space="0" w:color="auto"/>
      </w:divBdr>
    </w:div>
    <w:div w:id="757480723">
      <w:bodyDiv w:val="1"/>
      <w:marLeft w:val="0"/>
      <w:marRight w:val="0"/>
      <w:marTop w:val="0"/>
      <w:marBottom w:val="0"/>
      <w:divBdr>
        <w:top w:val="none" w:sz="0" w:space="0" w:color="auto"/>
        <w:left w:val="none" w:sz="0" w:space="0" w:color="auto"/>
        <w:bottom w:val="none" w:sz="0" w:space="0" w:color="auto"/>
        <w:right w:val="none" w:sz="0" w:space="0" w:color="auto"/>
      </w:divBdr>
    </w:div>
    <w:div w:id="771627507">
      <w:bodyDiv w:val="1"/>
      <w:marLeft w:val="0"/>
      <w:marRight w:val="0"/>
      <w:marTop w:val="0"/>
      <w:marBottom w:val="0"/>
      <w:divBdr>
        <w:top w:val="none" w:sz="0" w:space="0" w:color="auto"/>
        <w:left w:val="none" w:sz="0" w:space="0" w:color="auto"/>
        <w:bottom w:val="none" w:sz="0" w:space="0" w:color="auto"/>
        <w:right w:val="none" w:sz="0" w:space="0" w:color="auto"/>
      </w:divBdr>
    </w:div>
    <w:div w:id="776170064">
      <w:bodyDiv w:val="1"/>
      <w:marLeft w:val="0"/>
      <w:marRight w:val="0"/>
      <w:marTop w:val="0"/>
      <w:marBottom w:val="0"/>
      <w:divBdr>
        <w:top w:val="none" w:sz="0" w:space="0" w:color="auto"/>
        <w:left w:val="none" w:sz="0" w:space="0" w:color="auto"/>
        <w:bottom w:val="none" w:sz="0" w:space="0" w:color="auto"/>
        <w:right w:val="none" w:sz="0" w:space="0" w:color="auto"/>
      </w:divBdr>
    </w:div>
    <w:div w:id="785391575">
      <w:bodyDiv w:val="1"/>
      <w:marLeft w:val="0"/>
      <w:marRight w:val="0"/>
      <w:marTop w:val="0"/>
      <w:marBottom w:val="0"/>
      <w:divBdr>
        <w:top w:val="none" w:sz="0" w:space="0" w:color="auto"/>
        <w:left w:val="none" w:sz="0" w:space="0" w:color="auto"/>
        <w:bottom w:val="none" w:sz="0" w:space="0" w:color="auto"/>
        <w:right w:val="none" w:sz="0" w:space="0" w:color="auto"/>
      </w:divBdr>
    </w:div>
    <w:div w:id="786855352">
      <w:bodyDiv w:val="1"/>
      <w:marLeft w:val="0"/>
      <w:marRight w:val="0"/>
      <w:marTop w:val="0"/>
      <w:marBottom w:val="0"/>
      <w:divBdr>
        <w:top w:val="none" w:sz="0" w:space="0" w:color="auto"/>
        <w:left w:val="none" w:sz="0" w:space="0" w:color="auto"/>
        <w:bottom w:val="none" w:sz="0" w:space="0" w:color="auto"/>
        <w:right w:val="none" w:sz="0" w:space="0" w:color="auto"/>
      </w:divBdr>
    </w:div>
    <w:div w:id="788159625">
      <w:bodyDiv w:val="1"/>
      <w:marLeft w:val="0"/>
      <w:marRight w:val="0"/>
      <w:marTop w:val="0"/>
      <w:marBottom w:val="0"/>
      <w:divBdr>
        <w:top w:val="none" w:sz="0" w:space="0" w:color="auto"/>
        <w:left w:val="none" w:sz="0" w:space="0" w:color="auto"/>
        <w:bottom w:val="none" w:sz="0" w:space="0" w:color="auto"/>
        <w:right w:val="none" w:sz="0" w:space="0" w:color="auto"/>
      </w:divBdr>
      <w:divsChild>
        <w:div w:id="899826747">
          <w:marLeft w:val="0"/>
          <w:marRight w:val="0"/>
          <w:marTop w:val="0"/>
          <w:marBottom w:val="0"/>
          <w:divBdr>
            <w:top w:val="none" w:sz="0" w:space="0" w:color="auto"/>
            <w:left w:val="none" w:sz="0" w:space="0" w:color="auto"/>
            <w:bottom w:val="none" w:sz="0" w:space="0" w:color="auto"/>
            <w:right w:val="none" w:sz="0" w:space="0" w:color="auto"/>
          </w:divBdr>
        </w:div>
        <w:div w:id="1438792573">
          <w:marLeft w:val="0"/>
          <w:marRight w:val="0"/>
          <w:marTop w:val="0"/>
          <w:marBottom w:val="0"/>
          <w:divBdr>
            <w:top w:val="none" w:sz="0" w:space="0" w:color="auto"/>
            <w:left w:val="none" w:sz="0" w:space="0" w:color="auto"/>
            <w:bottom w:val="none" w:sz="0" w:space="0" w:color="auto"/>
            <w:right w:val="none" w:sz="0" w:space="0" w:color="auto"/>
          </w:divBdr>
        </w:div>
      </w:divsChild>
    </w:div>
    <w:div w:id="789740851">
      <w:bodyDiv w:val="1"/>
      <w:marLeft w:val="0"/>
      <w:marRight w:val="0"/>
      <w:marTop w:val="0"/>
      <w:marBottom w:val="0"/>
      <w:divBdr>
        <w:top w:val="none" w:sz="0" w:space="0" w:color="auto"/>
        <w:left w:val="none" w:sz="0" w:space="0" w:color="auto"/>
        <w:bottom w:val="none" w:sz="0" w:space="0" w:color="auto"/>
        <w:right w:val="none" w:sz="0" w:space="0" w:color="auto"/>
      </w:divBdr>
    </w:div>
    <w:div w:id="790242120">
      <w:bodyDiv w:val="1"/>
      <w:marLeft w:val="0"/>
      <w:marRight w:val="0"/>
      <w:marTop w:val="0"/>
      <w:marBottom w:val="0"/>
      <w:divBdr>
        <w:top w:val="none" w:sz="0" w:space="0" w:color="auto"/>
        <w:left w:val="none" w:sz="0" w:space="0" w:color="auto"/>
        <w:bottom w:val="none" w:sz="0" w:space="0" w:color="auto"/>
        <w:right w:val="none" w:sz="0" w:space="0" w:color="auto"/>
      </w:divBdr>
    </w:div>
    <w:div w:id="790787490">
      <w:bodyDiv w:val="1"/>
      <w:marLeft w:val="0"/>
      <w:marRight w:val="0"/>
      <w:marTop w:val="0"/>
      <w:marBottom w:val="0"/>
      <w:divBdr>
        <w:top w:val="none" w:sz="0" w:space="0" w:color="auto"/>
        <w:left w:val="none" w:sz="0" w:space="0" w:color="auto"/>
        <w:bottom w:val="none" w:sz="0" w:space="0" w:color="auto"/>
        <w:right w:val="none" w:sz="0" w:space="0" w:color="auto"/>
      </w:divBdr>
    </w:div>
    <w:div w:id="794517871">
      <w:bodyDiv w:val="1"/>
      <w:marLeft w:val="0"/>
      <w:marRight w:val="0"/>
      <w:marTop w:val="0"/>
      <w:marBottom w:val="0"/>
      <w:divBdr>
        <w:top w:val="none" w:sz="0" w:space="0" w:color="auto"/>
        <w:left w:val="none" w:sz="0" w:space="0" w:color="auto"/>
        <w:bottom w:val="none" w:sz="0" w:space="0" w:color="auto"/>
        <w:right w:val="none" w:sz="0" w:space="0" w:color="auto"/>
      </w:divBdr>
    </w:div>
    <w:div w:id="796223781">
      <w:bodyDiv w:val="1"/>
      <w:marLeft w:val="0"/>
      <w:marRight w:val="0"/>
      <w:marTop w:val="0"/>
      <w:marBottom w:val="0"/>
      <w:divBdr>
        <w:top w:val="none" w:sz="0" w:space="0" w:color="auto"/>
        <w:left w:val="none" w:sz="0" w:space="0" w:color="auto"/>
        <w:bottom w:val="none" w:sz="0" w:space="0" w:color="auto"/>
        <w:right w:val="none" w:sz="0" w:space="0" w:color="auto"/>
      </w:divBdr>
    </w:div>
    <w:div w:id="804199209">
      <w:bodyDiv w:val="1"/>
      <w:marLeft w:val="0"/>
      <w:marRight w:val="0"/>
      <w:marTop w:val="0"/>
      <w:marBottom w:val="0"/>
      <w:divBdr>
        <w:top w:val="none" w:sz="0" w:space="0" w:color="auto"/>
        <w:left w:val="none" w:sz="0" w:space="0" w:color="auto"/>
        <w:bottom w:val="none" w:sz="0" w:space="0" w:color="auto"/>
        <w:right w:val="none" w:sz="0" w:space="0" w:color="auto"/>
      </w:divBdr>
    </w:div>
    <w:div w:id="810631995">
      <w:bodyDiv w:val="1"/>
      <w:marLeft w:val="0"/>
      <w:marRight w:val="0"/>
      <w:marTop w:val="0"/>
      <w:marBottom w:val="0"/>
      <w:divBdr>
        <w:top w:val="none" w:sz="0" w:space="0" w:color="auto"/>
        <w:left w:val="none" w:sz="0" w:space="0" w:color="auto"/>
        <w:bottom w:val="none" w:sz="0" w:space="0" w:color="auto"/>
        <w:right w:val="none" w:sz="0" w:space="0" w:color="auto"/>
      </w:divBdr>
    </w:div>
    <w:div w:id="815877199">
      <w:bodyDiv w:val="1"/>
      <w:marLeft w:val="0"/>
      <w:marRight w:val="0"/>
      <w:marTop w:val="0"/>
      <w:marBottom w:val="0"/>
      <w:divBdr>
        <w:top w:val="none" w:sz="0" w:space="0" w:color="auto"/>
        <w:left w:val="none" w:sz="0" w:space="0" w:color="auto"/>
        <w:bottom w:val="none" w:sz="0" w:space="0" w:color="auto"/>
        <w:right w:val="none" w:sz="0" w:space="0" w:color="auto"/>
      </w:divBdr>
    </w:div>
    <w:div w:id="818500193">
      <w:bodyDiv w:val="1"/>
      <w:marLeft w:val="0"/>
      <w:marRight w:val="0"/>
      <w:marTop w:val="0"/>
      <w:marBottom w:val="0"/>
      <w:divBdr>
        <w:top w:val="none" w:sz="0" w:space="0" w:color="auto"/>
        <w:left w:val="none" w:sz="0" w:space="0" w:color="auto"/>
        <w:bottom w:val="none" w:sz="0" w:space="0" w:color="auto"/>
        <w:right w:val="none" w:sz="0" w:space="0" w:color="auto"/>
      </w:divBdr>
    </w:div>
    <w:div w:id="819344869">
      <w:bodyDiv w:val="1"/>
      <w:marLeft w:val="0"/>
      <w:marRight w:val="0"/>
      <w:marTop w:val="0"/>
      <w:marBottom w:val="0"/>
      <w:divBdr>
        <w:top w:val="none" w:sz="0" w:space="0" w:color="auto"/>
        <w:left w:val="none" w:sz="0" w:space="0" w:color="auto"/>
        <w:bottom w:val="none" w:sz="0" w:space="0" w:color="auto"/>
        <w:right w:val="none" w:sz="0" w:space="0" w:color="auto"/>
      </w:divBdr>
    </w:div>
    <w:div w:id="822433544">
      <w:bodyDiv w:val="1"/>
      <w:marLeft w:val="0"/>
      <w:marRight w:val="0"/>
      <w:marTop w:val="0"/>
      <w:marBottom w:val="0"/>
      <w:divBdr>
        <w:top w:val="none" w:sz="0" w:space="0" w:color="auto"/>
        <w:left w:val="none" w:sz="0" w:space="0" w:color="auto"/>
        <w:bottom w:val="none" w:sz="0" w:space="0" w:color="auto"/>
        <w:right w:val="none" w:sz="0" w:space="0" w:color="auto"/>
      </w:divBdr>
    </w:div>
    <w:div w:id="823089650">
      <w:bodyDiv w:val="1"/>
      <w:marLeft w:val="0"/>
      <w:marRight w:val="0"/>
      <w:marTop w:val="0"/>
      <w:marBottom w:val="0"/>
      <w:divBdr>
        <w:top w:val="none" w:sz="0" w:space="0" w:color="auto"/>
        <w:left w:val="none" w:sz="0" w:space="0" w:color="auto"/>
        <w:bottom w:val="none" w:sz="0" w:space="0" w:color="auto"/>
        <w:right w:val="none" w:sz="0" w:space="0" w:color="auto"/>
      </w:divBdr>
    </w:div>
    <w:div w:id="824055738">
      <w:bodyDiv w:val="1"/>
      <w:marLeft w:val="0"/>
      <w:marRight w:val="0"/>
      <w:marTop w:val="0"/>
      <w:marBottom w:val="0"/>
      <w:divBdr>
        <w:top w:val="none" w:sz="0" w:space="0" w:color="auto"/>
        <w:left w:val="none" w:sz="0" w:space="0" w:color="auto"/>
        <w:bottom w:val="none" w:sz="0" w:space="0" w:color="auto"/>
        <w:right w:val="none" w:sz="0" w:space="0" w:color="auto"/>
      </w:divBdr>
    </w:div>
    <w:div w:id="824126821">
      <w:bodyDiv w:val="1"/>
      <w:marLeft w:val="0"/>
      <w:marRight w:val="0"/>
      <w:marTop w:val="0"/>
      <w:marBottom w:val="0"/>
      <w:divBdr>
        <w:top w:val="none" w:sz="0" w:space="0" w:color="auto"/>
        <w:left w:val="none" w:sz="0" w:space="0" w:color="auto"/>
        <w:bottom w:val="none" w:sz="0" w:space="0" w:color="auto"/>
        <w:right w:val="none" w:sz="0" w:space="0" w:color="auto"/>
      </w:divBdr>
    </w:div>
    <w:div w:id="829829197">
      <w:bodyDiv w:val="1"/>
      <w:marLeft w:val="0"/>
      <w:marRight w:val="0"/>
      <w:marTop w:val="0"/>
      <w:marBottom w:val="0"/>
      <w:divBdr>
        <w:top w:val="none" w:sz="0" w:space="0" w:color="auto"/>
        <w:left w:val="none" w:sz="0" w:space="0" w:color="auto"/>
        <w:bottom w:val="none" w:sz="0" w:space="0" w:color="auto"/>
        <w:right w:val="none" w:sz="0" w:space="0" w:color="auto"/>
      </w:divBdr>
    </w:div>
    <w:div w:id="831026444">
      <w:bodyDiv w:val="1"/>
      <w:marLeft w:val="0"/>
      <w:marRight w:val="0"/>
      <w:marTop w:val="0"/>
      <w:marBottom w:val="0"/>
      <w:divBdr>
        <w:top w:val="none" w:sz="0" w:space="0" w:color="auto"/>
        <w:left w:val="none" w:sz="0" w:space="0" w:color="auto"/>
        <w:bottom w:val="none" w:sz="0" w:space="0" w:color="auto"/>
        <w:right w:val="none" w:sz="0" w:space="0" w:color="auto"/>
      </w:divBdr>
    </w:div>
    <w:div w:id="831411696">
      <w:bodyDiv w:val="1"/>
      <w:marLeft w:val="0"/>
      <w:marRight w:val="0"/>
      <w:marTop w:val="0"/>
      <w:marBottom w:val="0"/>
      <w:divBdr>
        <w:top w:val="none" w:sz="0" w:space="0" w:color="auto"/>
        <w:left w:val="none" w:sz="0" w:space="0" w:color="auto"/>
        <w:bottom w:val="none" w:sz="0" w:space="0" w:color="auto"/>
        <w:right w:val="none" w:sz="0" w:space="0" w:color="auto"/>
      </w:divBdr>
    </w:div>
    <w:div w:id="833648398">
      <w:bodyDiv w:val="1"/>
      <w:marLeft w:val="0"/>
      <w:marRight w:val="0"/>
      <w:marTop w:val="0"/>
      <w:marBottom w:val="0"/>
      <w:divBdr>
        <w:top w:val="none" w:sz="0" w:space="0" w:color="auto"/>
        <w:left w:val="none" w:sz="0" w:space="0" w:color="auto"/>
        <w:bottom w:val="none" w:sz="0" w:space="0" w:color="auto"/>
        <w:right w:val="none" w:sz="0" w:space="0" w:color="auto"/>
      </w:divBdr>
      <w:divsChild>
        <w:div w:id="117455290">
          <w:marLeft w:val="0"/>
          <w:marRight w:val="0"/>
          <w:marTop w:val="0"/>
          <w:marBottom w:val="0"/>
          <w:divBdr>
            <w:top w:val="none" w:sz="0" w:space="0" w:color="auto"/>
            <w:left w:val="none" w:sz="0" w:space="0" w:color="auto"/>
            <w:bottom w:val="none" w:sz="0" w:space="0" w:color="auto"/>
            <w:right w:val="none" w:sz="0" w:space="0" w:color="auto"/>
          </w:divBdr>
        </w:div>
        <w:div w:id="928080352">
          <w:marLeft w:val="0"/>
          <w:marRight w:val="0"/>
          <w:marTop w:val="0"/>
          <w:marBottom w:val="0"/>
          <w:divBdr>
            <w:top w:val="none" w:sz="0" w:space="0" w:color="auto"/>
            <w:left w:val="none" w:sz="0" w:space="0" w:color="auto"/>
            <w:bottom w:val="none" w:sz="0" w:space="0" w:color="auto"/>
            <w:right w:val="none" w:sz="0" w:space="0" w:color="auto"/>
          </w:divBdr>
        </w:div>
        <w:div w:id="954599872">
          <w:marLeft w:val="0"/>
          <w:marRight w:val="0"/>
          <w:marTop w:val="0"/>
          <w:marBottom w:val="0"/>
          <w:divBdr>
            <w:top w:val="none" w:sz="0" w:space="0" w:color="auto"/>
            <w:left w:val="none" w:sz="0" w:space="0" w:color="auto"/>
            <w:bottom w:val="none" w:sz="0" w:space="0" w:color="auto"/>
            <w:right w:val="none" w:sz="0" w:space="0" w:color="auto"/>
          </w:divBdr>
        </w:div>
        <w:div w:id="1983996783">
          <w:marLeft w:val="0"/>
          <w:marRight w:val="0"/>
          <w:marTop w:val="0"/>
          <w:marBottom w:val="0"/>
          <w:divBdr>
            <w:top w:val="none" w:sz="0" w:space="0" w:color="auto"/>
            <w:left w:val="none" w:sz="0" w:space="0" w:color="auto"/>
            <w:bottom w:val="none" w:sz="0" w:space="0" w:color="auto"/>
            <w:right w:val="none" w:sz="0" w:space="0" w:color="auto"/>
          </w:divBdr>
        </w:div>
      </w:divsChild>
    </w:div>
    <w:div w:id="839391169">
      <w:bodyDiv w:val="1"/>
      <w:marLeft w:val="0"/>
      <w:marRight w:val="0"/>
      <w:marTop w:val="0"/>
      <w:marBottom w:val="0"/>
      <w:divBdr>
        <w:top w:val="none" w:sz="0" w:space="0" w:color="auto"/>
        <w:left w:val="none" w:sz="0" w:space="0" w:color="auto"/>
        <w:bottom w:val="none" w:sz="0" w:space="0" w:color="auto"/>
        <w:right w:val="none" w:sz="0" w:space="0" w:color="auto"/>
      </w:divBdr>
    </w:div>
    <w:div w:id="841553460">
      <w:bodyDiv w:val="1"/>
      <w:marLeft w:val="0"/>
      <w:marRight w:val="0"/>
      <w:marTop w:val="0"/>
      <w:marBottom w:val="0"/>
      <w:divBdr>
        <w:top w:val="none" w:sz="0" w:space="0" w:color="auto"/>
        <w:left w:val="none" w:sz="0" w:space="0" w:color="auto"/>
        <w:bottom w:val="none" w:sz="0" w:space="0" w:color="auto"/>
        <w:right w:val="none" w:sz="0" w:space="0" w:color="auto"/>
      </w:divBdr>
    </w:div>
    <w:div w:id="844589752">
      <w:bodyDiv w:val="1"/>
      <w:marLeft w:val="0"/>
      <w:marRight w:val="0"/>
      <w:marTop w:val="0"/>
      <w:marBottom w:val="0"/>
      <w:divBdr>
        <w:top w:val="none" w:sz="0" w:space="0" w:color="auto"/>
        <w:left w:val="none" w:sz="0" w:space="0" w:color="auto"/>
        <w:bottom w:val="none" w:sz="0" w:space="0" w:color="auto"/>
        <w:right w:val="none" w:sz="0" w:space="0" w:color="auto"/>
      </w:divBdr>
    </w:div>
    <w:div w:id="847867874">
      <w:bodyDiv w:val="1"/>
      <w:marLeft w:val="0"/>
      <w:marRight w:val="0"/>
      <w:marTop w:val="0"/>
      <w:marBottom w:val="0"/>
      <w:divBdr>
        <w:top w:val="none" w:sz="0" w:space="0" w:color="auto"/>
        <w:left w:val="none" w:sz="0" w:space="0" w:color="auto"/>
        <w:bottom w:val="none" w:sz="0" w:space="0" w:color="auto"/>
        <w:right w:val="none" w:sz="0" w:space="0" w:color="auto"/>
      </w:divBdr>
    </w:div>
    <w:div w:id="851801252">
      <w:bodyDiv w:val="1"/>
      <w:marLeft w:val="0"/>
      <w:marRight w:val="0"/>
      <w:marTop w:val="0"/>
      <w:marBottom w:val="0"/>
      <w:divBdr>
        <w:top w:val="none" w:sz="0" w:space="0" w:color="auto"/>
        <w:left w:val="none" w:sz="0" w:space="0" w:color="auto"/>
        <w:bottom w:val="none" w:sz="0" w:space="0" w:color="auto"/>
        <w:right w:val="none" w:sz="0" w:space="0" w:color="auto"/>
      </w:divBdr>
    </w:div>
    <w:div w:id="852063257">
      <w:bodyDiv w:val="1"/>
      <w:marLeft w:val="0"/>
      <w:marRight w:val="0"/>
      <w:marTop w:val="0"/>
      <w:marBottom w:val="0"/>
      <w:divBdr>
        <w:top w:val="none" w:sz="0" w:space="0" w:color="auto"/>
        <w:left w:val="none" w:sz="0" w:space="0" w:color="auto"/>
        <w:bottom w:val="none" w:sz="0" w:space="0" w:color="auto"/>
        <w:right w:val="none" w:sz="0" w:space="0" w:color="auto"/>
      </w:divBdr>
    </w:div>
    <w:div w:id="856696820">
      <w:bodyDiv w:val="1"/>
      <w:marLeft w:val="0"/>
      <w:marRight w:val="0"/>
      <w:marTop w:val="0"/>
      <w:marBottom w:val="0"/>
      <w:divBdr>
        <w:top w:val="none" w:sz="0" w:space="0" w:color="auto"/>
        <w:left w:val="none" w:sz="0" w:space="0" w:color="auto"/>
        <w:bottom w:val="none" w:sz="0" w:space="0" w:color="auto"/>
        <w:right w:val="none" w:sz="0" w:space="0" w:color="auto"/>
      </w:divBdr>
      <w:divsChild>
        <w:div w:id="919026637">
          <w:marLeft w:val="0"/>
          <w:marRight w:val="0"/>
          <w:marTop w:val="0"/>
          <w:marBottom w:val="0"/>
          <w:divBdr>
            <w:top w:val="none" w:sz="0" w:space="0" w:color="auto"/>
            <w:left w:val="none" w:sz="0" w:space="0" w:color="auto"/>
            <w:bottom w:val="none" w:sz="0" w:space="0" w:color="auto"/>
            <w:right w:val="none" w:sz="0" w:space="0" w:color="auto"/>
          </w:divBdr>
        </w:div>
      </w:divsChild>
    </w:div>
    <w:div w:id="872768721">
      <w:bodyDiv w:val="1"/>
      <w:marLeft w:val="0"/>
      <w:marRight w:val="0"/>
      <w:marTop w:val="0"/>
      <w:marBottom w:val="0"/>
      <w:divBdr>
        <w:top w:val="none" w:sz="0" w:space="0" w:color="auto"/>
        <w:left w:val="none" w:sz="0" w:space="0" w:color="auto"/>
        <w:bottom w:val="none" w:sz="0" w:space="0" w:color="auto"/>
        <w:right w:val="none" w:sz="0" w:space="0" w:color="auto"/>
      </w:divBdr>
    </w:div>
    <w:div w:id="874076006">
      <w:bodyDiv w:val="1"/>
      <w:marLeft w:val="0"/>
      <w:marRight w:val="0"/>
      <w:marTop w:val="0"/>
      <w:marBottom w:val="0"/>
      <w:divBdr>
        <w:top w:val="none" w:sz="0" w:space="0" w:color="auto"/>
        <w:left w:val="none" w:sz="0" w:space="0" w:color="auto"/>
        <w:bottom w:val="none" w:sz="0" w:space="0" w:color="auto"/>
        <w:right w:val="none" w:sz="0" w:space="0" w:color="auto"/>
      </w:divBdr>
    </w:div>
    <w:div w:id="877819200">
      <w:bodyDiv w:val="1"/>
      <w:marLeft w:val="0"/>
      <w:marRight w:val="0"/>
      <w:marTop w:val="0"/>
      <w:marBottom w:val="0"/>
      <w:divBdr>
        <w:top w:val="none" w:sz="0" w:space="0" w:color="auto"/>
        <w:left w:val="none" w:sz="0" w:space="0" w:color="auto"/>
        <w:bottom w:val="none" w:sz="0" w:space="0" w:color="auto"/>
        <w:right w:val="none" w:sz="0" w:space="0" w:color="auto"/>
      </w:divBdr>
    </w:div>
    <w:div w:id="881556718">
      <w:bodyDiv w:val="1"/>
      <w:marLeft w:val="0"/>
      <w:marRight w:val="0"/>
      <w:marTop w:val="0"/>
      <w:marBottom w:val="0"/>
      <w:divBdr>
        <w:top w:val="none" w:sz="0" w:space="0" w:color="auto"/>
        <w:left w:val="none" w:sz="0" w:space="0" w:color="auto"/>
        <w:bottom w:val="none" w:sz="0" w:space="0" w:color="auto"/>
        <w:right w:val="none" w:sz="0" w:space="0" w:color="auto"/>
      </w:divBdr>
    </w:div>
    <w:div w:id="881789736">
      <w:bodyDiv w:val="1"/>
      <w:marLeft w:val="0"/>
      <w:marRight w:val="0"/>
      <w:marTop w:val="0"/>
      <w:marBottom w:val="0"/>
      <w:divBdr>
        <w:top w:val="none" w:sz="0" w:space="0" w:color="auto"/>
        <w:left w:val="none" w:sz="0" w:space="0" w:color="auto"/>
        <w:bottom w:val="none" w:sz="0" w:space="0" w:color="auto"/>
        <w:right w:val="none" w:sz="0" w:space="0" w:color="auto"/>
      </w:divBdr>
    </w:div>
    <w:div w:id="887959215">
      <w:bodyDiv w:val="1"/>
      <w:marLeft w:val="0"/>
      <w:marRight w:val="0"/>
      <w:marTop w:val="0"/>
      <w:marBottom w:val="0"/>
      <w:divBdr>
        <w:top w:val="none" w:sz="0" w:space="0" w:color="auto"/>
        <w:left w:val="none" w:sz="0" w:space="0" w:color="auto"/>
        <w:bottom w:val="none" w:sz="0" w:space="0" w:color="auto"/>
        <w:right w:val="none" w:sz="0" w:space="0" w:color="auto"/>
      </w:divBdr>
    </w:div>
    <w:div w:id="890263001">
      <w:bodyDiv w:val="1"/>
      <w:marLeft w:val="0"/>
      <w:marRight w:val="0"/>
      <w:marTop w:val="0"/>
      <w:marBottom w:val="0"/>
      <w:divBdr>
        <w:top w:val="none" w:sz="0" w:space="0" w:color="auto"/>
        <w:left w:val="none" w:sz="0" w:space="0" w:color="auto"/>
        <w:bottom w:val="none" w:sz="0" w:space="0" w:color="auto"/>
        <w:right w:val="none" w:sz="0" w:space="0" w:color="auto"/>
      </w:divBdr>
    </w:div>
    <w:div w:id="892156765">
      <w:bodyDiv w:val="1"/>
      <w:marLeft w:val="0"/>
      <w:marRight w:val="0"/>
      <w:marTop w:val="0"/>
      <w:marBottom w:val="0"/>
      <w:divBdr>
        <w:top w:val="none" w:sz="0" w:space="0" w:color="auto"/>
        <w:left w:val="none" w:sz="0" w:space="0" w:color="auto"/>
        <w:bottom w:val="none" w:sz="0" w:space="0" w:color="auto"/>
        <w:right w:val="none" w:sz="0" w:space="0" w:color="auto"/>
      </w:divBdr>
    </w:div>
    <w:div w:id="902059570">
      <w:bodyDiv w:val="1"/>
      <w:marLeft w:val="0"/>
      <w:marRight w:val="0"/>
      <w:marTop w:val="0"/>
      <w:marBottom w:val="0"/>
      <w:divBdr>
        <w:top w:val="none" w:sz="0" w:space="0" w:color="auto"/>
        <w:left w:val="none" w:sz="0" w:space="0" w:color="auto"/>
        <w:bottom w:val="none" w:sz="0" w:space="0" w:color="auto"/>
        <w:right w:val="none" w:sz="0" w:space="0" w:color="auto"/>
      </w:divBdr>
    </w:div>
    <w:div w:id="903562935">
      <w:bodyDiv w:val="1"/>
      <w:marLeft w:val="0"/>
      <w:marRight w:val="0"/>
      <w:marTop w:val="0"/>
      <w:marBottom w:val="0"/>
      <w:divBdr>
        <w:top w:val="none" w:sz="0" w:space="0" w:color="auto"/>
        <w:left w:val="none" w:sz="0" w:space="0" w:color="auto"/>
        <w:bottom w:val="none" w:sz="0" w:space="0" w:color="auto"/>
        <w:right w:val="none" w:sz="0" w:space="0" w:color="auto"/>
      </w:divBdr>
    </w:div>
    <w:div w:id="907689260">
      <w:bodyDiv w:val="1"/>
      <w:marLeft w:val="0"/>
      <w:marRight w:val="0"/>
      <w:marTop w:val="0"/>
      <w:marBottom w:val="0"/>
      <w:divBdr>
        <w:top w:val="none" w:sz="0" w:space="0" w:color="auto"/>
        <w:left w:val="none" w:sz="0" w:space="0" w:color="auto"/>
        <w:bottom w:val="none" w:sz="0" w:space="0" w:color="auto"/>
        <w:right w:val="none" w:sz="0" w:space="0" w:color="auto"/>
      </w:divBdr>
    </w:div>
    <w:div w:id="910971569">
      <w:bodyDiv w:val="1"/>
      <w:marLeft w:val="0"/>
      <w:marRight w:val="0"/>
      <w:marTop w:val="0"/>
      <w:marBottom w:val="0"/>
      <w:divBdr>
        <w:top w:val="none" w:sz="0" w:space="0" w:color="auto"/>
        <w:left w:val="none" w:sz="0" w:space="0" w:color="auto"/>
        <w:bottom w:val="none" w:sz="0" w:space="0" w:color="auto"/>
        <w:right w:val="none" w:sz="0" w:space="0" w:color="auto"/>
      </w:divBdr>
    </w:div>
    <w:div w:id="915093703">
      <w:bodyDiv w:val="1"/>
      <w:marLeft w:val="0"/>
      <w:marRight w:val="0"/>
      <w:marTop w:val="0"/>
      <w:marBottom w:val="0"/>
      <w:divBdr>
        <w:top w:val="none" w:sz="0" w:space="0" w:color="auto"/>
        <w:left w:val="none" w:sz="0" w:space="0" w:color="auto"/>
        <w:bottom w:val="none" w:sz="0" w:space="0" w:color="auto"/>
        <w:right w:val="none" w:sz="0" w:space="0" w:color="auto"/>
      </w:divBdr>
    </w:div>
    <w:div w:id="916591815">
      <w:bodyDiv w:val="1"/>
      <w:marLeft w:val="0"/>
      <w:marRight w:val="0"/>
      <w:marTop w:val="0"/>
      <w:marBottom w:val="0"/>
      <w:divBdr>
        <w:top w:val="none" w:sz="0" w:space="0" w:color="auto"/>
        <w:left w:val="none" w:sz="0" w:space="0" w:color="auto"/>
        <w:bottom w:val="none" w:sz="0" w:space="0" w:color="auto"/>
        <w:right w:val="none" w:sz="0" w:space="0" w:color="auto"/>
      </w:divBdr>
    </w:div>
    <w:div w:id="919408290">
      <w:bodyDiv w:val="1"/>
      <w:marLeft w:val="0"/>
      <w:marRight w:val="0"/>
      <w:marTop w:val="0"/>
      <w:marBottom w:val="0"/>
      <w:divBdr>
        <w:top w:val="none" w:sz="0" w:space="0" w:color="auto"/>
        <w:left w:val="none" w:sz="0" w:space="0" w:color="auto"/>
        <w:bottom w:val="none" w:sz="0" w:space="0" w:color="auto"/>
        <w:right w:val="none" w:sz="0" w:space="0" w:color="auto"/>
      </w:divBdr>
    </w:div>
    <w:div w:id="920213990">
      <w:bodyDiv w:val="1"/>
      <w:marLeft w:val="0"/>
      <w:marRight w:val="0"/>
      <w:marTop w:val="0"/>
      <w:marBottom w:val="0"/>
      <w:divBdr>
        <w:top w:val="none" w:sz="0" w:space="0" w:color="auto"/>
        <w:left w:val="none" w:sz="0" w:space="0" w:color="auto"/>
        <w:bottom w:val="none" w:sz="0" w:space="0" w:color="auto"/>
        <w:right w:val="none" w:sz="0" w:space="0" w:color="auto"/>
      </w:divBdr>
      <w:divsChild>
        <w:div w:id="188568316">
          <w:marLeft w:val="0"/>
          <w:marRight w:val="0"/>
          <w:marTop w:val="0"/>
          <w:marBottom w:val="0"/>
          <w:divBdr>
            <w:top w:val="none" w:sz="0" w:space="0" w:color="auto"/>
            <w:left w:val="none" w:sz="0" w:space="0" w:color="auto"/>
            <w:bottom w:val="none" w:sz="0" w:space="0" w:color="auto"/>
            <w:right w:val="none" w:sz="0" w:space="0" w:color="auto"/>
          </w:divBdr>
        </w:div>
        <w:div w:id="664672119">
          <w:marLeft w:val="0"/>
          <w:marRight w:val="0"/>
          <w:marTop w:val="0"/>
          <w:marBottom w:val="0"/>
          <w:divBdr>
            <w:top w:val="none" w:sz="0" w:space="0" w:color="auto"/>
            <w:left w:val="none" w:sz="0" w:space="0" w:color="auto"/>
            <w:bottom w:val="none" w:sz="0" w:space="0" w:color="auto"/>
            <w:right w:val="none" w:sz="0" w:space="0" w:color="auto"/>
          </w:divBdr>
        </w:div>
        <w:div w:id="936791214">
          <w:marLeft w:val="0"/>
          <w:marRight w:val="0"/>
          <w:marTop w:val="0"/>
          <w:marBottom w:val="0"/>
          <w:divBdr>
            <w:top w:val="none" w:sz="0" w:space="0" w:color="auto"/>
            <w:left w:val="none" w:sz="0" w:space="0" w:color="auto"/>
            <w:bottom w:val="none" w:sz="0" w:space="0" w:color="auto"/>
            <w:right w:val="none" w:sz="0" w:space="0" w:color="auto"/>
          </w:divBdr>
        </w:div>
        <w:div w:id="1285120110">
          <w:marLeft w:val="0"/>
          <w:marRight w:val="0"/>
          <w:marTop w:val="0"/>
          <w:marBottom w:val="0"/>
          <w:divBdr>
            <w:top w:val="none" w:sz="0" w:space="0" w:color="auto"/>
            <w:left w:val="none" w:sz="0" w:space="0" w:color="auto"/>
            <w:bottom w:val="none" w:sz="0" w:space="0" w:color="auto"/>
            <w:right w:val="none" w:sz="0" w:space="0" w:color="auto"/>
          </w:divBdr>
        </w:div>
      </w:divsChild>
    </w:div>
    <w:div w:id="921261044">
      <w:bodyDiv w:val="1"/>
      <w:marLeft w:val="0"/>
      <w:marRight w:val="0"/>
      <w:marTop w:val="0"/>
      <w:marBottom w:val="0"/>
      <w:divBdr>
        <w:top w:val="none" w:sz="0" w:space="0" w:color="auto"/>
        <w:left w:val="none" w:sz="0" w:space="0" w:color="auto"/>
        <w:bottom w:val="none" w:sz="0" w:space="0" w:color="auto"/>
        <w:right w:val="none" w:sz="0" w:space="0" w:color="auto"/>
      </w:divBdr>
    </w:div>
    <w:div w:id="923689219">
      <w:bodyDiv w:val="1"/>
      <w:marLeft w:val="0"/>
      <w:marRight w:val="0"/>
      <w:marTop w:val="0"/>
      <w:marBottom w:val="0"/>
      <w:divBdr>
        <w:top w:val="none" w:sz="0" w:space="0" w:color="auto"/>
        <w:left w:val="none" w:sz="0" w:space="0" w:color="auto"/>
        <w:bottom w:val="none" w:sz="0" w:space="0" w:color="auto"/>
        <w:right w:val="none" w:sz="0" w:space="0" w:color="auto"/>
      </w:divBdr>
    </w:div>
    <w:div w:id="925454226">
      <w:bodyDiv w:val="1"/>
      <w:marLeft w:val="0"/>
      <w:marRight w:val="0"/>
      <w:marTop w:val="0"/>
      <w:marBottom w:val="0"/>
      <w:divBdr>
        <w:top w:val="none" w:sz="0" w:space="0" w:color="auto"/>
        <w:left w:val="none" w:sz="0" w:space="0" w:color="auto"/>
        <w:bottom w:val="none" w:sz="0" w:space="0" w:color="auto"/>
        <w:right w:val="none" w:sz="0" w:space="0" w:color="auto"/>
      </w:divBdr>
    </w:div>
    <w:div w:id="929198199">
      <w:bodyDiv w:val="1"/>
      <w:marLeft w:val="0"/>
      <w:marRight w:val="0"/>
      <w:marTop w:val="0"/>
      <w:marBottom w:val="0"/>
      <w:divBdr>
        <w:top w:val="none" w:sz="0" w:space="0" w:color="auto"/>
        <w:left w:val="none" w:sz="0" w:space="0" w:color="auto"/>
        <w:bottom w:val="none" w:sz="0" w:space="0" w:color="auto"/>
        <w:right w:val="none" w:sz="0" w:space="0" w:color="auto"/>
      </w:divBdr>
    </w:div>
    <w:div w:id="933395417">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
    <w:div w:id="936408575">
      <w:bodyDiv w:val="1"/>
      <w:marLeft w:val="0"/>
      <w:marRight w:val="0"/>
      <w:marTop w:val="0"/>
      <w:marBottom w:val="0"/>
      <w:divBdr>
        <w:top w:val="none" w:sz="0" w:space="0" w:color="auto"/>
        <w:left w:val="none" w:sz="0" w:space="0" w:color="auto"/>
        <w:bottom w:val="none" w:sz="0" w:space="0" w:color="auto"/>
        <w:right w:val="none" w:sz="0" w:space="0" w:color="auto"/>
      </w:divBdr>
    </w:div>
    <w:div w:id="942492057">
      <w:bodyDiv w:val="1"/>
      <w:marLeft w:val="0"/>
      <w:marRight w:val="0"/>
      <w:marTop w:val="0"/>
      <w:marBottom w:val="0"/>
      <w:divBdr>
        <w:top w:val="none" w:sz="0" w:space="0" w:color="auto"/>
        <w:left w:val="none" w:sz="0" w:space="0" w:color="auto"/>
        <w:bottom w:val="none" w:sz="0" w:space="0" w:color="auto"/>
        <w:right w:val="none" w:sz="0" w:space="0" w:color="auto"/>
      </w:divBdr>
    </w:div>
    <w:div w:id="943153546">
      <w:bodyDiv w:val="1"/>
      <w:marLeft w:val="0"/>
      <w:marRight w:val="0"/>
      <w:marTop w:val="0"/>
      <w:marBottom w:val="0"/>
      <w:divBdr>
        <w:top w:val="none" w:sz="0" w:space="0" w:color="auto"/>
        <w:left w:val="none" w:sz="0" w:space="0" w:color="auto"/>
        <w:bottom w:val="none" w:sz="0" w:space="0" w:color="auto"/>
        <w:right w:val="none" w:sz="0" w:space="0" w:color="auto"/>
      </w:divBdr>
    </w:div>
    <w:div w:id="944921585">
      <w:bodyDiv w:val="1"/>
      <w:marLeft w:val="0"/>
      <w:marRight w:val="0"/>
      <w:marTop w:val="0"/>
      <w:marBottom w:val="0"/>
      <w:divBdr>
        <w:top w:val="none" w:sz="0" w:space="0" w:color="auto"/>
        <w:left w:val="none" w:sz="0" w:space="0" w:color="auto"/>
        <w:bottom w:val="none" w:sz="0" w:space="0" w:color="auto"/>
        <w:right w:val="none" w:sz="0" w:space="0" w:color="auto"/>
      </w:divBdr>
    </w:div>
    <w:div w:id="953098845">
      <w:bodyDiv w:val="1"/>
      <w:marLeft w:val="0"/>
      <w:marRight w:val="0"/>
      <w:marTop w:val="0"/>
      <w:marBottom w:val="0"/>
      <w:divBdr>
        <w:top w:val="none" w:sz="0" w:space="0" w:color="auto"/>
        <w:left w:val="none" w:sz="0" w:space="0" w:color="auto"/>
        <w:bottom w:val="none" w:sz="0" w:space="0" w:color="auto"/>
        <w:right w:val="none" w:sz="0" w:space="0" w:color="auto"/>
      </w:divBdr>
    </w:div>
    <w:div w:id="956790710">
      <w:bodyDiv w:val="1"/>
      <w:marLeft w:val="0"/>
      <w:marRight w:val="0"/>
      <w:marTop w:val="0"/>
      <w:marBottom w:val="0"/>
      <w:divBdr>
        <w:top w:val="none" w:sz="0" w:space="0" w:color="auto"/>
        <w:left w:val="none" w:sz="0" w:space="0" w:color="auto"/>
        <w:bottom w:val="none" w:sz="0" w:space="0" w:color="auto"/>
        <w:right w:val="none" w:sz="0" w:space="0" w:color="auto"/>
      </w:divBdr>
    </w:div>
    <w:div w:id="958727427">
      <w:bodyDiv w:val="1"/>
      <w:marLeft w:val="0"/>
      <w:marRight w:val="0"/>
      <w:marTop w:val="0"/>
      <w:marBottom w:val="0"/>
      <w:divBdr>
        <w:top w:val="none" w:sz="0" w:space="0" w:color="auto"/>
        <w:left w:val="none" w:sz="0" w:space="0" w:color="auto"/>
        <w:bottom w:val="none" w:sz="0" w:space="0" w:color="auto"/>
        <w:right w:val="none" w:sz="0" w:space="0" w:color="auto"/>
      </w:divBdr>
    </w:div>
    <w:div w:id="960576034">
      <w:bodyDiv w:val="1"/>
      <w:marLeft w:val="0"/>
      <w:marRight w:val="0"/>
      <w:marTop w:val="0"/>
      <w:marBottom w:val="0"/>
      <w:divBdr>
        <w:top w:val="none" w:sz="0" w:space="0" w:color="auto"/>
        <w:left w:val="none" w:sz="0" w:space="0" w:color="auto"/>
        <w:bottom w:val="none" w:sz="0" w:space="0" w:color="auto"/>
        <w:right w:val="none" w:sz="0" w:space="0" w:color="auto"/>
      </w:divBdr>
    </w:div>
    <w:div w:id="968896376">
      <w:bodyDiv w:val="1"/>
      <w:marLeft w:val="0"/>
      <w:marRight w:val="0"/>
      <w:marTop w:val="0"/>
      <w:marBottom w:val="0"/>
      <w:divBdr>
        <w:top w:val="none" w:sz="0" w:space="0" w:color="auto"/>
        <w:left w:val="none" w:sz="0" w:space="0" w:color="auto"/>
        <w:bottom w:val="none" w:sz="0" w:space="0" w:color="auto"/>
        <w:right w:val="none" w:sz="0" w:space="0" w:color="auto"/>
      </w:divBdr>
    </w:div>
    <w:div w:id="969163042">
      <w:bodyDiv w:val="1"/>
      <w:marLeft w:val="0"/>
      <w:marRight w:val="0"/>
      <w:marTop w:val="0"/>
      <w:marBottom w:val="0"/>
      <w:divBdr>
        <w:top w:val="none" w:sz="0" w:space="0" w:color="auto"/>
        <w:left w:val="none" w:sz="0" w:space="0" w:color="auto"/>
        <w:bottom w:val="none" w:sz="0" w:space="0" w:color="auto"/>
        <w:right w:val="none" w:sz="0" w:space="0" w:color="auto"/>
      </w:divBdr>
    </w:div>
    <w:div w:id="974917406">
      <w:bodyDiv w:val="1"/>
      <w:marLeft w:val="0"/>
      <w:marRight w:val="0"/>
      <w:marTop w:val="0"/>
      <w:marBottom w:val="0"/>
      <w:divBdr>
        <w:top w:val="none" w:sz="0" w:space="0" w:color="auto"/>
        <w:left w:val="none" w:sz="0" w:space="0" w:color="auto"/>
        <w:bottom w:val="none" w:sz="0" w:space="0" w:color="auto"/>
        <w:right w:val="none" w:sz="0" w:space="0" w:color="auto"/>
      </w:divBdr>
    </w:div>
    <w:div w:id="983706560">
      <w:bodyDiv w:val="1"/>
      <w:marLeft w:val="0"/>
      <w:marRight w:val="0"/>
      <w:marTop w:val="0"/>
      <w:marBottom w:val="0"/>
      <w:divBdr>
        <w:top w:val="none" w:sz="0" w:space="0" w:color="auto"/>
        <w:left w:val="none" w:sz="0" w:space="0" w:color="auto"/>
        <w:bottom w:val="none" w:sz="0" w:space="0" w:color="auto"/>
        <w:right w:val="none" w:sz="0" w:space="0" w:color="auto"/>
      </w:divBdr>
    </w:div>
    <w:div w:id="985207993">
      <w:bodyDiv w:val="1"/>
      <w:marLeft w:val="0"/>
      <w:marRight w:val="0"/>
      <w:marTop w:val="0"/>
      <w:marBottom w:val="0"/>
      <w:divBdr>
        <w:top w:val="none" w:sz="0" w:space="0" w:color="auto"/>
        <w:left w:val="none" w:sz="0" w:space="0" w:color="auto"/>
        <w:bottom w:val="none" w:sz="0" w:space="0" w:color="auto"/>
        <w:right w:val="none" w:sz="0" w:space="0" w:color="auto"/>
      </w:divBdr>
    </w:div>
    <w:div w:id="987591084">
      <w:bodyDiv w:val="1"/>
      <w:marLeft w:val="0"/>
      <w:marRight w:val="0"/>
      <w:marTop w:val="0"/>
      <w:marBottom w:val="0"/>
      <w:divBdr>
        <w:top w:val="none" w:sz="0" w:space="0" w:color="auto"/>
        <w:left w:val="none" w:sz="0" w:space="0" w:color="auto"/>
        <w:bottom w:val="none" w:sz="0" w:space="0" w:color="auto"/>
        <w:right w:val="none" w:sz="0" w:space="0" w:color="auto"/>
      </w:divBdr>
    </w:div>
    <w:div w:id="988637283">
      <w:bodyDiv w:val="1"/>
      <w:marLeft w:val="0"/>
      <w:marRight w:val="0"/>
      <w:marTop w:val="0"/>
      <w:marBottom w:val="0"/>
      <w:divBdr>
        <w:top w:val="none" w:sz="0" w:space="0" w:color="auto"/>
        <w:left w:val="none" w:sz="0" w:space="0" w:color="auto"/>
        <w:bottom w:val="none" w:sz="0" w:space="0" w:color="auto"/>
        <w:right w:val="none" w:sz="0" w:space="0" w:color="auto"/>
      </w:divBdr>
    </w:div>
    <w:div w:id="989598455">
      <w:bodyDiv w:val="1"/>
      <w:marLeft w:val="0"/>
      <w:marRight w:val="0"/>
      <w:marTop w:val="0"/>
      <w:marBottom w:val="0"/>
      <w:divBdr>
        <w:top w:val="none" w:sz="0" w:space="0" w:color="auto"/>
        <w:left w:val="none" w:sz="0" w:space="0" w:color="auto"/>
        <w:bottom w:val="none" w:sz="0" w:space="0" w:color="auto"/>
        <w:right w:val="none" w:sz="0" w:space="0" w:color="auto"/>
      </w:divBdr>
    </w:div>
    <w:div w:id="996110991">
      <w:bodyDiv w:val="1"/>
      <w:marLeft w:val="0"/>
      <w:marRight w:val="0"/>
      <w:marTop w:val="0"/>
      <w:marBottom w:val="0"/>
      <w:divBdr>
        <w:top w:val="none" w:sz="0" w:space="0" w:color="auto"/>
        <w:left w:val="none" w:sz="0" w:space="0" w:color="auto"/>
        <w:bottom w:val="none" w:sz="0" w:space="0" w:color="auto"/>
        <w:right w:val="none" w:sz="0" w:space="0" w:color="auto"/>
      </w:divBdr>
    </w:div>
    <w:div w:id="998000222">
      <w:bodyDiv w:val="1"/>
      <w:marLeft w:val="0"/>
      <w:marRight w:val="0"/>
      <w:marTop w:val="0"/>
      <w:marBottom w:val="0"/>
      <w:divBdr>
        <w:top w:val="none" w:sz="0" w:space="0" w:color="auto"/>
        <w:left w:val="none" w:sz="0" w:space="0" w:color="auto"/>
        <w:bottom w:val="none" w:sz="0" w:space="0" w:color="auto"/>
        <w:right w:val="none" w:sz="0" w:space="0" w:color="auto"/>
      </w:divBdr>
    </w:div>
    <w:div w:id="1003432195">
      <w:bodyDiv w:val="1"/>
      <w:marLeft w:val="0"/>
      <w:marRight w:val="0"/>
      <w:marTop w:val="0"/>
      <w:marBottom w:val="0"/>
      <w:divBdr>
        <w:top w:val="none" w:sz="0" w:space="0" w:color="auto"/>
        <w:left w:val="none" w:sz="0" w:space="0" w:color="auto"/>
        <w:bottom w:val="none" w:sz="0" w:space="0" w:color="auto"/>
        <w:right w:val="none" w:sz="0" w:space="0" w:color="auto"/>
      </w:divBdr>
    </w:div>
    <w:div w:id="1004867362">
      <w:bodyDiv w:val="1"/>
      <w:marLeft w:val="0"/>
      <w:marRight w:val="0"/>
      <w:marTop w:val="0"/>
      <w:marBottom w:val="0"/>
      <w:divBdr>
        <w:top w:val="none" w:sz="0" w:space="0" w:color="auto"/>
        <w:left w:val="none" w:sz="0" w:space="0" w:color="auto"/>
        <w:bottom w:val="none" w:sz="0" w:space="0" w:color="auto"/>
        <w:right w:val="none" w:sz="0" w:space="0" w:color="auto"/>
      </w:divBdr>
    </w:div>
    <w:div w:id="1010570784">
      <w:bodyDiv w:val="1"/>
      <w:marLeft w:val="0"/>
      <w:marRight w:val="0"/>
      <w:marTop w:val="0"/>
      <w:marBottom w:val="0"/>
      <w:divBdr>
        <w:top w:val="none" w:sz="0" w:space="0" w:color="auto"/>
        <w:left w:val="none" w:sz="0" w:space="0" w:color="auto"/>
        <w:bottom w:val="none" w:sz="0" w:space="0" w:color="auto"/>
        <w:right w:val="none" w:sz="0" w:space="0" w:color="auto"/>
      </w:divBdr>
    </w:div>
    <w:div w:id="1016999617">
      <w:bodyDiv w:val="1"/>
      <w:marLeft w:val="0"/>
      <w:marRight w:val="0"/>
      <w:marTop w:val="0"/>
      <w:marBottom w:val="0"/>
      <w:divBdr>
        <w:top w:val="none" w:sz="0" w:space="0" w:color="auto"/>
        <w:left w:val="none" w:sz="0" w:space="0" w:color="auto"/>
        <w:bottom w:val="none" w:sz="0" w:space="0" w:color="auto"/>
        <w:right w:val="none" w:sz="0" w:space="0" w:color="auto"/>
      </w:divBdr>
    </w:div>
    <w:div w:id="1017001647">
      <w:bodyDiv w:val="1"/>
      <w:marLeft w:val="0"/>
      <w:marRight w:val="0"/>
      <w:marTop w:val="0"/>
      <w:marBottom w:val="0"/>
      <w:divBdr>
        <w:top w:val="none" w:sz="0" w:space="0" w:color="auto"/>
        <w:left w:val="none" w:sz="0" w:space="0" w:color="auto"/>
        <w:bottom w:val="none" w:sz="0" w:space="0" w:color="auto"/>
        <w:right w:val="none" w:sz="0" w:space="0" w:color="auto"/>
      </w:divBdr>
    </w:div>
    <w:div w:id="1017075322">
      <w:bodyDiv w:val="1"/>
      <w:marLeft w:val="0"/>
      <w:marRight w:val="0"/>
      <w:marTop w:val="0"/>
      <w:marBottom w:val="0"/>
      <w:divBdr>
        <w:top w:val="none" w:sz="0" w:space="0" w:color="auto"/>
        <w:left w:val="none" w:sz="0" w:space="0" w:color="auto"/>
        <w:bottom w:val="none" w:sz="0" w:space="0" w:color="auto"/>
        <w:right w:val="none" w:sz="0" w:space="0" w:color="auto"/>
      </w:divBdr>
    </w:div>
    <w:div w:id="1023628218">
      <w:bodyDiv w:val="1"/>
      <w:marLeft w:val="0"/>
      <w:marRight w:val="0"/>
      <w:marTop w:val="0"/>
      <w:marBottom w:val="0"/>
      <w:divBdr>
        <w:top w:val="none" w:sz="0" w:space="0" w:color="auto"/>
        <w:left w:val="none" w:sz="0" w:space="0" w:color="auto"/>
        <w:bottom w:val="none" w:sz="0" w:space="0" w:color="auto"/>
        <w:right w:val="none" w:sz="0" w:space="0" w:color="auto"/>
      </w:divBdr>
    </w:div>
    <w:div w:id="1028292051">
      <w:bodyDiv w:val="1"/>
      <w:marLeft w:val="0"/>
      <w:marRight w:val="0"/>
      <w:marTop w:val="0"/>
      <w:marBottom w:val="0"/>
      <w:divBdr>
        <w:top w:val="none" w:sz="0" w:space="0" w:color="auto"/>
        <w:left w:val="none" w:sz="0" w:space="0" w:color="auto"/>
        <w:bottom w:val="none" w:sz="0" w:space="0" w:color="auto"/>
        <w:right w:val="none" w:sz="0" w:space="0" w:color="auto"/>
      </w:divBdr>
    </w:div>
    <w:div w:id="1047221600">
      <w:bodyDiv w:val="1"/>
      <w:marLeft w:val="0"/>
      <w:marRight w:val="0"/>
      <w:marTop w:val="0"/>
      <w:marBottom w:val="0"/>
      <w:divBdr>
        <w:top w:val="none" w:sz="0" w:space="0" w:color="auto"/>
        <w:left w:val="none" w:sz="0" w:space="0" w:color="auto"/>
        <w:bottom w:val="none" w:sz="0" w:space="0" w:color="auto"/>
        <w:right w:val="none" w:sz="0" w:space="0" w:color="auto"/>
      </w:divBdr>
    </w:div>
    <w:div w:id="1048338801">
      <w:bodyDiv w:val="1"/>
      <w:marLeft w:val="0"/>
      <w:marRight w:val="0"/>
      <w:marTop w:val="0"/>
      <w:marBottom w:val="0"/>
      <w:divBdr>
        <w:top w:val="none" w:sz="0" w:space="0" w:color="auto"/>
        <w:left w:val="none" w:sz="0" w:space="0" w:color="auto"/>
        <w:bottom w:val="none" w:sz="0" w:space="0" w:color="auto"/>
        <w:right w:val="none" w:sz="0" w:space="0" w:color="auto"/>
      </w:divBdr>
    </w:div>
    <w:div w:id="1048604535">
      <w:bodyDiv w:val="1"/>
      <w:marLeft w:val="0"/>
      <w:marRight w:val="0"/>
      <w:marTop w:val="0"/>
      <w:marBottom w:val="0"/>
      <w:divBdr>
        <w:top w:val="none" w:sz="0" w:space="0" w:color="auto"/>
        <w:left w:val="none" w:sz="0" w:space="0" w:color="auto"/>
        <w:bottom w:val="none" w:sz="0" w:space="0" w:color="auto"/>
        <w:right w:val="none" w:sz="0" w:space="0" w:color="auto"/>
      </w:divBdr>
    </w:div>
    <w:div w:id="1061513800">
      <w:bodyDiv w:val="1"/>
      <w:marLeft w:val="0"/>
      <w:marRight w:val="0"/>
      <w:marTop w:val="0"/>
      <w:marBottom w:val="0"/>
      <w:divBdr>
        <w:top w:val="none" w:sz="0" w:space="0" w:color="auto"/>
        <w:left w:val="none" w:sz="0" w:space="0" w:color="auto"/>
        <w:bottom w:val="none" w:sz="0" w:space="0" w:color="auto"/>
        <w:right w:val="none" w:sz="0" w:space="0" w:color="auto"/>
      </w:divBdr>
    </w:div>
    <w:div w:id="1063138372">
      <w:bodyDiv w:val="1"/>
      <w:marLeft w:val="0"/>
      <w:marRight w:val="0"/>
      <w:marTop w:val="0"/>
      <w:marBottom w:val="0"/>
      <w:divBdr>
        <w:top w:val="none" w:sz="0" w:space="0" w:color="auto"/>
        <w:left w:val="none" w:sz="0" w:space="0" w:color="auto"/>
        <w:bottom w:val="none" w:sz="0" w:space="0" w:color="auto"/>
        <w:right w:val="none" w:sz="0" w:space="0" w:color="auto"/>
      </w:divBdr>
    </w:div>
    <w:div w:id="1065488229">
      <w:bodyDiv w:val="1"/>
      <w:marLeft w:val="0"/>
      <w:marRight w:val="0"/>
      <w:marTop w:val="0"/>
      <w:marBottom w:val="0"/>
      <w:divBdr>
        <w:top w:val="none" w:sz="0" w:space="0" w:color="auto"/>
        <w:left w:val="none" w:sz="0" w:space="0" w:color="auto"/>
        <w:bottom w:val="none" w:sz="0" w:space="0" w:color="auto"/>
        <w:right w:val="none" w:sz="0" w:space="0" w:color="auto"/>
      </w:divBdr>
    </w:div>
    <w:div w:id="1070806507">
      <w:bodyDiv w:val="1"/>
      <w:marLeft w:val="0"/>
      <w:marRight w:val="0"/>
      <w:marTop w:val="0"/>
      <w:marBottom w:val="0"/>
      <w:divBdr>
        <w:top w:val="none" w:sz="0" w:space="0" w:color="auto"/>
        <w:left w:val="none" w:sz="0" w:space="0" w:color="auto"/>
        <w:bottom w:val="none" w:sz="0" w:space="0" w:color="auto"/>
        <w:right w:val="none" w:sz="0" w:space="0" w:color="auto"/>
      </w:divBdr>
    </w:div>
    <w:div w:id="1073820784">
      <w:bodyDiv w:val="1"/>
      <w:marLeft w:val="0"/>
      <w:marRight w:val="0"/>
      <w:marTop w:val="0"/>
      <w:marBottom w:val="0"/>
      <w:divBdr>
        <w:top w:val="none" w:sz="0" w:space="0" w:color="auto"/>
        <w:left w:val="none" w:sz="0" w:space="0" w:color="auto"/>
        <w:bottom w:val="none" w:sz="0" w:space="0" w:color="auto"/>
        <w:right w:val="none" w:sz="0" w:space="0" w:color="auto"/>
      </w:divBdr>
    </w:div>
    <w:div w:id="1074277713">
      <w:bodyDiv w:val="1"/>
      <w:marLeft w:val="0"/>
      <w:marRight w:val="0"/>
      <w:marTop w:val="0"/>
      <w:marBottom w:val="0"/>
      <w:divBdr>
        <w:top w:val="none" w:sz="0" w:space="0" w:color="auto"/>
        <w:left w:val="none" w:sz="0" w:space="0" w:color="auto"/>
        <w:bottom w:val="none" w:sz="0" w:space="0" w:color="auto"/>
        <w:right w:val="none" w:sz="0" w:space="0" w:color="auto"/>
      </w:divBdr>
    </w:div>
    <w:div w:id="1079209787">
      <w:bodyDiv w:val="1"/>
      <w:marLeft w:val="0"/>
      <w:marRight w:val="0"/>
      <w:marTop w:val="0"/>
      <w:marBottom w:val="0"/>
      <w:divBdr>
        <w:top w:val="none" w:sz="0" w:space="0" w:color="auto"/>
        <w:left w:val="none" w:sz="0" w:space="0" w:color="auto"/>
        <w:bottom w:val="none" w:sz="0" w:space="0" w:color="auto"/>
        <w:right w:val="none" w:sz="0" w:space="0" w:color="auto"/>
      </w:divBdr>
    </w:div>
    <w:div w:id="1081175155">
      <w:bodyDiv w:val="1"/>
      <w:marLeft w:val="0"/>
      <w:marRight w:val="0"/>
      <w:marTop w:val="0"/>
      <w:marBottom w:val="0"/>
      <w:divBdr>
        <w:top w:val="none" w:sz="0" w:space="0" w:color="auto"/>
        <w:left w:val="none" w:sz="0" w:space="0" w:color="auto"/>
        <w:bottom w:val="none" w:sz="0" w:space="0" w:color="auto"/>
        <w:right w:val="none" w:sz="0" w:space="0" w:color="auto"/>
      </w:divBdr>
    </w:div>
    <w:div w:id="1084912759">
      <w:bodyDiv w:val="1"/>
      <w:marLeft w:val="0"/>
      <w:marRight w:val="0"/>
      <w:marTop w:val="0"/>
      <w:marBottom w:val="0"/>
      <w:divBdr>
        <w:top w:val="none" w:sz="0" w:space="0" w:color="auto"/>
        <w:left w:val="none" w:sz="0" w:space="0" w:color="auto"/>
        <w:bottom w:val="none" w:sz="0" w:space="0" w:color="auto"/>
        <w:right w:val="none" w:sz="0" w:space="0" w:color="auto"/>
      </w:divBdr>
    </w:div>
    <w:div w:id="1091270358">
      <w:bodyDiv w:val="1"/>
      <w:marLeft w:val="0"/>
      <w:marRight w:val="0"/>
      <w:marTop w:val="0"/>
      <w:marBottom w:val="0"/>
      <w:divBdr>
        <w:top w:val="none" w:sz="0" w:space="0" w:color="auto"/>
        <w:left w:val="none" w:sz="0" w:space="0" w:color="auto"/>
        <w:bottom w:val="none" w:sz="0" w:space="0" w:color="auto"/>
        <w:right w:val="none" w:sz="0" w:space="0" w:color="auto"/>
      </w:divBdr>
    </w:div>
    <w:div w:id="1095057709">
      <w:bodyDiv w:val="1"/>
      <w:marLeft w:val="0"/>
      <w:marRight w:val="0"/>
      <w:marTop w:val="0"/>
      <w:marBottom w:val="0"/>
      <w:divBdr>
        <w:top w:val="none" w:sz="0" w:space="0" w:color="auto"/>
        <w:left w:val="none" w:sz="0" w:space="0" w:color="auto"/>
        <w:bottom w:val="none" w:sz="0" w:space="0" w:color="auto"/>
        <w:right w:val="none" w:sz="0" w:space="0" w:color="auto"/>
      </w:divBdr>
    </w:div>
    <w:div w:id="1095636439">
      <w:bodyDiv w:val="1"/>
      <w:marLeft w:val="0"/>
      <w:marRight w:val="0"/>
      <w:marTop w:val="0"/>
      <w:marBottom w:val="0"/>
      <w:divBdr>
        <w:top w:val="none" w:sz="0" w:space="0" w:color="auto"/>
        <w:left w:val="none" w:sz="0" w:space="0" w:color="auto"/>
        <w:bottom w:val="none" w:sz="0" w:space="0" w:color="auto"/>
        <w:right w:val="none" w:sz="0" w:space="0" w:color="auto"/>
      </w:divBdr>
    </w:div>
    <w:div w:id="1096829990">
      <w:bodyDiv w:val="1"/>
      <w:marLeft w:val="0"/>
      <w:marRight w:val="0"/>
      <w:marTop w:val="0"/>
      <w:marBottom w:val="0"/>
      <w:divBdr>
        <w:top w:val="none" w:sz="0" w:space="0" w:color="auto"/>
        <w:left w:val="none" w:sz="0" w:space="0" w:color="auto"/>
        <w:bottom w:val="none" w:sz="0" w:space="0" w:color="auto"/>
        <w:right w:val="none" w:sz="0" w:space="0" w:color="auto"/>
      </w:divBdr>
    </w:div>
    <w:div w:id="1103724130">
      <w:bodyDiv w:val="1"/>
      <w:marLeft w:val="0"/>
      <w:marRight w:val="0"/>
      <w:marTop w:val="0"/>
      <w:marBottom w:val="0"/>
      <w:divBdr>
        <w:top w:val="none" w:sz="0" w:space="0" w:color="auto"/>
        <w:left w:val="none" w:sz="0" w:space="0" w:color="auto"/>
        <w:bottom w:val="none" w:sz="0" w:space="0" w:color="auto"/>
        <w:right w:val="none" w:sz="0" w:space="0" w:color="auto"/>
      </w:divBdr>
    </w:div>
    <w:div w:id="1106119499">
      <w:bodyDiv w:val="1"/>
      <w:marLeft w:val="0"/>
      <w:marRight w:val="0"/>
      <w:marTop w:val="0"/>
      <w:marBottom w:val="0"/>
      <w:divBdr>
        <w:top w:val="none" w:sz="0" w:space="0" w:color="auto"/>
        <w:left w:val="none" w:sz="0" w:space="0" w:color="auto"/>
        <w:bottom w:val="none" w:sz="0" w:space="0" w:color="auto"/>
        <w:right w:val="none" w:sz="0" w:space="0" w:color="auto"/>
      </w:divBdr>
    </w:div>
    <w:div w:id="1107693895">
      <w:bodyDiv w:val="1"/>
      <w:marLeft w:val="0"/>
      <w:marRight w:val="0"/>
      <w:marTop w:val="0"/>
      <w:marBottom w:val="0"/>
      <w:divBdr>
        <w:top w:val="none" w:sz="0" w:space="0" w:color="auto"/>
        <w:left w:val="none" w:sz="0" w:space="0" w:color="auto"/>
        <w:bottom w:val="none" w:sz="0" w:space="0" w:color="auto"/>
        <w:right w:val="none" w:sz="0" w:space="0" w:color="auto"/>
      </w:divBdr>
    </w:div>
    <w:div w:id="1110708223">
      <w:bodyDiv w:val="1"/>
      <w:marLeft w:val="0"/>
      <w:marRight w:val="0"/>
      <w:marTop w:val="0"/>
      <w:marBottom w:val="0"/>
      <w:divBdr>
        <w:top w:val="none" w:sz="0" w:space="0" w:color="auto"/>
        <w:left w:val="none" w:sz="0" w:space="0" w:color="auto"/>
        <w:bottom w:val="none" w:sz="0" w:space="0" w:color="auto"/>
        <w:right w:val="none" w:sz="0" w:space="0" w:color="auto"/>
      </w:divBdr>
    </w:div>
    <w:div w:id="1110781163">
      <w:bodyDiv w:val="1"/>
      <w:marLeft w:val="0"/>
      <w:marRight w:val="0"/>
      <w:marTop w:val="0"/>
      <w:marBottom w:val="0"/>
      <w:divBdr>
        <w:top w:val="none" w:sz="0" w:space="0" w:color="auto"/>
        <w:left w:val="none" w:sz="0" w:space="0" w:color="auto"/>
        <w:bottom w:val="none" w:sz="0" w:space="0" w:color="auto"/>
        <w:right w:val="none" w:sz="0" w:space="0" w:color="auto"/>
      </w:divBdr>
    </w:div>
    <w:div w:id="1113397899">
      <w:bodyDiv w:val="1"/>
      <w:marLeft w:val="0"/>
      <w:marRight w:val="0"/>
      <w:marTop w:val="0"/>
      <w:marBottom w:val="0"/>
      <w:divBdr>
        <w:top w:val="none" w:sz="0" w:space="0" w:color="auto"/>
        <w:left w:val="none" w:sz="0" w:space="0" w:color="auto"/>
        <w:bottom w:val="none" w:sz="0" w:space="0" w:color="auto"/>
        <w:right w:val="none" w:sz="0" w:space="0" w:color="auto"/>
      </w:divBdr>
    </w:div>
    <w:div w:id="1117677076">
      <w:bodyDiv w:val="1"/>
      <w:marLeft w:val="0"/>
      <w:marRight w:val="0"/>
      <w:marTop w:val="0"/>
      <w:marBottom w:val="0"/>
      <w:divBdr>
        <w:top w:val="none" w:sz="0" w:space="0" w:color="auto"/>
        <w:left w:val="none" w:sz="0" w:space="0" w:color="auto"/>
        <w:bottom w:val="none" w:sz="0" w:space="0" w:color="auto"/>
        <w:right w:val="none" w:sz="0" w:space="0" w:color="auto"/>
      </w:divBdr>
    </w:div>
    <w:div w:id="1121342094">
      <w:bodyDiv w:val="1"/>
      <w:marLeft w:val="0"/>
      <w:marRight w:val="0"/>
      <w:marTop w:val="0"/>
      <w:marBottom w:val="0"/>
      <w:divBdr>
        <w:top w:val="none" w:sz="0" w:space="0" w:color="auto"/>
        <w:left w:val="none" w:sz="0" w:space="0" w:color="auto"/>
        <w:bottom w:val="none" w:sz="0" w:space="0" w:color="auto"/>
        <w:right w:val="none" w:sz="0" w:space="0" w:color="auto"/>
      </w:divBdr>
    </w:div>
    <w:div w:id="1125855238">
      <w:bodyDiv w:val="1"/>
      <w:marLeft w:val="0"/>
      <w:marRight w:val="0"/>
      <w:marTop w:val="0"/>
      <w:marBottom w:val="0"/>
      <w:divBdr>
        <w:top w:val="none" w:sz="0" w:space="0" w:color="auto"/>
        <w:left w:val="none" w:sz="0" w:space="0" w:color="auto"/>
        <w:bottom w:val="none" w:sz="0" w:space="0" w:color="auto"/>
        <w:right w:val="none" w:sz="0" w:space="0" w:color="auto"/>
      </w:divBdr>
    </w:div>
    <w:div w:id="1126237924">
      <w:bodyDiv w:val="1"/>
      <w:marLeft w:val="0"/>
      <w:marRight w:val="0"/>
      <w:marTop w:val="0"/>
      <w:marBottom w:val="0"/>
      <w:divBdr>
        <w:top w:val="none" w:sz="0" w:space="0" w:color="auto"/>
        <w:left w:val="none" w:sz="0" w:space="0" w:color="auto"/>
        <w:bottom w:val="none" w:sz="0" w:space="0" w:color="auto"/>
        <w:right w:val="none" w:sz="0" w:space="0" w:color="auto"/>
      </w:divBdr>
    </w:div>
    <w:div w:id="1132018724">
      <w:bodyDiv w:val="1"/>
      <w:marLeft w:val="0"/>
      <w:marRight w:val="0"/>
      <w:marTop w:val="0"/>
      <w:marBottom w:val="0"/>
      <w:divBdr>
        <w:top w:val="none" w:sz="0" w:space="0" w:color="auto"/>
        <w:left w:val="none" w:sz="0" w:space="0" w:color="auto"/>
        <w:bottom w:val="none" w:sz="0" w:space="0" w:color="auto"/>
        <w:right w:val="none" w:sz="0" w:space="0" w:color="auto"/>
      </w:divBdr>
    </w:div>
    <w:div w:id="1136490264">
      <w:bodyDiv w:val="1"/>
      <w:marLeft w:val="0"/>
      <w:marRight w:val="0"/>
      <w:marTop w:val="0"/>
      <w:marBottom w:val="0"/>
      <w:divBdr>
        <w:top w:val="none" w:sz="0" w:space="0" w:color="auto"/>
        <w:left w:val="none" w:sz="0" w:space="0" w:color="auto"/>
        <w:bottom w:val="none" w:sz="0" w:space="0" w:color="auto"/>
        <w:right w:val="none" w:sz="0" w:space="0" w:color="auto"/>
      </w:divBdr>
    </w:div>
    <w:div w:id="1148857776">
      <w:bodyDiv w:val="1"/>
      <w:marLeft w:val="0"/>
      <w:marRight w:val="0"/>
      <w:marTop w:val="0"/>
      <w:marBottom w:val="0"/>
      <w:divBdr>
        <w:top w:val="none" w:sz="0" w:space="0" w:color="auto"/>
        <w:left w:val="none" w:sz="0" w:space="0" w:color="auto"/>
        <w:bottom w:val="none" w:sz="0" w:space="0" w:color="auto"/>
        <w:right w:val="none" w:sz="0" w:space="0" w:color="auto"/>
      </w:divBdr>
    </w:div>
    <w:div w:id="1160192799">
      <w:bodyDiv w:val="1"/>
      <w:marLeft w:val="0"/>
      <w:marRight w:val="0"/>
      <w:marTop w:val="0"/>
      <w:marBottom w:val="0"/>
      <w:divBdr>
        <w:top w:val="none" w:sz="0" w:space="0" w:color="auto"/>
        <w:left w:val="none" w:sz="0" w:space="0" w:color="auto"/>
        <w:bottom w:val="none" w:sz="0" w:space="0" w:color="auto"/>
        <w:right w:val="none" w:sz="0" w:space="0" w:color="auto"/>
      </w:divBdr>
    </w:div>
    <w:div w:id="1164053246">
      <w:bodyDiv w:val="1"/>
      <w:marLeft w:val="0"/>
      <w:marRight w:val="0"/>
      <w:marTop w:val="0"/>
      <w:marBottom w:val="0"/>
      <w:divBdr>
        <w:top w:val="none" w:sz="0" w:space="0" w:color="auto"/>
        <w:left w:val="none" w:sz="0" w:space="0" w:color="auto"/>
        <w:bottom w:val="none" w:sz="0" w:space="0" w:color="auto"/>
        <w:right w:val="none" w:sz="0" w:space="0" w:color="auto"/>
      </w:divBdr>
    </w:div>
    <w:div w:id="1166554947">
      <w:bodyDiv w:val="1"/>
      <w:marLeft w:val="0"/>
      <w:marRight w:val="0"/>
      <w:marTop w:val="0"/>
      <w:marBottom w:val="0"/>
      <w:divBdr>
        <w:top w:val="none" w:sz="0" w:space="0" w:color="auto"/>
        <w:left w:val="none" w:sz="0" w:space="0" w:color="auto"/>
        <w:bottom w:val="none" w:sz="0" w:space="0" w:color="auto"/>
        <w:right w:val="none" w:sz="0" w:space="0" w:color="auto"/>
      </w:divBdr>
    </w:div>
    <w:div w:id="1167944249">
      <w:bodyDiv w:val="1"/>
      <w:marLeft w:val="0"/>
      <w:marRight w:val="0"/>
      <w:marTop w:val="0"/>
      <w:marBottom w:val="0"/>
      <w:divBdr>
        <w:top w:val="none" w:sz="0" w:space="0" w:color="auto"/>
        <w:left w:val="none" w:sz="0" w:space="0" w:color="auto"/>
        <w:bottom w:val="none" w:sz="0" w:space="0" w:color="auto"/>
        <w:right w:val="none" w:sz="0" w:space="0" w:color="auto"/>
      </w:divBdr>
    </w:div>
    <w:div w:id="1168904113">
      <w:bodyDiv w:val="1"/>
      <w:marLeft w:val="0"/>
      <w:marRight w:val="0"/>
      <w:marTop w:val="0"/>
      <w:marBottom w:val="0"/>
      <w:divBdr>
        <w:top w:val="none" w:sz="0" w:space="0" w:color="auto"/>
        <w:left w:val="none" w:sz="0" w:space="0" w:color="auto"/>
        <w:bottom w:val="none" w:sz="0" w:space="0" w:color="auto"/>
        <w:right w:val="none" w:sz="0" w:space="0" w:color="auto"/>
      </w:divBdr>
    </w:div>
    <w:div w:id="1170484505">
      <w:bodyDiv w:val="1"/>
      <w:marLeft w:val="0"/>
      <w:marRight w:val="0"/>
      <w:marTop w:val="0"/>
      <w:marBottom w:val="0"/>
      <w:divBdr>
        <w:top w:val="none" w:sz="0" w:space="0" w:color="auto"/>
        <w:left w:val="none" w:sz="0" w:space="0" w:color="auto"/>
        <w:bottom w:val="none" w:sz="0" w:space="0" w:color="auto"/>
        <w:right w:val="none" w:sz="0" w:space="0" w:color="auto"/>
      </w:divBdr>
    </w:div>
    <w:div w:id="1179470596">
      <w:bodyDiv w:val="1"/>
      <w:marLeft w:val="0"/>
      <w:marRight w:val="0"/>
      <w:marTop w:val="0"/>
      <w:marBottom w:val="0"/>
      <w:divBdr>
        <w:top w:val="none" w:sz="0" w:space="0" w:color="auto"/>
        <w:left w:val="none" w:sz="0" w:space="0" w:color="auto"/>
        <w:bottom w:val="none" w:sz="0" w:space="0" w:color="auto"/>
        <w:right w:val="none" w:sz="0" w:space="0" w:color="auto"/>
      </w:divBdr>
    </w:div>
    <w:div w:id="1180663035">
      <w:bodyDiv w:val="1"/>
      <w:marLeft w:val="0"/>
      <w:marRight w:val="0"/>
      <w:marTop w:val="0"/>
      <w:marBottom w:val="0"/>
      <w:divBdr>
        <w:top w:val="none" w:sz="0" w:space="0" w:color="auto"/>
        <w:left w:val="none" w:sz="0" w:space="0" w:color="auto"/>
        <w:bottom w:val="none" w:sz="0" w:space="0" w:color="auto"/>
        <w:right w:val="none" w:sz="0" w:space="0" w:color="auto"/>
      </w:divBdr>
    </w:div>
    <w:div w:id="1180898590">
      <w:bodyDiv w:val="1"/>
      <w:marLeft w:val="0"/>
      <w:marRight w:val="0"/>
      <w:marTop w:val="0"/>
      <w:marBottom w:val="0"/>
      <w:divBdr>
        <w:top w:val="none" w:sz="0" w:space="0" w:color="auto"/>
        <w:left w:val="none" w:sz="0" w:space="0" w:color="auto"/>
        <w:bottom w:val="none" w:sz="0" w:space="0" w:color="auto"/>
        <w:right w:val="none" w:sz="0" w:space="0" w:color="auto"/>
      </w:divBdr>
    </w:div>
    <w:div w:id="1189370393">
      <w:bodyDiv w:val="1"/>
      <w:marLeft w:val="0"/>
      <w:marRight w:val="0"/>
      <w:marTop w:val="0"/>
      <w:marBottom w:val="0"/>
      <w:divBdr>
        <w:top w:val="none" w:sz="0" w:space="0" w:color="auto"/>
        <w:left w:val="none" w:sz="0" w:space="0" w:color="auto"/>
        <w:bottom w:val="none" w:sz="0" w:space="0" w:color="auto"/>
        <w:right w:val="none" w:sz="0" w:space="0" w:color="auto"/>
      </w:divBdr>
    </w:div>
    <w:div w:id="1189560109">
      <w:bodyDiv w:val="1"/>
      <w:marLeft w:val="0"/>
      <w:marRight w:val="0"/>
      <w:marTop w:val="0"/>
      <w:marBottom w:val="0"/>
      <w:divBdr>
        <w:top w:val="none" w:sz="0" w:space="0" w:color="auto"/>
        <w:left w:val="none" w:sz="0" w:space="0" w:color="auto"/>
        <w:bottom w:val="none" w:sz="0" w:space="0" w:color="auto"/>
        <w:right w:val="none" w:sz="0" w:space="0" w:color="auto"/>
      </w:divBdr>
    </w:div>
    <w:div w:id="1190339144">
      <w:bodyDiv w:val="1"/>
      <w:marLeft w:val="0"/>
      <w:marRight w:val="0"/>
      <w:marTop w:val="0"/>
      <w:marBottom w:val="0"/>
      <w:divBdr>
        <w:top w:val="none" w:sz="0" w:space="0" w:color="auto"/>
        <w:left w:val="none" w:sz="0" w:space="0" w:color="auto"/>
        <w:bottom w:val="none" w:sz="0" w:space="0" w:color="auto"/>
        <w:right w:val="none" w:sz="0" w:space="0" w:color="auto"/>
      </w:divBdr>
    </w:div>
    <w:div w:id="1193377613">
      <w:bodyDiv w:val="1"/>
      <w:marLeft w:val="0"/>
      <w:marRight w:val="0"/>
      <w:marTop w:val="0"/>
      <w:marBottom w:val="0"/>
      <w:divBdr>
        <w:top w:val="none" w:sz="0" w:space="0" w:color="auto"/>
        <w:left w:val="none" w:sz="0" w:space="0" w:color="auto"/>
        <w:bottom w:val="none" w:sz="0" w:space="0" w:color="auto"/>
        <w:right w:val="none" w:sz="0" w:space="0" w:color="auto"/>
      </w:divBdr>
    </w:div>
    <w:div w:id="1197157865">
      <w:bodyDiv w:val="1"/>
      <w:marLeft w:val="0"/>
      <w:marRight w:val="0"/>
      <w:marTop w:val="0"/>
      <w:marBottom w:val="0"/>
      <w:divBdr>
        <w:top w:val="none" w:sz="0" w:space="0" w:color="auto"/>
        <w:left w:val="none" w:sz="0" w:space="0" w:color="auto"/>
        <w:bottom w:val="none" w:sz="0" w:space="0" w:color="auto"/>
        <w:right w:val="none" w:sz="0" w:space="0" w:color="auto"/>
      </w:divBdr>
    </w:div>
    <w:div w:id="1200051146">
      <w:bodyDiv w:val="1"/>
      <w:marLeft w:val="0"/>
      <w:marRight w:val="0"/>
      <w:marTop w:val="0"/>
      <w:marBottom w:val="0"/>
      <w:divBdr>
        <w:top w:val="none" w:sz="0" w:space="0" w:color="auto"/>
        <w:left w:val="none" w:sz="0" w:space="0" w:color="auto"/>
        <w:bottom w:val="none" w:sz="0" w:space="0" w:color="auto"/>
        <w:right w:val="none" w:sz="0" w:space="0" w:color="auto"/>
      </w:divBdr>
    </w:div>
    <w:div w:id="1202861962">
      <w:bodyDiv w:val="1"/>
      <w:marLeft w:val="0"/>
      <w:marRight w:val="0"/>
      <w:marTop w:val="0"/>
      <w:marBottom w:val="0"/>
      <w:divBdr>
        <w:top w:val="none" w:sz="0" w:space="0" w:color="auto"/>
        <w:left w:val="none" w:sz="0" w:space="0" w:color="auto"/>
        <w:bottom w:val="none" w:sz="0" w:space="0" w:color="auto"/>
        <w:right w:val="none" w:sz="0" w:space="0" w:color="auto"/>
      </w:divBdr>
    </w:div>
    <w:div w:id="1207640356">
      <w:bodyDiv w:val="1"/>
      <w:marLeft w:val="0"/>
      <w:marRight w:val="0"/>
      <w:marTop w:val="0"/>
      <w:marBottom w:val="0"/>
      <w:divBdr>
        <w:top w:val="none" w:sz="0" w:space="0" w:color="auto"/>
        <w:left w:val="none" w:sz="0" w:space="0" w:color="auto"/>
        <w:bottom w:val="none" w:sz="0" w:space="0" w:color="auto"/>
        <w:right w:val="none" w:sz="0" w:space="0" w:color="auto"/>
      </w:divBdr>
    </w:div>
    <w:div w:id="1217663041">
      <w:bodyDiv w:val="1"/>
      <w:marLeft w:val="0"/>
      <w:marRight w:val="0"/>
      <w:marTop w:val="0"/>
      <w:marBottom w:val="0"/>
      <w:divBdr>
        <w:top w:val="none" w:sz="0" w:space="0" w:color="auto"/>
        <w:left w:val="none" w:sz="0" w:space="0" w:color="auto"/>
        <w:bottom w:val="none" w:sz="0" w:space="0" w:color="auto"/>
        <w:right w:val="none" w:sz="0" w:space="0" w:color="auto"/>
      </w:divBdr>
    </w:div>
    <w:div w:id="1225483662">
      <w:bodyDiv w:val="1"/>
      <w:marLeft w:val="0"/>
      <w:marRight w:val="0"/>
      <w:marTop w:val="0"/>
      <w:marBottom w:val="0"/>
      <w:divBdr>
        <w:top w:val="none" w:sz="0" w:space="0" w:color="auto"/>
        <w:left w:val="none" w:sz="0" w:space="0" w:color="auto"/>
        <w:bottom w:val="none" w:sz="0" w:space="0" w:color="auto"/>
        <w:right w:val="none" w:sz="0" w:space="0" w:color="auto"/>
      </w:divBdr>
    </w:div>
    <w:div w:id="1244682791">
      <w:bodyDiv w:val="1"/>
      <w:marLeft w:val="0"/>
      <w:marRight w:val="0"/>
      <w:marTop w:val="0"/>
      <w:marBottom w:val="0"/>
      <w:divBdr>
        <w:top w:val="none" w:sz="0" w:space="0" w:color="auto"/>
        <w:left w:val="none" w:sz="0" w:space="0" w:color="auto"/>
        <w:bottom w:val="none" w:sz="0" w:space="0" w:color="auto"/>
        <w:right w:val="none" w:sz="0" w:space="0" w:color="auto"/>
      </w:divBdr>
    </w:div>
    <w:div w:id="1248149241">
      <w:bodyDiv w:val="1"/>
      <w:marLeft w:val="0"/>
      <w:marRight w:val="0"/>
      <w:marTop w:val="0"/>
      <w:marBottom w:val="0"/>
      <w:divBdr>
        <w:top w:val="none" w:sz="0" w:space="0" w:color="auto"/>
        <w:left w:val="none" w:sz="0" w:space="0" w:color="auto"/>
        <w:bottom w:val="none" w:sz="0" w:space="0" w:color="auto"/>
        <w:right w:val="none" w:sz="0" w:space="0" w:color="auto"/>
      </w:divBdr>
    </w:div>
    <w:div w:id="1250770313">
      <w:bodyDiv w:val="1"/>
      <w:marLeft w:val="0"/>
      <w:marRight w:val="0"/>
      <w:marTop w:val="0"/>
      <w:marBottom w:val="0"/>
      <w:divBdr>
        <w:top w:val="none" w:sz="0" w:space="0" w:color="auto"/>
        <w:left w:val="none" w:sz="0" w:space="0" w:color="auto"/>
        <w:bottom w:val="none" w:sz="0" w:space="0" w:color="auto"/>
        <w:right w:val="none" w:sz="0" w:space="0" w:color="auto"/>
      </w:divBdr>
    </w:div>
    <w:div w:id="1252088246">
      <w:bodyDiv w:val="1"/>
      <w:marLeft w:val="0"/>
      <w:marRight w:val="0"/>
      <w:marTop w:val="0"/>
      <w:marBottom w:val="0"/>
      <w:divBdr>
        <w:top w:val="none" w:sz="0" w:space="0" w:color="auto"/>
        <w:left w:val="none" w:sz="0" w:space="0" w:color="auto"/>
        <w:bottom w:val="none" w:sz="0" w:space="0" w:color="auto"/>
        <w:right w:val="none" w:sz="0" w:space="0" w:color="auto"/>
      </w:divBdr>
    </w:div>
    <w:div w:id="1252852287">
      <w:bodyDiv w:val="1"/>
      <w:marLeft w:val="0"/>
      <w:marRight w:val="0"/>
      <w:marTop w:val="0"/>
      <w:marBottom w:val="0"/>
      <w:divBdr>
        <w:top w:val="none" w:sz="0" w:space="0" w:color="auto"/>
        <w:left w:val="none" w:sz="0" w:space="0" w:color="auto"/>
        <w:bottom w:val="none" w:sz="0" w:space="0" w:color="auto"/>
        <w:right w:val="none" w:sz="0" w:space="0" w:color="auto"/>
      </w:divBdr>
    </w:div>
    <w:div w:id="1258094914">
      <w:bodyDiv w:val="1"/>
      <w:marLeft w:val="0"/>
      <w:marRight w:val="0"/>
      <w:marTop w:val="0"/>
      <w:marBottom w:val="0"/>
      <w:divBdr>
        <w:top w:val="none" w:sz="0" w:space="0" w:color="auto"/>
        <w:left w:val="none" w:sz="0" w:space="0" w:color="auto"/>
        <w:bottom w:val="none" w:sz="0" w:space="0" w:color="auto"/>
        <w:right w:val="none" w:sz="0" w:space="0" w:color="auto"/>
      </w:divBdr>
    </w:div>
    <w:div w:id="1262909581">
      <w:bodyDiv w:val="1"/>
      <w:marLeft w:val="0"/>
      <w:marRight w:val="0"/>
      <w:marTop w:val="0"/>
      <w:marBottom w:val="0"/>
      <w:divBdr>
        <w:top w:val="none" w:sz="0" w:space="0" w:color="auto"/>
        <w:left w:val="none" w:sz="0" w:space="0" w:color="auto"/>
        <w:bottom w:val="none" w:sz="0" w:space="0" w:color="auto"/>
        <w:right w:val="none" w:sz="0" w:space="0" w:color="auto"/>
      </w:divBdr>
    </w:div>
    <w:div w:id="1265839453">
      <w:bodyDiv w:val="1"/>
      <w:marLeft w:val="0"/>
      <w:marRight w:val="0"/>
      <w:marTop w:val="0"/>
      <w:marBottom w:val="0"/>
      <w:divBdr>
        <w:top w:val="none" w:sz="0" w:space="0" w:color="auto"/>
        <w:left w:val="none" w:sz="0" w:space="0" w:color="auto"/>
        <w:bottom w:val="none" w:sz="0" w:space="0" w:color="auto"/>
        <w:right w:val="none" w:sz="0" w:space="0" w:color="auto"/>
      </w:divBdr>
    </w:div>
    <w:div w:id="1268198511">
      <w:bodyDiv w:val="1"/>
      <w:marLeft w:val="0"/>
      <w:marRight w:val="0"/>
      <w:marTop w:val="0"/>
      <w:marBottom w:val="0"/>
      <w:divBdr>
        <w:top w:val="none" w:sz="0" w:space="0" w:color="auto"/>
        <w:left w:val="none" w:sz="0" w:space="0" w:color="auto"/>
        <w:bottom w:val="none" w:sz="0" w:space="0" w:color="auto"/>
        <w:right w:val="none" w:sz="0" w:space="0" w:color="auto"/>
      </w:divBdr>
    </w:div>
    <w:div w:id="1272204150">
      <w:bodyDiv w:val="1"/>
      <w:marLeft w:val="0"/>
      <w:marRight w:val="0"/>
      <w:marTop w:val="0"/>
      <w:marBottom w:val="0"/>
      <w:divBdr>
        <w:top w:val="none" w:sz="0" w:space="0" w:color="auto"/>
        <w:left w:val="none" w:sz="0" w:space="0" w:color="auto"/>
        <w:bottom w:val="none" w:sz="0" w:space="0" w:color="auto"/>
        <w:right w:val="none" w:sz="0" w:space="0" w:color="auto"/>
      </w:divBdr>
    </w:div>
    <w:div w:id="1272474327">
      <w:bodyDiv w:val="1"/>
      <w:marLeft w:val="0"/>
      <w:marRight w:val="0"/>
      <w:marTop w:val="0"/>
      <w:marBottom w:val="0"/>
      <w:divBdr>
        <w:top w:val="none" w:sz="0" w:space="0" w:color="auto"/>
        <w:left w:val="none" w:sz="0" w:space="0" w:color="auto"/>
        <w:bottom w:val="none" w:sz="0" w:space="0" w:color="auto"/>
        <w:right w:val="none" w:sz="0" w:space="0" w:color="auto"/>
      </w:divBdr>
    </w:div>
    <w:div w:id="1283804098">
      <w:bodyDiv w:val="1"/>
      <w:marLeft w:val="0"/>
      <w:marRight w:val="0"/>
      <w:marTop w:val="0"/>
      <w:marBottom w:val="0"/>
      <w:divBdr>
        <w:top w:val="none" w:sz="0" w:space="0" w:color="auto"/>
        <w:left w:val="none" w:sz="0" w:space="0" w:color="auto"/>
        <w:bottom w:val="none" w:sz="0" w:space="0" w:color="auto"/>
        <w:right w:val="none" w:sz="0" w:space="0" w:color="auto"/>
      </w:divBdr>
    </w:div>
    <w:div w:id="1287544344">
      <w:bodyDiv w:val="1"/>
      <w:marLeft w:val="0"/>
      <w:marRight w:val="0"/>
      <w:marTop w:val="0"/>
      <w:marBottom w:val="0"/>
      <w:divBdr>
        <w:top w:val="none" w:sz="0" w:space="0" w:color="auto"/>
        <w:left w:val="none" w:sz="0" w:space="0" w:color="auto"/>
        <w:bottom w:val="none" w:sz="0" w:space="0" w:color="auto"/>
        <w:right w:val="none" w:sz="0" w:space="0" w:color="auto"/>
      </w:divBdr>
    </w:div>
    <w:div w:id="1288510986">
      <w:bodyDiv w:val="1"/>
      <w:marLeft w:val="0"/>
      <w:marRight w:val="0"/>
      <w:marTop w:val="0"/>
      <w:marBottom w:val="0"/>
      <w:divBdr>
        <w:top w:val="none" w:sz="0" w:space="0" w:color="auto"/>
        <w:left w:val="none" w:sz="0" w:space="0" w:color="auto"/>
        <w:bottom w:val="none" w:sz="0" w:space="0" w:color="auto"/>
        <w:right w:val="none" w:sz="0" w:space="0" w:color="auto"/>
      </w:divBdr>
    </w:div>
    <w:div w:id="1291277885">
      <w:bodyDiv w:val="1"/>
      <w:marLeft w:val="0"/>
      <w:marRight w:val="0"/>
      <w:marTop w:val="0"/>
      <w:marBottom w:val="0"/>
      <w:divBdr>
        <w:top w:val="none" w:sz="0" w:space="0" w:color="auto"/>
        <w:left w:val="none" w:sz="0" w:space="0" w:color="auto"/>
        <w:bottom w:val="none" w:sz="0" w:space="0" w:color="auto"/>
        <w:right w:val="none" w:sz="0" w:space="0" w:color="auto"/>
      </w:divBdr>
    </w:div>
    <w:div w:id="1292319684">
      <w:bodyDiv w:val="1"/>
      <w:marLeft w:val="0"/>
      <w:marRight w:val="0"/>
      <w:marTop w:val="0"/>
      <w:marBottom w:val="0"/>
      <w:divBdr>
        <w:top w:val="none" w:sz="0" w:space="0" w:color="auto"/>
        <w:left w:val="none" w:sz="0" w:space="0" w:color="auto"/>
        <w:bottom w:val="none" w:sz="0" w:space="0" w:color="auto"/>
        <w:right w:val="none" w:sz="0" w:space="0" w:color="auto"/>
      </w:divBdr>
    </w:div>
    <w:div w:id="1298098261">
      <w:bodyDiv w:val="1"/>
      <w:marLeft w:val="0"/>
      <w:marRight w:val="0"/>
      <w:marTop w:val="0"/>
      <w:marBottom w:val="0"/>
      <w:divBdr>
        <w:top w:val="none" w:sz="0" w:space="0" w:color="auto"/>
        <w:left w:val="none" w:sz="0" w:space="0" w:color="auto"/>
        <w:bottom w:val="none" w:sz="0" w:space="0" w:color="auto"/>
        <w:right w:val="none" w:sz="0" w:space="0" w:color="auto"/>
      </w:divBdr>
    </w:div>
    <w:div w:id="1301349935">
      <w:bodyDiv w:val="1"/>
      <w:marLeft w:val="0"/>
      <w:marRight w:val="0"/>
      <w:marTop w:val="0"/>
      <w:marBottom w:val="0"/>
      <w:divBdr>
        <w:top w:val="none" w:sz="0" w:space="0" w:color="auto"/>
        <w:left w:val="none" w:sz="0" w:space="0" w:color="auto"/>
        <w:bottom w:val="none" w:sz="0" w:space="0" w:color="auto"/>
        <w:right w:val="none" w:sz="0" w:space="0" w:color="auto"/>
      </w:divBdr>
    </w:div>
    <w:div w:id="1304433904">
      <w:bodyDiv w:val="1"/>
      <w:marLeft w:val="0"/>
      <w:marRight w:val="0"/>
      <w:marTop w:val="0"/>
      <w:marBottom w:val="0"/>
      <w:divBdr>
        <w:top w:val="none" w:sz="0" w:space="0" w:color="auto"/>
        <w:left w:val="none" w:sz="0" w:space="0" w:color="auto"/>
        <w:bottom w:val="none" w:sz="0" w:space="0" w:color="auto"/>
        <w:right w:val="none" w:sz="0" w:space="0" w:color="auto"/>
      </w:divBdr>
    </w:div>
    <w:div w:id="1306666617">
      <w:bodyDiv w:val="1"/>
      <w:marLeft w:val="0"/>
      <w:marRight w:val="0"/>
      <w:marTop w:val="0"/>
      <w:marBottom w:val="0"/>
      <w:divBdr>
        <w:top w:val="none" w:sz="0" w:space="0" w:color="auto"/>
        <w:left w:val="none" w:sz="0" w:space="0" w:color="auto"/>
        <w:bottom w:val="none" w:sz="0" w:space="0" w:color="auto"/>
        <w:right w:val="none" w:sz="0" w:space="0" w:color="auto"/>
      </w:divBdr>
    </w:div>
    <w:div w:id="1310741897">
      <w:bodyDiv w:val="1"/>
      <w:marLeft w:val="0"/>
      <w:marRight w:val="0"/>
      <w:marTop w:val="0"/>
      <w:marBottom w:val="0"/>
      <w:divBdr>
        <w:top w:val="none" w:sz="0" w:space="0" w:color="auto"/>
        <w:left w:val="none" w:sz="0" w:space="0" w:color="auto"/>
        <w:bottom w:val="none" w:sz="0" w:space="0" w:color="auto"/>
        <w:right w:val="none" w:sz="0" w:space="0" w:color="auto"/>
      </w:divBdr>
    </w:div>
    <w:div w:id="1311444640">
      <w:bodyDiv w:val="1"/>
      <w:marLeft w:val="0"/>
      <w:marRight w:val="0"/>
      <w:marTop w:val="0"/>
      <w:marBottom w:val="0"/>
      <w:divBdr>
        <w:top w:val="none" w:sz="0" w:space="0" w:color="auto"/>
        <w:left w:val="none" w:sz="0" w:space="0" w:color="auto"/>
        <w:bottom w:val="none" w:sz="0" w:space="0" w:color="auto"/>
        <w:right w:val="none" w:sz="0" w:space="0" w:color="auto"/>
      </w:divBdr>
    </w:div>
    <w:div w:id="1311668509">
      <w:bodyDiv w:val="1"/>
      <w:marLeft w:val="0"/>
      <w:marRight w:val="0"/>
      <w:marTop w:val="0"/>
      <w:marBottom w:val="0"/>
      <w:divBdr>
        <w:top w:val="none" w:sz="0" w:space="0" w:color="auto"/>
        <w:left w:val="none" w:sz="0" w:space="0" w:color="auto"/>
        <w:bottom w:val="none" w:sz="0" w:space="0" w:color="auto"/>
        <w:right w:val="none" w:sz="0" w:space="0" w:color="auto"/>
      </w:divBdr>
    </w:div>
    <w:div w:id="1326514938">
      <w:bodyDiv w:val="1"/>
      <w:marLeft w:val="0"/>
      <w:marRight w:val="0"/>
      <w:marTop w:val="0"/>
      <w:marBottom w:val="0"/>
      <w:divBdr>
        <w:top w:val="none" w:sz="0" w:space="0" w:color="auto"/>
        <w:left w:val="none" w:sz="0" w:space="0" w:color="auto"/>
        <w:bottom w:val="none" w:sz="0" w:space="0" w:color="auto"/>
        <w:right w:val="none" w:sz="0" w:space="0" w:color="auto"/>
      </w:divBdr>
    </w:div>
    <w:div w:id="1326739956">
      <w:bodyDiv w:val="1"/>
      <w:marLeft w:val="0"/>
      <w:marRight w:val="0"/>
      <w:marTop w:val="0"/>
      <w:marBottom w:val="0"/>
      <w:divBdr>
        <w:top w:val="none" w:sz="0" w:space="0" w:color="auto"/>
        <w:left w:val="none" w:sz="0" w:space="0" w:color="auto"/>
        <w:bottom w:val="none" w:sz="0" w:space="0" w:color="auto"/>
        <w:right w:val="none" w:sz="0" w:space="0" w:color="auto"/>
      </w:divBdr>
    </w:div>
    <w:div w:id="1330668636">
      <w:bodyDiv w:val="1"/>
      <w:marLeft w:val="0"/>
      <w:marRight w:val="0"/>
      <w:marTop w:val="0"/>
      <w:marBottom w:val="0"/>
      <w:divBdr>
        <w:top w:val="none" w:sz="0" w:space="0" w:color="auto"/>
        <w:left w:val="none" w:sz="0" w:space="0" w:color="auto"/>
        <w:bottom w:val="none" w:sz="0" w:space="0" w:color="auto"/>
        <w:right w:val="none" w:sz="0" w:space="0" w:color="auto"/>
      </w:divBdr>
    </w:div>
    <w:div w:id="1331059638">
      <w:bodyDiv w:val="1"/>
      <w:marLeft w:val="0"/>
      <w:marRight w:val="0"/>
      <w:marTop w:val="0"/>
      <w:marBottom w:val="0"/>
      <w:divBdr>
        <w:top w:val="none" w:sz="0" w:space="0" w:color="auto"/>
        <w:left w:val="none" w:sz="0" w:space="0" w:color="auto"/>
        <w:bottom w:val="none" w:sz="0" w:space="0" w:color="auto"/>
        <w:right w:val="none" w:sz="0" w:space="0" w:color="auto"/>
      </w:divBdr>
    </w:div>
    <w:div w:id="1331370882">
      <w:bodyDiv w:val="1"/>
      <w:marLeft w:val="0"/>
      <w:marRight w:val="0"/>
      <w:marTop w:val="0"/>
      <w:marBottom w:val="0"/>
      <w:divBdr>
        <w:top w:val="none" w:sz="0" w:space="0" w:color="auto"/>
        <w:left w:val="none" w:sz="0" w:space="0" w:color="auto"/>
        <w:bottom w:val="none" w:sz="0" w:space="0" w:color="auto"/>
        <w:right w:val="none" w:sz="0" w:space="0" w:color="auto"/>
      </w:divBdr>
    </w:div>
    <w:div w:id="1333677622">
      <w:bodyDiv w:val="1"/>
      <w:marLeft w:val="0"/>
      <w:marRight w:val="0"/>
      <w:marTop w:val="0"/>
      <w:marBottom w:val="0"/>
      <w:divBdr>
        <w:top w:val="none" w:sz="0" w:space="0" w:color="auto"/>
        <w:left w:val="none" w:sz="0" w:space="0" w:color="auto"/>
        <w:bottom w:val="none" w:sz="0" w:space="0" w:color="auto"/>
        <w:right w:val="none" w:sz="0" w:space="0" w:color="auto"/>
      </w:divBdr>
    </w:div>
    <w:div w:id="1333753159">
      <w:bodyDiv w:val="1"/>
      <w:marLeft w:val="0"/>
      <w:marRight w:val="0"/>
      <w:marTop w:val="0"/>
      <w:marBottom w:val="0"/>
      <w:divBdr>
        <w:top w:val="none" w:sz="0" w:space="0" w:color="auto"/>
        <w:left w:val="none" w:sz="0" w:space="0" w:color="auto"/>
        <w:bottom w:val="none" w:sz="0" w:space="0" w:color="auto"/>
        <w:right w:val="none" w:sz="0" w:space="0" w:color="auto"/>
      </w:divBdr>
    </w:div>
    <w:div w:id="1334407615">
      <w:bodyDiv w:val="1"/>
      <w:marLeft w:val="0"/>
      <w:marRight w:val="0"/>
      <w:marTop w:val="0"/>
      <w:marBottom w:val="0"/>
      <w:divBdr>
        <w:top w:val="none" w:sz="0" w:space="0" w:color="auto"/>
        <w:left w:val="none" w:sz="0" w:space="0" w:color="auto"/>
        <w:bottom w:val="none" w:sz="0" w:space="0" w:color="auto"/>
        <w:right w:val="none" w:sz="0" w:space="0" w:color="auto"/>
      </w:divBdr>
    </w:div>
    <w:div w:id="1335648947">
      <w:bodyDiv w:val="1"/>
      <w:marLeft w:val="0"/>
      <w:marRight w:val="0"/>
      <w:marTop w:val="0"/>
      <w:marBottom w:val="0"/>
      <w:divBdr>
        <w:top w:val="none" w:sz="0" w:space="0" w:color="auto"/>
        <w:left w:val="none" w:sz="0" w:space="0" w:color="auto"/>
        <w:bottom w:val="none" w:sz="0" w:space="0" w:color="auto"/>
        <w:right w:val="none" w:sz="0" w:space="0" w:color="auto"/>
      </w:divBdr>
    </w:div>
    <w:div w:id="1335915684">
      <w:bodyDiv w:val="1"/>
      <w:marLeft w:val="0"/>
      <w:marRight w:val="0"/>
      <w:marTop w:val="0"/>
      <w:marBottom w:val="0"/>
      <w:divBdr>
        <w:top w:val="none" w:sz="0" w:space="0" w:color="auto"/>
        <w:left w:val="none" w:sz="0" w:space="0" w:color="auto"/>
        <w:bottom w:val="none" w:sz="0" w:space="0" w:color="auto"/>
        <w:right w:val="none" w:sz="0" w:space="0" w:color="auto"/>
      </w:divBdr>
    </w:div>
    <w:div w:id="1337877611">
      <w:bodyDiv w:val="1"/>
      <w:marLeft w:val="0"/>
      <w:marRight w:val="0"/>
      <w:marTop w:val="0"/>
      <w:marBottom w:val="0"/>
      <w:divBdr>
        <w:top w:val="none" w:sz="0" w:space="0" w:color="auto"/>
        <w:left w:val="none" w:sz="0" w:space="0" w:color="auto"/>
        <w:bottom w:val="none" w:sz="0" w:space="0" w:color="auto"/>
        <w:right w:val="none" w:sz="0" w:space="0" w:color="auto"/>
      </w:divBdr>
    </w:div>
    <w:div w:id="1340694599">
      <w:bodyDiv w:val="1"/>
      <w:marLeft w:val="0"/>
      <w:marRight w:val="0"/>
      <w:marTop w:val="0"/>
      <w:marBottom w:val="0"/>
      <w:divBdr>
        <w:top w:val="none" w:sz="0" w:space="0" w:color="auto"/>
        <w:left w:val="none" w:sz="0" w:space="0" w:color="auto"/>
        <w:bottom w:val="none" w:sz="0" w:space="0" w:color="auto"/>
        <w:right w:val="none" w:sz="0" w:space="0" w:color="auto"/>
      </w:divBdr>
    </w:div>
    <w:div w:id="1341542908">
      <w:bodyDiv w:val="1"/>
      <w:marLeft w:val="0"/>
      <w:marRight w:val="0"/>
      <w:marTop w:val="0"/>
      <w:marBottom w:val="0"/>
      <w:divBdr>
        <w:top w:val="none" w:sz="0" w:space="0" w:color="auto"/>
        <w:left w:val="none" w:sz="0" w:space="0" w:color="auto"/>
        <w:bottom w:val="none" w:sz="0" w:space="0" w:color="auto"/>
        <w:right w:val="none" w:sz="0" w:space="0" w:color="auto"/>
      </w:divBdr>
    </w:div>
    <w:div w:id="1344630650">
      <w:bodyDiv w:val="1"/>
      <w:marLeft w:val="0"/>
      <w:marRight w:val="0"/>
      <w:marTop w:val="0"/>
      <w:marBottom w:val="0"/>
      <w:divBdr>
        <w:top w:val="none" w:sz="0" w:space="0" w:color="auto"/>
        <w:left w:val="none" w:sz="0" w:space="0" w:color="auto"/>
        <w:bottom w:val="none" w:sz="0" w:space="0" w:color="auto"/>
        <w:right w:val="none" w:sz="0" w:space="0" w:color="auto"/>
      </w:divBdr>
    </w:div>
    <w:div w:id="1346514439">
      <w:bodyDiv w:val="1"/>
      <w:marLeft w:val="0"/>
      <w:marRight w:val="0"/>
      <w:marTop w:val="0"/>
      <w:marBottom w:val="0"/>
      <w:divBdr>
        <w:top w:val="none" w:sz="0" w:space="0" w:color="auto"/>
        <w:left w:val="none" w:sz="0" w:space="0" w:color="auto"/>
        <w:bottom w:val="none" w:sz="0" w:space="0" w:color="auto"/>
        <w:right w:val="none" w:sz="0" w:space="0" w:color="auto"/>
      </w:divBdr>
    </w:div>
    <w:div w:id="1347245577">
      <w:bodyDiv w:val="1"/>
      <w:marLeft w:val="0"/>
      <w:marRight w:val="0"/>
      <w:marTop w:val="0"/>
      <w:marBottom w:val="0"/>
      <w:divBdr>
        <w:top w:val="none" w:sz="0" w:space="0" w:color="auto"/>
        <w:left w:val="none" w:sz="0" w:space="0" w:color="auto"/>
        <w:bottom w:val="none" w:sz="0" w:space="0" w:color="auto"/>
        <w:right w:val="none" w:sz="0" w:space="0" w:color="auto"/>
      </w:divBdr>
    </w:div>
    <w:div w:id="1349332523">
      <w:bodyDiv w:val="1"/>
      <w:marLeft w:val="0"/>
      <w:marRight w:val="0"/>
      <w:marTop w:val="0"/>
      <w:marBottom w:val="0"/>
      <w:divBdr>
        <w:top w:val="none" w:sz="0" w:space="0" w:color="auto"/>
        <w:left w:val="none" w:sz="0" w:space="0" w:color="auto"/>
        <w:bottom w:val="none" w:sz="0" w:space="0" w:color="auto"/>
        <w:right w:val="none" w:sz="0" w:space="0" w:color="auto"/>
      </w:divBdr>
    </w:div>
    <w:div w:id="1349873775">
      <w:bodyDiv w:val="1"/>
      <w:marLeft w:val="0"/>
      <w:marRight w:val="0"/>
      <w:marTop w:val="0"/>
      <w:marBottom w:val="0"/>
      <w:divBdr>
        <w:top w:val="none" w:sz="0" w:space="0" w:color="auto"/>
        <w:left w:val="none" w:sz="0" w:space="0" w:color="auto"/>
        <w:bottom w:val="none" w:sz="0" w:space="0" w:color="auto"/>
        <w:right w:val="none" w:sz="0" w:space="0" w:color="auto"/>
      </w:divBdr>
    </w:div>
    <w:div w:id="1352341344">
      <w:bodyDiv w:val="1"/>
      <w:marLeft w:val="0"/>
      <w:marRight w:val="0"/>
      <w:marTop w:val="0"/>
      <w:marBottom w:val="0"/>
      <w:divBdr>
        <w:top w:val="none" w:sz="0" w:space="0" w:color="auto"/>
        <w:left w:val="none" w:sz="0" w:space="0" w:color="auto"/>
        <w:bottom w:val="none" w:sz="0" w:space="0" w:color="auto"/>
        <w:right w:val="none" w:sz="0" w:space="0" w:color="auto"/>
      </w:divBdr>
    </w:div>
    <w:div w:id="1356226278">
      <w:bodyDiv w:val="1"/>
      <w:marLeft w:val="0"/>
      <w:marRight w:val="0"/>
      <w:marTop w:val="0"/>
      <w:marBottom w:val="0"/>
      <w:divBdr>
        <w:top w:val="none" w:sz="0" w:space="0" w:color="auto"/>
        <w:left w:val="none" w:sz="0" w:space="0" w:color="auto"/>
        <w:bottom w:val="none" w:sz="0" w:space="0" w:color="auto"/>
        <w:right w:val="none" w:sz="0" w:space="0" w:color="auto"/>
      </w:divBdr>
    </w:div>
    <w:div w:id="1362828133">
      <w:bodyDiv w:val="1"/>
      <w:marLeft w:val="0"/>
      <w:marRight w:val="0"/>
      <w:marTop w:val="0"/>
      <w:marBottom w:val="0"/>
      <w:divBdr>
        <w:top w:val="none" w:sz="0" w:space="0" w:color="auto"/>
        <w:left w:val="none" w:sz="0" w:space="0" w:color="auto"/>
        <w:bottom w:val="none" w:sz="0" w:space="0" w:color="auto"/>
        <w:right w:val="none" w:sz="0" w:space="0" w:color="auto"/>
      </w:divBdr>
    </w:div>
    <w:div w:id="1369137047">
      <w:bodyDiv w:val="1"/>
      <w:marLeft w:val="0"/>
      <w:marRight w:val="0"/>
      <w:marTop w:val="0"/>
      <w:marBottom w:val="0"/>
      <w:divBdr>
        <w:top w:val="none" w:sz="0" w:space="0" w:color="auto"/>
        <w:left w:val="none" w:sz="0" w:space="0" w:color="auto"/>
        <w:bottom w:val="none" w:sz="0" w:space="0" w:color="auto"/>
        <w:right w:val="none" w:sz="0" w:space="0" w:color="auto"/>
      </w:divBdr>
    </w:div>
    <w:div w:id="1378823626">
      <w:bodyDiv w:val="1"/>
      <w:marLeft w:val="0"/>
      <w:marRight w:val="0"/>
      <w:marTop w:val="0"/>
      <w:marBottom w:val="0"/>
      <w:divBdr>
        <w:top w:val="none" w:sz="0" w:space="0" w:color="auto"/>
        <w:left w:val="none" w:sz="0" w:space="0" w:color="auto"/>
        <w:bottom w:val="none" w:sz="0" w:space="0" w:color="auto"/>
        <w:right w:val="none" w:sz="0" w:space="0" w:color="auto"/>
      </w:divBdr>
    </w:div>
    <w:div w:id="1382368245">
      <w:bodyDiv w:val="1"/>
      <w:marLeft w:val="0"/>
      <w:marRight w:val="0"/>
      <w:marTop w:val="0"/>
      <w:marBottom w:val="0"/>
      <w:divBdr>
        <w:top w:val="none" w:sz="0" w:space="0" w:color="auto"/>
        <w:left w:val="none" w:sz="0" w:space="0" w:color="auto"/>
        <w:bottom w:val="none" w:sz="0" w:space="0" w:color="auto"/>
        <w:right w:val="none" w:sz="0" w:space="0" w:color="auto"/>
      </w:divBdr>
    </w:div>
    <w:div w:id="1388335960">
      <w:bodyDiv w:val="1"/>
      <w:marLeft w:val="0"/>
      <w:marRight w:val="0"/>
      <w:marTop w:val="0"/>
      <w:marBottom w:val="0"/>
      <w:divBdr>
        <w:top w:val="none" w:sz="0" w:space="0" w:color="auto"/>
        <w:left w:val="none" w:sz="0" w:space="0" w:color="auto"/>
        <w:bottom w:val="none" w:sz="0" w:space="0" w:color="auto"/>
        <w:right w:val="none" w:sz="0" w:space="0" w:color="auto"/>
      </w:divBdr>
    </w:div>
    <w:div w:id="1389567773">
      <w:bodyDiv w:val="1"/>
      <w:marLeft w:val="0"/>
      <w:marRight w:val="0"/>
      <w:marTop w:val="0"/>
      <w:marBottom w:val="0"/>
      <w:divBdr>
        <w:top w:val="none" w:sz="0" w:space="0" w:color="auto"/>
        <w:left w:val="none" w:sz="0" w:space="0" w:color="auto"/>
        <w:bottom w:val="none" w:sz="0" w:space="0" w:color="auto"/>
        <w:right w:val="none" w:sz="0" w:space="0" w:color="auto"/>
      </w:divBdr>
    </w:div>
    <w:div w:id="1400637500">
      <w:bodyDiv w:val="1"/>
      <w:marLeft w:val="0"/>
      <w:marRight w:val="0"/>
      <w:marTop w:val="0"/>
      <w:marBottom w:val="0"/>
      <w:divBdr>
        <w:top w:val="none" w:sz="0" w:space="0" w:color="auto"/>
        <w:left w:val="none" w:sz="0" w:space="0" w:color="auto"/>
        <w:bottom w:val="none" w:sz="0" w:space="0" w:color="auto"/>
        <w:right w:val="none" w:sz="0" w:space="0" w:color="auto"/>
      </w:divBdr>
    </w:div>
    <w:div w:id="1400638225">
      <w:bodyDiv w:val="1"/>
      <w:marLeft w:val="0"/>
      <w:marRight w:val="0"/>
      <w:marTop w:val="0"/>
      <w:marBottom w:val="0"/>
      <w:divBdr>
        <w:top w:val="none" w:sz="0" w:space="0" w:color="auto"/>
        <w:left w:val="none" w:sz="0" w:space="0" w:color="auto"/>
        <w:bottom w:val="none" w:sz="0" w:space="0" w:color="auto"/>
        <w:right w:val="none" w:sz="0" w:space="0" w:color="auto"/>
      </w:divBdr>
    </w:div>
    <w:div w:id="1402216298">
      <w:bodyDiv w:val="1"/>
      <w:marLeft w:val="0"/>
      <w:marRight w:val="0"/>
      <w:marTop w:val="0"/>
      <w:marBottom w:val="0"/>
      <w:divBdr>
        <w:top w:val="none" w:sz="0" w:space="0" w:color="auto"/>
        <w:left w:val="none" w:sz="0" w:space="0" w:color="auto"/>
        <w:bottom w:val="none" w:sz="0" w:space="0" w:color="auto"/>
        <w:right w:val="none" w:sz="0" w:space="0" w:color="auto"/>
      </w:divBdr>
    </w:div>
    <w:div w:id="1405033771">
      <w:bodyDiv w:val="1"/>
      <w:marLeft w:val="0"/>
      <w:marRight w:val="0"/>
      <w:marTop w:val="0"/>
      <w:marBottom w:val="0"/>
      <w:divBdr>
        <w:top w:val="none" w:sz="0" w:space="0" w:color="auto"/>
        <w:left w:val="none" w:sz="0" w:space="0" w:color="auto"/>
        <w:bottom w:val="none" w:sz="0" w:space="0" w:color="auto"/>
        <w:right w:val="none" w:sz="0" w:space="0" w:color="auto"/>
      </w:divBdr>
    </w:div>
    <w:div w:id="1409889914">
      <w:bodyDiv w:val="1"/>
      <w:marLeft w:val="0"/>
      <w:marRight w:val="0"/>
      <w:marTop w:val="0"/>
      <w:marBottom w:val="0"/>
      <w:divBdr>
        <w:top w:val="none" w:sz="0" w:space="0" w:color="auto"/>
        <w:left w:val="none" w:sz="0" w:space="0" w:color="auto"/>
        <w:bottom w:val="none" w:sz="0" w:space="0" w:color="auto"/>
        <w:right w:val="none" w:sz="0" w:space="0" w:color="auto"/>
      </w:divBdr>
    </w:div>
    <w:div w:id="1420327230">
      <w:bodyDiv w:val="1"/>
      <w:marLeft w:val="0"/>
      <w:marRight w:val="0"/>
      <w:marTop w:val="0"/>
      <w:marBottom w:val="0"/>
      <w:divBdr>
        <w:top w:val="none" w:sz="0" w:space="0" w:color="auto"/>
        <w:left w:val="none" w:sz="0" w:space="0" w:color="auto"/>
        <w:bottom w:val="none" w:sz="0" w:space="0" w:color="auto"/>
        <w:right w:val="none" w:sz="0" w:space="0" w:color="auto"/>
      </w:divBdr>
    </w:div>
    <w:div w:id="1422986257">
      <w:bodyDiv w:val="1"/>
      <w:marLeft w:val="0"/>
      <w:marRight w:val="0"/>
      <w:marTop w:val="0"/>
      <w:marBottom w:val="0"/>
      <w:divBdr>
        <w:top w:val="none" w:sz="0" w:space="0" w:color="auto"/>
        <w:left w:val="none" w:sz="0" w:space="0" w:color="auto"/>
        <w:bottom w:val="none" w:sz="0" w:space="0" w:color="auto"/>
        <w:right w:val="none" w:sz="0" w:space="0" w:color="auto"/>
      </w:divBdr>
    </w:div>
    <w:div w:id="1423643178">
      <w:bodyDiv w:val="1"/>
      <w:marLeft w:val="0"/>
      <w:marRight w:val="0"/>
      <w:marTop w:val="0"/>
      <w:marBottom w:val="0"/>
      <w:divBdr>
        <w:top w:val="none" w:sz="0" w:space="0" w:color="auto"/>
        <w:left w:val="none" w:sz="0" w:space="0" w:color="auto"/>
        <w:bottom w:val="none" w:sz="0" w:space="0" w:color="auto"/>
        <w:right w:val="none" w:sz="0" w:space="0" w:color="auto"/>
      </w:divBdr>
    </w:div>
    <w:div w:id="1425570287">
      <w:bodyDiv w:val="1"/>
      <w:marLeft w:val="0"/>
      <w:marRight w:val="0"/>
      <w:marTop w:val="0"/>
      <w:marBottom w:val="0"/>
      <w:divBdr>
        <w:top w:val="none" w:sz="0" w:space="0" w:color="auto"/>
        <w:left w:val="none" w:sz="0" w:space="0" w:color="auto"/>
        <w:bottom w:val="none" w:sz="0" w:space="0" w:color="auto"/>
        <w:right w:val="none" w:sz="0" w:space="0" w:color="auto"/>
      </w:divBdr>
    </w:div>
    <w:div w:id="1426415298">
      <w:bodyDiv w:val="1"/>
      <w:marLeft w:val="0"/>
      <w:marRight w:val="0"/>
      <w:marTop w:val="0"/>
      <w:marBottom w:val="0"/>
      <w:divBdr>
        <w:top w:val="none" w:sz="0" w:space="0" w:color="auto"/>
        <w:left w:val="none" w:sz="0" w:space="0" w:color="auto"/>
        <w:bottom w:val="none" w:sz="0" w:space="0" w:color="auto"/>
        <w:right w:val="none" w:sz="0" w:space="0" w:color="auto"/>
      </w:divBdr>
    </w:div>
    <w:div w:id="1431777583">
      <w:bodyDiv w:val="1"/>
      <w:marLeft w:val="0"/>
      <w:marRight w:val="0"/>
      <w:marTop w:val="0"/>
      <w:marBottom w:val="0"/>
      <w:divBdr>
        <w:top w:val="none" w:sz="0" w:space="0" w:color="auto"/>
        <w:left w:val="none" w:sz="0" w:space="0" w:color="auto"/>
        <w:bottom w:val="none" w:sz="0" w:space="0" w:color="auto"/>
        <w:right w:val="none" w:sz="0" w:space="0" w:color="auto"/>
      </w:divBdr>
    </w:div>
    <w:div w:id="1432580632">
      <w:bodyDiv w:val="1"/>
      <w:marLeft w:val="0"/>
      <w:marRight w:val="0"/>
      <w:marTop w:val="0"/>
      <w:marBottom w:val="0"/>
      <w:divBdr>
        <w:top w:val="none" w:sz="0" w:space="0" w:color="auto"/>
        <w:left w:val="none" w:sz="0" w:space="0" w:color="auto"/>
        <w:bottom w:val="none" w:sz="0" w:space="0" w:color="auto"/>
        <w:right w:val="none" w:sz="0" w:space="0" w:color="auto"/>
      </w:divBdr>
    </w:div>
    <w:div w:id="1434399955">
      <w:bodyDiv w:val="1"/>
      <w:marLeft w:val="0"/>
      <w:marRight w:val="0"/>
      <w:marTop w:val="0"/>
      <w:marBottom w:val="0"/>
      <w:divBdr>
        <w:top w:val="none" w:sz="0" w:space="0" w:color="auto"/>
        <w:left w:val="none" w:sz="0" w:space="0" w:color="auto"/>
        <w:bottom w:val="none" w:sz="0" w:space="0" w:color="auto"/>
        <w:right w:val="none" w:sz="0" w:space="0" w:color="auto"/>
      </w:divBdr>
    </w:div>
    <w:div w:id="1445074834">
      <w:bodyDiv w:val="1"/>
      <w:marLeft w:val="0"/>
      <w:marRight w:val="0"/>
      <w:marTop w:val="0"/>
      <w:marBottom w:val="0"/>
      <w:divBdr>
        <w:top w:val="none" w:sz="0" w:space="0" w:color="auto"/>
        <w:left w:val="none" w:sz="0" w:space="0" w:color="auto"/>
        <w:bottom w:val="none" w:sz="0" w:space="0" w:color="auto"/>
        <w:right w:val="none" w:sz="0" w:space="0" w:color="auto"/>
      </w:divBdr>
    </w:div>
    <w:div w:id="1451626115">
      <w:bodyDiv w:val="1"/>
      <w:marLeft w:val="0"/>
      <w:marRight w:val="0"/>
      <w:marTop w:val="0"/>
      <w:marBottom w:val="0"/>
      <w:divBdr>
        <w:top w:val="none" w:sz="0" w:space="0" w:color="auto"/>
        <w:left w:val="none" w:sz="0" w:space="0" w:color="auto"/>
        <w:bottom w:val="none" w:sz="0" w:space="0" w:color="auto"/>
        <w:right w:val="none" w:sz="0" w:space="0" w:color="auto"/>
      </w:divBdr>
    </w:div>
    <w:div w:id="1452625368">
      <w:bodyDiv w:val="1"/>
      <w:marLeft w:val="0"/>
      <w:marRight w:val="0"/>
      <w:marTop w:val="0"/>
      <w:marBottom w:val="0"/>
      <w:divBdr>
        <w:top w:val="none" w:sz="0" w:space="0" w:color="auto"/>
        <w:left w:val="none" w:sz="0" w:space="0" w:color="auto"/>
        <w:bottom w:val="none" w:sz="0" w:space="0" w:color="auto"/>
        <w:right w:val="none" w:sz="0" w:space="0" w:color="auto"/>
      </w:divBdr>
    </w:div>
    <w:div w:id="1455976997">
      <w:bodyDiv w:val="1"/>
      <w:marLeft w:val="0"/>
      <w:marRight w:val="0"/>
      <w:marTop w:val="0"/>
      <w:marBottom w:val="0"/>
      <w:divBdr>
        <w:top w:val="none" w:sz="0" w:space="0" w:color="auto"/>
        <w:left w:val="none" w:sz="0" w:space="0" w:color="auto"/>
        <w:bottom w:val="none" w:sz="0" w:space="0" w:color="auto"/>
        <w:right w:val="none" w:sz="0" w:space="0" w:color="auto"/>
      </w:divBdr>
    </w:div>
    <w:div w:id="1456947959">
      <w:bodyDiv w:val="1"/>
      <w:marLeft w:val="0"/>
      <w:marRight w:val="0"/>
      <w:marTop w:val="0"/>
      <w:marBottom w:val="0"/>
      <w:divBdr>
        <w:top w:val="none" w:sz="0" w:space="0" w:color="auto"/>
        <w:left w:val="none" w:sz="0" w:space="0" w:color="auto"/>
        <w:bottom w:val="none" w:sz="0" w:space="0" w:color="auto"/>
        <w:right w:val="none" w:sz="0" w:space="0" w:color="auto"/>
      </w:divBdr>
    </w:div>
    <w:div w:id="1458180663">
      <w:bodyDiv w:val="1"/>
      <w:marLeft w:val="0"/>
      <w:marRight w:val="0"/>
      <w:marTop w:val="0"/>
      <w:marBottom w:val="0"/>
      <w:divBdr>
        <w:top w:val="none" w:sz="0" w:space="0" w:color="auto"/>
        <w:left w:val="none" w:sz="0" w:space="0" w:color="auto"/>
        <w:bottom w:val="none" w:sz="0" w:space="0" w:color="auto"/>
        <w:right w:val="none" w:sz="0" w:space="0" w:color="auto"/>
      </w:divBdr>
    </w:div>
    <w:div w:id="1458571366">
      <w:bodyDiv w:val="1"/>
      <w:marLeft w:val="0"/>
      <w:marRight w:val="0"/>
      <w:marTop w:val="0"/>
      <w:marBottom w:val="0"/>
      <w:divBdr>
        <w:top w:val="none" w:sz="0" w:space="0" w:color="auto"/>
        <w:left w:val="none" w:sz="0" w:space="0" w:color="auto"/>
        <w:bottom w:val="none" w:sz="0" w:space="0" w:color="auto"/>
        <w:right w:val="none" w:sz="0" w:space="0" w:color="auto"/>
      </w:divBdr>
    </w:div>
    <w:div w:id="1463500527">
      <w:bodyDiv w:val="1"/>
      <w:marLeft w:val="0"/>
      <w:marRight w:val="0"/>
      <w:marTop w:val="0"/>
      <w:marBottom w:val="0"/>
      <w:divBdr>
        <w:top w:val="none" w:sz="0" w:space="0" w:color="auto"/>
        <w:left w:val="none" w:sz="0" w:space="0" w:color="auto"/>
        <w:bottom w:val="none" w:sz="0" w:space="0" w:color="auto"/>
        <w:right w:val="none" w:sz="0" w:space="0" w:color="auto"/>
      </w:divBdr>
    </w:div>
    <w:div w:id="1466780178">
      <w:bodyDiv w:val="1"/>
      <w:marLeft w:val="0"/>
      <w:marRight w:val="0"/>
      <w:marTop w:val="0"/>
      <w:marBottom w:val="0"/>
      <w:divBdr>
        <w:top w:val="none" w:sz="0" w:space="0" w:color="auto"/>
        <w:left w:val="none" w:sz="0" w:space="0" w:color="auto"/>
        <w:bottom w:val="none" w:sz="0" w:space="0" w:color="auto"/>
        <w:right w:val="none" w:sz="0" w:space="0" w:color="auto"/>
      </w:divBdr>
    </w:div>
    <w:div w:id="1467818878">
      <w:bodyDiv w:val="1"/>
      <w:marLeft w:val="0"/>
      <w:marRight w:val="0"/>
      <w:marTop w:val="0"/>
      <w:marBottom w:val="0"/>
      <w:divBdr>
        <w:top w:val="none" w:sz="0" w:space="0" w:color="auto"/>
        <w:left w:val="none" w:sz="0" w:space="0" w:color="auto"/>
        <w:bottom w:val="none" w:sz="0" w:space="0" w:color="auto"/>
        <w:right w:val="none" w:sz="0" w:space="0" w:color="auto"/>
      </w:divBdr>
    </w:div>
    <w:div w:id="1478063779">
      <w:bodyDiv w:val="1"/>
      <w:marLeft w:val="0"/>
      <w:marRight w:val="0"/>
      <w:marTop w:val="0"/>
      <w:marBottom w:val="0"/>
      <w:divBdr>
        <w:top w:val="none" w:sz="0" w:space="0" w:color="auto"/>
        <w:left w:val="none" w:sz="0" w:space="0" w:color="auto"/>
        <w:bottom w:val="none" w:sz="0" w:space="0" w:color="auto"/>
        <w:right w:val="none" w:sz="0" w:space="0" w:color="auto"/>
      </w:divBdr>
    </w:div>
    <w:div w:id="1485854163">
      <w:bodyDiv w:val="1"/>
      <w:marLeft w:val="0"/>
      <w:marRight w:val="0"/>
      <w:marTop w:val="0"/>
      <w:marBottom w:val="0"/>
      <w:divBdr>
        <w:top w:val="none" w:sz="0" w:space="0" w:color="auto"/>
        <w:left w:val="none" w:sz="0" w:space="0" w:color="auto"/>
        <w:bottom w:val="none" w:sz="0" w:space="0" w:color="auto"/>
        <w:right w:val="none" w:sz="0" w:space="0" w:color="auto"/>
      </w:divBdr>
    </w:div>
    <w:div w:id="1491605251">
      <w:bodyDiv w:val="1"/>
      <w:marLeft w:val="0"/>
      <w:marRight w:val="0"/>
      <w:marTop w:val="0"/>
      <w:marBottom w:val="0"/>
      <w:divBdr>
        <w:top w:val="none" w:sz="0" w:space="0" w:color="auto"/>
        <w:left w:val="none" w:sz="0" w:space="0" w:color="auto"/>
        <w:bottom w:val="none" w:sz="0" w:space="0" w:color="auto"/>
        <w:right w:val="none" w:sz="0" w:space="0" w:color="auto"/>
      </w:divBdr>
    </w:div>
    <w:div w:id="1497188542">
      <w:bodyDiv w:val="1"/>
      <w:marLeft w:val="0"/>
      <w:marRight w:val="0"/>
      <w:marTop w:val="0"/>
      <w:marBottom w:val="0"/>
      <w:divBdr>
        <w:top w:val="none" w:sz="0" w:space="0" w:color="auto"/>
        <w:left w:val="none" w:sz="0" w:space="0" w:color="auto"/>
        <w:bottom w:val="none" w:sz="0" w:space="0" w:color="auto"/>
        <w:right w:val="none" w:sz="0" w:space="0" w:color="auto"/>
      </w:divBdr>
    </w:div>
    <w:div w:id="1500079931">
      <w:bodyDiv w:val="1"/>
      <w:marLeft w:val="0"/>
      <w:marRight w:val="0"/>
      <w:marTop w:val="0"/>
      <w:marBottom w:val="0"/>
      <w:divBdr>
        <w:top w:val="none" w:sz="0" w:space="0" w:color="auto"/>
        <w:left w:val="none" w:sz="0" w:space="0" w:color="auto"/>
        <w:bottom w:val="none" w:sz="0" w:space="0" w:color="auto"/>
        <w:right w:val="none" w:sz="0" w:space="0" w:color="auto"/>
      </w:divBdr>
    </w:div>
    <w:div w:id="1501578776">
      <w:bodyDiv w:val="1"/>
      <w:marLeft w:val="0"/>
      <w:marRight w:val="0"/>
      <w:marTop w:val="0"/>
      <w:marBottom w:val="0"/>
      <w:divBdr>
        <w:top w:val="none" w:sz="0" w:space="0" w:color="auto"/>
        <w:left w:val="none" w:sz="0" w:space="0" w:color="auto"/>
        <w:bottom w:val="none" w:sz="0" w:space="0" w:color="auto"/>
        <w:right w:val="none" w:sz="0" w:space="0" w:color="auto"/>
      </w:divBdr>
    </w:div>
    <w:div w:id="1502618684">
      <w:bodyDiv w:val="1"/>
      <w:marLeft w:val="0"/>
      <w:marRight w:val="0"/>
      <w:marTop w:val="0"/>
      <w:marBottom w:val="0"/>
      <w:divBdr>
        <w:top w:val="none" w:sz="0" w:space="0" w:color="auto"/>
        <w:left w:val="none" w:sz="0" w:space="0" w:color="auto"/>
        <w:bottom w:val="none" w:sz="0" w:space="0" w:color="auto"/>
        <w:right w:val="none" w:sz="0" w:space="0" w:color="auto"/>
      </w:divBdr>
    </w:div>
    <w:div w:id="1506359369">
      <w:bodyDiv w:val="1"/>
      <w:marLeft w:val="0"/>
      <w:marRight w:val="0"/>
      <w:marTop w:val="0"/>
      <w:marBottom w:val="0"/>
      <w:divBdr>
        <w:top w:val="none" w:sz="0" w:space="0" w:color="auto"/>
        <w:left w:val="none" w:sz="0" w:space="0" w:color="auto"/>
        <w:bottom w:val="none" w:sz="0" w:space="0" w:color="auto"/>
        <w:right w:val="none" w:sz="0" w:space="0" w:color="auto"/>
      </w:divBdr>
    </w:div>
    <w:div w:id="1506364719">
      <w:bodyDiv w:val="1"/>
      <w:marLeft w:val="0"/>
      <w:marRight w:val="0"/>
      <w:marTop w:val="0"/>
      <w:marBottom w:val="0"/>
      <w:divBdr>
        <w:top w:val="none" w:sz="0" w:space="0" w:color="auto"/>
        <w:left w:val="none" w:sz="0" w:space="0" w:color="auto"/>
        <w:bottom w:val="none" w:sz="0" w:space="0" w:color="auto"/>
        <w:right w:val="none" w:sz="0" w:space="0" w:color="auto"/>
      </w:divBdr>
    </w:div>
    <w:div w:id="1508784553">
      <w:bodyDiv w:val="1"/>
      <w:marLeft w:val="0"/>
      <w:marRight w:val="0"/>
      <w:marTop w:val="0"/>
      <w:marBottom w:val="0"/>
      <w:divBdr>
        <w:top w:val="none" w:sz="0" w:space="0" w:color="auto"/>
        <w:left w:val="none" w:sz="0" w:space="0" w:color="auto"/>
        <w:bottom w:val="none" w:sz="0" w:space="0" w:color="auto"/>
        <w:right w:val="none" w:sz="0" w:space="0" w:color="auto"/>
      </w:divBdr>
    </w:div>
    <w:div w:id="1515461170">
      <w:bodyDiv w:val="1"/>
      <w:marLeft w:val="0"/>
      <w:marRight w:val="0"/>
      <w:marTop w:val="0"/>
      <w:marBottom w:val="0"/>
      <w:divBdr>
        <w:top w:val="none" w:sz="0" w:space="0" w:color="auto"/>
        <w:left w:val="none" w:sz="0" w:space="0" w:color="auto"/>
        <w:bottom w:val="none" w:sz="0" w:space="0" w:color="auto"/>
        <w:right w:val="none" w:sz="0" w:space="0" w:color="auto"/>
      </w:divBdr>
    </w:div>
    <w:div w:id="1516261448">
      <w:bodyDiv w:val="1"/>
      <w:marLeft w:val="0"/>
      <w:marRight w:val="0"/>
      <w:marTop w:val="0"/>
      <w:marBottom w:val="0"/>
      <w:divBdr>
        <w:top w:val="none" w:sz="0" w:space="0" w:color="auto"/>
        <w:left w:val="none" w:sz="0" w:space="0" w:color="auto"/>
        <w:bottom w:val="none" w:sz="0" w:space="0" w:color="auto"/>
        <w:right w:val="none" w:sz="0" w:space="0" w:color="auto"/>
      </w:divBdr>
    </w:div>
    <w:div w:id="1516967278">
      <w:bodyDiv w:val="1"/>
      <w:marLeft w:val="0"/>
      <w:marRight w:val="0"/>
      <w:marTop w:val="0"/>
      <w:marBottom w:val="0"/>
      <w:divBdr>
        <w:top w:val="none" w:sz="0" w:space="0" w:color="auto"/>
        <w:left w:val="none" w:sz="0" w:space="0" w:color="auto"/>
        <w:bottom w:val="none" w:sz="0" w:space="0" w:color="auto"/>
        <w:right w:val="none" w:sz="0" w:space="0" w:color="auto"/>
      </w:divBdr>
    </w:div>
    <w:div w:id="1517621399">
      <w:bodyDiv w:val="1"/>
      <w:marLeft w:val="0"/>
      <w:marRight w:val="0"/>
      <w:marTop w:val="0"/>
      <w:marBottom w:val="0"/>
      <w:divBdr>
        <w:top w:val="none" w:sz="0" w:space="0" w:color="auto"/>
        <w:left w:val="none" w:sz="0" w:space="0" w:color="auto"/>
        <w:bottom w:val="none" w:sz="0" w:space="0" w:color="auto"/>
        <w:right w:val="none" w:sz="0" w:space="0" w:color="auto"/>
      </w:divBdr>
    </w:div>
    <w:div w:id="1533113569">
      <w:bodyDiv w:val="1"/>
      <w:marLeft w:val="0"/>
      <w:marRight w:val="0"/>
      <w:marTop w:val="0"/>
      <w:marBottom w:val="0"/>
      <w:divBdr>
        <w:top w:val="none" w:sz="0" w:space="0" w:color="auto"/>
        <w:left w:val="none" w:sz="0" w:space="0" w:color="auto"/>
        <w:bottom w:val="none" w:sz="0" w:space="0" w:color="auto"/>
        <w:right w:val="none" w:sz="0" w:space="0" w:color="auto"/>
      </w:divBdr>
    </w:div>
    <w:div w:id="1538001956">
      <w:bodyDiv w:val="1"/>
      <w:marLeft w:val="0"/>
      <w:marRight w:val="0"/>
      <w:marTop w:val="0"/>
      <w:marBottom w:val="0"/>
      <w:divBdr>
        <w:top w:val="none" w:sz="0" w:space="0" w:color="auto"/>
        <w:left w:val="none" w:sz="0" w:space="0" w:color="auto"/>
        <w:bottom w:val="none" w:sz="0" w:space="0" w:color="auto"/>
        <w:right w:val="none" w:sz="0" w:space="0" w:color="auto"/>
      </w:divBdr>
    </w:div>
    <w:div w:id="1545829344">
      <w:bodyDiv w:val="1"/>
      <w:marLeft w:val="0"/>
      <w:marRight w:val="0"/>
      <w:marTop w:val="0"/>
      <w:marBottom w:val="0"/>
      <w:divBdr>
        <w:top w:val="none" w:sz="0" w:space="0" w:color="auto"/>
        <w:left w:val="none" w:sz="0" w:space="0" w:color="auto"/>
        <w:bottom w:val="none" w:sz="0" w:space="0" w:color="auto"/>
        <w:right w:val="none" w:sz="0" w:space="0" w:color="auto"/>
      </w:divBdr>
    </w:div>
    <w:div w:id="1546720942">
      <w:bodyDiv w:val="1"/>
      <w:marLeft w:val="0"/>
      <w:marRight w:val="0"/>
      <w:marTop w:val="0"/>
      <w:marBottom w:val="0"/>
      <w:divBdr>
        <w:top w:val="none" w:sz="0" w:space="0" w:color="auto"/>
        <w:left w:val="none" w:sz="0" w:space="0" w:color="auto"/>
        <w:bottom w:val="none" w:sz="0" w:space="0" w:color="auto"/>
        <w:right w:val="none" w:sz="0" w:space="0" w:color="auto"/>
      </w:divBdr>
    </w:div>
    <w:div w:id="1548057993">
      <w:bodyDiv w:val="1"/>
      <w:marLeft w:val="0"/>
      <w:marRight w:val="0"/>
      <w:marTop w:val="0"/>
      <w:marBottom w:val="0"/>
      <w:divBdr>
        <w:top w:val="none" w:sz="0" w:space="0" w:color="auto"/>
        <w:left w:val="none" w:sz="0" w:space="0" w:color="auto"/>
        <w:bottom w:val="none" w:sz="0" w:space="0" w:color="auto"/>
        <w:right w:val="none" w:sz="0" w:space="0" w:color="auto"/>
      </w:divBdr>
    </w:div>
    <w:div w:id="1552113203">
      <w:bodyDiv w:val="1"/>
      <w:marLeft w:val="0"/>
      <w:marRight w:val="0"/>
      <w:marTop w:val="0"/>
      <w:marBottom w:val="0"/>
      <w:divBdr>
        <w:top w:val="none" w:sz="0" w:space="0" w:color="auto"/>
        <w:left w:val="none" w:sz="0" w:space="0" w:color="auto"/>
        <w:bottom w:val="none" w:sz="0" w:space="0" w:color="auto"/>
        <w:right w:val="none" w:sz="0" w:space="0" w:color="auto"/>
      </w:divBdr>
    </w:div>
    <w:div w:id="1553347697">
      <w:bodyDiv w:val="1"/>
      <w:marLeft w:val="0"/>
      <w:marRight w:val="0"/>
      <w:marTop w:val="0"/>
      <w:marBottom w:val="0"/>
      <w:divBdr>
        <w:top w:val="none" w:sz="0" w:space="0" w:color="auto"/>
        <w:left w:val="none" w:sz="0" w:space="0" w:color="auto"/>
        <w:bottom w:val="none" w:sz="0" w:space="0" w:color="auto"/>
        <w:right w:val="none" w:sz="0" w:space="0" w:color="auto"/>
      </w:divBdr>
    </w:div>
    <w:div w:id="1563297471">
      <w:bodyDiv w:val="1"/>
      <w:marLeft w:val="0"/>
      <w:marRight w:val="0"/>
      <w:marTop w:val="0"/>
      <w:marBottom w:val="0"/>
      <w:divBdr>
        <w:top w:val="none" w:sz="0" w:space="0" w:color="auto"/>
        <w:left w:val="none" w:sz="0" w:space="0" w:color="auto"/>
        <w:bottom w:val="none" w:sz="0" w:space="0" w:color="auto"/>
        <w:right w:val="none" w:sz="0" w:space="0" w:color="auto"/>
      </w:divBdr>
    </w:div>
    <w:div w:id="1565264277">
      <w:bodyDiv w:val="1"/>
      <w:marLeft w:val="0"/>
      <w:marRight w:val="0"/>
      <w:marTop w:val="0"/>
      <w:marBottom w:val="0"/>
      <w:divBdr>
        <w:top w:val="none" w:sz="0" w:space="0" w:color="auto"/>
        <w:left w:val="none" w:sz="0" w:space="0" w:color="auto"/>
        <w:bottom w:val="none" w:sz="0" w:space="0" w:color="auto"/>
        <w:right w:val="none" w:sz="0" w:space="0" w:color="auto"/>
      </w:divBdr>
    </w:div>
    <w:div w:id="1565945334">
      <w:bodyDiv w:val="1"/>
      <w:marLeft w:val="0"/>
      <w:marRight w:val="0"/>
      <w:marTop w:val="0"/>
      <w:marBottom w:val="0"/>
      <w:divBdr>
        <w:top w:val="none" w:sz="0" w:space="0" w:color="auto"/>
        <w:left w:val="none" w:sz="0" w:space="0" w:color="auto"/>
        <w:bottom w:val="none" w:sz="0" w:space="0" w:color="auto"/>
        <w:right w:val="none" w:sz="0" w:space="0" w:color="auto"/>
      </w:divBdr>
    </w:div>
    <w:div w:id="1570068566">
      <w:bodyDiv w:val="1"/>
      <w:marLeft w:val="0"/>
      <w:marRight w:val="0"/>
      <w:marTop w:val="0"/>
      <w:marBottom w:val="0"/>
      <w:divBdr>
        <w:top w:val="none" w:sz="0" w:space="0" w:color="auto"/>
        <w:left w:val="none" w:sz="0" w:space="0" w:color="auto"/>
        <w:bottom w:val="none" w:sz="0" w:space="0" w:color="auto"/>
        <w:right w:val="none" w:sz="0" w:space="0" w:color="auto"/>
      </w:divBdr>
    </w:div>
    <w:div w:id="1577133912">
      <w:bodyDiv w:val="1"/>
      <w:marLeft w:val="0"/>
      <w:marRight w:val="0"/>
      <w:marTop w:val="0"/>
      <w:marBottom w:val="0"/>
      <w:divBdr>
        <w:top w:val="none" w:sz="0" w:space="0" w:color="auto"/>
        <w:left w:val="none" w:sz="0" w:space="0" w:color="auto"/>
        <w:bottom w:val="none" w:sz="0" w:space="0" w:color="auto"/>
        <w:right w:val="none" w:sz="0" w:space="0" w:color="auto"/>
      </w:divBdr>
    </w:div>
    <w:div w:id="1577670124">
      <w:bodyDiv w:val="1"/>
      <w:marLeft w:val="0"/>
      <w:marRight w:val="0"/>
      <w:marTop w:val="0"/>
      <w:marBottom w:val="0"/>
      <w:divBdr>
        <w:top w:val="none" w:sz="0" w:space="0" w:color="auto"/>
        <w:left w:val="none" w:sz="0" w:space="0" w:color="auto"/>
        <w:bottom w:val="none" w:sz="0" w:space="0" w:color="auto"/>
        <w:right w:val="none" w:sz="0" w:space="0" w:color="auto"/>
      </w:divBdr>
    </w:div>
    <w:div w:id="1580480695">
      <w:bodyDiv w:val="1"/>
      <w:marLeft w:val="0"/>
      <w:marRight w:val="0"/>
      <w:marTop w:val="0"/>
      <w:marBottom w:val="0"/>
      <w:divBdr>
        <w:top w:val="none" w:sz="0" w:space="0" w:color="auto"/>
        <w:left w:val="none" w:sz="0" w:space="0" w:color="auto"/>
        <w:bottom w:val="none" w:sz="0" w:space="0" w:color="auto"/>
        <w:right w:val="none" w:sz="0" w:space="0" w:color="auto"/>
      </w:divBdr>
    </w:div>
    <w:div w:id="1580599402">
      <w:bodyDiv w:val="1"/>
      <w:marLeft w:val="0"/>
      <w:marRight w:val="0"/>
      <w:marTop w:val="0"/>
      <w:marBottom w:val="0"/>
      <w:divBdr>
        <w:top w:val="none" w:sz="0" w:space="0" w:color="auto"/>
        <w:left w:val="none" w:sz="0" w:space="0" w:color="auto"/>
        <w:bottom w:val="none" w:sz="0" w:space="0" w:color="auto"/>
        <w:right w:val="none" w:sz="0" w:space="0" w:color="auto"/>
      </w:divBdr>
    </w:div>
    <w:div w:id="1590383991">
      <w:bodyDiv w:val="1"/>
      <w:marLeft w:val="0"/>
      <w:marRight w:val="0"/>
      <w:marTop w:val="0"/>
      <w:marBottom w:val="0"/>
      <w:divBdr>
        <w:top w:val="none" w:sz="0" w:space="0" w:color="auto"/>
        <w:left w:val="none" w:sz="0" w:space="0" w:color="auto"/>
        <w:bottom w:val="none" w:sz="0" w:space="0" w:color="auto"/>
        <w:right w:val="none" w:sz="0" w:space="0" w:color="auto"/>
      </w:divBdr>
    </w:div>
    <w:div w:id="1593732658">
      <w:bodyDiv w:val="1"/>
      <w:marLeft w:val="0"/>
      <w:marRight w:val="0"/>
      <w:marTop w:val="0"/>
      <w:marBottom w:val="0"/>
      <w:divBdr>
        <w:top w:val="none" w:sz="0" w:space="0" w:color="auto"/>
        <w:left w:val="none" w:sz="0" w:space="0" w:color="auto"/>
        <w:bottom w:val="none" w:sz="0" w:space="0" w:color="auto"/>
        <w:right w:val="none" w:sz="0" w:space="0" w:color="auto"/>
      </w:divBdr>
    </w:div>
    <w:div w:id="1594243434">
      <w:bodyDiv w:val="1"/>
      <w:marLeft w:val="0"/>
      <w:marRight w:val="0"/>
      <w:marTop w:val="0"/>
      <w:marBottom w:val="0"/>
      <w:divBdr>
        <w:top w:val="none" w:sz="0" w:space="0" w:color="auto"/>
        <w:left w:val="none" w:sz="0" w:space="0" w:color="auto"/>
        <w:bottom w:val="none" w:sz="0" w:space="0" w:color="auto"/>
        <w:right w:val="none" w:sz="0" w:space="0" w:color="auto"/>
      </w:divBdr>
    </w:div>
    <w:div w:id="1604613168">
      <w:bodyDiv w:val="1"/>
      <w:marLeft w:val="0"/>
      <w:marRight w:val="0"/>
      <w:marTop w:val="0"/>
      <w:marBottom w:val="0"/>
      <w:divBdr>
        <w:top w:val="none" w:sz="0" w:space="0" w:color="auto"/>
        <w:left w:val="none" w:sz="0" w:space="0" w:color="auto"/>
        <w:bottom w:val="none" w:sz="0" w:space="0" w:color="auto"/>
        <w:right w:val="none" w:sz="0" w:space="0" w:color="auto"/>
      </w:divBdr>
    </w:div>
    <w:div w:id="1609778459">
      <w:bodyDiv w:val="1"/>
      <w:marLeft w:val="0"/>
      <w:marRight w:val="0"/>
      <w:marTop w:val="0"/>
      <w:marBottom w:val="0"/>
      <w:divBdr>
        <w:top w:val="none" w:sz="0" w:space="0" w:color="auto"/>
        <w:left w:val="none" w:sz="0" w:space="0" w:color="auto"/>
        <w:bottom w:val="none" w:sz="0" w:space="0" w:color="auto"/>
        <w:right w:val="none" w:sz="0" w:space="0" w:color="auto"/>
      </w:divBdr>
    </w:div>
    <w:div w:id="1611156902">
      <w:bodyDiv w:val="1"/>
      <w:marLeft w:val="0"/>
      <w:marRight w:val="0"/>
      <w:marTop w:val="0"/>
      <w:marBottom w:val="0"/>
      <w:divBdr>
        <w:top w:val="none" w:sz="0" w:space="0" w:color="auto"/>
        <w:left w:val="none" w:sz="0" w:space="0" w:color="auto"/>
        <w:bottom w:val="none" w:sz="0" w:space="0" w:color="auto"/>
        <w:right w:val="none" w:sz="0" w:space="0" w:color="auto"/>
      </w:divBdr>
    </w:div>
    <w:div w:id="1611740533">
      <w:bodyDiv w:val="1"/>
      <w:marLeft w:val="0"/>
      <w:marRight w:val="0"/>
      <w:marTop w:val="0"/>
      <w:marBottom w:val="0"/>
      <w:divBdr>
        <w:top w:val="none" w:sz="0" w:space="0" w:color="auto"/>
        <w:left w:val="none" w:sz="0" w:space="0" w:color="auto"/>
        <w:bottom w:val="none" w:sz="0" w:space="0" w:color="auto"/>
        <w:right w:val="none" w:sz="0" w:space="0" w:color="auto"/>
      </w:divBdr>
    </w:div>
    <w:div w:id="1616137095">
      <w:bodyDiv w:val="1"/>
      <w:marLeft w:val="0"/>
      <w:marRight w:val="0"/>
      <w:marTop w:val="0"/>
      <w:marBottom w:val="0"/>
      <w:divBdr>
        <w:top w:val="none" w:sz="0" w:space="0" w:color="auto"/>
        <w:left w:val="none" w:sz="0" w:space="0" w:color="auto"/>
        <w:bottom w:val="none" w:sz="0" w:space="0" w:color="auto"/>
        <w:right w:val="none" w:sz="0" w:space="0" w:color="auto"/>
      </w:divBdr>
    </w:div>
    <w:div w:id="1618175445">
      <w:bodyDiv w:val="1"/>
      <w:marLeft w:val="0"/>
      <w:marRight w:val="0"/>
      <w:marTop w:val="0"/>
      <w:marBottom w:val="0"/>
      <w:divBdr>
        <w:top w:val="none" w:sz="0" w:space="0" w:color="auto"/>
        <w:left w:val="none" w:sz="0" w:space="0" w:color="auto"/>
        <w:bottom w:val="none" w:sz="0" w:space="0" w:color="auto"/>
        <w:right w:val="none" w:sz="0" w:space="0" w:color="auto"/>
      </w:divBdr>
    </w:div>
    <w:div w:id="1619726849">
      <w:bodyDiv w:val="1"/>
      <w:marLeft w:val="0"/>
      <w:marRight w:val="0"/>
      <w:marTop w:val="0"/>
      <w:marBottom w:val="0"/>
      <w:divBdr>
        <w:top w:val="none" w:sz="0" w:space="0" w:color="auto"/>
        <w:left w:val="none" w:sz="0" w:space="0" w:color="auto"/>
        <w:bottom w:val="none" w:sz="0" w:space="0" w:color="auto"/>
        <w:right w:val="none" w:sz="0" w:space="0" w:color="auto"/>
      </w:divBdr>
    </w:div>
    <w:div w:id="1620645188">
      <w:bodyDiv w:val="1"/>
      <w:marLeft w:val="0"/>
      <w:marRight w:val="0"/>
      <w:marTop w:val="0"/>
      <w:marBottom w:val="0"/>
      <w:divBdr>
        <w:top w:val="none" w:sz="0" w:space="0" w:color="auto"/>
        <w:left w:val="none" w:sz="0" w:space="0" w:color="auto"/>
        <w:bottom w:val="none" w:sz="0" w:space="0" w:color="auto"/>
        <w:right w:val="none" w:sz="0" w:space="0" w:color="auto"/>
      </w:divBdr>
    </w:div>
    <w:div w:id="1622148827">
      <w:bodyDiv w:val="1"/>
      <w:marLeft w:val="0"/>
      <w:marRight w:val="0"/>
      <w:marTop w:val="0"/>
      <w:marBottom w:val="0"/>
      <w:divBdr>
        <w:top w:val="none" w:sz="0" w:space="0" w:color="auto"/>
        <w:left w:val="none" w:sz="0" w:space="0" w:color="auto"/>
        <w:bottom w:val="none" w:sz="0" w:space="0" w:color="auto"/>
        <w:right w:val="none" w:sz="0" w:space="0" w:color="auto"/>
      </w:divBdr>
    </w:div>
    <w:div w:id="1633317525">
      <w:bodyDiv w:val="1"/>
      <w:marLeft w:val="0"/>
      <w:marRight w:val="0"/>
      <w:marTop w:val="0"/>
      <w:marBottom w:val="0"/>
      <w:divBdr>
        <w:top w:val="none" w:sz="0" w:space="0" w:color="auto"/>
        <w:left w:val="none" w:sz="0" w:space="0" w:color="auto"/>
        <w:bottom w:val="none" w:sz="0" w:space="0" w:color="auto"/>
        <w:right w:val="none" w:sz="0" w:space="0" w:color="auto"/>
      </w:divBdr>
    </w:div>
    <w:div w:id="1639413630">
      <w:bodyDiv w:val="1"/>
      <w:marLeft w:val="0"/>
      <w:marRight w:val="0"/>
      <w:marTop w:val="0"/>
      <w:marBottom w:val="0"/>
      <w:divBdr>
        <w:top w:val="none" w:sz="0" w:space="0" w:color="auto"/>
        <w:left w:val="none" w:sz="0" w:space="0" w:color="auto"/>
        <w:bottom w:val="none" w:sz="0" w:space="0" w:color="auto"/>
        <w:right w:val="none" w:sz="0" w:space="0" w:color="auto"/>
      </w:divBdr>
    </w:div>
    <w:div w:id="1642225612">
      <w:bodyDiv w:val="1"/>
      <w:marLeft w:val="0"/>
      <w:marRight w:val="0"/>
      <w:marTop w:val="0"/>
      <w:marBottom w:val="0"/>
      <w:divBdr>
        <w:top w:val="none" w:sz="0" w:space="0" w:color="auto"/>
        <w:left w:val="none" w:sz="0" w:space="0" w:color="auto"/>
        <w:bottom w:val="none" w:sz="0" w:space="0" w:color="auto"/>
        <w:right w:val="none" w:sz="0" w:space="0" w:color="auto"/>
      </w:divBdr>
    </w:div>
    <w:div w:id="1642272305">
      <w:bodyDiv w:val="1"/>
      <w:marLeft w:val="0"/>
      <w:marRight w:val="0"/>
      <w:marTop w:val="0"/>
      <w:marBottom w:val="0"/>
      <w:divBdr>
        <w:top w:val="none" w:sz="0" w:space="0" w:color="auto"/>
        <w:left w:val="none" w:sz="0" w:space="0" w:color="auto"/>
        <w:bottom w:val="none" w:sz="0" w:space="0" w:color="auto"/>
        <w:right w:val="none" w:sz="0" w:space="0" w:color="auto"/>
      </w:divBdr>
    </w:div>
    <w:div w:id="1642346258">
      <w:bodyDiv w:val="1"/>
      <w:marLeft w:val="0"/>
      <w:marRight w:val="0"/>
      <w:marTop w:val="0"/>
      <w:marBottom w:val="0"/>
      <w:divBdr>
        <w:top w:val="none" w:sz="0" w:space="0" w:color="auto"/>
        <w:left w:val="none" w:sz="0" w:space="0" w:color="auto"/>
        <w:bottom w:val="none" w:sz="0" w:space="0" w:color="auto"/>
        <w:right w:val="none" w:sz="0" w:space="0" w:color="auto"/>
      </w:divBdr>
    </w:div>
    <w:div w:id="1650786949">
      <w:bodyDiv w:val="1"/>
      <w:marLeft w:val="0"/>
      <w:marRight w:val="0"/>
      <w:marTop w:val="0"/>
      <w:marBottom w:val="0"/>
      <w:divBdr>
        <w:top w:val="none" w:sz="0" w:space="0" w:color="auto"/>
        <w:left w:val="none" w:sz="0" w:space="0" w:color="auto"/>
        <w:bottom w:val="none" w:sz="0" w:space="0" w:color="auto"/>
        <w:right w:val="none" w:sz="0" w:space="0" w:color="auto"/>
      </w:divBdr>
    </w:div>
    <w:div w:id="1651444049">
      <w:bodyDiv w:val="1"/>
      <w:marLeft w:val="0"/>
      <w:marRight w:val="0"/>
      <w:marTop w:val="0"/>
      <w:marBottom w:val="0"/>
      <w:divBdr>
        <w:top w:val="none" w:sz="0" w:space="0" w:color="auto"/>
        <w:left w:val="none" w:sz="0" w:space="0" w:color="auto"/>
        <w:bottom w:val="none" w:sz="0" w:space="0" w:color="auto"/>
        <w:right w:val="none" w:sz="0" w:space="0" w:color="auto"/>
      </w:divBdr>
    </w:div>
    <w:div w:id="1656371238">
      <w:bodyDiv w:val="1"/>
      <w:marLeft w:val="0"/>
      <w:marRight w:val="0"/>
      <w:marTop w:val="0"/>
      <w:marBottom w:val="0"/>
      <w:divBdr>
        <w:top w:val="none" w:sz="0" w:space="0" w:color="auto"/>
        <w:left w:val="none" w:sz="0" w:space="0" w:color="auto"/>
        <w:bottom w:val="none" w:sz="0" w:space="0" w:color="auto"/>
        <w:right w:val="none" w:sz="0" w:space="0" w:color="auto"/>
      </w:divBdr>
    </w:div>
    <w:div w:id="1656568722">
      <w:bodyDiv w:val="1"/>
      <w:marLeft w:val="0"/>
      <w:marRight w:val="0"/>
      <w:marTop w:val="0"/>
      <w:marBottom w:val="0"/>
      <w:divBdr>
        <w:top w:val="none" w:sz="0" w:space="0" w:color="auto"/>
        <w:left w:val="none" w:sz="0" w:space="0" w:color="auto"/>
        <w:bottom w:val="none" w:sz="0" w:space="0" w:color="auto"/>
        <w:right w:val="none" w:sz="0" w:space="0" w:color="auto"/>
      </w:divBdr>
    </w:div>
    <w:div w:id="1661687734">
      <w:bodyDiv w:val="1"/>
      <w:marLeft w:val="0"/>
      <w:marRight w:val="0"/>
      <w:marTop w:val="0"/>
      <w:marBottom w:val="0"/>
      <w:divBdr>
        <w:top w:val="none" w:sz="0" w:space="0" w:color="auto"/>
        <w:left w:val="none" w:sz="0" w:space="0" w:color="auto"/>
        <w:bottom w:val="none" w:sz="0" w:space="0" w:color="auto"/>
        <w:right w:val="none" w:sz="0" w:space="0" w:color="auto"/>
      </w:divBdr>
    </w:div>
    <w:div w:id="1664317205">
      <w:bodyDiv w:val="1"/>
      <w:marLeft w:val="0"/>
      <w:marRight w:val="0"/>
      <w:marTop w:val="0"/>
      <w:marBottom w:val="0"/>
      <w:divBdr>
        <w:top w:val="none" w:sz="0" w:space="0" w:color="auto"/>
        <w:left w:val="none" w:sz="0" w:space="0" w:color="auto"/>
        <w:bottom w:val="none" w:sz="0" w:space="0" w:color="auto"/>
        <w:right w:val="none" w:sz="0" w:space="0" w:color="auto"/>
      </w:divBdr>
    </w:div>
    <w:div w:id="1670405927">
      <w:bodyDiv w:val="1"/>
      <w:marLeft w:val="0"/>
      <w:marRight w:val="0"/>
      <w:marTop w:val="0"/>
      <w:marBottom w:val="0"/>
      <w:divBdr>
        <w:top w:val="none" w:sz="0" w:space="0" w:color="auto"/>
        <w:left w:val="none" w:sz="0" w:space="0" w:color="auto"/>
        <w:bottom w:val="none" w:sz="0" w:space="0" w:color="auto"/>
        <w:right w:val="none" w:sz="0" w:space="0" w:color="auto"/>
      </w:divBdr>
    </w:div>
    <w:div w:id="1670675980">
      <w:bodyDiv w:val="1"/>
      <w:marLeft w:val="0"/>
      <w:marRight w:val="0"/>
      <w:marTop w:val="0"/>
      <w:marBottom w:val="0"/>
      <w:divBdr>
        <w:top w:val="none" w:sz="0" w:space="0" w:color="auto"/>
        <w:left w:val="none" w:sz="0" w:space="0" w:color="auto"/>
        <w:bottom w:val="none" w:sz="0" w:space="0" w:color="auto"/>
        <w:right w:val="none" w:sz="0" w:space="0" w:color="auto"/>
      </w:divBdr>
    </w:div>
    <w:div w:id="1672563921">
      <w:bodyDiv w:val="1"/>
      <w:marLeft w:val="0"/>
      <w:marRight w:val="0"/>
      <w:marTop w:val="0"/>
      <w:marBottom w:val="0"/>
      <w:divBdr>
        <w:top w:val="none" w:sz="0" w:space="0" w:color="auto"/>
        <w:left w:val="none" w:sz="0" w:space="0" w:color="auto"/>
        <w:bottom w:val="none" w:sz="0" w:space="0" w:color="auto"/>
        <w:right w:val="none" w:sz="0" w:space="0" w:color="auto"/>
      </w:divBdr>
    </w:div>
    <w:div w:id="1673295296">
      <w:bodyDiv w:val="1"/>
      <w:marLeft w:val="0"/>
      <w:marRight w:val="0"/>
      <w:marTop w:val="0"/>
      <w:marBottom w:val="0"/>
      <w:divBdr>
        <w:top w:val="none" w:sz="0" w:space="0" w:color="auto"/>
        <w:left w:val="none" w:sz="0" w:space="0" w:color="auto"/>
        <w:bottom w:val="none" w:sz="0" w:space="0" w:color="auto"/>
        <w:right w:val="none" w:sz="0" w:space="0" w:color="auto"/>
      </w:divBdr>
    </w:div>
    <w:div w:id="1673751596">
      <w:bodyDiv w:val="1"/>
      <w:marLeft w:val="0"/>
      <w:marRight w:val="0"/>
      <w:marTop w:val="0"/>
      <w:marBottom w:val="0"/>
      <w:divBdr>
        <w:top w:val="none" w:sz="0" w:space="0" w:color="auto"/>
        <w:left w:val="none" w:sz="0" w:space="0" w:color="auto"/>
        <w:bottom w:val="none" w:sz="0" w:space="0" w:color="auto"/>
        <w:right w:val="none" w:sz="0" w:space="0" w:color="auto"/>
      </w:divBdr>
    </w:div>
    <w:div w:id="1679045111">
      <w:bodyDiv w:val="1"/>
      <w:marLeft w:val="0"/>
      <w:marRight w:val="0"/>
      <w:marTop w:val="0"/>
      <w:marBottom w:val="0"/>
      <w:divBdr>
        <w:top w:val="none" w:sz="0" w:space="0" w:color="auto"/>
        <w:left w:val="none" w:sz="0" w:space="0" w:color="auto"/>
        <w:bottom w:val="none" w:sz="0" w:space="0" w:color="auto"/>
        <w:right w:val="none" w:sz="0" w:space="0" w:color="auto"/>
      </w:divBdr>
    </w:div>
    <w:div w:id="1679887214">
      <w:bodyDiv w:val="1"/>
      <w:marLeft w:val="0"/>
      <w:marRight w:val="0"/>
      <w:marTop w:val="0"/>
      <w:marBottom w:val="0"/>
      <w:divBdr>
        <w:top w:val="none" w:sz="0" w:space="0" w:color="auto"/>
        <w:left w:val="none" w:sz="0" w:space="0" w:color="auto"/>
        <w:bottom w:val="none" w:sz="0" w:space="0" w:color="auto"/>
        <w:right w:val="none" w:sz="0" w:space="0" w:color="auto"/>
      </w:divBdr>
    </w:div>
    <w:div w:id="1685091331">
      <w:bodyDiv w:val="1"/>
      <w:marLeft w:val="0"/>
      <w:marRight w:val="0"/>
      <w:marTop w:val="0"/>
      <w:marBottom w:val="0"/>
      <w:divBdr>
        <w:top w:val="none" w:sz="0" w:space="0" w:color="auto"/>
        <w:left w:val="none" w:sz="0" w:space="0" w:color="auto"/>
        <w:bottom w:val="none" w:sz="0" w:space="0" w:color="auto"/>
        <w:right w:val="none" w:sz="0" w:space="0" w:color="auto"/>
      </w:divBdr>
    </w:div>
    <w:div w:id="1688675640">
      <w:bodyDiv w:val="1"/>
      <w:marLeft w:val="0"/>
      <w:marRight w:val="0"/>
      <w:marTop w:val="0"/>
      <w:marBottom w:val="0"/>
      <w:divBdr>
        <w:top w:val="none" w:sz="0" w:space="0" w:color="auto"/>
        <w:left w:val="none" w:sz="0" w:space="0" w:color="auto"/>
        <w:bottom w:val="none" w:sz="0" w:space="0" w:color="auto"/>
        <w:right w:val="none" w:sz="0" w:space="0" w:color="auto"/>
      </w:divBdr>
    </w:div>
    <w:div w:id="1688872425">
      <w:bodyDiv w:val="1"/>
      <w:marLeft w:val="0"/>
      <w:marRight w:val="0"/>
      <w:marTop w:val="0"/>
      <w:marBottom w:val="0"/>
      <w:divBdr>
        <w:top w:val="none" w:sz="0" w:space="0" w:color="auto"/>
        <w:left w:val="none" w:sz="0" w:space="0" w:color="auto"/>
        <w:bottom w:val="none" w:sz="0" w:space="0" w:color="auto"/>
        <w:right w:val="none" w:sz="0" w:space="0" w:color="auto"/>
      </w:divBdr>
    </w:div>
    <w:div w:id="1690638848">
      <w:bodyDiv w:val="1"/>
      <w:marLeft w:val="0"/>
      <w:marRight w:val="0"/>
      <w:marTop w:val="0"/>
      <w:marBottom w:val="0"/>
      <w:divBdr>
        <w:top w:val="none" w:sz="0" w:space="0" w:color="auto"/>
        <w:left w:val="none" w:sz="0" w:space="0" w:color="auto"/>
        <w:bottom w:val="none" w:sz="0" w:space="0" w:color="auto"/>
        <w:right w:val="none" w:sz="0" w:space="0" w:color="auto"/>
      </w:divBdr>
    </w:div>
    <w:div w:id="1697535338">
      <w:bodyDiv w:val="1"/>
      <w:marLeft w:val="0"/>
      <w:marRight w:val="0"/>
      <w:marTop w:val="0"/>
      <w:marBottom w:val="0"/>
      <w:divBdr>
        <w:top w:val="none" w:sz="0" w:space="0" w:color="auto"/>
        <w:left w:val="none" w:sz="0" w:space="0" w:color="auto"/>
        <w:bottom w:val="none" w:sz="0" w:space="0" w:color="auto"/>
        <w:right w:val="none" w:sz="0" w:space="0" w:color="auto"/>
      </w:divBdr>
    </w:div>
    <w:div w:id="1698651816">
      <w:bodyDiv w:val="1"/>
      <w:marLeft w:val="0"/>
      <w:marRight w:val="0"/>
      <w:marTop w:val="0"/>
      <w:marBottom w:val="0"/>
      <w:divBdr>
        <w:top w:val="none" w:sz="0" w:space="0" w:color="auto"/>
        <w:left w:val="none" w:sz="0" w:space="0" w:color="auto"/>
        <w:bottom w:val="none" w:sz="0" w:space="0" w:color="auto"/>
        <w:right w:val="none" w:sz="0" w:space="0" w:color="auto"/>
      </w:divBdr>
    </w:div>
    <w:div w:id="1700666465">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9452513">
      <w:bodyDiv w:val="1"/>
      <w:marLeft w:val="0"/>
      <w:marRight w:val="0"/>
      <w:marTop w:val="0"/>
      <w:marBottom w:val="0"/>
      <w:divBdr>
        <w:top w:val="none" w:sz="0" w:space="0" w:color="auto"/>
        <w:left w:val="none" w:sz="0" w:space="0" w:color="auto"/>
        <w:bottom w:val="none" w:sz="0" w:space="0" w:color="auto"/>
        <w:right w:val="none" w:sz="0" w:space="0" w:color="auto"/>
      </w:divBdr>
    </w:div>
    <w:div w:id="1710376302">
      <w:bodyDiv w:val="1"/>
      <w:marLeft w:val="0"/>
      <w:marRight w:val="0"/>
      <w:marTop w:val="0"/>
      <w:marBottom w:val="0"/>
      <w:divBdr>
        <w:top w:val="none" w:sz="0" w:space="0" w:color="auto"/>
        <w:left w:val="none" w:sz="0" w:space="0" w:color="auto"/>
        <w:bottom w:val="none" w:sz="0" w:space="0" w:color="auto"/>
        <w:right w:val="none" w:sz="0" w:space="0" w:color="auto"/>
      </w:divBdr>
    </w:div>
    <w:div w:id="1712223405">
      <w:bodyDiv w:val="1"/>
      <w:marLeft w:val="0"/>
      <w:marRight w:val="0"/>
      <w:marTop w:val="0"/>
      <w:marBottom w:val="0"/>
      <w:divBdr>
        <w:top w:val="none" w:sz="0" w:space="0" w:color="auto"/>
        <w:left w:val="none" w:sz="0" w:space="0" w:color="auto"/>
        <w:bottom w:val="none" w:sz="0" w:space="0" w:color="auto"/>
        <w:right w:val="none" w:sz="0" w:space="0" w:color="auto"/>
      </w:divBdr>
    </w:div>
    <w:div w:id="1715958980">
      <w:bodyDiv w:val="1"/>
      <w:marLeft w:val="0"/>
      <w:marRight w:val="0"/>
      <w:marTop w:val="0"/>
      <w:marBottom w:val="0"/>
      <w:divBdr>
        <w:top w:val="none" w:sz="0" w:space="0" w:color="auto"/>
        <w:left w:val="none" w:sz="0" w:space="0" w:color="auto"/>
        <w:bottom w:val="none" w:sz="0" w:space="0" w:color="auto"/>
        <w:right w:val="none" w:sz="0" w:space="0" w:color="auto"/>
      </w:divBdr>
    </w:div>
    <w:div w:id="1724064179">
      <w:bodyDiv w:val="1"/>
      <w:marLeft w:val="0"/>
      <w:marRight w:val="0"/>
      <w:marTop w:val="0"/>
      <w:marBottom w:val="0"/>
      <w:divBdr>
        <w:top w:val="none" w:sz="0" w:space="0" w:color="auto"/>
        <w:left w:val="none" w:sz="0" w:space="0" w:color="auto"/>
        <w:bottom w:val="none" w:sz="0" w:space="0" w:color="auto"/>
        <w:right w:val="none" w:sz="0" w:space="0" w:color="auto"/>
      </w:divBdr>
    </w:div>
    <w:div w:id="1734424360">
      <w:bodyDiv w:val="1"/>
      <w:marLeft w:val="0"/>
      <w:marRight w:val="0"/>
      <w:marTop w:val="0"/>
      <w:marBottom w:val="0"/>
      <w:divBdr>
        <w:top w:val="none" w:sz="0" w:space="0" w:color="auto"/>
        <w:left w:val="none" w:sz="0" w:space="0" w:color="auto"/>
        <w:bottom w:val="none" w:sz="0" w:space="0" w:color="auto"/>
        <w:right w:val="none" w:sz="0" w:space="0" w:color="auto"/>
      </w:divBdr>
    </w:div>
    <w:div w:id="1735276791">
      <w:bodyDiv w:val="1"/>
      <w:marLeft w:val="0"/>
      <w:marRight w:val="0"/>
      <w:marTop w:val="0"/>
      <w:marBottom w:val="0"/>
      <w:divBdr>
        <w:top w:val="none" w:sz="0" w:space="0" w:color="auto"/>
        <w:left w:val="none" w:sz="0" w:space="0" w:color="auto"/>
        <w:bottom w:val="none" w:sz="0" w:space="0" w:color="auto"/>
        <w:right w:val="none" w:sz="0" w:space="0" w:color="auto"/>
      </w:divBdr>
    </w:div>
    <w:div w:id="1735541042">
      <w:bodyDiv w:val="1"/>
      <w:marLeft w:val="0"/>
      <w:marRight w:val="0"/>
      <w:marTop w:val="0"/>
      <w:marBottom w:val="0"/>
      <w:divBdr>
        <w:top w:val="none" w:sz="0" w:space="0" w:color="auto"/>
        <w:left w:val="none" w:sz="0" w:space="0" w:color="auto"/>
        <w:bottom w:val="none" w:sz="0" w:space="0" w:color="auto"/>
        <w:right w:val="none" w:sz="0" w:space="0" w:color="auto"/>
      </w:divBdr>
    </w:div>
    <w:div w:id="1738243560">
      <w:bodyDiv w:val="1"/>
      <w:marLeft w:val="0"/>
      <w:marRight w:val="0"/>
      <w:marTop w:val="0"/>
      <w:marBottom w:val="0"/>
      <w:divBdr>
        <w:top w:val="none" w:sz="0" w:space="0" w:color="auto"/>
        <w:left w:val="none" w:sz="0" w:space="0" w:color="auto"/>
        <w:bottom w:val="none" w:sz="0" w:space="0" w:color="auto"/>
        <w:right w:val="none" w:sz="0" w:space="0" w:color="auto"/>
      </w:divBdr>
    </w:div>
    <w:div w:id="1746298691">
      <w:bodyDiv w:val="1"/>
      <w:marLeft w:val="0"/>
      <w:marRight w:val="0"/>
      <w:marTop w:val="0"/>
      <w:marBottom w:val="0"/>
      <w:divBdr>
        <w:top w:val="none" w:sz="0" w:space="0" w:color="auto"/>
        <w:left w:val="none" w:sz="0" w:space="0" w:color="auto"/>
        <w:bottom w:val="none" w:sz="0" w:space="0" w:color="auto"/>
        <w:right w:val="none" w:sz="0" w:space="0" w:color="auto"/>
      </w:divBdr>
    </w:div>
    <w:div w:id="1748266291">
      <w:bodyDiv w:val="1"/>
      <w:marLeft w:val="0"/>
      <w:marRight w:val="0"/>
      <w:marTop w:val="0"/>
      <w:marBottom w:val="0"/>
      <w:divBdr>
        <w:top w:val="none" w:sz="0" w:space="0" w:color="auto"/>
        <w:left w:val="none" w:sz="0" w:space="0" w:color="auto"/>
        <w:bottom w:val="none" w:sz="0" w:space="0" w:color="auto"/>
        <w:right w:val="none" w:sz="0" w:space="0" w:color="auto"/>
      </w:divBdr>
    </w:div>
    <w:div w:id="1748384175">
      <w:bodyDiv w:val="1"/>
      <w:marLeft w:val="0"/>
      <w:marRight w:val="0"/>
      <w:marTop w:val="0"/>
      <w:marBottom w:val="0"/>
      <w:divBdr>
        <w:top w:val="none" w:sz="0" w:space="0" w:color="auto"/>
        <w:left w:val="none" w:sz="0" w:space="0" w:color="auto"/>
        <w:bottom w:val="none" w:sz="0" w:space="0" w:color="auto"/>
        <w:right w:val="none" w:sz="0" w:space="0" w:color="auto"/>
      </w:divBdr>
    </w:div>
    <w:div w:id="1748915551">
      <w:bodyDiv w:val="1"/>
      <w:marLeft w:val="0"/>
      <w:marRight w:val="0"/>
      <w:marTop w:val="0"/>
      <w:marBottom w:val="0"/>
      <w:divBdr>
        <w:top w:val="none" w:sz="0" w:space="0" w:color="auto"/>
        <w:left w:val="none" w:sz="0" w:space="0" w:color="auto"/>
        <w:bottom w:val="none" w:sz="0" w:space="0" w:color="auto"/>
        <w:right w:val="none" w:sz="0" w:space="0" w:color="auto"/>
      </w:divBdr>
    </w:div>
    <w:div w:id="1755275215">
      <w:bodyDiv w:val="1"/>
      <w:marLeft w:val="0"/>
      <w:marRight w:val="0"/>
      <w:marTop w:val="0"/>
      <w:marBottom w:val="0"/>
      <w:divBdr>
        <w:top w:val="none" w:sz="0" w:space="0" w:color="auto"/>
        <w:left w:val="none" w:sz="0" w:space="0" w:color="auto"/>
        <w:bottom w:val="none" w:sz="0" w:space="0" w:color="auto"/>
        <w:right w:val="none" w:sz="0" w:space="0" w:color="auto"/>
      </w:divBdr>
    </w:div>
    <w:div w:id="1755398552">
      <w:bodyDiv w:val="1"/>
      <w:marLeft w:val="0"/>
      <w:marRight w:val="0"/>
      <w:marTop w:val="0"/>
      <w:marBottom w:val="0"/>
      <w:divBdr>
        <w:top w:val="none" w:sz="0" w:space="0" w:color="auto"/>
        <w:left w:val="none" w:sz="0" w:space="0" w:color="auto"/>
        <w:bottom w:val="none" w:sz="0" w:space="0" w:color="auto"/>
        <w:right w:val="none" w:sz="0" w:space="0" w:color="auto"/>
      </w:divBdr>
    </w:div>
    <w:div w:id="1767771277">
      <w:bodyDiv w:val="1"/>
      <w:marLeft w:val="0"/>
      <w:marRight w:val="0"/>
      <w:marTop w:val="0"/>
      <w:marBottom w:val="0"/>
      <w:divBdr>
        <w:top w:val="none" w:sz="0" w:space="0" w:color="auto"/>
        <w:left w:val="none" w:sz="0" w:space="0" w:color="auto"/>
        <w:bottom w:val="none" w:sz="0" w:space="0" w:color="auto"/>
        <w:right w:val="none" w:sz="0" w:space="0" w:color="auto"/>
      </w:divBdr>
    </w:div>
    <w:div w:id="1773083302">
      <w:bodyDiv w:val="1"/>
      <w:marLeft w:val="0"/>
      <w:marRight w:val="0"/>
      <w:marTop w:val="0"/>
      <w:marBottom w:val="0"/>
      <w:divBdr>
        <w:top w:val="none" w:sz="0" w:space="0" w:color="auto"/>
        <w:left w:val="none" w:sz="0" w:space="0" w:color="auto"/>
        <w:bottom w:val="none" w:sz="0" w:space="0" w:color="auto"/>
        <w:right w:val="none" w:sz="0" w:space="0" w:color="auto"/>
      </w:divBdr>
    </w:div>
    <w:div w:id="1773207691">
      <w:bodyDiv w:val="1"/>
      <w:marLeft w:val="0"/>
      <w:marRight w:val="0"/>
      <w:marTop w:val="0"/>
      <w:marBottom w:val="0"/>
      <w:divBdr>
        <w:top w:val="none" w:sz="0" w:space="0" w:color="auto"/>
        <w:left w:val="none" w:sz="0" w:space="0" w:color="auto"/>
        <w:bottom w:val="none" w:sz="0" w:space="0" w:color="auto"/>
        <w:right w:val="none" w:sz="0" w:space="0" w:color="auto"/>
      </w:divBdr>
    </w:div>
    <w:div w:id="1777406327">
      <w:bodyDiv w:val="1"/>
      <w:marLeft w:val="0"/>
      <w:marRight w:val="0"/>
      <w:marTop w:val="0"/>
      <w:marBottom w:val="0"/>
      <w:divBdr>
        <w:top w:val="none" w:sz="0" w:space="0" w:color="auto"/>
        <w:left w:val="none" w:sz="0" w:space="0" w:color="auto"/>
        <w:bottom w:val="none" w:sz="0" w:space="0" w:color="auto"/>
        <w:right w:val="none" w:sz="0" w:space="0" w:color="auto"/>
      </w:divBdr>
    </w:div>
    <w:div w:id="1782189894">
      <w:bodyDiv w:val="1"/>
      <w:marLeft w:val="0"/>
      <w:marRight w:val="0"/>
      <w:marTop w:val="0"/>
      <w:marBottom w:val="0"/>
      <w:divBdr>
        <w:top w:val="none" w:sz="0" w:space="0" w:color="auto"/>
        <w:left w:val="none" w:sz="0" w:space="0" w:color="auto"/>
        <w:bottom w:val="none" w:sz="0" w:space="0" w:color="auto"/>
        <w:right w:val="none" w:sz="0" w:space="0" w:color="auto"/>
      </w:divBdr>
    </w:div>
    <w:div w:id="1783575735">
      <w:bodyDiv w:val="1"/>
      <w:marLeft w:val="0"/>
      <w:marRight w:val="0"/>
      <w:marTop w:val="0"/>
      <w:marBottom w:val="0"/>
      <w:divBdr>
        <w:top w:val="none" w:sz="0" w:space="0" w:color="auto"/>
        <w:left w:val="none" w:sz="0" w:space="0" w:color="auto"/>
        <w:bottom w:val="none" w:sz="0" w:space="0" w:color="auto"/>
        <w:right w:val="none" w:sz="0" w:space="0" w:color="auto"/>
      </w:divBdr>
    </w:div>
    <w:div w:id="1785152778">
      <w:bodyDiv w:val="1"/>
      <w:marLeft w:val="0"/>
      <w:marRight w:val="0"/>
      <w:marTop w:val="0"/>
      <w:marBottom w:val="0"/>
      <w:divBdr>
        <w:top w:val="none" w:sz="0" w:space="0" w:color="auto"/>
        <w:left w:val="none" w:sz="0" w:space="0" w:color="auto"/>
        <w:bottom w:val="none" w:sz="0" w:space="0" w:color="auto"/>
        <w:right w:val="none" w:sz="0" w:space="0" w:color="auto"/>
      </w:divBdr>
    </w:div>
    <w:div w:id="1790780042">
      <w:bodyDiv w:val="1"/>
      <w:marLeft w:val="0"/>
      <w:marRight w:val="0"/>
      <w:marTop w:val="0"/>
      <w:marBottom w:val="0"/>
      <w:divBdr>
        <w:top w:val="none" w:sz="0" w:space="0" w:color="auto"/>
        <w:left w:val="none" w:sz="0" w:space="0" w:color="auto"/>
        <w:bottom w:val="none" w:sz="0" w:space="0" w:color="auto"/>
        <w:right w:val="none" w:sz="0" w:space="0" w:color="auto"/>
      </w:divBdr>
    </w:div>
    <w:div w:id="1793591854">
      <w:bodyDiv w:val="1"/>
      <w:marLeft w:val="0"/>
      <w:marRight w:val="0"/>
      <w:marTop w:val="0"/>
      <w:marBottom w:val="0"/>
      <w:divBdr>
        <w:top w:val="none" w:sz="0" w:space="0" w:color="auto"/>
        <w:left w:val="none" w:sz="0" w:space="0" w:color="auto"/>
        <w:bottom w:val="none" w:sz="0" w:space="0" w:color="auto"/>
        <w:right w:val="none" w:sz="0" w:space="0" w:color="auto"/>
      </w:divBdr>
    </w:div>
    <w:div w:id="1794782977">
      <w:bodyDiv w:val="1"/>
      <w:marLeft w:val="0"/>
      <w:marRight w:val="0"/>
      <w:marTop w:val="0"/>
      <w:marBottom w:val="0"/>
      <w:divBdr>
        <w:top w:val="none" w:sz="0" w:space="0" w:color="auto"/>
        <w:left w:val="none" w:sz="0" w:space="0" w:color="auto"/>
        <w:bottom w:val="none" w:sz="0" w:space="0" w:color="auto"/>
        <w:right w:val="none" w:sz="0" w:space="0" w:color="auto"/>
      </w:divBdr>
    </w:div>
    <w:div w:id="1799488786">
      <w:bodyDiv w:val="1"/>
      <w:marLeft w:val="0"/>
      <w:marRight w:val="0"/>
      <w:marTop w:val="0"/>
      <w:marBottom w:val="0"/>
      <w:divBdr>
        <w:top w:val="none" w:sz="0" w:space="0" w:color="auto"/>
        <w:left w:val="none" w:sz="0" w:space="0" w:color="auto"/>
        <w:bottom w:val="none" w:sz="0" w:space="0" w:color="auto"/>
        <w:right w:val="none" w:sz="0" w:space="0" w:color="auto"/>
      </w:divBdr>
    </w:div>
    <w:div w:id="1818574982">
      <w:bodyDiv w:val="1"/>
      <w:marLeft w:val="0"/>
      <w:marRight w:val="0"/>
      <w:marTop w:val="0"/>
      <w:marBottom w:val="0"/>
      <w:divBdr>
        <w:top w:val="none" w:sz="0" w:space="0" w:color="auto"/>
        <w:left w:val="none" w:sz="0" w:space="0" w:color="auto"/>
        <w:bottom w:val="none" w:sz="0" w:space="0" w:color="auto"/>
        <w:right w:val="none" w:sz="0" w:space="0" w:color="auto"/>
      </w:divBdr>
    </w:div>
    <w:div w:id="1820996438">
      <w:bodyDiv w:val="1"/>
      <w:marLeft w:val="0"/>
      <w:marRight w:val="0"/>
      <w:marTop w:val="0"/>
      <w:marBottom w:val="0"/>
      <w:divBdr>
        <w:top w:val="none" w:sz="0" w:space="0" w:color="auto"/>
        <w:left w:val="none" w:sz="0" w:space="0" w:color="auto"/>
        <w:bottom w:val="none" w:sz="0" w:space="0" w:color="auto"/>
        <w:right w:val="none" w:sz="0" w:space="0" w:color="auto"/>
      </w:divBdr>
    </w:div>
    <w:div w:id="1822696261">
      <w:bodyDiv w:val="1"/>
      <w:marLeft w:val="0"/>
      <w:marRight w:val="0"/>
      <w:marTop w:val="0"/>
      <w:marBottom w:val="0"/>
      <w:divBdr>
        <w:top w:val="none" w:sz="0" w:space="0" w:color="auto"/>
        <w:left w:val="none" w:sz="0" w:space="0" w:color="auto"/>
        <w:bottom w:val="none" w:sz="0" w:space="0" w:color="auto"/>
        <w:right w:val="none" w:sz="0" w:space="0" w:color="auto"/>
      </w:divBdr>
    </w:div>
    <w:div w:id="1823040845">
      <w:bodyDiv w:val="1"/>
      <w:marLeft w:val="0"/>
      <w:marRight w:val="0"/>
      <w:marTop w:val="0"/>
      <w:marBottom w:val="0"/>
      <w:divBdr>
        <w:top w:val="none" w:sz="0" w:space="0" w:color="auto"/>
        <w:left w:val="none" w:sz="0" w:space="0" w:color="auto"/>
        <w:bottom w:val="none" w:sz="0" w:space="0" w:color="auto"/>
        <w:right w:val="none" w:sz="0" w:space="0" w:color="auto"/>
      </w:divBdr>
    </w:div>
    <w:div w:id="1828863918">
      <w:bodyDiv w:val="1"/>
      <w:marLeft w:val="0"/>
      <w:marRight w:val="0"/>
      <w:marTop w:val="0"/>
      <w:marBottom w:val="0"/>
      <w:divBdr>
        <w:top w:val="none" w:sz="0" w:space="0" w:color="auto"/>
        <w:left w:val="none" w:sz="0" w:space="0" w:color="auto"/>
        <w:bottom w:val="none" w:sz="0" w:space="0" w:color="auto"/>
        <w:right w:val="none" w:sz="0" w:space="0" w:color="auto"/>
      </w:divBdr>
    </w:div>
    <w:div w:id="1831948295">
      <w:bodyDiv w:val="1"/>
      <w:marLeft w:val="0"/>
      <w:marRight w:val="0"/>
      <w:marTop w:val="0"/>
      <w:marBottom w:val="0"/>
      <w:divBdr>
        <w:top w:val="none" w:sz="0" w:space="0" w:color="auto"/>
        <w:left w:val="none" w:sz="0" w:space="0" w:color="auto"/>
        <w:bottom w:val="none" w:sz="0" w:space="0" w:color="auto"/>
        <w:right w:val="none" w:sz="0" w:space="0" w:color="auto"/>
      </w:divBdr>
    </w:div>
    <w:div w:id="1832480161">
      <w:bodyDiv w:val="1"/>
      <w:marLeft w:val="0"/>
      <w:marRight w:val="0"/>
      <w:marTop w:val="0"/>
      <w:marBottom w:val="0"/>
      <w:divBdr>
        <w:top w:val="none" w:sz="0" w:space="0" w:color="auto"/>
        <w:left w:val="none" w:sz="0" w:space="0" w:color="auto"/>
        <w:bottom w:val="none" w:sz="0" w:space="0" w:color="auto"/>
        <w:right w:val="none" w:sz="0" w:space="0" w:color="auto"/>
      </w:divBdr>
    </w:div>
    <w:div w:id="1839344653">
      <w:bodyDiv w:val="1"/>
      <w:marLeft w:val="0"/>
      <w:marRight w:val="0"/>
      <w:marTop w:val="0"/>
      <w:marBottom w:val="0"/>
      <w:divBdr>
        <w:top w:val="none" w:sz="0" w:space="0" w:color="auto"/>
        <w:left w:val="none" w:sz="0" w:space="0" w:color="auto"/>
        <w:bottom w:val="none" w:sz="0" w:space="0" w:color="auto"/>
        <w:right w:val="none" w:sz="0" w:space="0" w:color="auto"/>
      </w:divBdr>
    </w:div>
    <w:div w:id="1839610535">
      <w:bodyDiv w:val="1"/>
      <w:marLeft w:val="0"/>
      <w:marRight w:val="0"/>
      <w:marTop w:val="0"/>
      <w:marBottom w:val="0"/>
      <w:divBdr>
        <w:top w:val="none" w:sz="0" w:space="0" w:color="auto"/>
        <w:left w:val="none" w:sz="0" w:space="0" w:color="auto"/>
        <w:bottom w:val="none" w:sz="0" w:space="0" w:color="auto"/>
        <w:right w:val="none" w:sz="0" w:space="0" w:color="auto"/>
      </w:divBdr>
    </w:div>
    <w:div w:id="1839727930">
      <w:bodyDiv w:val="1"/>
      <w:marLeft w:val="0"/>
      <w:marRight w:val="0"/>
      <w:marTop w:val="0"/>
      <w:marBottom w:val="0"/>
      <w:divBdr>
        <w:top w:val="none" w:sz="0" w:space="0" w:color="auto"/>
        <w:left w:val="none" w:sz="0" w:space="0" w:color="auto"/>
        <w:bottom w:val="none" w:sz="0" w:space="0" w:color="auto"/>
        <w:right w:val="none" w:sz="0" w:space="0" w:color="auto"/>
      </w:divBdr>
    </w:div>
    <w:div w:id="1841581154">
      <w:bodyDiv w:val="1"/>
      <w:marLeft w:val="0"/>
      <w:marRight w:val="0"/>
      <w:marTop w:val="0"/>
      <w:marBottom w:val="0"/>
      <w:divBdr>
        <w:top w:val="none" w:sz="0" w:space="0" w:color="auto"/>
        <w:left w:val="none" w:sz="0" w:space="0" w:color="auto"/>
        <w:bottom w:val="none" w:sz="0" w:space="0" w:color="auto"/>
        <w:right w:val="none" w:sz="0" w:space="0" w:color="auto"/>
      </w:divBdr>
    </w:div>
    <w:div w:id="1843857006">
      <w:bodyDiv w:val="1"/>
      <w:marLeft w:val="0"/>
      <w:marRight w:val="0"/>
      <w:marTop w:val="0"/>
      <w:marBottom w:val="0"/>
      <w:divBdr>
        <w:top w:val="none" w:sz="0" w:space="0" w:color="auto"/>
        <w:left w:val="none" w:sz="0" w:space="0" w:color="auto"/>
        <w:bottom w:val="none" w:sz="0" w:space="0" w:color="auto"/>
        <w:right w:val="none" w:sz="0" w:space="0" w:color="auto"/>
      </w:divBdr>
    </w:div>
    <w:div w:id="1843931716">
      <w:bodyDiv w:val="1"/>
      <w:marLeft w:val="0"/>
      <w:marRight w:val="0"/>
      <w:marTop w:val="0"/>
      <w:marBottom w:val="0"/>
      <w:divBdr>
        <w:top w:val="none" w:sz="0" w:space="0" w:color="auto"/>
        <w:left w:val="none" w:sz="0" w:space="0" w:color="auto"/>
        <w:bottom w:val="none" w:sz="0" w:space="0" w:color="auto"/>
        <w:right w:val="none" w:sz="0" w:space="0" w:color="auto"/>
      </w:divBdr>
    </w:div>
    <w:div w:id="1844512761">
      <w:bodyDiv w:val="1"/>
      <w:marLeft w:val="0"/>
      <w:marRight w:val="0"/>
      <w:marTop w:val="0"/>
      <w:marBottom w:val="0"/>
      <w:divBdr>
        <w:top w:val="none" w:sz="0" w:space="0" w:color="auto"/>
        <w:left w:val="none" w:sz="0" w:space="0" w:color="auto"/>
        <w:bottom w:val="none" w:sz="0" w:space="0" w:color="auto"/>
        <w:right w:val="none" w:sz="0" w:space="0" w:color="auto"/>
      </w:divBdr>
    </w:div>
    <w:div w:id="1847360809">
      <w:bodyDiv w:val="1"/>
      <w:marLeft w:val="0"/>
      <w:marRight w:val="0"/>
      <w:marTop w:val="0"/>
      <w:marBottom w:val="0"/>
      <w:divBdr>
        <w:top w:val="none" w:sz="0" w:space="0" w:color="auto"/>
        <w:left w:val="none" w:sz="0" w:space="0" w:color="auto"/>
        <w:bottom w:val="none" w:sz="0" w:space="0" w:color="auto"/>
        <w:right w:val="none" w:sz="0" w:space="0" w:color="auto"/>
      </w:divBdr>
    </w:div>
    <w:div w:id="1853295437">
      <w:bodyDiv w:val="1"/>
      <w:marLeft w:val="0"/>
      <w:marRight w:val="0"/>
      <w:marTop w:val="0"/>
      <w:marBottom w:val="0"/>
      <w:divBdr>
        <w:top w:val="none" w:sz="0" w:space="0" w:color="auto"/>
        <w:left w:val="none" w:sz="0" w:space="0" w:color="auto"/>
        <w:bottom w:val="none" w:sz="0" w:space="0" w:color="auto"/>
        <w:right w:val="none" w:sz="0" w:space="0" w:color="auto"/>
      </w:divBdr>
    </w:div>
    <w:div w:id="1853689765">
      <w:bodyDiv w:val="1"/>
      <w:marLeft w:val="0"/>
      <w:marRight w:val="0"/>
      <w:marTop w:val="0"/>
      <w:marBottom w:val="0"/>
      <w:divBdr>
        <w:top w:val="none" w:sz="0" w:space="0" w:color="auto"/>
        <w:left w:val="none" w:sz="0" w:space="0" w:color="auto"/>
        <w:bottom w:val="none" w:sz="0" w:space="0" w:color="auto"/>
        <w:right w:val="none" w:sz="0" w:space="0" w:color="auto"/>
      </w:divBdr>
    </w:div>
    <w:div w:id="1859731206">
      <w:bodyDiv w:val="1"/>
      <w:marLeft w:val="0"/>
      <w:marRight w:val="0"/>
      <w:marTop w:val="0"/>
      <w:marBottom w:val="0"/>
      <w:divBdr>
        <w:top w:val="none" w:sz="0" w:space="0" w:color="auto"/>
        <w:left w:val="none" w:sz="0" w:space="0" w:color="auto"/>
        <w:bottom w:val="none" w:sz="0" w:space="0" w:color="auto"/>
        <w:right w:val="none" w:sz="0" w:space="0" w:color="auto"/>
      </w:divBdr>
    </w:div>
    <w:div w:id="1860125059">
      <w:bodyDiv w:val="1"/>
      <w:marLeft w:val="0"/>
      <w:marRight w:val="0"/>
      <w:marTop w:val="0"/>
      <w:marBottom w:val="0"/>
      <w:divBdr>
        <w:top w:val="none" w:sz="0" w:space="0" w:color="auto"/>
        <w:left w:val="none" w:sz="0" w:space="0" w:color="auto"/>
        <w:bottom w:val="none" w:sz="0" w:space="0" w:color="auto"/>
        <w:right w:val="none" w:sz="0" w:space="0" w:color="auto"/>
      </w:divBdr>
    </w:div>
    <w:div w:id="1862085907">
      <w:bodyDiv w:val="1"/>
      <w:marLeft w:val="0"/>
      <w:marRight w:val="0"/>
      <w:marTop w:val="0"/>
      <w:marBottom w:val="0"/>
      <w:divBdr>
        <w:top w:val="none" w:sz="0" w:space="0" w:color="auto"/>
        <w:left w:val="none" w:sz="0" w:space="0" w:color="auto"/>
        <w:bottom w:val="none" w:sz="0" w:space="0" w:color="auto"/>
        <w:right w:val="none" w:sz="0" w:space="0" w:color="auto"/>
      </w:divBdr>
    </w:div>
    <w:div w:id="1864047765">
      <w:bodyDiv w:val="1"/>
      <w:marLeft w:val="0"/>
      <w:marRight w:val="0"/>
      <w:marTop w:val="0"/>
      <w:marBottom w:val="0"/>
      <w:divBdr>
        <w:top w:val="none" w:sz="0" w:space="0" w:color="auto"/>
        <w:left w:val="none" w:sz="0" w:space="0" w:color="auto"/>
        <w:bottom w:val="none" w:sz="0" w:space="0" w:color="auto"/>
        <w:right w:val="none" w:sz="0" w:space="0" w:color="auto"/>
      </w:divBdr>
    </w:div>
    <w:div w:id="1864056030">
      <w:bodyDiv w:val="1"/>
      <w:marLeft w:val="0"/>
      <w:marRight w:val="0"/>
      <w:marTop w:val="0"/>
      <w:marBottom w:val="0"/>
      <w:divBdr>
        <w:top w:val="none" w:sz="0" w:space="0" w:color="auto"/>
        <w:left w:val="none" w:sz="0" w:space="0" w:color="auto"/>
        <w:bottom w:val="none" w:sz="0" w:space="0" w:color="auto"/>
        <w:right w:val="none" w:sz="0" w:space="0" w:color="auto"/>
      </w:divBdr>
    </w:div>
    <w:div w:id="1864246171">
      <w:bodyDiv w:val="1"/>
      <w:marLeft w:val="0"/>
      <w:marRight w:val="0"/>
      <w:marTop w:val="0"/>
      <w:marBottom w:val="0"/>
      <w:divBdr>
        <w:top w:val="none" w:sz="0" w:space="0" w:color="auto"/>
        <w:left w:val="none" w:sz="0" w:space="0" w:color="auto"/>
        <w:bottom w:val="none" w:sz="0" w:space="0" w:color="auto"/>
        <w:right w:val="none" w:sz="0" w:space="0" w:color="auto"/>
      </w:divBdr>
    </w:div>
    <w:div w:id="1864779136">
      <w:bodyDiv w:val="1"/>
      <w:marLeft w:val="0"/>
      <w:marRight w:val="0"/>
      <w:marTop w:val="0"/>
      <w:marBottom w:val="0"/>
      <w:divBdr>
        <w:top w:val="none" w:sz="0" w:space="0" w:color="auto"/>
        <w:left w:val="none" w:sz="0" w:space="0" w:color="auto"/>
        <w:bottom w:val="none" w:sz="0" w:space="0" w:color="auto"/>
        <w:right w:val="none" w:sz="0" w:space="0" w:color="auto"/>
      </w:divBdr>
    </w:div>
    <w:div w:id="1866942390">
      <w:bodyDiv w:val="1"/>
      <w:marLeft w:val="0"/>
      <w:marRight w:val="0"/>
      <w:marTop w:val="0"/>
      <w:marBottom w:val="0"/>
      <w:divBdr>
        <w:top w:val="none" w:sz="0" w:space="0" w:color="auto"/>
        <w:left w:val="none" w:sz="0" w:space="0" w:color="auto"/>
        <w:bottom w:val="none" w:sz="0" w:space="0" w:color="auto"/>
        <w:right w:val="none" w:sz="0" w:space="0" w:color="auto"/>
      </w:divBdr>
    </w:div>
    <w:div w:id="1877620480">
      <w:bodyDiv w:val="1"/>
      <w:marLeft w:val="0"/>
      <w:marRight w:val="0"/>
      <w:marTop w:val="0"/>
      <w:marBottom w:val="0"/>
      <w:divBdr>
        <w:top w:val="none" w:sz="0" w:space="0" w:color="auto"/>
        <w:left w:val="none" w:sz="0" w:space="0" w:color="auto"/>
        <w:bottom w:val="none" w:sz="0" w:space="0" w:color="auto"/>
        <w:right w:val="none" w:sz="0" w:space="0" w:color="auto"/>
      </w:divBdr>
    </w:div>
    <w:div w:id="1886333868">
      <w:bodyDiv w:val="1"/>
      <w:marLeft w:val="0"/>
      <w:marRight w:val="0"/>
      <w:marTop w:val="0"/>
      <w:marBottom w:val="0"/>
      <w:divBdr>
        <w:top w:val="none" w:sz="0" w:space="0" w:color="auto"/>
        <w:left w:val="none" w:sz="0" w:space="0" w:color="auto"/>
        <w:bottom w:val="none" w:sz="0" w:space="0" w:color="auto"/>
        <w:right w:val="none" w:sz="0" w:space="0" w:color="auto"/>
      </w:divBdr>
    </w:div>
    <w:div w:id="1888369675">
      <w:bodyDiv w:val="1"/>
      <w:marLeft w:val="0"/>
      <w:marRight w:val="0"/>
      <w:marTop w:val="0"/>
      <w:marBottom w:val="0"/>
      <w:divBdr>
        <w:top w:val="none" w:sz="0" w:space="0" w:color="auto"/>
        <w:left w:val="none" w:sz="0" w:space="0" w:color="auto"/>
        <w:bottom w:val="none" w:sz="0" w:space="0" w:color="auto"/>
        <w:right w:val="none" w:sz="0" w:space="0" w:color="auto"/>
      </w:divBdr>
    </w:div>
    <w:div w:id="1888754543">
      <w:bodyDiv w:val="1"/>
      <w:marLeft w:val="0"/>
      <w:marRight w:val="0"/>
      <w:marTop w:val="0"/>
      <w:marBottom w:val="0"/>
      <w:divBdr>
        <w:top w:val="none" w:sz="0" w:space="0" w:color="auto"/>
        <w:left w:val="none" w:sz="0" w:space="0" w:color="auto"/>
        <w:bottom w:val="none" w:sz="0" w:space="0" w:color="auto"/>
        <w:right w:val="none" w:sz="0" w:space="0" w:color="auto"/>
      </w:divBdr>
    </w:div>
    <w:div w:id="1890606298">
      <w:bodyDiv w:val="1"/>
      <w:marLeft w:val="0"/>
      <w:marRight w:val="0"/>
      <w:marTop w:val="0"/>
      <w:marBottom w:val="0"/>
      <w:divBdr>
        <w:top w:val="none" w:sz="0" w:space="0" w:color="auto"/>
        <w:left w:val="none" w:sz="0" w:space="0" w:color="auto"/>
        <w:bottom w:val="none" w:sz="0" w:space="0" w:color="auto"/>
        <w:right w:val="none" w:sz="0" w:space="0" w:color="auto"/>
      </w:divBdr>
    </w:div>
    <w:div w:id="1892963133">
      <w:bodyDiv w:val="1"/>
      <w:marLeft w:val="0"/>
      <w:marRight w:val="0"/>
      <w:marTop w:val="0"/>
      <w:marBottom w:val="0"/>
      <w:divBdr>
        <w:top w:val="none" w:sz="0" w:space="0" w:color="auto"/>
        <w:left w:val="none" w:sz="0" w:space="0" w:color="auto"/>
        <w:bottom w:val="none" w:sz="0" w:space="0" w:color="auto"/>
        <w:right w:val="none" w:sz="0" w:space="0" w:color="auto"/>
      </w:divBdr>
    </w:div>
    <w:div w:id="1894846940">
      <w:bodyDiv w:val="1"/>
      <w:marLeft w:val="0"/>
      <w:marRight w:val="0"/>
      <w:marTop w:val="0"/>
      <w:marBottom w:val="0"/>
      <w:divBdr>
        <w:top w:val="none" w:sz="0" w:space="0" w:color="auto"/>
        <w:left w:val="none" w:sz="0" w:space="0" w:color="auto"/>
        <w:bottom w:val="none" w:sz="0" w:space="0" w:color="auto"/>
        <w:right w:val="none" w:sz="0" w:space="0" w:color="auto"/>
      </w:divBdr>
    </w:div>
    <w:div w:id="1896963763">
      <w:bodyDiv w:val="1"/>
      <w:marLeft w:val="0"/>
      <w:marRight w:val="0"/>
      <w:marTop w:val="0"/>
      <w:marBottom w:val="0"/>
      <w:divBdr>
        <w:top w:val="none" w:sz="0" w:space="0" w:color="auto"/>
        <w:left w:val="none" w:sz="0" w:space="0" w:color="auto"/>
        <w:bottom w:val="none" w:sz="0" w:space="0" w:color="auto"/>
        <w:right w:val="none" w:sz="0" w:space="0" w:color="auto"/>
      </w:divBdr>
    </w:div>
    <w:div w:id="1899124532">
      <w:bodyDiv w:val="1"/>
      <w:marLeft w:val="0"/>
      <w:marRight w:val="0"/>
      <w:marTop w:val="0"/>
      <w:marBottom w:val="0"/>
      <w:divBdr>
        <w:top w:val="none" w:sz="0" w:space="0" w:color="auto"/>
        <w:left w:val="none" w:sz="0" w:space="0" w:color="auto"/>
        <w:bottom w:val="none" w:sz="0" w:space="0" w:color="auto"/>
        <w:right w:val="none" w:sz="0" w:space="0" w:color="auto"/>
      </w:divBdr>
    </w:div>
    <w:div w:id="1900166621">
      <w:bodyDiv w:val="1"/>
      <w:marLeft w:val="0"/>
      <w:marRight w:val="0"/>
      <w:marTop w:val="0"/>
      <w:marBottom w:val="0"/>
      <w:divBdr>
        <w:top w:val="none" w:sz="0" w:space="0" w:color="auto"/>
        <w:left w:val="none" w:sz="0" w:space="0" w:color="auto"/>
        <w:bottom w:val="none" w:sz="0" w:space="0" w:color="auto"/>
        <w:right w:val="none" w:sz="0" w:space="0" w:color="auto"/>
      </w:divBdr>
    </w:div>
    <w:div w:id="1910069142">
      <w:bodyDiv w:val="1"/>
      <w:marLeft w:val="0"/>
      <w:marRight w:val="0"/>
      <w:marTop w:val="0"/>
      <w:marBottom w:val="0"/>
      <w:divBdr>
        <w:top w:val="none" w:sz="0" w:space="0" w:color="auto"/>
        <w:left w:val="none" w:sz="0" w:space="0" w:color="auto"/>
        <w:bottom w:val="none" w:sz="0" w:space="0" w:color="auto"/>
        <w:right w:val="none" w:sz="0" w:space="0" w:color="auto"/>
      </w:divBdr>
    </w:div>
    <w:div w:id="1911192340">
      <w:bodyDiv w:val="1"/>
      <w:marLeft w:val="0"/>
      <w:marRight w:val="0"/>
      <w:marTop w:val="0"/>
      <w:marBottom w:val="0"/>
      <w:divBdr>
        <w:top w:val="none" w:sz="0" w:space="0" w:color="auto"/>
        <w:left w:val="none" w:sz="0" w:space="0" w:color="auto"/>
        <w:bottom w:val="none" w:sz="0" w:space="0" w:color="auto"/>
        <w:right w:val="none" w:sz="0" w:space="0" w:color="auto"/>
      </w:divBdr>
    </w:div>
    <w:div w:id="1916167217">
      <w:bodyDiv w:val="1"/>
      <w:marLeft w:val="0"/>
      <w:marRight w:val="0"/>
      <w:marTop w:val="0"/>
      <w:marBottom w:val="0"/>
      <w:divBdr>
        <w:top w:val="none" w:sz="0" w:space="0" w:color="auto"/>
        <w:left w:val="none" w:sz="0" w:space="0" w:color="auto"/>
        <w:bottom w:val="none" w:sz="0" w:space="0" w:color="auto"/>
        <w:right w:val="none" w:sz="0" w:space="0" w:color="auto"/>
      </w:divBdr>
    </w:div>
    <w:div w:id="1929338427">
      <w:bodyDiv w:val="1"/>
      <w:marLeft w:val="0"/>
      <w:marRight w:val="0"/>
      <w:marTop w:val="0"/>
      <w:marBottom w:val="0"/>
      <w:divBdr>
        <w:top w:val="none" w:sz="0" w:space="0" w:color="auto"/>
        <w:left w:val="none" w:sz="0" w:space="0" w:color="auto"/>
        <w:bottom w:val="none" w:sz="0" w:space="0" w:color="auto"/>
        <w:right w:val="none" w:sz="0" w:space="0" w:color="auto"/>
      </w:divBdr>
    </w:div>
    <w:div w:id="1930504996">
      <w:bodyDiv w:val="1"/>
      <w:marLeft w:val="0"/>
      <w:marRight w:val="0"/>
      <w:marTop w:val="0"/>
      <w:marBottom w:val="0"/>
      <w:divBdr>
        <w:top w:val="none" w:sz="0" w:space="0" w:color="auto"/>
        <w:left w:val="none" w:sz="0" w:space="0" w:color="auto"/>
        <w:bottom w:val="none" w:sz="0" w:space="0" w:color="auto"/>
        <w:right w:val="none" w:sz="0" w:space="0" w:color="auto"/>
      </w:divBdr>
    </w:div>
    <w:div w:id="1936596489">
      <w:bodyDiv w:val="1"/>
      <w:marLeft w:val="0"/>
      <w:marRight w:val="0"/>
      <w:marTop w:val="0"/>
      <w:marBottom w:val="0"/>
      <w:divBdr>
        <w:top w:val="none" w:sz="0" w:space="0" w:color="auto"/>
        <w:left w:val="none" w:sz="0" w:space="0" w:color="auto"/>
        <w:bottom w:val="none" w:sz="0" w:space="0" w:color="auto"/>
        <w:right w:val="none" w:sz="0" w:space="0" w:color="auto"/>
      </w:divBdr>
    </w:div>
    <w:div w:id="1941446040">
      <w:bodyDiv w:val="1"/>
      <w:marLeft w:val="0"/>
      <w:marRight w:val="0"/>
      <w:marTop w:val="0"/>
      <w:marBottom w:val="0"/>
      <w:divBdr>
        <w:top w:val="none" w:sz="0" w:space="0" w:color="auto"/>
        <w:left w:val="none" w:sz="0" w:space="0" w:color="auto"/>
        <w:bottom w:val="none" w:sz="0" w:space="0" w:color="auto"/>
        <w:right w:val="none" w:sz="0" w:space="0" w:color="auto"/>
      </w:divBdr>
    </w:div>
    <w:div w:id="1944218710">
      <w:bodyDiv w:val="1"/>
      <w:marLeft w:val="0"/>
      <w:marRight w:val="0"/>
      <w:marTop w:val="0"/>
      <w:marBottom w:val="0"/>
      <w:divBdr>
        <w:top w:val="none" w:sz="0" w:space="0" w:color="auto"/>
        <w:left w:val="none" w:sz="0" w:space="0" w:color="auto"/>
        <w:bottom w:val="none" w:sz="0" w:space="0" w:color="auto"/>
        <w:right w:val="none" w:sz="0" w:space="0" w:color="auto"/>
      </w:divBdr>
    </w:div>
    <w:div w:id="1946647801">
      <w:bodyDiv w:val="1"/>
      <w:marLeft w:val="0"/>
      <w:marRight w:val="0"/>
      <w:marTop w:val="0"/>
      <w:marBottom w:val="0"/>
      <w:divBdr>
        <w:top w:val="none" w:sz="0" w:space="0" w:color="auto"/>
        <w:left w:val="none" w:sz="0" w:space="0" w:color="auto"/>
        <w:bottom w:val="none" w:sz="0" w:space="0" w:color="auto"/>
        <w:right w:val="none" w:sz="0" w:space="0" w:color="auto"/>
      </w:divBdr>
    </w:div>
    <w:div w:id="1962300488">
      <w:bodyDiv w:val="1"/>
      <w:marLeft w:val="0"/>
      <w:marRight w:val="0"/>
      <w:marTop w:val="0"/>
      <w:marBottom w:val="0"/>
      <w:divBdr>
        <w:top w:val="none" w:sz="0" w:space="0" w:color="auto"/>
        <w:left w:val="none" w:sz="0" w:space="0" w:color="auto"/>
        <w:bottom w:val="none" w:sz="0" w:space="0" w:color="auto"/>
        <w:right w:val="none" w:sz="0" w:space="0" w:color="auto"/>
      </w:divBdr>
    </w:div>
    <w:div w:id="1963800095">
      <w:bodyDiv w:val="1"/>
      <w:marLeft w:val="0"/>
      <w:marRight w:val="0"/>
      <w:marTop w:val="0"/>
      <w:marBottom w:val="0"/>
      <w:divBdr>
        <w:top w:val="none" w:sz="0" w:space="0" w:color="auto"/>
        <w:left w:val="none" w:sz="0" w:space="0" w:color="auto"/>
        <w:bottom w:val="none" w:sz="0" w:space="0" w:color="auto"/>
        <w:right w:val="none" w:sz="0" w:space="0" w:color="auto"/>
      </w:divBdr>
    </w:div>
    <w:div w:id="1965382365">
      <w:bodyDiv w:val="1"/>
      <w:marLeft w:val="0"/>
      <w:marRight w:val="0"/>
      <w:marTop w:val="0"/>
      <w:marBottom w:val="0"/>
      <w:divBdr>
        <w:top w:val="none" w:sz="0" w:space="0" w:color="auto"/>
        <w:left w:val="none" w:sz="0" w:space="0" w:color="auto"/>
        <w:bottom w:val="none" w:sz="0" w:space="0" w:color="auto"/>
        <w:right w:val="none" w:sz="0" w:space="0" w:color="auto"/>
      </w:divBdr>
    </w:div>
    <w:div w:id="1968466008">
      <w:bodyDiv w:val="1"/>
      <w:marLeft w:val="0"/>
      <w:marRight w:val="0"/>
      <w:marTop w:val="0"/>
      <w:marBottom w:val="0"/>
      <w:divBdr>
        <w:top w:val="none" w:sz="0" w:space="0" w:color="auto"/>
        <w:left w:val="none" w:sz="0" w:space="0" w:color="auto"/>
        <w:bottom w:val="none" w:sz="0" w:space="0" w:color="auto"/>
        <w:right w:val="none" w:sz="0" w:space="0" w:color="auto"/>
      </w:divBdr>
    </w:div>
    <w:div w:id="1969432331">
      <w:bodyDiv w:val="1"/>
      <w:marLeft w:val="0"/>
      <w:marRight w:val="0"/>
      <w:marTop w:val="0"/>
      <w:marBottom w:val="0"/>
      <w:divBdr>
        <w:top w:val="none" w:sz="0" w:space="0" w:color="auto"/>
        <w:left w:val="none" w:sz="0" w:space="0" w:color="auto"/>
        <w:bottom w:val="none" w:sz="0" w:space="0" w:color="auto"/>
        <w:right w:val="none" w:sz="0" w:space="0" w:color="auto"/>
      </w:divBdr>
    </w:div>
    <w:div w:id="1988850151">
      <w:bodyDiv w:val="1"/>
      <w:marLeft w:val="0"/>
      <w:marRight w:val="0"/>
      <w:marTop w:val="0"/>
      <w:marBottom w:val="0"/>
      <w:divBdr>
        <w:top w:val="none" w:sz="0" w:space="0" w:color="auto"/>
        <w:left w:val="none" w:sz="0" w:space="0" w:color="auto"/>
        <w:bottom w:val="none" w:sz="0" w:space="0" w:color="auto"/>
        <w:right w:val="none" w:sz="0" w:space="0" w:color="auto"/>
      </w:divBdr>
    </w:div>
    <w:div w:id="1995647281">
      <w:bodyDiv w:val="1"/>
      <w:marLeft w:val="0"/>
      <w:marRight w:val="0"/>
      <w:marTop w:val="0"/>
      <w:marBottom w:val="0"/>
      <w:divBdr>
        <w:top w:val="none" w:sz="0" w:space="0" w:color="auto"/>
        <w:left w:val="none" w:sz="0" w:space="0" w:color="auto"/>
        <w:bottom w:val="none" w:sz="0" w:space="0" w:color="auto"/>
        <w:right w:val="none" w:sz="0" w:space="0" w:color="auto"/>
      </w:divBdr>
    </w:div>
    <w:div w:id="1999192194">
      <w:bodyDiv w:val="1"/>
      <w:marLeft w:val="0"/>
      <w:marRight w:val="0"/>
      <w:marTop w:val="0"/>
      <w:marBottom w:val="0"/>
      <w:divBdr>
        <w:top w:val="none" w:sz="0" w:space="0" w:color="auto"/>
        <w:left w:val="none" w:sz="0" w:space="0" w:color="auto"/>
        <w:bottom w:val="none" w:sz="0" w:space="0" w:color="auto"/>
        <w:right w:val="none" w:sz="0" w:space="0" w:color="auto"/>
      </w:divBdr>
    </w:div>
    <w:div w:id="2005817722">
      <w:bodyDiv w:val="1"/>
      <w:marLeft w:val="0"/>
      <w:marRight w:val="0"/>
      <w:marTop w:val="0"/>
      <w:marBottom w:val="0"/>
      <w:divBdr>
        <w:top w:val="none" w:sz="0" w:space="0" w:color="auto"/>
        <w:left w:val="none" w:sz="0" w:space="0" w:color="auto"/>
        <w:bottom w:val="none" w:sz="0" w:space="0" w:color="auto"/>
        <w:right w:val="none" w:sz="0" w:space="0" w:color="auto"/>
      </w:divBdr>
    </w:div>
    <w:div w:id="2011058985">
      <w:bodyDiv w:val="1"/>
      <w:marLeft w:val="0"/>
      <w:marRight w:val="0"/>
      <w:marTop w:val="0"/>
      <w:marBottom w:val="0"/>
      <w:divBdr>
        <w:top w:val="none" w:sz="0" w:space="0" w:color="auto"/>
        <w:left w:val="none" w:sz="0" w:space="0" w:color="auto"/>
        <w:bottom w:val="none" w:sz="0" w:space="0" w:color="auto"/>
        <w:right w:val="none" w:sz="0" w:space="0" w:color="auto"/>
      </w:divBdr>
    </w:div>
    <w:div w:id="2014722079">
      <w:bodyDiv w:val="1"/>
      <w:marLeft w:val="0"/>
      <w:marRight w:val="0"/>
      <w:marTop w:val="0"/>
      <w:marBottom w:val="0"/>
      <w:divBdr>
        <w:top w:val="none" w:sz="0" w:space="0" w:color="auto"/>
        <w:left w:val="none" w:sz="0" w:space="0" w:color="auto"/>
        <w:bottom w:val="none" w:sz="0" w:space="0" w:color="auto"/>
        <w:right w:val="none" w:sz="0" w:space="0" w:color="auto"/>
      </w:divBdr>
    </w:div>
    <w:div w:id="2015641215">
      <w:bodyDiv w:val="1"/>
      <w:marLeft w:val="0"/>
      <w:marRight w:val="0"/>
      <w:marTop w:val="0"/>
      <w:marBottom w:val="0"/>
      <w:divBdr>
        <w:top w:val="none" w:sz="0" w:space="0" w:color="auto"/>
        <w:left w:val="none" w:sz="0" w:space="0" w:color="auto"/>
        <w:bottom w:val="none" w:sz="0" w:space="0" w:color="auto"/>
        <w:right w:val="none" w:sz="0" w:space="0" w:color="auto"/>
      </w:divBdr>
    </w:div>
    <w:div w:id="2019848885">
      <w:bodyDiv w:val="1"/>
      <w:marLeft w:val="0"/>
      <w:marRight w:val="0"/>
      <w:marTop w:val="0"/>
      <w:marBottom w:val="0"/>
      <w:divBdr>
        <w:top w:val="none" w:sz="0" w:space="0" w:color="auto"/>
        <w:left w:val="none" w:sz="0" w:space="0" w:color="auto"/>
        <w:bottom w:val="none" w:sz="0" w:space="0" w:color="auto"/>
        <w:right w:val="none" w:sz="0" w:space="0" w:color="auto"/>
      </w:divBdr>
    </w:div>
    <w:div w:id="2023436329">
      <w:bodyDiv w:val="1"/>
      <w:marLeft w:val="0"/>
      <w:marRight w:val="0"/>
      <w:marTop w:val="0"/>
      <w:marBottom w:val="0"/>
      <w:divBdr>
        <w:top w:val="none" w:sz="0" w:space="0" w:color="auto"/>
        <w:left w:val="none" w:sz="0" w:space="0" w:color="auto"/>
        <w:bottom w:val="none" w:sz="0" w:space="0" w:color="auto"/>
        <w:right w:val="none" w:sz="0" w:space="0" w:color="auto"/>
      </w:divBdr>
    </w:div>
    <w:div w:id="2030524796">
      <w:bodyDiv w:val="1"/>
      <w:marLeft w:val="0"/>
      <w:marRight w:val="0"/>
      <w:marTop w:val="0"/>
      <w:marBottom w:val="0"/>
      <w:divBdr>
        <w:top w:val="none" w:sz="0" w:space="0" w:color="auto"/>
        <w:left w:val="none" w:sz="0" w:space="0" w:color="auto"/>
        <w:bottom w:val="none" w:sz="0" w:space="0" w:color="auto"/>
        <w:right w:val="none" w:sz="0" w:space="0" w:color="auto"/>
      </w:divBdr>
    </w:div>
    <w:div w:id="2039621176">
      <w:bodyDiv w:val="1"/>
      <w:marLeft w:val="0"/>
      <w:marRight w:val="0"/>
      <w:marTop w:val="0"/>
      <w:marBottom w:val="0"/>
      <w:divBdr>
        <w:top w:val="none" w:sz="0" w:space="0" w:color="auto"/>
        <w:left w:val="none" w:sz="0" w:space="0" w:color="auto"/>
        <w:bottom w:val="none" w:sz="0" w:space="0" w:color="auto"/>
        <w:right w:val="none" w:sz="0" w:space="0" w:color="auto"/>
      </w:divBdr>
    </w:div>
    <w:div w:id="2039623240">
      <w:bodyDiv w:val="1"/>
      <w:marLeft w:val="0"/>
      <w:marRight w:val="0"/>
      <w:marTop w:val="0"/>
      <w:marBottom w:val="0"/>
      <w:divBdr>
        <w:top w:val="none" w:sz="0" w:space="0" w:color="auto"/>
        <w:left w:val="none" w:sz="0" w:space="0" w:color="auto"/>
        <w:bottom w:val="none" w:sz="0" w:space="0" w:color="auto"/>
        <w:right w:val="none" w:sz="0" w:space="0" w:color="auto"/>
      </w:divBdr>
    </w:div>
    <w:div w:id="2041927665">
      <w:bodyDiv w:val="1"/>
      <w:marLeft w:val="0"/>
      <w:marRight w:val="0"/>
      <w:marTop w:val="0"/>
      <w:marBottom w:val="0"/>
      <w:divBdr>
        <w:top w:val="none" w:sz="0" w:space="0" w:color="auto"/>
        <w:left w:val="none" w:sz="0" w:space="0" w:color="auto"/>
        <w:bottom w:val="none" w:sz="0" w:space="0" w:color="auto"/>
        <w:right w:val="none" w:sz="0" w:space="0" w:color="auto"/>
      </w:divBdr>
    </w:div>
    <w:div w:id="2050178805">
      <w:bodyDiv w:val="1"/>
      <w:marLeft w:val="0"/>
      <w:marRight w:val="0"/>
      <w:marTop w:val="0"/>
      <w:marBottom w:val="0"/>
      <w:divBdr>
        <w:top w:val="none" w:sz="0" w:space="0" w:color="auto"/>
        <w:left w:val="none" w:sz="0" w:space="0" w:color="auto"/>
        <w:bottom w:val="none" w:sz="0" w:space="0" w:color="auto"/>
        <w:right w:val="none" w:sz="0" w:space="0" w:color="auto"/>
      </w:divBdr>
    </w:div>
    <w:div w:id="2052731409">
      <w:bodyDiv w:val="1"/>
      <w:marLeft w:val="0"/>
      <w:marRight w:val="0"/>
      <w:marTop w:val="0"/>
      <w:marBottom w:val="0"/>
      <w:divBdr>
        <w:top w:val="none" w:sz="0" w:space="0" w:color="auto"/>
        <w:left w:val="none" w:sz="0" w:space="0" w:color="auto"/>
        <w:bottom w:val="none" w:sz="0" w:space="0" w:color="auto"/>
        <w:right w:val="none" w:sz="0" w:space="0" w:color="auto"/>
      </w:divBdr>
    </w:div>
    <w:div w:id="2055349812">
      <w:bodyDiv w:val="1"/>
      <w:marLeft w:val="0"/>
      <w:marRight w:val="0"/>
      <w:marTop w:val="0"/>
      <w:marBottom w:val="0"/>
      <w:divBdr>
        <w:top w:val="none" w:sz="0" w:space="0" w:color="auto"/>
        <w:left w:val="none" w:sz="0" w:space="0" w:color="auto"/>
        <w:bottom w:val="none" w:sz="0" w:space="0" w:color="auto"/>
        <w:right w:val="none" w:sz="0" w:space="0" w:color="auto"/>
      </w:divBdr>
    </w:div>
    <w:div w:id="2062825663">
      <w:bodyDiv w:val="1"/>
      <w:marLeft w:val="0"/>
      <w:marRight w:val="0"/>
      <w:marTop w:val="0"/>
      <w:marBottom w:val="0"/>
      <w:divBdr>
        <w:top w:val="none" w:sz="0" w:space="0" w:color="auto"/>
        <w:left w:val="none" w:sz="0" w:space="0" w:color="auto"/>
        <w:bottom w:val="none" w:sz="0" w:space="0" w:color="auto"/>
        <w:right w:val="none" w:sz="0" w:space="0" w:color="auto"/>
      </w:divBdr>
    </w:div>
    <w:div w:id="2065180797">
      <w:bodyDiv w:val="1"/>
      <w:marLeft w:val="0"/>
      <w:marRight w:val="0"/>
      <w:marTop w:val="0"/>
      <w:marBottom w:val="0"/>
      <w:divBdr>
        <w:top w:val="none" w:sz="0" w:space="0" w:color="auto"/>
        <w:left w:val="none" w:sz="0" w:space="0" w:color="auto"/>
        <w:bottom w:val="none" w:sz="0" w:space="0" w:color="auto"/>
        <w:right w:val="none" w:sz="0" w:space="0" w:color="auto"/>
      </w:divBdr>
    </w:div>
    <w:div w:id="2066639326">
      <w:bodyDiv w:val="1"/>
      <w:marLeft w:val="0"/>
      <w:marRight w:val="0"/>
      <w:marTop w:val="0"/>
      <w:marBottom w:val="0"/>
      <w:divBdr>
        <w:top w:val="none" w:sz="0" w:space="0" w:color="auto"/>
        <w:left w:val="none" w:sz="0" w:space="0" w:color="auto"/>
        <w:bottom w:val="none" w:sz="0" w:space="0" w:color="auto"/>
        <w:right w:val="none" w:sz="0" w:space="0" w:color="auto"/>
      </w:divBdr>
    </w:div>
    <w:div w:id="2066906058">
      <w:bodyDiv w:val="1"/>
      <w:marLeft w:val="0"/>
      <w:marRight w:val="0"/>
      <w:marTop w:val="0"/>
      <w:marBottom w:val="0"/>
      <w:divBdr>
        <w:top w:val="none" w:sz="0" w:space="0" w:color="auto"/>
        <w:left w:val="none" w:sz="0" w:space="0" w:color="auto"/>
        <w:bottom w:val="none" w:sz="0" w:space="0" w:color="auto"/>
        <w:right w:val="none" w:sz="0" w:space="0" w:color="auto"/>
      </w:divBdr>
    </w:div>
    <w:div w:id="2069842250">
      <w:bodyDiv w:val="1"/>
      <w:marLeft w:val="0"/>
      <w:marRight w:val="0"/>
      <w:marTop w:val="0"/>
      <w:marBottom w:val="0"/>
      <w:divBdr>
        <w:top w:val="none" w:sz="0" w:space="0" w:color="auto"/>
        <w:left w:val="none" w:sz="0" w:space="0" w:color="auto"/>
        <w:bottom w:val="none" w:sz="0" w:space="0" w:color="auto"/>
        <w:right w:val="none" w:sz="0" w:space="0" w:color="auto"/>
      </w:divBdr>
    </w:div>
    <w:div w:id="2072580173">
      <w:bodyDiv w:val="1"/>
      <w:marLeft w:val="0"/>
      <w:marRight w:val="0"/>
      <w:marTop w:val="0"/>
      <w:marBottom w:val="0"/>
      <w:divBdr>
        <w:top w:val="none" w:sz="0" w:space="0" w:color="auto"/>
        <w:left w:val="none" w:sz="0" w:space="0" w:color="auto"/>
        <w:bottom w:val="none" w:sz="0" w:space="0" w:color="auto"/>
        <w:right w:val="none" w:sz="0" w:space="0" w:color="auto"/>
      </w:divBdr>
    </w:div>
    <w:div w:id="2077431681">
      <w:bodyDiv w:val="1"/>
      <w:marLeft w:val="0"/>
      <w:marRight w:val="0"/>
      <w:marTop w:val="0"/>
      <w:marBottom w:val="0"/>
      <w:divBdr>
        <w:top w:val="none" w:sz="0" w:space="0" w:color="auto"/>
        <w:left w:val="none" w:sz="0" w:space="0" w:color="auto"/>
        <w:bottom w:val="none" w:sz="0" w:space="0" w:color="auto"/>
        <w:right w:val="none" w:sz="0" w:space="0" w:color="auto"/>
      </w:divBdr>
    </w:div>
    <w:div w:id="2081782823">
      <w:bodyDiv w:val="1"/>
      <w:marLeft w:val="0"/>
      <w:marRight w:val="0"/>
      <w:marTop w:val="0"/>
      <w:marBottom w:val="0"/>
      <w:divBdr>
        <w:top w:val="none" w:sz="0" w:space="0" w:color="auto"/>
        <w:left w:val="none" w:sz="0" w:space="0" w:color="auto"/>
        <w:bottom w:val="none" w:sz="0" w:space="0" w:color="auto"/>
        <w:right w:val="none" w:sz="0" w:space="0" w:color="auto"/>
      </w:divBdr>
    </w:div>
    <w:div w:id="2087919555">
      <w:bodyDiv w:val="1"/>
      <w:marLeft w:val="0"/>
      <w:marRight w:val="0"/>
      <w:marTop w:val="0"/>
      <w:marBottom w:val="0"/>
      <w:divBdr>
        <w:top w:val="none" w:sz="0" w:space="0" w:color="auto"/>
        <w:left w:val="none" w:sz="0" w:space="0" w:color="auto"/>
        <w:bottom w:val="none" w:sz="0" w:space="0" w:color="auto"/>
        <w:right w:val="none" w:sz="0" w:space="0" w:color="auto"/>
      </w:divBdr>
    </w:div>
    <w:div w:id="2089643758">
      <w:bodyDiv w:val="1"/>
      <w:marLeft w:val="0"/>
      <w:marRight w:val="0"/>
      <w:marTop w:val="0"/>
      <w:marBottom w:val="0"/>
      <w:divBdr>
        <w:top w:val="none" w:sz="0" w:space="0" w:color="auto"/>
        <w:left w:val="none" w:sz="0" w:space="0" w:color="auto"/>
        <w:bottom w:val="none" w:sz="0" w:space="0" w:color="auto"/>
        <w:right w:val="none" w:sz="0" w:space="0" w:color="auto"/>
      </w:divBdr>
    </w:div>
    <w:div w:id="2093382102">
      <w:bodyDiv w:val="1"/>
      <w:marLeft w:val="0"/>
      <w:marRight w:val="0"/>
      <w:marTop w:val="0"/>
      <w:marBottom w:val="0"/>
      <w:divBdr>
        <w:top w:val="none" w:sz="0" w:space="0" w:color="auto"/>
        <w:left w:val="none" w:sz="0" w:space="0" w:color="auto"/>
        <w:bottom w:val="none" w:sz="0" w:space="0" w:color="auto"/>
        <w:right w:val="none" w:sz="0" w:space="0" w:color="auto"/>
      </w:divBdr>
    </w:div>
    <w:div w:id="2093504319">
      <w:bodyDiv w:val="1"/>
      <w:marLeft w:val="0"/>
      <w:marRight w:val="0"/>
      <w:marTop w:val="0"/>
      <w:marBottom w:val="0"/>
      <w:divBdr>
        <w:top w:val="none" w:sz="0" w:space="0" w:color="auto"/>
        <w:left w:val="none" w:sz="0" w:space="0" w:color="auto"/>
        <w:bottom w:val="none" w:sz="0" w:space="0" w:color="auto"/>
        <w:right w:val="none" w:sz="0" w:space="0" w:color="auto"/>
      </w:divBdr>
    </w:div>
    <w:div w:id="2095467831">
      <w:bodyDiv w:val="1"/>
      <w:marLeft w:val="0"/>
      <w:marRight w:val="0"/>
      <w:marTop w:val="0"/>
      <w:marBottom w:val="0"/>
      <w:divBdr>
        <w:top w:val="none" w:sz="0" w:space="0" w:color="auto"/>
        <w:left w:val="none" w:sz="0" w:space="0" w:color="auto"/>
        <w:bottom w:val="none" w:sz="0" w:space="0" w:color="auto"/>
        <w:right w:val="none" w:sz="0" w:space="0" w:color="auto"/>
      </w:divBdr>
    </w:div>
    <w:div w:id="2095585983">
      <w:bodyDiv w:val="1"/>
      <w:marLeft w:val="0"/>
      <w:marRight w:val="0"/>
      <w:marTop w:val="0"/>
      <w:marBottom w:val="0"/>
      <w:divBdr>
        <w:top w:val="none" w:sz="0" w:space="0" w:color="auto"/>
        <w:left w:val="none" w:sz="0" w:space="0" w:color="auto"/>
        <w:bottom w:val="none" w:sz="0" w:space="0" w:color="auto"/>
        <w:right w:val="none" w:sz="0" w:space="0" w:color="auto"/>
      </w:divBdr>
    </w:div>
    <w:div w:id="2096048949">
      <w:bodyDiv w:val="1"/>
      <w:marLeft w:val="0"/>
      <w:marRight w:val="0"/>
      <w:marTop w:val="0"/>
      <w:marBottom w:val="0"/>
      <w:divBdr>
        <w:top w:val="none" w:sz="0" w:space="0" w:color="auto"/>
        <w:left w:val="none" w:sz="0" w:space="0" w:color="auto"/>
        <w:bottom w:val="none" w:sz="0" w:space="0" w:color="auto"/>
        <w:right w:val="none" w:sz="0" w:space="0" w:color="auto"/>
      </w:divBdr>
    </w:div>
    <w:div w:id="2103842255">
      <w:bodyDiv w:val="1"/>
      <w:marLeft w:val="0"/>
      <w:marRight w:val="0"/>
      <w:marTop w:val="0"/>
      <w:marBottom w:val="0"/>
      <w:divBdr>
        <w:top w:val="none" w:sz="0" w:space="0" w:color="auto"/>
        <w:left w:val="none" w:sz="0" w:space="0" w:color="auto"/>
        <w:bottom w:val="none" w:sz="0" w:space="0" w:color="auto"/>
        <w:right w:val="none" w:sz="0" w:space="0" w:color="auto"/>
      </w:divBdr>
    </w:div>
    <w:div w:id="2104452083">
      <w:bodyDiv w:val="1"/>
      <w:marLeft w:val="0"/>
      <w:marRight w:val="0"/>
      <w:marTop w:val="0"/>
      <w:marBottom w:val="0"/>
      <w:divBdr>
        <w:top w:val="none" w:sz="0" w:space="0" w:color="auto"/>
        <w:left w:val="none" w:sz="0" w:space="0" w:color="auto"/>
        <w:bottom w:val="none" w:sz="0" w:space="0" w:color="auto"/>
        <w:right w:val="none" w:sz="0" w:space="0" w:color="auto"/>
      </w:divBdr>
    </w:div>
    <w:div w:id="2107649021">
      <w:bodyDiv w:val="1"/>
      <w:marLeft w:val="0"/>
      <w:marRight w:val="0"/>
      <w:marTop w:val="0"/>
      <w:marBottom w:val="0"/>
      <w:divBdr>
        <w:top w:val="none" w:sz="0" w:space="0" w:color="auto"/>
        <w:left w:val="none" w:sz="0" w:space="0" w:color="auto"/>
        <w:bottom w:val="none" w:sz="0" w:space="0" w:color="auto"/>
        <w:right w:val="none" w:sz="0" w:space="0" w:color="auto"/>
      </w:divBdr>
    </w:div>
    <w:div w:id="2111048907">
      <w:bodyDiv w:val="1"/>
      <w:marLeft w:val="0"/>
      <w:marRight w:val="0"/>
      <w:marTop w:val="0"/>
      <w:marBottom w:val="0"/>
      <w:divBdr>
        <w:top w:val="none" w:sz="0" w:space="0" w:color="auto"/>
        <w:left w:val="none" w:sz="0" w:space="0" w:color="auto"/>
        <w:bottom w:val="none" w:sz="0" w:space="0" w:color="auto"/>
        <w:right w:val="none" w:sz="0" w:space="0" w:color="auto"/>
      </w:divBdr>
    </w:div>
    <w:div w:id="2113090450">
      <w:bodyDiv w:val="1"/>
      <w:marLeft w:val="0"/>
      <w:marRight w:val="0"/>
      <w:marTop w:val="0"/>
      <w:marBottom w:val="0"/>
      <w:divBdr>
        <w:top w:val="none" w:sz="0" w:space="0" w:color="auto"/>
        <w:left w:val="none" w:sz="0" w:space="0" w:color="auto"/>
        <w:bottom w:val="none" w:sz="0" w:space="0" w:color="auto"/>
        <w:right w:val="none" w:sz="0" w:space="0" w:color="auto"/>
      </w:divBdr>
    </w:div>
    <w:div w:id="2113895321">
      <w:bodyDiv w:val="1"/>
      <w:marLeft w:val="0"/>
      <w:marRight w:val="0"/>
      <w:marTop w:val="0"/>
      <w:marBottom w:val="0"/>
      <w:divBdr>
        <w:top w:val="none" w:sz="0" w:space="0" w:color="auto"/>
        <w:left w:val="none" w:sz="0" w:space="0" w:color="auto"/>
        <w:bottom w:val="none" w:sz="0" w:space="0" w:color="auto"/>
        <w:right w:val="none" w:sz="0" w:space="0" w:color="auto"/>
      </w:divBdr>
    </w:div>
    <w:div w:id="2118715349">
      <w:bodyDiv w:val="1"/>
      <w:marLeft w:val="0"/>
      <w:marRight w:val="0"/>
      <w:marTop w:val="0"/>
      <w:marBottom w:val="0"/>
      <w:divBdr>
        <w:top w:val="none" w:sz="0" w:space="0" w:color="auto"/>
        <w:left w:val="none" w:sz="0" w:space="0" w:color="auto"/>
        <w:bottom w:val="none" w:sz="0" w:space="0" w:color="auto"/>
        <w:right w:val="none" w:sz="0" w:space="0" w:color="auto"/>
      </w:divBdr>
    </w:div>
    <w:div w:id="2120055667">
      <w:bodyDiv w:val="1"/>
      <w:marLeft w:val="0"/>
      <w:marRight w:val="0"/>
      <w:marTop w:val="0"/>
      <w:marBottom w:val="0"/>
      <w:divBdr>
        <w:top w:val="none" w:sz="0" w:space="0" w:color="auto"/>
        <w:left w:val="none" w:sz="0" w:space="0" w:color="auto"/>
        <w:bottom w:val="none" w:sz="0" w:space="0" w:color="auto"/>
        <w:right w:val="none" w:sz="0" w:space="0" w:color="auto"/>
      </w:divBdr>
    </w:div>
    <w:div w:id="2132936591">
      <w:bodyDiv w:val="1"/>
      <w:marLeft w:val="0"/>
      <w:marRight w:val="0"/>
      <w:marTop w:val="0"/>
      <w:marBottom w:val="0"/>
      <w:divBdr>
        <w:top w:val="none" w:sz="0" w:space="0" w:color="auto"/>
        <w:left w:val="none" w:sz="0" w:space="0" w:color="auto"/>
        <w:bottom w:val="none" w:sz="0" w:space="0" w:color="auto"/>
        <w:right w:val="none" w:sz="0" w:space="0" w:color="auto"/>
      </w:divBdr>
    </w:div>
    <w:div w:id="2136294026">
      <w:bodyDiv w:val="1"/>
      <w:marLeft w:val="0"/>
      <w:marRight w:val="0"/>
      <w:marTop w:val="0"/>
      <w:marBottom w:val="0"/>
      <w:divBdr>
        <w:top w:val="none" w:sz="0" w:space="0" w:color="auto"/>
        <w:left w:val="none" w:sz="0" w:space="0" w:color="auto"/>
        <w:bottom w:val="none" w:sz="0" w:space="0" w:color="auto"/>
        <w:right w:val="none" w:sz="0" w:space="0" w:color="auto"/>
      </w:divBdr>
    </w:div>
    <w:div w:id="2137866869">
      <w:bodyDiv w:val="1"/>
      <w:marLeft w:val="0"/>
      <w:marRight w:val="0"/>
      <w:marTop w:val="0"/>
      <w:marBottom w:val="0"/>
      <w:divBdr>
        <w:top w:val="none" w:sz="0" w:space="0" w:color="auto"/>
        <w:left w:val="none" w:sz="0" w:space="0" w:color="auto"/>
        <w:bottom w:val="none" w:sz="0" w:space="0" w:color="auto"/>
        <w:right w:val="none" w:sz="0" w:space="0" w:color="auto"/>
      </w:divBdr>
    </w:div>
    <w:div w:id="2138139129">
      <w:bodyDiv w:val="1"/>
      <w:marLeft w:val="0"/>
      <w:marRight w:val="0"/>
      <w:marTop w:val="0"/>
      <w:marBottom w:val="0"/>
      <w:divBdr>
        <w:top w:val="none" w:sz="0" w:space="0" w:color="auto"/>
        <w:left w:val="none" w:sz="0" w:space="0" w:color="auto"/>
        <w:bottom w:val="none" w:sz="0" w:space="0" w:color="auto"/>
        <w:right w:val="none" w:sz="0" w:space="0" w:color="auto"/>
      </w:divBdr>
    </w:div>
    <w:div w:id="2139685265">
      <w:bodyDiv w:val="1"/>
      <w:marLeft w:val="0"/>
      <w:marRight w:val="0"/>
      <w:marTop w:val="0"/>
      <w:marBottom w:val="0"/>
      <w:divBdr>
        <w:top w:val="none" w:sz="0" w:space="0" w:color="auto"/>
        <w:left w:val="none" w:sz="0" w:space="0" w:color="auto"/>
        <w:bottom w:val="none" w:sz="0" w:space="0" w:color="auto"/>
        <w:right w:val="none" w:sz="0" w:space="0" w:color="auto"/>
      </w:divBdr>
    </w:div>
    <w:div w:id="2140760758">
      <w:bodyDiv w:val="1"/>
      <w:marLeft w:val="0"/>
      <w:marRight w:val="0"/>
      <w:marTop w:val="0"/>
      <w:marBottom w:val="0"/>
      <w:divBdr>
        <w:top w:val="none" w:sz="0" w:space="0" w:color="auto"/>
        <w:left w:val="none" w:sz="0" w:space="0" w:color="auto"/>
        <w:bottom w:val="none" w:sz="0" w:space="0" w:color="auto"/>
        <w:right w:val="none" w:sz="0" w:space="0" w:color="auto"/>
      </w:divBdr>
    </w:div>
    <w:div w:id="21411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ergyconsumersaustralia.com.au/our-work/research/social-licence-for-control-of-distributed-energy-resources" TargetMode="External"/><Relationship Id="rId21" Type="http://schemas.openxmlformats.org/officeDocument/2006/relationships/image" Target="media/image6.png"/><Relationship Id="rId42" Type="http://schemas.openxmlformats.org/officeDocument/2006/relationships/hyperlink" Target="https://www.energynetworks.com.au/resources/reports/electricity-network-transformation-roadmap-interim-program-report-summary/" TargetMode="External"/><Relationship Id="rId63" Type="http://schemas.openxmlformats.org/officeDocument/2006/relationships/hyperlink" Target="https://www.ipart.nsw.gov.au/sites/default/files/cm9_documents/Ron-Ben-David-Minimising-Consumer-Harm-IPART-30-year-conference-%2817-November-2022%29.PDF" TargetMode="External"/><Relationship Id="rId84" Type="http://schemas.openxmlformats.org/officeDocument/2006/relationships/hyperlink" Target="https://www.monash.edu/__data/assets/pdf_file/0006/2380785/Ron-Ben-David-Response-to-Consultation-on-Post-2025-19-October-2020.pdf" TargetMode="External"/><Relationship Id="rId138" Type="http://schemas.openxmlformats.org/officeDocument/2006/relationships/hyperlink" Target="https://ontology.tno.nl/IEC_CIM/" TargetMode="External"/><Relationship Id="rId159" Type="http://schemas.openxmlformats.org/officeDocument/2006/relationships/footer" Target="footer1.xml"/><Relationship Id="rId107" Type="http://schemas.openxmlformats.org/officeDocument/2006/relationships/hyperlink" Target="https://www.utupub.fi/bitstream/handle/10024/160647/FFRC-publication_1-2019-rev.pdf" TargetMode="External"/><Relationship Id="rId11" Type="http://schemas.openxmlformats.org/officeDocument/2006/relationships/image" Target="media/image1.png"/><Relationship Id="rId32" Type="http://schemas.openxmlformats.org/officeDocument/2006/relationships/hyperlink" Target="https://www.energynetworks.com.au/resources/reports/electricity-network-transformation-roadmap-interim-program-report-summary/" TargetMode="External"/><Relationship Id="rId53" Type="http://schemas.openxmlformats.org/officeDocument/2006/relationships/hyperlink" Target="https://ourpower.org.au/wp-content/uploads/2022/02/ourPower-Booklet.pdf" TargetMode="External"/><Relationship Id="rId74" Type="http://schemas.openxmlformats.org/officeDocument/2006/relationships/hyperlink" Target="https://arena.gov.au/assets/2021/07/upowr-customer-segmentation-research-and-design-for-orchestration-programs.pdf" TargetMode="External"/><Relationship Id="rId128" Type="http://schemas.openxmlformats.org/officeDocument/2006/relationships/hyperlink" Target="https://www.energy.gov/sites/default/files/2024-12/Sourcing%20DER%20for%20Dist%20Services%20final%2012.17.24.pdf" TargetMode="External"/><Relationship Id="rId149" Type="http://schemas.openxmlformats.org/officeDocument/2006/relationships/hyperlink" Target="https://www.researchgate.net/publication/348834704_Matching_consumer_segments_to_innovative_utility_business_models" TargetMode="External"/><Relationship Id="rId5" Type="http://schemas.openxmlformats.org/officeDocument/2006/relationships/numbering" Target="numbering.xml"/><Relationship Id="rId95" Type="http://schemas.openxmlformats.org/officeDocument/2006/relationships/hyperlink" Target="https://www.datocms-assets.com/32572/1673496508-1656654591-esb_customer-insights-collaboration_synthesis-from-workshop-3.pdf" TargetMode="External"/><Relationship Id="rId160" Type="http://schemas.openxmlformats.org/officeDocument/2006/relationships/fontTable" Target="fontTable.xml"/><Relationship Id="rId22" Type="http://schemas.openxmlformats.org/officeDocument/2006/relationships/hyperlink" Target="http://www.energycatalyst.au/futuregrid" TargetMode="External"/><Relationship Id="rId43" Type="http://schemas.openxmlformats.org/officeDocument/2006/relationships/hyperlink" Target="https://www.energy.gov/eere/articles/does-national-roadmap-grid-interactive-efficient-buildings" TargetMode="External"/><Relationship Id="rId64" Type="http://schemas.openxmlformats.org/officeDocument/2006/relationships/hyperlink" Target="https://energyconsumersaustralia.com.au/publications/powerup-consumer-voices-energy-transition" TargetMode="External"/><Relationship Id="rId118" Type="http://schemas.openxmlformats.org/officeDocument/2006/relationships/hyperlink" Target="https://www.datocms-assets.com/32572/1673496508-1656654591-esb_customer-insights-collaboration_synthesis-from-workshop-3.pdf" TargetMode="External"/><Relationship Id="rId139" Type="http://schemas.openxmlformats.org/officeDocument/2006/relationships/hyperlink" Target="https://publica.fraunhofer.de/bitstreams/1724ce77-b639-4e2e-b114-e018df1b1cb4/download" TargetMode="External"/><Relationship Id="rId85" Type="http://schemas.openxmlformats.org/officeDocument/2006/relationships/hyperlink" Target="https://www.energy.gov/eere/articles/does-national-roadmap-grid-interactive-efficient-buildings" TargetMode="External"/><Relationship Id="rId150" Type="http://schemas.openxmlformats.org/officeDocument/2006/relationships/hyperlink" Target="https://doi.org/10.47568/4XR122" TargetMode="External"/><Relationship Id="rId12" Type="http://schemas.openxmlformats.org/officeDocument/2006/relationships/hyperlink" Target="https://energycatalyst.au/" TargetMode="External"/><Relationship Id="rId17" Type="http://schemas.openxmlformats.org/officeDocument/2006/relationships/comments" Target="comments.xml"/><Relationship Id="rId33" Type="http://schemas.openxmlformats.org/officeDocument/2006/relationships/hyperlink" Target="https://pacificenergyinstitute.org/wp-content/uploads/2021/12/PEI-Customer-Load-Management-Evolution-Revolution-12.29.21.pdf" TargetMode="External"/><Relationship Id="rId38" Type="http://schemas.openxmlformats.org/officeDocument/2006/relationships/hyperlink" Target="https://www.eec.org.au/uploads/Projects/Demanding%20better%20-%20A%20reform%20agenda.pdf" TargetMode="External"/><Relationship Id="rId59" Type="http://schemas.openxmlformats.org/officeDocument/2006/relationships/hyperlink" Target="https://www.energynetworks.com.au/assets/uploads/roadmap_interim_report_final.pdf" TargetMode="External"/><Relationship Id="rId103" Type="http://schemas.openxmlformats.org/officeDocument/2006/relationships/hyperlink" Target="https://energyconsumersaustralia.com.au/wp-content/uploads/Energy-Consumers-Australia-Strategic-Plan-2021-2024.pdf" TargetMode="External"/><Relationship Id="rId108" Type="http://schemas.openxmlformats.org/officeDocument/2006/relationships/hyperlink" Target="https://energyconsumersaustralia.com.au/news/foresighting-forum-2021-system-design-webinar-your-questions-answered" TargetMode="External"/><Relationship Id="rId124" Type="http://schemas.openxmlformats.org/officeDocument/2006/relationships/hyperlink" Target="https://energyconsumersaustralia.com.au/news/foresighting-forum-2021-system-design-webinar-your-questions-answered" TargetMode="External"/><Relationship Id="rId129" Type="http://schemas.openxmlformats.org/officeDocument/2006/relationships/hyperlink" Target="https://www.energynetworks.org/assets/images/primacy-rules-for-eso-dno-coordination-increment-2-v1.0-published.pdf" TargetMode="External"/><Relationship Id="rId54" Type="http://schemas.openxmlformats.org/officeDocument/2006/relationships/hyperlink" Target="https://www.ceem.unsw.edu.au/sites/default/files/documents/H4-OA-final-report-17.11.21.pdf" TargetMode="External"/><Relationship Id="rId70" Type="http://schemas.openxmlformats.org/officeDocument/2006/relationships/hyperlink" Target="https://www.aer.gov.au/documents/energy-consumers-australia-submission-aers-issues-paper-retailer-authorisation-and-exemptions-review-28-june-2022" TargetMode="External"/><Relationship Id="rId75" Type="http://schemas.openxmlformats.org/officeDocument/2006/relationships/hyperlink" Target="https://www.acoss.org.au/wp-content/uploads/2021/02/NEC_Consultation-Draft-V.5-04122020.pdf" TargetMode="External"/><Relationship Id="rId91" Type="http://schemas.openxmlformats.org/officeDocument/2006/relationships/hyperlink" Target="https://energyconsumersaustralia.com.au/news/foresighting-forum-2021-system-design-webinar-your-questions-answered" TargetMode="External"/><Relationship Id="rId96" Type="http://schemas.openxmlformats.org/officeDocument/2006/relationships/hyperlink" Target="https://energyconsumersaustralia.com.au/our-work/research/consumer-values-expectations-needs" TargetMode="External"/><Relationship Id="rId140" Type="http://schemas.openxmlformats.org/officeDocument/2006/relationships/hyperlink" Target="https://h2020-bridge.eu/wp-content/uploads/2020/01/D3.12.f_BRIDGE-TSO-DSO-Coordination-report.pdf" TargetMode="External"/><Relationship Id="rId145" Type="http://schemas.openxmlformats.org/officeDocument/2006/relationships/hyperlink" Target="https://ideas.repec.org/a/eee/enepol/v147y2020ics0301421520306157.html" TargetMode="Externa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svg"/><Relationship Id="rId49" Type="http://schemas.openxmlformats.org/officeDocument/2006/relationships/hyperlink" Target="https://energyconsumersaustralia.com.au/news/foresighting-forum-2021-system-design-webinar-your-questions-answered" TargetMode="External"/><Relationship Id="rId114" Type="http://schemas.openxmlformats.org/officeDocument/2006/relationships/hyperlink" Target="https://ourpower.org.au/wp-content/uploads/2022/02/ourPower-Booklet.pdf" TargetMode="External"/><Relationship Id="rId119" Type="http://schemas.openxmlformats.org/officeDocument/2006/relationships/hyperlink" Target="https://www.ipart.nsw.gov.au/sites/default/files/cm9_documents/Ron-Ben-David-Minimising-Consumer-Harm-IPART-30-year-conference-%2817-November-2022%29.PDF" TargetMode="External"/><Relationship Id="rId44" Type="http://schemas.openxmlformats.org/officeDocument/2006/relationships/hyperlink" Target="https://www.ceem.unsw.edu.au/sites/default/files/documents/H4-OA-final-report-17.11.21.pdf" TargetMode="External"/><Relationship Id="rId60" Type="http://schemas.openxmlformats.org/officeDocument/2006/relationships/hyperlink" Target="https://www.acoss.org.au/wp-content/uploads/2021/02/NEC_Consultation-Draft-V.5-04122020.pdf" TargetMode="External"/><Relationship Id="rId65" Type="http://schemas.openxmlformats.org/officeDocument/2006/relationships/hyperlink" Target="https://www.monash.edu/__data/assets/pdf_file/0007/3733441/Ron-Ben-David-What-if-the-consumer-energy-market-were-based-on-reality-rather-than-assumptions-July-2024.pdf" TargetMode="External"/><Relationship Id="rId81" Type="http://schemas.openxmlformats.org/officeDocument/2006/relationships/hyperlink" Target="https://pacificenergyinstitute.org/wp-content/uploads/2021/12/PEI-Customer-Load-Management-Evolution-Revolution-12.29.21.pdf" TargetMode="External"/><Relationship Id="rId86" Type="http://schemas.openxmlformats.org/officeDocument/2006/relationships/hyperlink" Target="https://www.ceem.unsw.edu.au/sites/default/files/documents/H4-OA-final-report-17.11.21.pdf" TargetMode="External"/><Relationship Id="rId130" Type="http://schemas.openxmlformats.org/officeDocument/2006/relationships/hyperlink" Target="https://www.iea-isgan.org/wp-content/uploads/2024/07/ISGAN_Aggregator_final.pdf" TargetMode="External"/><Relationship Id="rId135" Type="http://schemas.openxmlformats.org/officeDocument/2006/relationships/hyperlink" Target="https://www.energy.gov/sites/default/files/2024-07/47990_DOE_OE_TDC_Project_Coordination_Platform_v9_RELEASE_508.pdf" TargetMode="External"/><Relationship Id="rId151" Type="http://schemas.openxmlformats.org/officeDocument/2006/relationships/hyperlink" Target="https://www.energyconsumersaustralia.com.au" TargetMode="External"/><Relationship Id="rId156" Type="http://schemas.openxmlformats.org/officeDocument/2006/relationships/hyperlink" Target="https://futuregridaccelerator.com/glossary/emergence/" TargetMode="External"/><Relationship Id="rId13" Type="http://schemas.openxmlformats.org/officeDocument/2006/relationships/image" Target="media/image2.png"/><Relationship Id="rId18" Type="http://schemas.microsoft.com/office/2011/relationships/commentsExtended" Target="commentsExtended.xml"/><Relationship Id="rId39" Type="http://schemas.openxmlformats.org/officeDocument/2006/relationships/hyperlink" Target="https://energyconsumersaustralia.com.au/publications/powerup-consumer-voices-energy-transition" TargetMode="External"/><Relationship Id="rId109" Type="http://schemas.openxmlformats.org/officeDocument/2006/relationships/hyperlink" Target="https://c4net.com.au/wp-content/uploads/2022/02/Survey-Insights-Electric-Vehicle-Charging-Preferences-of-Australian-Consumers.pdf" TargetMode="External"/><Relationship Id="rId34" Type="http://schemas.openxmlformats.org/officeDocument/2006/relationships/hyperlink" Target="https://ourpower.org.au/wp-content/uploads/2022/02/ourPower-Booklet.pdf" TargetMode="External"/><Relationship Id="rId50" Type="http://schemas.openxmlformats.org/officeDocument/2006/relationships/hyperlink" Target="https://pacificenergyinstitute.org/wp-content/uploads/2021/12/PEI-Customer-Load-Management-Evolution-Revolution-12.29.21.pdf" TargetMode="External"/><Relationship Id="rId55" Type="http://schemas.openxmlformats.org/officeDocument/2006/relationships/hyperlink" Target="https://www.utupub.fi/bitstream/handle/10024/160647/FFRC-publication_1-2019-rev.pdf" TargetMode="External"/><Relationship Id="rId76" Type="http://schemas.openxmlformats.org/officeDocument/2006/relationships/hyperlink" Target="https://energyconsumersaustralia.com.au/our-work/research/social-licence-for-control-of-distributed-energy-resources" TargetMode="External"/><Relationship Id="rId97" Type="http://schemas.openxmlformats.org/officeDocument/2006/relationships/hyperlink" Target="https://www.originenergy.com.au/about/investors-media/origin-ceo-frank-calabria-and-origin-cfo-lawrie-tremaine-present-origins-strategy-refresh/" TargetMode="External"/><Relationship Id="rId104" Type="http://schemas.openxmlformats.org/officeDocument/2006/relationships/hyperlink" Target="https://www.energy.gov/eere/articles/does-national-roadmap-grid-interactive-efficient-buildings" TargetMode="External"/><Relationship Id="rId120" Type="http://schemas.openxmlformats.org/officeDocument/2006/relationships/hyperlink" Target="https://energyconsumersaustralia.com.au/news/consumers-are-investors-too-wheres-their-return" TargetMode="External"/><Relationship Id="rId125" Type="http://schemas.openxmlformats.org/officeDocument/2006/relationships/hyperlink" Target="https://arena.gov.au/assets/2021/07/upowr-customer-segmentation-research-and-design-for-orchestration-programs.pdf" TargetMode="External"/><Relationship Id="rId141" Type="http://schemas.openxmlformats.org/officeDocument/2006/relationships/hyperlink" Target="https://ehq-production-australia.s3.ap-southeast-2.amazonaws.com/df7eb8ff09fb4d6ea16497fbd6b0ec6c661ccbf7/documents/attachments/000/083/130/original/SAPN_DeepDive_Future_Network_2_FINAL_REPORT.pdf" TargetMode="External"/><Relationship Id="rId146" Type="http://schemas.openxmlformats.org/officeDocument/2006/relationships/hyperlink" Target="https://www.energyrev.org.uk/media/1915/energyrev_what-is-local_final_202202.pdf" TargetMode="External"/><Relationship Id="rId7" Type="http://schemas.openxmlformats.org/officeDocument/2006/relationships/settings" Target="settings.xml"/><Relationship Id="rId71" Type="http://schemas.openxmlformats.org/officeDocument/2006/relationships/hyperlink" Target="https://energyconsumersaustralia.com.au/publications/submission-on-the-aer-draft-consumer-vulnerability-strategy" TargetMode="External"/><Relationship Id="rId92" Type="http://schemas.openxmlformats.org/officeDocument/2006/relationships/hyperlink" Target="https://arena.gov.au/assets/2021/07/upowr-customer-segmentation-research-and-design-for-orchestration-programs.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worldenergy.org/transition-toolkit/world-energy-trilemma-framework" TargetMode="External"/><Relationship Id="rId24" Type="http://schemas.openxmlformats.org/officeDocument/2006/relationships/image" Target="media/image8.png"/><Relationship Id="rId40" Type="http://schemas.openxmlformats.org/officeDocument/2006/relationships/hyperlink" Target="https://www.theenergycharter.com.au/wp-content/uploads/2020/06/Energy-Charter-Maturity-Model-March-2020.pdf" TargetMode="External"/><Relationship Id="rId45" Type="http://schemas.openxmlformats.org/officeDocument/2006/relationships/hyperlink" Target="https://www.aer.gov.au/documents/energy-consumers-australia-submission-aers-issues-paper-retailer-authorisation-and-exemptions-review-28-june-2022" TargetMode="External"/><Relationship Id="rId66" Type="http://schemas.openxmlformats.org/officeDocument/2006/relationships/hyperlink" Target="https://ourpower.org.au/wp-content/uploads/2022/02/ourPower-Booklet.pdf" TargetMode="External"/><Relationship Id="rId87" Type="http://schemas.openxmlformats.org/officeDocument/2006/relationships/hyperlink" Target="https://www.aer.gov.au/documents/energy-consumers-australia-submission-aers-issues-paper-retailer-authorisation-and-exemptions-review-28-june-2022" TargetMode="External"/><Relationship Id="rId110" Type="http://schemas.openxmlformats.org/officeDocument/2006/relationships/hyperlink" Target="https://www.monash.edu/__data/assets/pdf_file/0008/3813155/Ron-Ben-David-Submission-to-the-Select-Committee-on-Energy-Planning-and-Regulation-in-Australia-28-October-2024.pdf" TargetMode="External"/><Relationship Id="rId115" Type="http://schemas.openxmlformats.org/officeDocument/2006/relationships/hyperlink" Target="https://www.energy.gov/eere/articles/does-national-roadmap-grid-interactive-efficient-buildings" TargetMode="External"/><Relationship Id="rId131" Type="http://schemas.openxmlformats.org/officeDocument/2006/relationships/hyperlink" Target="https://www.ieso.ca/-/media/Files/IESO/Document-Library/engage/Engagement-Updates/ieso-engagement-updates-April-2024.pdf" TargetMode="External"/><Relationship Id="rId136" Type="http://schemas.openxmlformats.org/officeDocument/2006/relationships/hyperlink" Target="https://gridwiseac.org/wp-content/uploads/PNNL-35073_2024_GridArchitecture_White-Paper-PAL-final.pdf" TargetMode="External"/><Relationship Id="rId157" Type="http://schemas.openxmlformats.org/officeDocument/2006/relationships/hyperlink" Target="https://gridarchitecture.pnnl.gov/media/advanced/Comparative%20Architecture%20Analysis-Final.pdf" TargetMode="External"/><Relationship Id="rId61" Type="http://schemas.openxmlformats.org/officeDocument/2006/relationships/hyperlink" Target="https://www3.weforum.org/docs/WEF_The_Net_Zero_Challenge.pdf" TargetMode="External"/><Relationship Id="rId82" Type="http://schemas.openxmlformats.org/officeDocument/2006/relationships/hyperlink" Target="https://ourpower.org.au/wp-content/uploads/2022/02/ourPower-Booklet.pdf" TargetMode="External"/><Relationship Id="rId152" Type="http://schemas.openxmlformats.org/officeDocument/2006/relationships/hyperlink" Target="https://www.energyconsumersaustralia.com.au" TargetMode="External"/><Relationship Id="rId19" Type="http://schemas.microsoft.com/office/2016/09/relationships/commentsIds" Target="commentsIds.xml"/><Relationship Id="rId14" Type="http://schemas.openxmlformats.org/officeDocument/2006/relationships/image" Target="media/image3.png"/><Relationship Id="rId30" Type="http://schemas.openxmlformats.org/officeDocument/2006/relationships/hyperlink" Target="https://www.csiro.au/-/media/EF/Files/Energise-insights/Insight-40-Energy-Trilemma.pdf" TargetMode="External"/><Relationship Id="rId35" Type="http://schemas.openxmlformats.org/officeDocument/2006/relationships/hyperlink" Target="https://energyconsumersaustralia.com.au/wp-content/uploads/Energy-Consumers-Australia-Strategic-Plan-2021-2024.pdf" TargetMode="External"/><Relationship Id="rId56" Type="http://schemas.openxmlformats.org/officeDocument/2006/relationships/hyperlink" Target="https://arena.gov.au/assets/2021/07/upowr-customer-segmentation-research-and-design-for-orchestration-programs.pdf" TargetMode="External"/><Relationship Id="rId77" Type="http://schemas.openxmlformats.org/officeDocument/2006/relationships/hyperlink" Target="https://www.datocms-assets.com/32572/1657176767-esb-ssg-release-2.pdf" TargetMode="External"/><Relationship Id="rId100" Type="http://schemas.openxmlformats.org/officeDocument/2006/relationships/hyperlink" Target="https://energyconsumersaustralia.com.au/our-work/research/social-licence-for-control-of-distributed-energy-resources" TargetMode="External"/><Relationship Id="rId105" Type="http://schemas.openxmlformats.org/officeDocument/2006/relationships/hyperlink" Target="https://www.ceem.unsw.edu.au/sites/default/files/documents/H4-OA-final-report-17.11.21.pdf" TargetMode="External"/><Relationship Id="rId126" Type="http://schemas.openxmlformats.org/officeDocument/2006/relationships/hyperlink" Target="https://www.energynetworks.com.au/assets/uploads/roadmap_interim_report_final.pdf" TargetMode="External"/><Relationship Id="rId147" Type="http://schemas.openxmlformats.org/officeDocument/2006/relationships/hyperlink" Target="https://energyconsumersaustralia.com.au/sites/default/files/wp-documents/ECBS-W13a-Oct22-Household-Toplines.pdf" TargetMode="External"/><Relationship Id="rId8" Type="http://schemas.openxmlformats.org/officeDocument/2006/relationships/webSettings" Target="webSettings.xml"/><Relationship Id="rId51" Type="http://schemas.openxmlformats.org/officeDocument/2006/relationships/hyperlink" Target="https://arena.gov.au/assets/2021/07/upowr-customer-segmentation-research-and-design-for-orchestration-programs.pdf" TargetMode="External"/><Relationship Id="rId72" Type="http://schemas.openxmlformats.org/officeDocument/2006/relationships/hyperlink" Target="https://www.utupub.fi/bitstream/handle/10024/160647/FFRC-publication_1-2019-rev.pdf" TargetMode="External"/><Relationship Id="rId93" Type="http://schemas.openxmlformats.org/officeDocument/2006/relationships/hyperlink" Target="https://c4net.com.au/wp-content/uploads/2022/02/Survey-Insights-Electric-Vehicle-Charging-Preferences-of-Australian-Consumers.pdf" TargetMode="External"/><Relationship Id="rId98" Type="http://schemas.openxmlformats.org/officeDocument/2006/relationships/hyperlink" Target="https://www.caltech.edu/about/news/ce10-energy-global-warming-solutions" TargetMode="External"/><Relationship Id="rId121" Type="http://schemas.openxmlformats.org/officeDocument/2006/relationships/hyperlink" Target="https://pacificenergyinstitute.org/wp-content/uploads/2021/12/PEI-Customer-Load-Management-Evolution-Revolution-12.29.21.pdf" TargetMode="External"/><Relationship Id="rId142" Type="http://schemas.openxmlformats.org/officeDocument/2006/relationships/hyperlink" Target="https://www.nrel.gov/docs/fy18osti/71500.pdf" TargetMode="External"/><Relationship Id="rId163"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energyconsumersaustralia.com.au/publications/submission-on-the-aer-draft-consumer-vulnerability-strategy" TargetMode="External"/><Relationship Id="rId67" Type="http://schemas.openxmlformats.org/officeDocument/2006/relationships/hyperlink" Target="https://energyconsumersaustralia.com.au/wp-content/uploads/Energy-Consumers-Australia-Strategic-Plan-2021-2024.pdf" TargetMode="External"/><Relationship Id="rId116" Type="http://schemas.openxmlformats.org/officeDocument/2006/relationships/hyperlink" Target="https://www.ceem.unsw.edu.au/sites/default/files/documents/H4-OA-final-report-17.11.21.pdf" TargetMode="External"/><Relationship Id="rId137" Type="http://schemas.openxmlformats.org/officeDocument/2006/relationships/hyperlink" Target="https://www.irena.org/-/media/Files/IRENA/Agency/Publication/2019/Feb/IRENA_Landscape_Future_DSOs_2019.pdf?la=en&amp;hash=EDEBEDD537DE4ED1D716F4342F2D55D890EA5B9" TargetMode="External"/><Relationship Id="rId158" Type="http://schemas.openxmlformats.org/officeDocument/2006/relationships/header" Target="header1.xml"/><Relationship Id="rId20" Type="http://schemas.microsoft.com/office/2018/08/relationships/commentsExtensible" Target="commentsExtensible.xml"/><Relationship Id="rId41" Type="http://schemas.openxmlformats.org/officeDocument/2006/relationships/hyperlink" Target="https://www.ipart.nsw.gov.au/sites/default/files/cm9_documents/Ron-Ben-David-Minimising-Consumer-Harm-IPART-30-year-conference-%2817-November-2022%29.PDF" TargetMode="External"/><Relationship Id="rId62" Type="http://schemas.openxmlformats.org/officeDocument/2006/relationships/hyperlink" Target="https://www.iea.org/reports/net-zero-by-2050" TargetMode="External"/><Relationship Id="rId83" Type="http://schemas.openxmlformats.org/officeDocument/2006/relationships/hyperlink" Target="https://energyconsumersaustralia.com.au/wp-content/uploads/Energy-Consumers-Australia-Strategic-Plan-2021-2024.pdf" TargetMode="External"/><Relationship Id="rId88" Type="http://schemas.openxmlformats.org/officeDocument/2006/relationships/hyperlink" Target="https://energyconsumersaustralia.com.au/publications/submission-on-the-aer-draft-consumer-vulnerability-strategy" TargetMode="External"/><Relationship Id="rId111" Type="http://schemas.openxmlformats.org/officeDocument/2006/relationships/hyperlink" Target="https://www.racefor2030.com.au/content/uploads/21.E2.A.0189-Final-Report_Dec-2022.pdf" TargetMode="External"/><Relationship Id="rId132" Type="http://schemas.openxmlformats.org/officeDocument/2006/relationships/hyperlink" Target="https://www.ieso.ca/-/media/Files/IESO/Document-Library/engage/tdwg/TDWG-20231214-T-D-Coordination-to-Support-Reliable-Performance-of-BPS-with-DER-Integration.pdf" TargetMode="External"/><Relationship Id="rId153" Type="http://schemas.openxmlformats.org/officeDocument/2006/relationships/hyperlink" Target="https://www.energyconsumersaustralia.com.au" TargetMode="External"/><Relationship Id="rId15" Type="http://schemas.openxmlformats.org/officeDocument/2006/relationships/image" Target="media/image4.png"/><Relationship Id="rId36" Type="http://schemas.openxmlformats.org/officeDocument/2006/relationships/hyperlink" Target="https://www.monash.edu/__data/assets/pdf_file/0006/2380785/Ron-Ben-David-Response-to-Consultation-on-Post-2025-19-October-2020.pdf" TargetMode="External"/><Relationship Id="rId57" Type="http://schemas.openxmlformats.org/officeDocument/2006/relationships/hyperlink" Target="https://c4net.com.au/wp-content/uploads/2022/02/Survey-Insights-Electric-Vehicle-Charging-Preferences-of-Australian-Consumers.pdf" TargetMode="External"/><Relationship Id="rId106" Type="http://schemas.openxmlformats.org/officeDocument/2006/relationships/hyperlink" Target="https://energyconsumersaustralia.com.au/publications/submission-on-the-aer-draft-consumer-vulnerability-strategy" TargetMode="External"/><Relationship Id="rId127" Type="http://schemas.openxmlformats.org/officeDocument/2006/relationships/hyperlink" Target="https://energyconsumersaustralia.com.au/our-work/research/social-licence-for-control-of-distributed-energy-resources" TargetMode="External"/><Relationship Id="rId10" Type="http://schemas.openxmlformats.org/officeDocument/2006/relationships/endnotes" Target="endnotes.xml"/><Relationship Id="rId31" Type="http://schemas.openxmlformats.org/officeDocument/2006/relationships/hyperlink" Target="https://commonslibrary.parliament.uk/research-briefings/cdp-2023-0074/" TargetMode="External"/><Relationship Id="rId52" Type="http://schemas.openxmlformats.org/officeDocument/2006/relationships/hyperlink" Target="https://www.eec.org.au/uploads/Projects/Demanding%20better%20-%20A%20reform%20agenda.pdf" TargetMode="External"/><Relationship Id="rId73" Type="http://schemas.openxmlformats.org/officeDocument/2006/relationships/hyperlink" Target="https://energyconsumersaustralia.com.au/news/foresighting-forum-2021-system-design-webinar-your-questions-answered" TargetMode="External"/><Relationship Id="rId78" Type="http://schemas.openxmlformats.org/officeDocument/2006/relationships/hyperlink" Target="https://www.eec.org.au/uploads/Projects/Demanding%20better%20-%20A%20reform%20agenda.pdf" TargetMode="External"/><Relationship Id="rId94" Type="http://schemas.openxmlformats.org/officeDocument/2006/relationships/hyperlink" Target="https://www.energynetworks.com.au/assets/uploads/roadmap_interim_report_final.pdf" TargetMode="External"/><Relationship Id="rId99" Type="http://schemas.openxmlformats.org/officeDocument/2006/relationships/hyperlink" Target="https://arena.gov.au/assets/2018/08/demand-response-consumer-insights-report.pdf" TargetMode="External"/><Relationship Id="rId101" Type="http://schemas.openxmlformats.org/officeDocument/2006/relationships/hyperlink" Target="https://www.racefor2030.com.au/content/uploads/21.E2.A.0189-Final-Report_Dec-2022.pdf" TargetMode="External"/><Relationship Id="rId122" Type="http://schemas.openxmlformats.org/officeDocument/2006/relationships/hyperlink" Target="https://www.energy.gov/eere/articles/does-national-roadmap-grid-interactive-efficient-buildings" TargetMode="External"/><Relationship Id="rId143" Type="http://schemas.openxmlformats.org/officeDocument/2006/relationships/hyperlink" Target="https://energyconsumersaustralia.com.au/news/foresighting-forum-2020-publications-and-resources" TargetMode="External"/><Relationship Id="rId148" Type="http://schemas.openxmlformats.org/officeDocument/2006/relationships/hyperlink" Target="https://doi.org/10.1016/j.erss.2022.10268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hyperlink" Target="https://energyconsumersaustralia.com.au/sites/default/files/wp-documents/ECBS-W13a-Oct22-Household-Toplines.pdf" TargetMode="External"/><Relationship Id="rId68" Type="http://schemas.openxmlformats.org/officeDocument/2006/relationships/hyperlink" Target="https://www.monash.edu/__data/assets/pdf_file/0006/2380785/Ron-Ben-David-Response-to-Consultation-on-Post-2025-19-October-2020.pdf" TargetMode="External"/><Relationship Id="rId89" Type="http://schemas.openxmlformats.org/officeDocument/2006/relationships/hyperlink" Target="https://energyconsumersaustralia.com.au/sites/default/files/wp-documents/ECBS-W13a-Oct22-Household-Toplines.pdf" TargetMode="External"/><Relationship Id="rId112" Type="http://schemas.openxmlformats.org/officeDocument/2006/relationships/hyperlink" Target="https://energyconsumersaustralia.com.au/publications/powerup-consumer-voices-energy-transition" TargetMode="External"/><Relationship Id="rId133" Type="http://schemas.openxmlformats.org/officeDocument/2006/relationships/hyperlink" Target="https://www.iea-isgan.org/flexibility-harvesting-and-its-impact-on-stakeholder-interaction_key-messages/" TargetMode="External"/><Relationship Id="rId154" Type="http://schemas.openxmlformats.org/officeDocument/2006/relationships/hyperlink" Target="https://futuregridaccelerator.com/glossary/system-2/" TargetMode="External"/><Relationship Id="rId16" Type="http://schemas.openxmlformats.org/officeDocument/2006/relationships/image" Target="media/image5.png"/><Relationship Id="rId37" Type="http://schemas.openxmlformats.org/officeDocument/2006/relationships/hyperlink" Target="https://www.energy.gov/eere/articles/does-national-roadmap-grid-interactive-efficient-buildings" TargetMode="External"/><Relationship Id="rId58" Type="http://schemas.openxmlformats.org/officeDocument/2006/relationships/hyperlink" Target="https://www.sciencedirect.com/science/article/pii/S1364032114007990" TargetMode="External"/><Relationship Id="rId79" Type="http://schemas.openxmlformats.org/officeDocument/2006/relationships/hyperlink" Target="https://www.racefor2030.com.au/content/uploads/21.E2.A.0189-Final-Report_Dec-2022.pdf" TargetMode="External"/><Relationship Id="rId102" Type="http://schemas.openxmlformats.org/officeDocument/2006/relationships/hyperlink" Target="https://www.eec.org.au/uploads/Projects/Demanding%20better%20-%20A%20reform%20agenda.pdf" TargetMode="External"/><Relationship Id="rId123" Type="http://schemas.openxmlformats.org/officeDocument/2006/relationships/hyperlink" Target="https://www.ceem.unsw.edu.au/sites/default/files/documents/H4-OA-final-report-17.11.21.pdf" TargetMode="External"/><Relationship Id="rId144" Type="http://schemas.openxmlformats.org/officeDocument/2006/relationships/hyperlink" Target="https://www.datocms-assets.com/32572/1657176767-esb-ssg-release-2.pdf" TargetMode="External"/><Relationship Id="rId90" Type="http://schemas.openxmlformats.org/officeDocument/2006/relationships/hyperlink" Target="https://www.utupub.fi/bitstream/handle/10024/160647/FFRC-publication_1-2019-rev.pdf" TargetMode="External"/><Relationship Id="rId27" Type="http://schemas.openxmlformats.org/officeDocument/2006/relationships/image" Target="media/image11.png"/><Relationship Id="rId48" Type="http://schemas.openxmlformats.org/officeDocument/2006/relationships/hyperlink" Target="https://www.utupub.fi/bitstream/handle/10024/160647/FFRC-publication_1-2019-rev.pdf" TargetMode="External"/><Relationship Id="rId69" Type="http://schemas.openxmlformats.org/officeDocument/2006/relationships/hyperlink" Target="https://www.ceem.unsw.edu.au/sites/default/files/documents/H4-OA-final-report-17.11.21.pdf" TargetMode="External"/><Relationship Id="rId113" Type="http://schemas.openxmlformats.org/officeDocument/2006/relationships/hyperlink" Target="https://event.utilityweek.co.uk/forum24/agenda" TargetMode="External"/><Relationship Id="rId134" Type="http://schemas.openxmlformats.org/officeDocument/2006/relationships/hyperlink" Target="https://www.iea-isgan.org/wp-content/uploads/2022/06/ISGAN-TSO-DSO-InsightReport-2022.pdf" TargetMode="External"/><Relationship Id="rId80" Type="http://schemas.openxmlformats.org/officeDocument/2006/relationships/hyperlink" Target="https://www.ipart.nsw.gov.au/sites/default/files/cm9_documents/Ron-Ben-David-Minimising-Consumer-Harm-IPART-30-year-conference-%2817-November-2022%29.PDF" TargetMode="External"/><Relationship Id="rId155" Type="http://schemas.openxmlformats.org/officeDocument/2006/relationships/hyperlink" Target="https://futuregridaccelerator.com/glossary/complex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ocumenttasks/documenttasks1.xml><?xml version="1.0" encoding="utf-8"?>
<t:Tasks xmlns:t="http://schemas.microsoft.com/office/tasks/2019/documenttasks" xmlns:oel="http://schemas.microsoft.com/office/2019/extlst">
  <t:Task id="{0938A74E-C7B9-40E4-88AA-A66E999A74C2}">
    <t:Anchor>
      <t:Comment id="101280350"/>
    </t:Anchor>
    <t:History>
      <t:Event id="{72F57E2D-646C-42AA-B17B-61A7AEFB4117}" time="2025-08-07T23:38:48.616Z">
        <t:Attribution userId="S::mpaterson@energycatalyst.au::42de4a7a-d5a6-466f-93d9-cf843582350f" userProvider="AD" userName="Mark Paterson"/>
        <t:Anchor>
          <t:Comment id="101280350"/>
        </t:Anchor>
        <t:Create/>
      </t:Event>
      <t:Event id="{AE4977DA-5BBF-4250-8E4E-588B54F37098}" time="2025-08-07T23:38:48.616Z">
        <t:Attribution userId="S::mpaterson@energycatalyst.au::42de4a7a-d5a6-466f-93d9-cf843582350f" userProvider="AD" userName="Mark Paterson"/>
        <t:Anchor>
          <t:Comment id="101280350"/>
        </t:Anchor>
        <t:Assign userId="S::tprisk@energycatalyst.au::763330e7-fe54-4a77-b347-0c3cc3e65830" userProvider="AD" userName="Thomas Prisk"/>
      </t:Event>
      <t:Event id="{188065F7-C9A6-405A-A4C8-F01C2AD13568}" time="2025-08-07T23:38:48.616Z">
        <t:Attribution userId="S::mpaterson@energycatalyst.au::42de4a7a-d5a6-466f-93d9-cf843582350f" userProvider="AD" userName="Mark Paterson"/>
        <t:Anchor>
          <t:Comment id="101280350"/>
        </t:Anchor>
        <t:SetTitle title="@Thomas Prisk "/>
      </t:Event>
    </t:History>
  </t:Task>
</t:Tasks>
</file>

<file path=word/theme/theme1.xml><?xml version="1.0" encoding="utf-8"?>
<a:theme xmlns:a="http://schemas.openxmlformats.org/drawingml/2006/main" name="Office Theme">
  <a:themeElements>
    <a:clrScheme name="Energy Catalyst">
      <a:dk1>
        <a:srgbClr val="013C4C"/>
      </a:dk1>
      <a:lt1>
        <a:srgbClr val="FAFAFA"/>
      </a:lt1>
      <a:dk2>
        <a:srgbClr val="067296"/>
      </a:dk2>
      <a:lt2>
        <a:srgbClr val="E7E6E6"/>
      </a:lt2>
      <a:accent1>
        <a:srgbClr val="013C4C"/>
      </a:accent1>
      <a:accent2>
        <a:srgbClr val="8DD1E8"/>
      </a:accent2>
      <a:accent3>
        <a:srgbClr val="067296"/>
      </a:accent3>
      <a:accent4>
        <a:srgbClr val="F85C5D"/>
      </a:accent4>
      <a:accent5>
        <a:srgbClr val="2F2F2F"/>
      </a:accent5>
      <a:accent6>
        <a:srgbClr val="FAFAFA"/>
      </a:accent6>
      <a:hlink>
        <a:srgbClr val="F85C5D"/>
      </a:hlink>
      <a:folHlink>
        <a:srgbClr val="8DD1E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PDe24</b:Tag>
    <b:SourceType>Book</b:SourceType>
    <b:Guid>{54772FFD-8A8D-4292-8B4B-52558B1FEC25}</b:Guid>
    <b:Author>
      <b:Author>
        <b:NameList>
          <b:Person>
            <b:Last>P. De Martini</b:Last>
            <b:First>S.</b:First>
            <b:Middle>Succar, and P. Cook</b:Middle>
          </b:Person>
        </b:NameList>
      </b:Author>
    </b:Author>
    <b:Title>Sourcing Distributed Energy Resources for Distribution Grid Services</b:Title>
    <b:Year>Dec. 2024</b:Year>
    <b:Publisher> U.S. Department of Energy, Office of Electricity</b:Publisher>
    <b:RefOrder>28</b:RefOrder>
  </b:Source>
  <b:Source>
    <b:Tag>Ene24</b:Tag>
    <b:SourceType>Book</b:SourceType>
    <b:Guid>{D3C5A119-9E0D-42C1-AFC4-E59B53C99DF3}</b:Guid>
    <b:Author>
      <b:Author>
        <b:Corporate>Energy Networks Association</b:Corporate>
      </b:Author>
    </b:Author>
    <b:Title>Primacy Rules for ESO/DNO Coordination – Increment 2</b:Title>
    <b:Year>Oct. 2024</b:Year>
    <b:Publisher>Open Networks Programme, Version 1.0</b:Publisher>
    <b:RefOrder>29</b:RefOrder>
  </b:Source>
  <b:Source>
    <b:Tag>WSP24</b:Tag>
    <b:SourceType>Book</b:SourceType>
    <b:Guid>{FACB577A-01EB-48DB-BFA6-35332705B21D}</b:Guid>
    <b:Author>
      <b:Author>
        <b:Corporate>WSP, Impertial College London Consultants, National Grid</b:Corporate>
      </b:Author>
    </b:Author>
    <b:Title>Dissemination of project findings: Final Dissemination Webinar</b:Title>
    <b:Year>July 2024</b:Year>
    <b:Publisher>Energy System Operator (ESO)</b:Publisher>
    <b:RefOrder>30</b:RefOrder>
  </b:Source>
  <b:Source>
    <b:Tag>MOt24</b:Tag>
    <b:SourceType>Book</b:SourceType>
    <b:Guid>{D69123B9-F287-470E-A3F2-91B8CD6B56C1}</b:Guid>
    <b:Author>
      <b:Author>
        <b:NameList>
          <b:Person>
            <b:Last>M. Otte</b:Last>
            <b:First>J.</b:First>
            <b:Middle>Kamsamrong, and S. Lehnhoff</b:Middle>
          </b:Person>
        </b:NameList>
      </b:Author>
    </b:Author>
    <b:Title>Aggregators in Digitalised Power Systems: How can Aggregators Improve the TSO-DSO-Customer Coordination in Digitalised Power Systems?</b:Title>
    <b:Year>July 2024</b:Year>
    <b:Publisher>ISGAN Working Group 6</b:Publisher>
    <b:URL>Available: https://iea-isgan.org</b:URL>
    <b:RefOrder>31</b:RefOrder>
  </b:Source>
  <b:Source>
    <b:Tag>LTh24</b:Tag>
    <b:SourceType>Book</b:SourceType>
    <b:Guid>{DD16D4C1-8238-418D-8DDE-4654E3A47320}</b:Guid>
    <b:Author>
      <b:Author>
        <b:NameList>
          <b:Person>
            <b:Last>Thompson</b:Last>
            <b:First>L.</b:First>
          </b:Person>
        </b:NameList>
      </b:Author>
    </b:Author>
    <b:Title>Transmission-Distribution Coordination Working Group: IESO-Administered Markets Communication Interfaces</b:Title>
    <b:Year>April 2024</b:Year>
    <b:Publisher>Independent Electricity System Operator, Ontario, Canda</b:Publisher>
    <b:RefOrder>32</b:RefOrder>
  </b:Source>
  <b:Source>
    <b:Tag>JWi25</b:Tag>
    <b:SourceType>Book</b:SourceType>
    <b:Guid>{19D24F71-1324-4F25-A9C9-72057B914F47}</b:Guid>
    <b:Author>
      <b:Author>
        <b:NameList>
          <b:Person>
            <b:Last>Schmitt</b:Last>
            <b:First>J.</b:First>
            <b:Middle>Wilders and L.</b:Middle>
          </b:Person>
        </b:NameList>
      </b:Author>
    </b:Author>
    <b:Title>Future Control Room Architectures for Grid and Market Integrated Operation</b:Title>
    <b:Year>Jan. 2025</b:Year>
    <b:Publisher>Axual and Digital4Grids</b:Publisher>
    <b:RefOrder>33</b:RefOrder>
  </b:Source>
  <b:Source>
    <b:Tag>NOm23</b:Tag>
    <b:SourceType>Book</b:SourceType>
    <b:Guid>{B659C9B7-98AA-4BCD-859C-EC00810A79DA}</b:Guid>
    <b:Author>
      <b:Author>
        <b:NameList>
          <b:Person>
            <b:Last>Golriz</b:Last>
            <b:First>N.</b:First>
            <b:Middle>Omran and A.</b:Middle>
          </b:Person>
        </b:NameList>
      </b:Author>
    </b:Author>
    <b:Title>T-D Coordination to Support Reliable Performance of BPS with DER Integration</b:Title>
    <b:Year>Dec. 2023</b:Year>
    <b:Publisher>Independent Electricity System Operator, Ontorio, Canada</b:Publisher>
    <b:RefOrder>34</b:RefOrder>
  </b:Source>
  <b:Source>
    <b:Tag>BHe22</b:Tag>
    <b:SourceType>Book</b:SourceType>
    <b:Guid>{073C6B32-EF4B-40EB-AF9A-F5CE9B4B579D}</b:Guid>
    <b:Author>
      <b:Author>
        <b:NameList>
          <b:Person>
            <b:Last>B. Herndler</b:Last>
            <b:First>C.Y.</b:First>
            <b:Middle>Evrenosoglu, G. Migliavacca, H. Gerard, I. Vilgan, J.P. Chaves Ávila, K. Kessels, M. Rossi, P. Lo, and S. Wong</b:Middle>
          </b:Person>
        </b:NameList>
      </b:Author>
    </b:Author>
    <b:Title>Power Transmission &amp; Distribution Systems: Flexibility Harvesting and Its Impact on Stakeholder Interaction</b:Title>
    <b:Year>Dec. 2022</b:Year>
    <b:Publisher>ISGAN Working Group 6</b:Publisher>
    <b:RefOrder>35</b:RefOrder>
  </b:Source>
  <b:Source>
    <b:Tag>ASt22</b:Tag>
    <b:SourceType>Book</b:SourceType>
    <b:Guid>{35F505DA-AEBF-4422-9ECB-B7B4DD1A5D2E}</b:Guid>
    <b:Author>
      <b:Author>
        <b:NameList>
          <b:Person>
            <b:Last>A. Stokes</b:Last>
            <b:First>R.</b:First>
            <b:Middle>Das, T. Joseph, A. Aithal, C. Addison, D. Healey, C. Balrey, and E. Horn</b:Middle>
          </b:Person>
        </b:NameList>
      </b:Author>
    </b:Author>
    <b:Title>Flexibility Markets: Development and Implementation - TSO-DSO Coordination: The UK Case</b:Title>
    <b:Year>Mar. 2022</b:Year>
    <b:Publisher>ISGAN Annex 9, nergy Systems Catapult</b:Publisher>
    <b:RefOrder>36</b:RefOrder>
  </b:Source>
  <b:Source>
    <b:Tag>PDe241</b:Tag>
    <b:SourceType>Book</b:SourceType>
    <b:Guid>{529CEA42-4C37-4565-B554-21FCDBFF2178}</b:Guid>
    <b:Author>
      <b:Author>
        <b:NameList>
          <b:Person>
            <b:Last>De Martini</b:Last>
            <b:First>P</b:First>
          </b:Person>
          <b:Person>
            <b:Last>Patel</b:Last>
            <b:First>S.</b:First>
          </b:Person>
          <b:Person>
            <b:Last>Kathan</b:Last>
            <b:First>D.</b:First>
          </b:Person>
        </b:NameList>
      </b:Author>
    </b:Author>
    <b:Title>TSO-DSO-Aggregator Market and Operational Coordination Requirements</b:Title>
    <b:Year>April 2024</b:Year>
    <b:Publisher>U.S. Department of Energy, Office of Electricity</b:Publisher>
    <b:RefOrder>37</b:RefOrder>
  </b:Source>
  <b:Source>
    <b:Tag>Mor19</b:Tag>
    <b:SourceType>Book</b:SourceType>
    <b:Guid>{88AC2F4B-0D97-4CE9-B765-8A21FD43DDB3}</b:Guid>
    <b:Title>Architectures for Optimised Interaction Between TSOs and DSOs: Compliance With The Present Practice, Regulation And Roadmaps</b:Title>
    <b:Year>June, 2019</b:Year>
    <b:Publisher>25th International Conference on Electricity Distribution</b:Publisher>
    <b:Author>
      <b:Author>
        <b:NameList>
          <b:Person>
            <b:Last>Morch</b:Last>
            <b:First>Andrei</b:First>
          </b:Person>
          <b:Person>
            <b:Last>Migliavacca</b:Last>
            <b:First>Ginaluigi</b:First>
          </b:Person>
          <b:Person>
            <b:Last>Kockar</b:Last>
            <b:First>Ivana</b:First>
          </b:Person>
          <b:Person>
            <b:Last>Xu</b:Last>
            <b:First>Han</b:First>
          </b:Person>
          <b:Person>
            <b:Last>Fernnandez Tecnalia</b:Last>
            <b:First>Julia Merino</b:First>
          </b:Person>
          <b:Person>
            <b:Last>Gerard</b:Last>
            <b:First>Helena</b:First>
          </b:Person>
        </b:NameList>
      </b:Author>
    </b:Author>
    <b:RefOrder>38</b:RefOrder>
  </b:Source>
  <b:Source>
    <b:Tag>Gri24</b:Tag>
    <b:SourceType>Book</b:SourceType>
    <b:Guid>{0D770999-ED76-4416-95BE-51D392C05954}</b:Guid>
    <b:Author>
      <b:Author>
        <b:NameList>
          <b:Person>
            <b:Last>Council</b:Last>
            <b:First>GridWise</b:First>
            <b:Middle>Architecture</b:Middle>
          </b:Person>
        </b:NameList>
      </b:Author>
    </b:Author>
    <b:Title>A Practical Introduction to Common Grid Architecture Techniques</b:Title>
    <b:Year>April 2024</b:Year>
    <b:Publisher>GridWise Architecture Council</b:Publisher>
    <b:RefOrder>39</b:RefOrder>
  </b:Source>
  <b:Source>
    <b:Tag>IRE19</b:Tag>
    <b:SourceType>Book</b:SourceType>
    <b:Guid>{FA0E19CA-1919-4F67-ADF1-F8A630CF7E73}</b:Guid>
    <b:Author>
      <b:Author>
        <b:Corporate>IRENA</b:Corporate>
      </b:Author>
    </b:Author>
    <b:Title>Innovation landscape brief: Future role of distribution system operators,</b:Title>
    <b:Year>2019</b:Year>
    <b:City>Abu Dhabi</b:City>
    <b:Publisher>International Renewable Energy Agency</b:Publisher>
    <b:RefOrder>40</b:RefOrder>
  </b:Source>
  <b:Source>
    <b:Tag>Ned</b:Tag>
    <b:SourceType>InternetSite</b:SourceType>
    <b:Guid>{9CE7CF28-4334-464A-9C5E-F3DA1A6C1B00}</b:Guid>
    <b:Title>Common Information Model Ontology Class Library</b:Title>
    <b:Author>
      <b:Author>
        <b:Corporate>Nederlandse Organisatie voor Toegepast Natuurwetenschappelijk Onderzoek (TNO)</b:Corporate>
      </b:Author>
    </b:Author>
    <b:URL>https://ontology.tno.nl/IEC_CIM/</b:URL>
    <b:RefOrder>41</b:RefOrder>
  </b:Source>
  <b:Source>
    <b:Tag>FMa19</b:Tag>
    <b:SourceType>Book</b:SourceType>
    <b:Guid>{03F320BC-E0B8-4DF3-A524-08898FFF3143}</b:Guid>
    <b:Author>
      <b:Author>
        <b:Corporate>F. Marten, I. Hammermeister, J. Ringelstein, B. Requardt, and M. Braun</b:Corporate>
      </b:Author>
    </b:Author>
    <b:Title>CIM CGMES-extensions for the TSO-DSO data exchange in the EU-project ‘TDX-ASSIST’</b:Title>
    <b:Year>2019</b:Year>
    <b:JournalName>ETG-Kongress</b:JournalName>
    <b:City>Kassel, Germany</b:City>
    <b:Publisher>Horizon 2020</b:Publisher>
    <b:RefOrder>42</b:RefOrder>
  </b:Source>
  <b:Source>
    <b:Tag>BRI19</b:Tag>
    <b:SourceType>Book</b:SourceType>
    <b:Guid>{587AE0AD-90C4-45A5-81DD-C1B07C5AC333}</b:Guid>
    <b:Author>
      <b:Author>
        <b:Corporate>BRIDGE Regulation and Data Management WG</b:Corporate>
      </b:Author>
    </b:Author>
    <b:Title>BRIDGE TSO-DSO Coordination Report</b:Title>
    <b:Year>2019</b:Year>
    <b:RefOrder>43</b:RefOrder>
  </b:Source>
  <b:Source>
    <b:Tag>ENA15</b:Tag>
    <b:SourceType>Book</b:SourceType>
    <b:Guid>{2A023B85-A19B-4E71-B801-2C5A9DAF8468}</b:Guid>
    <b:Author>
      <b:Author>
        <b:Corporate>ENA &amp; CSIRO</b:Corporate>
      </b:Author>
    </b:Author>
    <b:Title>Electricity Network Transformation Roadmap - Interim Program Report</b:Title>
    <b:Year>2015</b:Year>
    <b:RefOrder>1</b:RefOrder>
  </b:Source>
  <b:Source>
    <b:Tag>DeM21</b:Tag>
    <b:SourceType>Book</b:SourceType>
    <b:Guid>{7A0199E0-EC1A-46C5-B0C6-18ED16789E8C}</b:Guid>
    <b:Title>Customer Load Management - Evolution &amp; Revolution</b:Title>
    <b:Year>2021</b:Year>
    <b:Author>
      <b:Author>
        <b:NameList>
          <b:Person>
            <b:Last>De Martini</b:Last>
            <b:First>Paul</b:First>
          </b:Person>
          <b:Person>
            <b:Last>De Martini</b:Last>
            <b:First>Andrew</b:First>
          </b:Person>
        </b:NameList>
      </b:Author>
    </b:Author>
    <b:RefOrder>2</b:RefOrder>
  </b:Source>
  <b:Source>
    <b:Tag>our22</b:Tag>
    <b:SourceType>Report</b:SourceType>
    <b:Guid>{95665FC3-7E5A-450C-BA60-77C570ACC0C0}</b:Guid>
    <b:Title>A vision for clean, affordable, dependable energy for all</b:Title>
    <b:Year>2022</b:Year>
    <b:Publisher>Australian Council of Social Services, Total Environment Centre</b:Publisher>
    <b:Author>
      <b:Author>
        <b:Corporate>ourPower</b:Corporate>
      </b:Author>
    </b:Author>
    <b:RefOrder>3</b:RefOrder>
  </b:Source>
  <b:Source>
    <b:Tag>ECA21</b:Tag>
    <b:SourceType>Book</b:SourceType>
    <b:Guid>{79D45051-8833-4E24-B4FE-E0D0263BF547}</b:Guid>
    <b:Author>
      <b:Author>
        <b:Corporate>ECA</b:Corporate>
      </b:Author>
    </b:Author>
    <b:Title>Strategic Plan</b:Title>
    <b:Year>2021</b:Year>
    <b:RefOrder>4</b:RefOrder>
  </b:Source>
  <b:Source>
    <b:Tag>Ben20</b:Tag>
    <b:SourceType>Book</b:SourceType>
    <b:Guid>{83A76A74-61FF-4821-AEF5-9B2DD14669A7}</b:Guid>
    <b:Title>Response To Consultation on Two Sided Markets</b:Title>
    <b:Year>2020</b:Year>
    <b:Publisher>Monash Business School</b:Publisher>
    <b:Author>
      <b:Author>
        <b:NameList>
          <b:Person>
            <b:Last>Ben-David</b:Last>
            <b:First>Dr Ron </b:First>
          </b:Person>
        </b:NameList>
      </b:Author>
    </b:Author>
    <b:RefOrder>5</b:RefOrder>
  </b:Source>
  <b:Source>
    <b:Tag>Vic21</b:Tag>
    <b:SourceType>Book</b:SourceType>
    <b:Guid>{72A66207-4D6B-4BAE-9F8F-ADC431AA39A7}</b:Guid>
    <b:Author>
      <b:Author>
        <b:Corporate>Victoria DEWLP</b:Corporate>
      </b:Author>
    </b:Author>
    <b:Title>Victorian Neighbourhood Battery Initiative Consultation Papaer</b:Title>
    <b:Year>2021</b:Year>
    <b:RefOrder>6</b:RefOrder>
  </b:Source>
  <b:Source>
    <b:Tag>USD211</b:Tag>
    <b:SourceType>Book</b:SourceType>
    <b:Guid>{96F55379-1E68-4428-AD0B-45739E5B2738}</b:Guid>
    <b:Author>
      <b:Author>
        <b:Corporate>US Department of Energy</b:Corporate>
      </b:Author>
    </b:Author>
    <b:Title>A National Roadmap for Grid-Interactive Efficient Buildings</b:Title>
    <b:Year>2021</b:Year>
    <b:RefOrder>7</b:RefOrder>
  </b:Source>
  <b:Source>
    <b:Tag>Rob21</b:Tag>
    <b:SourceType>Book</b:SourceType>
    <b:Guid>{BC44C445-4105-4843-BE78-44EF312752FB}</b:Guid>
    <b:Title>H4 Opportunity Assessment - Customer friendly cost reflective tariffs and incentives - Final report November 2021</b:Title>
    <b:Year>2021</b:Year>
    <b:Author>
      <b:Author>
        <b:NameList>
          <b:Person>
            <b:Last>Roberts</b:Last>
            <b:First>M</b:First>
          </b:Person>
          <b:Person>
            <b:Last>Passey</b:Last>
            <b:First>R</b:First>
          </b:Person>
          <b:Person>
            <b:Last>Adams </b:Last>
            <b:First>S</b:First>
          </b:Person>
          <b:Person>
            <b:Last>Whittaker</b:Last>
            <b:First>L</b:First>
          </b:Person>
          <b:Person>
            <b:Last>Russell-Bennett</b:Last>
            <b:First>R</b:First>
          </b:Person>
          <b:Person>
            <b:Last>McAndrew</b:Last>
            <b:First>R</b:First>
          </b:Person>
          <b:Person>
            <b:Last>Caton</b:Last>
            <b:First>S</b:First>
          </b:Person>
          <b:Person>
            <b:Last>Ben-David</b:Last>
            <b:First>R</b:First>
          </b:Person>
        </b:NameList>
      </b:Author>
    </b:Author>
    <b:RefOrder>8</b:RefOrder>
  </b:Source>
  <b:Source>
    <b:Tag>ECA221</b:Tag>
    <b:SourceType>Book</b:SourceType>
    <b:Guid>{2CC7AE3F-FCFF-48B7-AA10-6D1EDD3466A2}</b:Guid>
    <b:Author>
      <b:Author>
        <b:Corporate>ECA</b:Corporate>
      </b:Author>
    </b:Author>
    <b:Title>Submission: AER's Issues Paper on the Retailer Authorisation &amp; Exemptions Review</b:Title>
    <b:Year>2022</b:Year>
    <b:RefOrder>9</b:RefOrder>
  </b:Source>
  <b:Source>
    <b:Tag>ECA22</b:Tag>
    <b:SourceType>Book</b:SourceType>
    <b:Guid>{FFA21B77-22B3-4084-A0B6-62A122D15995}</b:Guid>
    <b:Author>
      <b:Author>
        <b:Corporate>ECA</b:Corporate>
      </b:Author>
    </b:Author>
    <b:Title>Draft Consumer Vulnerability Strategy</b:Title>
    <b:Year>2022</b:Year>
    <b:RefOrder>10</b:RefOrder>
  </b:Source>
  <b:Source>
    <b:Tag>ECA322223</b:Tag>
    <b:SourceType>Report</b:SourceType>
    <b:Guid>{E69D6521-90FC-428C-9F15-9A5241136BDB}</b:Guid>
    <b:Author>
      <b:Author>
        <b:Corporate>ECA</b:Corporate>
      </b:Author>
    </b:Author>
    <b:Title>Submission: AER's Draft Consumer Vulnerability Strategy</b:Title>
    <b:Year>2022</b:Year>
    <b:RefOrder>11</b:RefOrder>
  </b:Source>
  <b:Source>
    <b:Tag>ECA222</b:Tag>
    <b:SourceType>Book</b:SourceType>
    <b:Guid>{F05AB116-D784-4DC0-89C0-D0178325DAC4}</b:Guid>
    <b:Author>
      <b:Author>
        <b:Corporate>ECA</b:Corporate>
      </b:Author>
    </b:Author>
    <b:Title>Energy Consumer Sentiment Survey - Household Topline Results</b:Title>
    <b:Year>2022</b:Year>
    <b:RefOrder>12</b:RefOrder>
  </b:Source>
  <b:Source>
    <b:Tag>Hei19</b:Tag>
    <b:SourceType>Book</b:SourceType>
    <b:Guid>{C9E1C117-5AE3-48B7-BC0D-D2E6BDDD8520}</b:Guid>
    <b:Title>Electrification in Peer-to-Peer Society</b:Title>
    <b:Year>2019</b:Year>
    <b:Publisher>FERC Publications</b:Publisher>
    <b:Author>
      <b:Author>
        <b:NameList>
          <b:Person>
            <b:Last>Heinonen</b:Last>
            <b:First>Sirkka</b:First>
          </b:Person>
          <b:Person>
            <b:Last>Karjalainen</b:Last>
            <b:First>Joni</b:First>
          </b:Person>
        </b:NameList>
      </b:Author>
    </b:Author>
    <b:RefOrder>13</b:RefOrder>
  </b:Source>
  <b:Source>
    <b:Tag>ECA212</b:Tag>
    <b:SourceType>Book</b:SourceType>
    <b:Guid>{240B4B2C-5237-49E9-9EA4-B9619785BF21}</b:Guid>
    <b:Author>
      <b:Author>
        <b:Corporate>ECA</b:Corporate>
      </b:Author>
    </b:Author>
    <b:Title>Foresighting Forum 2021 System Design Webinar: Your Questions Answered!</b:Title>
    <b:Year>2021</b:Year>
    <b:RefOrder>14</b:RefOrder>
  </b:Source>
  <b:Source>
    <b:Tag>The20</b:Tag>
    <b:SourceType>Book</b:SourceType>
    <b:Guid>{35A5CEB6-8A22-4E93-8477-FFE0AC70E360}</b:Guid>
    <b:Author>
      <b:Author>
        <b:Corporate>The Energy Charter</b:Corporate>
      </b:Author>
    </b:Author>
    <b:Title>Energy Charter Maturity Model</b:Title>
    <b:Year>2020</b:Year>
    <b:RefOrder>15</b:RefOrder>
  </b:Source>
  <b:Source>
    <b:Tag>UPo21</b:Tag>
    <b:SourceType>Book</b:SourceType>
    <b:Guid>{07E86375-BEA4-42BC-9633-614D839522D8}</b:Guid>
    <b:Author>
      <b:Author>
        <b:Corporate>UPowr</b:Corporate>
      </b:Author>
    </b:Author>
    <b:Title>Customer Segmentation Research and Design for Orchestration Programs</b:Title>
    <b:Year>2021</b:Year>
    <b:RefOrder>16</b:RefOrder>
  </b:Source>
  <b:Source>
    <b:Tag>Lav21</b:Tag>
    <b:SourceType>Book</b:SourceType>
    <b:Guid>{048B5B47-3D9A-47E0-A265-87B5F2BC3DFC}</b:Guid>
    <b:Title>Electric Vehicle Charging Consumer Survey: Insights Report</b:Title>
    <b:Year>2021</b:Year>
    <b:Author>
      <b:Author>
        <b:NameList>
          <b:Person>
            <b:Last>Lavieri</b:Last>
            <b:First>Patrícia </b:First>
          </b:Person>
          <b:Person>
            <b:Last>Oliveira</b:Last>
            <b:Middle>J M </b:Middle>
            <b:First>Gabriel </b:First>
          </b:Person>
        </b:NameList>
      </b:Author>
    </b:Author>
    <b:RefOrder>17</b:RefOrder>
  </b:Source>
  <b:Source>
    <b:Tag>Fre14</b:Tag>
    <b:SourceType>Book</b:SourceType>
    <b:Guid>{6D091482-9032-4B19-A5AE-FF58E1DCDE16}</b:Guid>
    <b:Title>Renewable and Sustainable Energy Reviews</b:Title>
    <b:Year>2014</b:Year>
    <b:Author>
      <b:Author>
        <b:NameList>
          <b:Person>
            <b:Last>Frederiks</b:Last>
            <b:Middle>R</b:Middle>
            <b:First>Elisha </b:First>
          </b:Person>
          <b:Person>
            <b:Last>Stenner</b:Last>
            <b:First>Karen </b:First>
          </b:Person>
          <b:Person>
            <b:Last>Hobman</b:Last>
            <b:Middle>V</b:Middle>
            <b:First>Elizabeth</b:First>
          </b:Person>
        </b:NameList>
      </b:Author>
    </b:Author>
    <b:RefOrder>18</b:RefOrder>
  </b:Source>
  <b:Source>
    <b:Tag>CSI15</b:Tag>
    <b:SourceType>Report</b:SourceType>
    <b:Guid>{D376852F-B867-4C56-9E3C-F408CD7A605E}</b:Guid>
    <b:Author>
      <b:Author>
        <b:Corporate>CSIRO &amp; ENA</b:Corporate>
      </b:Author>
    </b:Author>
    <b:Title>Customer-centric Networks</b:Title>
    <b:Year>2015</b:Year>
    <b:RefOrder>19</b:RefOrder>
  </b:Source>
  <b:Source>
    <b:Tag>ACO20</b:Tag>
    <b:SourceType>Book</b:SourceType>
    <b:Guid>{594AEDE7-5EA1-4F75-B908-2A89FF0D947E}</b:Guid>
    <b:Author>
      <b:Author>
        <b:Corporate>ACOSS</b:Corporate>
      </b:Author>
    </b:Author>
    <b:Title>New Energy Compact - Consultation Draft 5.0  </b:Title>
    <b:Year>2020</b:Year>
    <b:RefOrder>20</b:RefOrder>
  </b:Source>
  <b:Source>
    <b:Tag>ECA20</b:Tag>
    <b:SourceType>Book</b:SourceType>
    <b:Guid>{B1DDA35D-5869-4BB9-B2E3-6F8ED211362A}</b:Guid>
    <b:Author>
      <b:Author>
        <b:Corporate>ECA</b:Corporate>
      </b:Author>
    </b:Author>
    <b:Title>Social Licence for Control of Distributed Energy Resources FinalReport</b:Title>
    <b:Year>2020</b:Year>
    <b:RefOrder>21</b:RefOrder>
  </b:Source>
  <b:Source>
    <b:Tag>ESB221</b:Tag>
    <b:SourceType>Book</b:SourceType>
    <b:Guid>{A1DF2BE8-2B6F-4600-A9E8-EA9A9CB9F1FF}</b:Guid>
    <b:Author>
      <b:Author>
        <b:Corporate>ESB - Stakeholder Steering Group</b:Corporate>
      </b:Author>
    </b:Author>
    <b:Title>Customer Insights Collaboration - Synthesis From Workshop 2</b:Title>
    <b:Year>2022</b:Year>
    <b:RefOrder>22</b:RefOrder>
  </b:Source>
  <b:Source>
    <b:Tag>ESB222</b:Tag>
    <b:SourceType>Book</b:SourceType>
    <b:Guid>{D76FC25C-AAD4-4940-A43B-4298B15AD179}</b:Guid>
    <b:Author>
      <b:Author>
        <b:Corporate>ESB</b:Corporate>
      </b:Author>
    </b:Author>
    <b:Title>Customer Insights Collaboration - Workshop 3 Summary</b:Title>
    <b:Year>2022</b:Year>
    <b:RefOrder>23</b:RefOrder>
  </b:Source>
  <b:Source>
    <b:Tag>ECA211</b:Tag>
    <b:SourceType>Book</b:SourceType>
    <b:Guid>{B9540AD7-8271-4BEA-903B-34F04DC49C70}</b:Guid>
    <b:Author>
      <b:Author>
        <b:Corporate>ECA</b:Corporate>
      </b:Author>
    </b:Author>
    <b:Title>A Future Energy VisionConsumer Expectations Research</b:Title>
    <b:Year>2021</b:Year>
    <b:RefOrder>24</b:RefOrder>
  </b:Source>
  <b:Source>
    <b:Tag>Cal22</b:Tag>
    <b:SourceType>Book</b:SourceType>
    <b:Guid>{F07FABCF-8105-47A5-873E-7AB3DBFBADD0}</b:Guid>
    <b:Title>Origin Energy - Our Strategy</b:Title>
    <b:Year>2022</b:Year>
    <b:Author>
      <b:Author>
        <b:NameList>
          <b:Person>
            <b:Last>Calabria</b:Last>
            <b:First>Frank</b:First>
          </b:Person>
          <b:Person>
            <b:Last>Tremaine</b:Last>
            <b:First>Lawrie</b:First>
          </b:Person>
        </b:NameList>
      </b:Author>
    </b:Author>
    <b:RefOrder>25</b:RefOrder>
  </b:Source>
  <b:Source>
    <b:Tag>Fro22</b:Tag>
    <b:SourceType>Book</b:SourceType>
    <b:Guid>{A7E7006A-97F7-4E59-B0CE-14BE2A1C7FB3}</b:Guid>
    <b:Title>Caltech Energy 10 - How do we cut US global warming gas emissions in half by 2030?</b:Title>
    <b:Year>2022</b:Year>
    <b:Author>
      <b:Author>
        <b:NameList>
          <b:Person>
            <b:Last>Fromer</b:Last>
            <b:First>Neil</b:First>
          </b:Person>
          <b:Person>
            <b:Last>Griffith</b:Last>
            <b:First>Saul</b:First>
          </b:Person>
        </b:NameList>
      </b:Author>
    </b:Author>
    <b:RefOrder>26</b:RefOrder>
  </b:Source>
  <b:Source>
    <b:Tag>ARE18</b:Tag>
    <b:SourceType>Book</b:SourceType>
    <b:Guid>{5D752812-B03F-4FFB-8B9F-B1BDE755DE93}</b:Guid>
    <b:Author>
      <b:Author>
        <b:Corporate>ARENA &amp; ThinkPlace</b:Corporate>
      </b:Author>
    </b:Author>
    <b:Title>Demand Response Customer Insights Report</b:Title>
    <b:Year>2018</b:Year>
    <b:RefOrder>27</b:RefOrder>
  </b:Source>
  <b:Source>
    <b:Tag>Thi18</b:Tag>
    <b:SourceType>Book</b:SourceType>
    <b:Guid>{AEB29CC2-1AB9-4625-844C-3923654F0D38}</b:Guid>
    <b:Author>
      <b:Author>
        <b:Corporate>Think Human</b:Corporate>
      </b:Author>
    </b:Author>
    <b:Title>Future Network Deep Dive Report - SA Power Networks</b:Title>
    <b:Year>2018</b:Year>
    <b:RefOrder>44</b:RefOrder>
  </b:Source>
  <b:Source>
    <b:Tag>Mai18</b:Tag>
    <b:SourceType>Book</b:SourceType>
    <b:Guid>{3CC773FE-35B1-4E95-9D51-CA4BBE367329}</b:Guid>
    <b:Title>Electrification Futures Study: Scenarios of Electric Technology Adoptionand Power Consumption for the United States</b:Title>
    <b:Year>2018</b:Year>
    <b:Publisher>NREL</b:Publisher>
    <b:Author>
      <b:Author>
        <b:NameList>
          <b:Person>
            <b:Last>Mai</b:Last>
            <b:First>Trieu </b:First>
          </b:Person>
          <b:Person>
            <b:Last>Jadun</b:Last>
            <b:First>Paige </b:First>
          </b:Person>
          <b:Person>
            <b:Last>Logan</b:Last>
            <b:First>Jeffrey </b:First>
          </b:Person>
          <b:Person>
            <b:Last>McMillan</b:Last>
            <b:First>Colin </b:First>
          </b:Person>
          <b:Person>
            <b:Last>Muratori</b:Last>
            <b:First>Matteo </b:First>
          </b:Person>
          <b:Person>
            <b:Last>Steinberg</b:Last>
            <b:First>Daniel </b:First>
          </b:Person>
          <b:Person>
            <b:Last>Vimmerstedt</b:Last>
            <b:First>Laura </b:First>
          </b:Person>
          <b:Person>
            <b:Last>Jones</b:Last>
            <b:First>Ryan </b:First>
          </b:Person>
          <b:Person>
            <b:Last> Haley</b:Last>
            <b:First>Benjamin </b:First>
          </b:Person>
          <b:Person>
            <b:Last>Nelson</b:Last>
            <b:First>Brent </b:First>
          </b:Person>
        </b:NameList>
      </b:Author>
    </b:Author>
    <b:RefOrder>45</b:RefOrder>
  </b:Source>
  <b:Source>
    <b:Tag>Fin20</b:Tag>
    <b:SourceType>Book</b:SourceType>
    <b:Guid>{A5989F34-9FDD-4A6E-94B2-33E3F0C393A3}</b:Guid>
    <b:Title>Futures of Heat, Light, and Power: Scenarios for the Australian Energy Sector in 2050</b:Title>
    <b:Year>2020</b:Year>
    <b:Author>
      <b:Author>
        <b:NameList>
          <b:Person>
            <b:Last>Finch</b:Last>
            <b:First>Matt</b:First>
          </b:Person>
        </b:NameList>
      </b:Author>
    </b:Author>
    <b:RefOrder>46</b:RefOrder>
  </b:Source>
  <b:Source>
    <b:Tag>ESB22</b:Tag>
    <b:SourceType>Book</b:SourceType>
    <b:Guid>{C2C25E31-ED92-4F3C-94D6-B9BD5DECA238}</b:Guid>
    <b:Author>
      <b:Author>
        <b:Corporate>ESB - Stakeholder Steering Groups</b:Corporate>
      </b:Author>
    </b:Author>
    <b:Title>Customer Insights Collaboration - Synthesis From Workshop 1</b:Title>
    <b:Year>2022</b:Year>
    <b:RefOrder>47</b:RefOrder>
  </b:Source>
  <b:Source>
    <b:Tag>For20</b:Tag>
    <b:SourceType>Book</b:SourceType>
    <b:Guid>{AA676372-0C23-41D0-A591-EF436425FFC5}</b:Guid>
    <b:Title>Energy Policy</b:Title>
    <b:Year>2020</b:Year>
    <b:Publisher>Elsevier</b:Publisher>
    <b:Author>
      <b:Author>
        <b:NameList>
          <b:Person>
            <b:Last>Ford</b:Last>
            <b:First>Rebecca </b:First>
          </b:Person>
          <b:Person>
            <b:Last>Hardy</b:Last>
            <b:First>Jeffrey</b:First>
          </b:Person>
        </b:NameList>
      </b:Author>
    </b:Author>
    <b:RefOrder>48</b:RefOrder>
  </b:Source>
  <b:Source>
    <b:Tag>Dev22</b:Tag>
    <b:SourceType>Book</b:SourceType>
    <b:Guid>{BB02771A-A6A1-4C06-8902-6EC28C15E369}</b:Guid>
    <b:Title>What does ‘local’ mean in emerging UK smart local energy systems?</b:Title>
    <b:Year>2022</b:Year>
    <b:Author>
      <b:Author>
        <b:NameList>
          <b:Person>
            <b:Last>Devine-Wright</b:Last>
            <b:First>Patrick</b:First>
          </b:Person>
          <b:Person>
            <b:Last>Walker</b:Last>
            <b:First>Chad</b:First>
          </b:Person>
        </b:NameList>
      </b:Author>
    </b:Author>
    <b:RefOrder>49</b:RefOrder>
  </b:Source>
  <b:Source>
    <b:Tag>ECA223</b:Tag>
    <b:SourceType>Book</b:SourceType>
    <b:Guid>{28A8E85C-C529-43E8-8C9F-6B13D24E4BCD}</b:Guid>
    <b:Author>
      <b:Author>
        <b:Corporate>ECA</b:Corporate>
      </b:Author>
    </b:Author>
    <b:Title>Energy Consumer Sentiment Survey - Small Business Topline Results</b:Title>
    <b:Year>2022</b:Year>
    <b:RefOrder>50</b:RefOrder>
  </b:Source>
  <b:Source>
    <b:Tag>Hal22</b:Tag>
    <b:SourceType>Book</b:SourceType>
    <b:Guid>{BED9F0ED-B793-4A3F-B887-1E2C29977159}</b:Guid>
    <b:Title>Doing business model innovation for sustainability transitions — Bringing in strategic foresight and human centred design</b:Title>
    <b:Year>2022</b:Year>
    <b:Author>
      <b:Author>
        <b:NameList>
          <b:Person>
            <b:Last>Hall</b:Last>
            <b:First>Stephen</b:First>
          </b:Person>
          <b:Person>
            <b:Last>Workman</b:Last>
            <b:First>Mark</b:First>
          </b:Person>
          <b:Person>
            <b:Last>Hardy</b:Last>
            <b:First>Jeffrey</b:First>
          </b:Person>
          <b:Person>
            <b:Last>Mazur</b:Last>
            <b:First>Christopher</b:First>
          </b:Person>
          <b:Person>
            <b:Last>Anable</b:Last>
            <b:First>Jillian</b:First>
          </b:Person>
          <b:Person>
            <b:Last>Powell</b:Last>
            <b:First>Mark</b:First>
          </b:Person>
          <b:Person>
            <b:Last>Wagner</b:Last>
            <b:Middle>Marie</b:Middle>
            <b:First>Sophie</b:First>
          </b:Person>
        </b:NameList>
      </b:Author>
    </b:Author>
    <b:RefOrder>51</b:RefOrder>
  </b:Source>
  <b:Source>
    <b:Tag>Hal21</b:Tag>
    <b:SourceType>Book</b:SourceType>
    <b:Guid>{422B487D-CC4B-48EC-AF0E-35C1CAEA386A}</b:Guid>
    <b:Title>Matching consumer segments to innovative utility business models </b:Title>
    <b:Year>2021</b:Year>
    <b:Author>
      <b:Author>
        <b:NameList>
          <b:Person>
            <b:Last>Hall</b:Last>
            <b:First>S</b:First>
          </b:Person>
          <b:Person>
            <b:Last>Anable</b:Last>
            <b:First>J</b:First>
          </b:Person>
          <b:Person>
            <b:Last>Hardy</b:Last>
            <b:First>J</b:First>
          </b:Person>
        </b:NameList>
      </b:Author>
    </b:Author>
    <b:RefOrder>52</b:RefOrder>
  </b:Source>
  <b:Source>
    <b:Tag>Ada21</b:Tag>
    <b:SourceType>Book</b:SourceType>
    <b:Guid>{13FBAF4A-5B8E-4B63-9D22-35C83543D92B}</b:Guid>
    <b:Title>Social License to Automate - Emerging Approaches to Demand Side Management</b:Title>
    <b:Year>2021</b:Year>
    <b:Author>
      <b:Author>
        <b:NameList>
          <b:Person>
            <b:Last>Adams</b:Last>
            <b:First>Sophie</b:First>
          </b:Person>
          <b:Person>
            <b:Last>Diamond</b:Last>
            <b:First>Lisa</b:First>
          </b:Person>
          <b:Person>
            <b:Last>Esterl</b:Last>
            <b:First>Tara</b:First>
          </b:Person>
          <b:Person>
            <b:Last>Frohlich</b:Last>
            <b:First>Peter</b:First>
          </b:Person>
          <b:Person>
            <b:Last>Ghotge</b:Last>
            <b:First>Rishabh</b:First>
          </b:Person>
          <b:Person>
            <b:Last>Hemm</b:Last>
            <b:First>Regina</b:First>
          </b:Person>
          <b:Person>
            <b:Last>Henriksen</b:Last>
            <b:Middle>Marie</b:Middle>
            <b:First>Ida</b:First>
          </b:Person>
          <b:Person>
            <b:Last>Katzeff</b:Last>
            <b:First>Cecilia</b:First>
          </b:Person>
          <b:Person>
            <b:Last>Kuch</b:Last>
            <b:First>Declan</b:First>
          </b:Person>
          <b:Person>
            <b:Last>Michellod</b:Last>
            <b:Middle>Lancelot</b:Middle>
            <b:First>Julien</b:First>
          </b:Person>
          <b:Person>
            <b:Last>Lukszo</b:Last>
            <b:First>Zofia</b:First>
          </b:Person>
          <b:Person>
            <b:Last>Nijssen</b:Last>
            <b:First>Koen</b:First>
          </b:Person>
          <b:Person>
            <b:Last>Nystrom</b:Last>
            <b:First>Sofie</b:First>
          </b:Person>
          <b:Person>
            <b:Last>Ryghaug</b:Last>
            <b:First>Marianne</b:First>
          </b:Person>
          <b:Person>
            <b:Last>Winzer</b:Last>
            <b:First>Christian</b:First>
          </b:Person>
          <b:Person>
            <b:Last>Yilmaz</b:Last>
            <b:First>Selin</b:First>
          </b:Person>
        </b:NameList>
      </b:Author>
    </b:Author>
    <b:RefOrder>53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12e25d29-f4a8-4908-9d00-0fd219b6dff9" xsi:nil="true"/>
    <lcf76f155ced4ddcb4097134ff3c332f xmlns="5e2f252f-8900-4f4b-82b1-fdec8db9274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BAC9EC549B984F8E2AA5A6E13A8D38" ma:contentTypeVersion="16" ma:contentTypeDescription="Create a new document." ma:contentTypeScope="" ma:versionID="b9d851f7663977b0db1ddcc7e8c11ea0">
  <xsd:schema xmlns:xsd="http://www.w3.org/2001/XMLSchema" xmlns:xs="http://www.w3.org/2001/XMLSchema" xmlns:p="http://schemas.microsoft.com/office/2006/metadata/properties" xmlns:ns2="5e2f252f-8900-4f4b-82b1-fdec8db92741" xmlns:ns3="12e25d29-f4a8-4908-9d00-0fd219b6dff9" targetNamespace="http://schemas.microsoft.com/office/2006/metadata/properties" ma:root="true" ma:fieldsID="0d8f24391d016f733c361aeff3659ec1" ns2:_="" ns3:_="">
    <xsd:import namespace="5e2f252f-8900-4f4b-82b1-fdec8db92741"/>
    <xsd:import namespace="12e25d29-f4a8-4908-9d00-0fd219b6d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f252f-8900-4f4b-82b1-fdec8db92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47e0d4-9aef-413a-af31-adf2477f37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e25d29-f4a8-4908-9d00-0fd219b6df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ee86f34-f257-4106-a22c-996a8c663c00}" ma:internalName="TaxCatchAll" ma:showField="CatchAllData" ma:web="12e25d29-f4a8-4908-9d00-0fd219b6df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DE4B1E-DFD4-4E5A-8003-ED7D3F7BB2B5}">
  <ds:schemaRefs>
    <ds:schemaRef ds:uri="http://schemas.openxmlformats.org/officeDocument/2006/bibliography"/>
  </ds:schemaRefs>
</ds:datastoreItem>
</file>

<file path=customXml/itemProps2.xml><?xml version="1.0" encoding="utf-8"?>
<ds:datastoreItem xmlns:ds="http://schemas.openxmlformats.org/officeDocument/2006/customXml" ds:itemID="{C4283D36-6168-4362-BAE1-8FE4F979625D}">
  <ds:schemaRefs>
    <ds:schemaRef ds:uri="http://purl.org/dc/dcmitype/"/>
    <ds:schemaRef ds:uri="http://schemas.microsoft.com/office/2006/metadata/properties"/>
    <ds:schemaRef ds:uri="http://purl.org/dc/elements/1.1/"/>
    <ds:schemaRef ds:uri="http://www.w3.org/XML/1998/namespace"/>
    <ds:schemaRef ds:uri="http://schemas.openxmlformats.org/package/2006/metadata/core-properties"/>
    <ds:schemaRef ds:uri="http://schemas.microsoft.com/office/2006/documentManagement/types"/>
    <ds:schemaRef ds:uri="12e25d29-f4a8-4908-9d00-0fd219b6dff9"/>
    <ds:schemaRef ds:uri="5e2f252f-8900-4f4b-82b1-fdec8db92741"/>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22E6F7A3-6EE9-4E74-B81A-80B00E0EA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f252f-8900-4f4b-82b1-fdec8db92741"/>
    <ds:schemaRef ds:uri="12e25d29-f4a8-4908-9d00-0fd219b6d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E94C5-D0EF-424E-9B2A-54A4C7B28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84</Pages>
  <Words>19478</Words>
  <Characters>152211</Characters>
  <Application>Microsoft Office Word</Application>
  <DocSecurity>0</DocSecurity>
  <Lines>1268</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171347</CharactersWithSpaces>
  <SharedDoc>false</SharedDoc>
  <HLinks>
    <vt:vector size="1188" baseType="variant">
      <vt:variant>
        <vt:i4>196698</vt:i4>
      </vt:variant>
      <vt:variant>
        <vt:i4>660</vt:i4>
      </vt:variant>
      <vt:variant>
        <vt:i4>0</vt:i4>
      </vt:variant>
      <vt:variant>
        <vt:i4>5</vt:i4>
      </vt:variant>
      <vt:variant>
        <vt:lpwstr>https://www.energyconsumersaustralia.com.au/</vt:lpwstr>
      </vt:variant>
      <vt:variant>
        <vt:lpwstr/>
      </vt:variant>
      <vt:variant>
        <vt:i4>196698</vt:i4>
      </vt:variant>
      <vt:variant>
        <vt:i4>657</vt:i4>
      </vt:variant>
      <vt:variant>
        <vt:i4>0</vt:i4>
      </vt:variant>
      <vt:variant>
        <vt:i4>5</vt:i4>
      </vt:variant>
      <vt:variant>
        <vt:lpwstr>https://www.energyconsumersaustralia.com.au/</vt:lpwstr>
      </vt:variant>
      <vt:variant>
        <vt:lpwstr/>
      </vt:variant>
      <vt:variant>
        <vt:i4>196698</vt:i4>
      </vt:variant>
      <vt:variant>
        <vt:i4>654</vt:i4>
      </vt:variant>
      <vt:variant>
        <vt:i4>0</vt:i4>
      </vt:variant>
      <vt:variant>
        <vt:i4>5</vt:i4>
      </vt:variant>
      <vt:variant>
        <vt:lpwstr>https://www.energyconsumersaustralia.com.au/</vt:lpwstr>
      </vt:variant>
      <vt:variant>
        <vt:lpwstr/>
      </vt:variant>
      <vt:variant>
        <vt:i4>7340093</vt:i4>
      </vt:variant>
      <vt:variant>
        <vt:i4>651</vt:i4>
      </vt:variant>
      <vt:variant>
        <vt:i4>0</vt:i4>
      </vt:variant>
      <vt:variant>
        <vt:i4>5</vt:i4>
      </vt:variant>
      <vt:variant>
        <vt:lpwstr>https://doi.org/10.47568/4XR122</vt:lpwstr>
      </vt:variant>
      <vt:variant>
        <vt:lpwstr/>
      </vt:variant>
      <vt:variant>
        <vt:i4>7077988</vt:i4>
      </vt:variant>
      <vt:variant>
        <vt:i4>648</vt:i4>
      </vt:variant>
      <vt:variant>
        <vt:i4>0</vt:i4>
      </vt:variant>
      <vt:variant>
        <vt:i4>5</vt:i4>
      </vt:variant>
      <vt:variant>
        <vt:lpwstr>https://www.researchgate.net/publication/348834704_Matching_consumer_segments_to_innovative_utility_business_models</vt:lpwstr>
      </vt:variant>
      <vt:variant>
        <vt:lpwstr/>
      </vt:variant>
      <vt:variant>
        <vt:i4>2097207</vt:i4>
      </vt:variant>
      <vt:variant>
        <vt:i4>645</vt:i4>
      </vt:variant>
      <vt:variant>
        <vt:i4>0</vt:i4>
      </vt:variant>
      <vt:variant>
        <vt:i4>5</vt:i4>
      </vt:variant>
      <vt:variant>
        <vt:lpwstr>https://doi.org/10.1016/j.erss.2022.102685</vt:lpwstr>
      </vt:variant>
      <vt:variant>
        <vt:lpwstr/>
      </vt:variant>
      <vt:variant>
        <vt:i4>7864436</vt:i4>
      </vt:variant>
      <vt:variant>
        <vt:i4>642</vt:i4>
      </vt:variant>
      <vt:variant>
        <vt:i4>0</vt:i4>
      </vt:variant>
      <vt:variant>
        <vt:i4>5</vt:i4>
      </vt:variant>
      <vt:variant>
        <vt:lpwstr>https://energyconsumersaustralia.com.au/sites/default/files/wp-documents/ECBS-W13a-Oct22-Household-Toplines.pdf</vt:lpwstr>
      </vt:variant>
      <vt:variant>
        <vt:lpwstr/>
      </vt:variant>
      <vt:variant>
        <vt:i4>3211272</vt:i4>
      </vt:variant>
      <vt:variant>
        <vt:i4>639</vt:i4>
      </vt:variant>
      <vt:variant>
        <vt:i4>0</vt:i4>
      </vt:variant>
      <vt:variant>
        <vt:i4>5</vt:i4>
      </vt:variant>
      <vt:variant>
        <vt:lpwstr>https://www.energyrev.org.uk/media/1915/energyrev_what-is-local_final_202202.pdf</vt:lpwstr>
      </vt:variant>
      <vt:variant>
        <vt:lpwstr/>
      </vt:variant>
      <vt:variant>
        <vt:i4>3604589</vt:i4>
      </vt:variant>
      <vt:variant>
        <vt:i4>636</vt:i4>
      </vt:variant>
      <vt:variant>
        <vt:i4>0</vt:i4>
      </vt:variant>
      <vt:variant>
        <vt:i4>5</vt:i4>
      </vt:variant>
      <vt:variant>
        <vt:lpwstr>https://ideas.repec.org/a/eee/enepol/v147y2020ics0301421520306157.html</vt:lpwstr>
      </vt:variant>
      <vt:variant>
        <vt:lpwstr/>
      </vt:variant>
      <vt:variant>
        <vt:i4>5570591</vt:i4>
      </vt:variant>
      <vt:variant>
        <vt:i4>633</vt:i4>
      </vt:variant>
      <vt:variant>
        <vt:i4>0</vt:i4>
      </vt:variant>
      <vt:variant>
        <vt:i4>5</vt:i4>
      </vt:variant>
      <vt:variant>
        <vt:lpwstr>https://www.datocms-assets.com/32572/1657176767-esb-ssg-release-2.pdf</vt:lpwstr>
      </vt:variant>
      <vt:variant>
        <vt:lpwstr/>
      </vt:variant>
      <vt:variant>
        <vt:i4>2228285</vt:i4>
      </vt:variant>
      <vt:variant>
        <vt:i4>630</vt:i4>
      </vt:variant>
      <vt:variant>
        <vt:i4>0</vt:i4>
      </vt:variant>
      <vt:variant>
        <vt:i4>5</vt:i4>
      </vt:variant>
      <vt:variant>
        <vt:lpwstr>https://energyconsumersaustralia.com.au/news/foresighting-forum-2020-publications-and-resources</vt:lpwstr>
      </vt:variant>
      <vt:variant>
        <vt:lpwstr/>
      </vt:variant>
      <vt:variant>
        <vt:i4>1048593</vt:i4>
      </vt:variant>
      <vt:variant>
        <vt:i4>627</vt:i4>
      </vt:variant>
      <vt:variant>
        <vt:i4>0</vt:i4>
      </vt:variant>
      <vt:variant>
        <vt:i4>5</vt:i4>
      </vt:variant>
      <vt:variant>
        <vt:lpwstr>https://www.nrel.gov/docs/fy18osti/71500.pdf</vt:lpwstr>
      </vt:variant>
      <vt:variant>
        <vt:lpwstr/>
      </vt:variant>
      <vt:variant>
        <vt:i4>7209065</vt:i4>
      </vt:variant>
      <vt:variant>
        <vt:i4>624</vt:i4>
      </vt:variant>
      <vt:variant>
        <vt:i4>0</vt:i4>
      </vt:variant>
      <vt:variant>
        <vt:i4>5</vt:i4>
      </vt:variant>
      <vt:variant>
        <vt:lpwstr>https://ehq-production-australia.s3.ap-southeast-2.amazonaws.com/df7eb8ff09fb4d6ea16497fbd6b0ec6c661ccbf7/documents/attachments/000/083/130/original/SAPN_DeepDive_Future_Network_2_FINAL_REPORT.pdf</vt:lpwstr>
      </vt:variant>
      <vt:variant>
        <vt:lpwstr/>
      </vt:variant>
      <vt:variant>
        <vt:i4>721018</vt:i4>
      </vt:variant>
      <vt:variant>
        <vt:i4>621</vt:i4>
      </vt:variant>
      <vt:variant>
        <vt:i4>0</vt:i4>
      </vt:variant>
      <vt:variant>
        <vt:i4>5</vt:i4>
      </vt:variant>
      <vt:variant>
        <vt:lpwstr>https://h2020-bridge.eu/wp-content/uploads/2020/01/D3.12.f_BRIDGE-TSO-DSO-Coordination-report.pdf</vt:lpwstr>
      </vt:variant>
      <vt:variant>
        <vt:lpwstr/>
      </vt:variant>
      <vt:variant>
        <vt:i4>2293793</vt:i4>
      </vt:variant>
      <vt:variant>
        <vt:i4>618</vt:i4>
      </vt:variant>
      <vt:variant>
        <vt:i4>0</vt:i4>
      </vt:variant>
      <vt:variant>
        <vt:i4>5</vt:i4>
      </vt:variant>
      <vt:variant>
        <vt:lpwstr>https://publica.fraunhofer.de/bitstreams/1724ce77-b639-4e2e-b114-e018df1b1cb4/download</vt:lpwstr>
      </vt:variant>
      <vt:variant>
        <vt:lpwstr/>
      </vt:variant>
      <vt:variant>
        <vt:i4>2097238</vt:i4>
      </vt:variant>
      <vt:variant>
        <vt:i4>615</vt:i4>
      </vt:variant>
      <vt:variant>
        <vt:i4>0</vt:i4>
      </vt:variant>
      <vt:variant>
        <vt:i4>5</vt:i4>
      </vt:variant>
      <vt:variant>
        <vt:lpwstr>https://ontology.tno.nl/IEC_CIM/</vt:lpwstr>
      </vt:variant>
      <vt:variant>
        <vt:lpwstr/>
      </vt:variant>
      <vt:variant>
        <vt:i4>6357051</vt:i4>
      </vt:variant>
      <vt:variant>
        <vt:i4>612</vt:i4>
      </vt:variant>
      <vt:variant>
        <vt:i4>0</vt:i4>
      </vt:variant>
      <vt:variant>
        <vt:i4>5</vt:i4>
      </vt:variant>
      <vt:variant>
        <vt:lpwstr>https://www.irena.org/-/media/Files/IRENA/Agency/Publication/2019/Feb/IRENA_Landscape_Future_DSOs_2019.pdf?la=en&amp;hash=EDEBEDD537DE4ED1D716F4342F2D55D890EA5B9</vt:lpwstr>
      </vt:variant>
      <vt:variant>
        <vt:lpwstr/>
      </vt:variant>
      <vt:variant>
        <vt:i4>3473434</vt:i4>
      </vt:variant>
      <vt:variant>
        <vt:i4>609</vt:i4>
      </vt:variant>
      <vt:variant>
        <vt:i4>0</vt:i4>
      </vt:variant>
      <vt:variant>
        <vt:i4>5</vt:i4>
      </vt:variant>
      <vt:variant>
        <vt:lpwstr>https://gridwiseac.org/wp-content/uploads/PNNL-35073_2024_GridArchitecture_White-Paper-PAL-final.pdf</vt:lpwstr>
      </vt:variant>
      <vt:variant>
        <vt:lpwstr/>
      </vt:variant>
      <vt:variant>
        <vt:i4>4915247</vt:i4>
      </vt:variant>
      <vt:variant>
        <vt:i4>606</vt:i4>
      </vt:variant>
      <vt:variant>
        <vt:i4>0</vt:i4>
      </vt:variant>
      <vt:variant>
        <vt:i4>5</vt:i4>
      </vt:variant>
      <vt:variant>
        <vt:lpwstr>https://www.energy.gov/sites/default/files/2024-07/47990_DOE_OE_TDC_Project_Coordination_Platform_v9_RELEASE_508.pdf</vt:lpwstr>
      </vt:variant>
      <vt:variant>
        <vt:lpwstr/>
      </vt:variant>
      <vt:variant>
        <vt:i4>5373974</vt:i4>
      </vt:variant>
      <vt:variant>
        <vt:i4>603</vt:i4>
      </vt:variant>
      <vt:variant>
        <vt:i4>0</vt:i4>
      </vt:variant>
      <vt:variant>
        <vt:i4>5</vt:i4>
      </vt:variant>
      <vt:variant>
        <vt:lpwstr>https://www.iea-isgan.org/wp-content/uploads/2022/06/ISGAN-TSO-DSO-InsightReport-2022.pdf</vt:lpwstr>
      </vt:variant>
      <vt:variant>
        <vt:lpwstr/>
      </vt:variant>
      <vt:variant>
        <vt:i4>4980844</vt:i4>
      </vt:variant>
      <vt:variant>
        <vt:i4>600</vt:i4>
      </vt:variant>
      <vt:variant>
        <vt:i4>0</vt:i4>
      </vt:variant>
      <vt:variant>
        <vt:i4>5</vt:i4>
      </vt:variant>
      <vt:variant>
        <vt:lpwstr>https://www.iea-isgan.org/flexibility-harvesting-and-its-impact-on-stakeholder-interaction_key-messages/</vt:lpwstr>
      </vt:variant>
      <vt:variant>
        <vt:lpwstr/>
      </vt:variant>
      <vt:variant>
        <vt:i4>4128877</vt:i4>
      </vt:variant>
      <vt:variant>
        <vt:i4>597</vt:i4>
      </vt:variant>
      <vt:variant>
        <vt:i4>0</vt:i4>
      </vt:variant>
      <vt:variant>
        <vt:i4>5</vt:i4>
      </vt:variant>
      <vt:variant>
        <vt:lpwstr>https://www.ieso.ca/-/media/Files/IESO/Document-Library/engage/tdwg/TDWG-20231214-T-D-Coordination-to-Support-Reliable-Performance-of-BPS-with-DER-Integration.pdf</vt:lpwstr>
      </vt:variant>
      <vt:variant>
        <vt:lpwstr/>
      </vt:variant>
      <vt:variant>
        <vt:i4>73</vt:i4>
      </vt:variant>
      <vt:variant>
        <vt:i4>594</vt:i4>
      </vt:variant>
      <vt:variant>
        <vt:i4>0</vt:i4>
      </vt:variant>
      <vt:variant>
        <vt:i4>5</vt:i4>
      </vt:variant>
      <vt:variant>
        <vt:lpwstr>https://www.ieso.ca/-/media/Files/IESO/Document-Library/engage/Engagement-Updates/ieso-engagement-updates-April-2024.pdf</vt:lpwstr>
      </vt:variant>
      <vt:variant>
        <vt:lpwstr/>
      </vt:variant>
      <vt:variant>
        <vt:i4>917570</vt:i4>
      </vt:variant>
      <vt:variant>
        <vt:i4>591</vt:i4>
      </vt:variant>
      <vt:variant>
        <vt:i4>0</vt:i4>
      </vt:variant>
      <vt:variant>
        <vt:i4>5</vt:i4>
      </vt:variant>
      <vt:variant>
        <vt:lpwstr>https://www.iea-isgan.org/wp-content/uploads/2024/07/ISGAN_Aggregator_final.pdf</vt:lpwstr>
      </vt:variant>
      <vt:variant>
        <vt:lpwstr/>
      </vt:variant>
      <vt:variant>
        <vt:i4>3145776</vt:i4>
      </vt:variant>
      <vt:variant>
        <vt:i4>588</vt:i4>
      </vt:variant>
      <vt:variant>
        <vt:i4>0</vt:i4>
      </vt:variant>
      <vt:variant>
        <vt:i4>5</vt:i4>
      </vt:variant>
      <vt:variant>
        <vt:lpwstr>https://www.energynetworks.org/assets/images/primacy-rules-for-eso-dno-coordination-increment-2-v1.0-published.pdf</vt:lpwstr>
      </vt:variant>
      <vt:variant>
        <vt:lpwstr/>
      </vt:variant>
      <vt:variant>
        <vt:i4>1769477</vt:i4>
      </vt:variant>
      <vt:variant>
        <vt:i4>585</vt:i4>
      </vt:variant>
      <vt:variant>
        <vt:i4>0</vt:i4>
      </vt:variant>
      <vt:variant>
        <vt:i4>5</vt:i4>
      </vt:variant>
      <vt:variant>
        <vt:lpwstr>https://www.energy.gov/sites/default/files/2024-12/Sourcing DER for Dist Services final 12.17.24.pdf</vt:lpwstr>
      </vt:variant>
      <vt:variant>
        <vt:lpwstr/>
      </vt:variant>
      <vt:variant>
        <vt:i4>4784212</vt:i4>
      </vt:variant>
      <vt:variant>
        <vt:i4>582</vt:i4>
      </vt:variant>
      <vt:variant>
        <vt:i4>0</vt:i4>
      </vt:variant>
      <vt:variant>
        <vt:i4>5</vt:i4>
      </vt:variant>
      <vt:variant>
        <vt:lpwstr>https://energyconsumersaustralia.com.au/our-work/research/social-licence-for-control-of-distributed-energy-resources</vt:lpwstr>
      </vt:variant>
      <vt:variant>
        <vt:lpwstr/>
      </vt:variant>
      <vt:variant>
        <vt:i4>7405660</vt:i4>
      </vt:variant>
      <vt:variant>
        <vt:i4>579</vt:i4>
      </vt:variant>
      <vt:variant>
        <vt:i4>0</vt:i4>
      </vt:variant>
      <vt:variant>
        <vt:i4>5</vt:i4>
      </vt:variant>
      <vt:variant>
        <vt:lpwstr>https://www.energynetworks.com.au/assets/uploads/roadmap_interim_report_final.pdf</vt:lpwstr>
      </vt:variant>
      <vt:variant>
        <vt:lpwstr/>
      </vt:variant>
      <vt:variant>
        <vt:i4>8061042</vt:i4>
      </vt:variant>
      <vt:variant>
        <vt:i4>576</vt:i4>
      </vt:variant>
      <vt:variant>
        <vt:i4>0</vt:i4>
      </vt:variant>
      <vt:variant>
        <vt:i4>5</vt:i4>
      </vt:variant>
      <vt:variant>
        <vt:lpwstr>https://arena.gov.au/assets/2021/07/upowr-customer-segmentation-research-and-design-for-orchestration-programs.pdf</vt:lpwstr>
      </vt:variant>
      <vt:variant>
        <vt:lpwstr/>
      </vt:variant>
      <vt:variant>
        <vt:i4>7077939</vt:i4>
      </vt:variant>
      <vt:variant>
        <vt:i4>573</vt:i4>
      </vt:variant>
      <vt:variant>
        <vt:i4>0</vt:i4>
      </vt:variant>
      <vt:variant>
        <vt:i4>5</vt:i4>
      </vt:variant>
      <vt:variant>
        <vt:lpwstr>https://energyconsumersaustralia.com.au/news/foresighting-forum-2021-system-design-webinar-your-questions-answered</vt:lpwstr>
      </vt:variant>
      <vt:variant>
        <vt:lpwstr/>
      </vt:variant>
      <vt:variant>
        <vt:i4>3932215</vt:i4>
      </vt:variant>
      <vt:variant>
        <vt:i4>570</vt:i4>
      </vt:variant>
      <vt:variant>
        <vt:i4>0</vt:i4>
      </vt:variant>
      <vt:variant>
        <vt:i4>5</vt:i4>
      </vt:variant>
      <vt:variant>
        <vt:lpwstr>https://www.ceem.unsw.edu.au/sites/default/files/documents/H4-OA-final-report-17.11.21.pdf</vt:lpwstr>
      </vt:variant>
      <vt:variant>
        <vt:lpwstr/>
      </vt:variant>
      <vt:variant>
        <vt:i4>8126577</vt:i4>
      </vt:variant>
      <vt:variant>
        <vt:i4>567</vt:i4>
      </vt:variant>
      <vt:variant>
        <vt:i4>0</vt:i4>
      </vt:variant>
      <vt:variant>
        <vt:i4>5</vt:i4>
      </vt:variant>
      <vt:variant>
        <vt:lpwstr>https://www.energy.gov/eere/articles/does-national-roadmap-grid-interactive-efficient-buildings</vt:lpwstr>
      </vt:variant>
      <vt:variant>
        <vt:lpwstr/>
      </vt:variant>
      <vt:variant>
        <vt:i4>1704005</vt:i4>
      </vt:variant>
      <vt:variant>
        <vt:i4>564</vt:i4>
      </vt:variant>
      <vt:variant>
        <vt:i4>0</vt:i4>
      </vt:variant>
      <vt:variant>
        <vt:i4>5</vt:i4>
      </vt:variant>
      <vt:variant>
        <vt:lpwstr>https://pacificenergyinstitute.org/wp-content/uploads/2021/12/PEI-Customer-Load-Management-Evolution-Revolution-12.29.21.pdf</vt:lpwstr>
      </vt:variant>
      <vt:variant>
        <vt:lpwstr/>
      </vt:variant>
      <vt:variant>
        <vt:i4>4521985</vt:i4>
      </vt:variant>
      <vt:variant>
        <vt:i4>561</vt:i4>
      </vt:variant>
      <vt:variant>
        <vt:i4>0</vt:i4>
      </vt:variant>
      <vt:variant>
        <vt:i4>5</vt:i4>
      </vt:variant>
      <vt:variant>
        <vt:lpwstr>https://energyconsumersaustralia.com.au/news/consumers-are-investors-too-wheres-their-return</vt:lpwstr>
      </vt:variant>
      <vt:variant>
        <vt:lpwstr/>
      </vt:variant>
      <vt:variant>
        <vt:i4>1376305</vt:i4>
      </vt:variant>
      <vt:variant>
        <vt:i4>558</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5374029</vt:i4>
      </vt:variant>
      <vt:variant>
        <vt:i4>555</vt:i4>
      </vt:variant>
      <vt:variant>
        <vt:i4>0</vt:i4>
      </vt:variant>
      <vt:variant>
        <vt:i4>5</vt:i4>
      </vt:variant>
      <vt:variant>
        <vt:lpwstr>https://www.datocms-assets.com/32572/1673496508-1656654591-esb_customer-insights-collaboration_synthesis-from-workshop-3.pdf</vt:lpwstr>
      </vt:variant>
      <vt:variant>
        <vt:lpwstr/>
      </vt:variant>
      <vt:variant>
        <vt:i4>4784212</vt:i4>
      </vt:variant>
      <vt:variant>
        <vt:i4>552</vt:i4>
      </vt:variant>
      <vt:variant>
        <vt:i4>0</vt:i4>
      </vt:variant>
      <vt:variant>
        <vt:i4>5</vt:i4>
      </vt:variant>
      <vt:variant>
        <vt:lpwstr>https://energyconsumersaustralia.com.au/our-work/research/social-licence-for-control-of-distributed-energy-resources</vt:lpwstr>
      </vt:variant>
      <vt:variant>
        <vt:lpwstr/>
      </vt:variant>
      <vt:variant>
        <vt:i4>3932215</vt:i4>
      </vt:variant>
      <vt:variant>
        <vt:i4>549</vt:i4>
      </vt:variant>
      <vt:variant>
        <vt:i4>0</vt:i4>
      </vt:variant>
      <vt:variant>
        <vt:i4>5</vt:i4>
      </vt:variant>
      <vt:variant>
        <vt:lpwstr>https://www.ceem.unsw.edu.au/sites/default/files/documents/H4-OA-final-report-17.11.21.pdf</vt:lpwstr>
      </vt:variant>
      <vt:variant>
        <vt:lpwstr/>
      </vt:variant>
      <vt:variant>
        <vt:i4>8126577</vt:i4>
      </vt:variant>
      <vt:variant>
        <vt:i4>546</vt:i4>
      </vt:variant>
      <vt:variant>
        <vt:i4>0</vt:i4>
      </vt:variant>
      <vt:variant>
        <vt:i4>5</vt:i4>
      </vt:variant>
      <vt:variant>
        <vt:lpwstr>https://www.energy.gov/eere/articles/does-national-roadmap-grid-interactive-efficient-buildings</vt:lpwstr>
      </vt:variant>
      <vt:variant>
        <vt:lpwstr/>
      </vt:variant>
      <vt:variant>
        <vt:i4>3932284</vt:i4>
      </vt:variant>
      <vt:variant>
        <vt:i4>543</vt:i4>
      </vt:variant>
      <vt:variant>
        <vt:i4>0</vt:i4>
      </vt:variant>
      <vt:variant>
        <vt:i4>5</vt:i4>
      </vt:variant>
      <vt:variant>
        <vt:lpwstr>https://ourpower.org.au/wp-content/uploads/2022/02/ourPower-Booklet.pdf</vt:lpwstr>
      </vt:variant>
      <vt:variant>
        <vt:lpwstr/>
      </vt:variant>
      <vt:variant>
        <vt:i4>2949181</vt:i4>
      </vt:variant>
      <vt:variant>
        <vt:i4>540</vt:i4>
      </vt:variant>
      <vt:variant>
        <vt:i4>0</vt:i4>
      </vt:variant>
      <vt:variant>
        <vt:i4>5</vt:i4>
      </vt:variant>
      <vt:variant>
        <vt:lpwstr>https://event.utilityweek.co.uk/forum24/agenda</vt:lpwstr>
      </vt:variant>
      <vt:variant>
        <vt:lpwstr/>
      </vt:variant>
      <vt:variant>
        <vt:i4>3801206</vt:i4>
      </vt:variant>
      <vt:variant>
        <vt:i4>537</vt:i4>
      </vt:variant>
      <vt:variant>
        <vt:i4>0</vt:i4>
      </vt:variant>
      <vt:variant>
        <vt:i4>5</vt:i4>
      </vt:variant>
      <vt:variant>
        <vt:lpwstr>https://energyconsumersaustralia.com.au/publications/powerup-consumer-voices-energy-transition</vt:lpwstr>
      </vt:variant>
      <vt:variant>
        <vt:lpwstr/>
      </vt:variant>
      <vt:variant>
        <vt:i4>5439526</vt:i4>
      </vt:variant>
      <vt:variant>
        <vt:i4>534</vt:i4>
      </vt:variant>
      <vt:variant>
        <vt:i4>0</vt:i4>
      </vt:variant>
      <vt:variant>
        <vt:i4>5</vt:i4>
      </vt:variant>
      <vt:variant>
        <vt:lpwstr>https://www.racefor2030.com.au/content/uploads/21.E2.A.0189-Final-Report_Dec-2022.pdf</vt:lpwstr>
      </vt:variant>
      <vt:variant>
        <vt:lpwstr/>
      </vt:variant>
      <vt:variant>
        <vt:i4>1048608</vt:i4>
      </vt:variant>
      <vt:variant>
        <vt:i4>531</vt:i4>
      </vt:variant>
      <vt:variant>
        <vt:i4>0</vt:i4>
      </vt:variant>
      <vt:variant>
        <vt:i4>5</vt:i4>
      </vt:variant>
      <vt:variant>
        <vt:lpwstr>https://www.monash.edu/__data/assets/pdf_file/0008/3813155/Ron-Ben-David-Submission-to-the-Select-Committee-on-Energy-Planning-and-Regulation-in-Australia-28-October-2024.pdf</vt:lpwstr>
      </vt:variant>
      <vt:variant>
        <vt:lpwstr/>
      </vt:variant>
      <vt:variant>
        <vt:i4>4325377</vt:i4>
      </vt:variant>
      <vt:variant>
        <vt:i4>528</vt:i4>
      </vt:variant>
      <vt:variant>
        <vt:i4>0</vt:i4>
      </vt:variant>
      <vt:variant>
        <vt:i4>5</vt:i4>
      </vt:variant>
      <vt:variant>
        <vt:lpwstr>https://c4net.com.au/wp-content/uploads/2022/02/Survey-Insights-Electric-Vehicle-Charging-Preferences-of-Australian-Consumers.pdf</vt:lpwstr>
      </vt:variant>
      <vt:variant>
        <vt:lpwstr/>
      </vt:variant>
      <vt:variant>
        <vt:i4>7077939</vt:i4>
      </vt:variant>
      <vt:variant>
        <vt:i4>525</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522</vt:i4>
      </vt:variant>
      <vt:variant>
        <vt:i4>0</vt:i4>
      </vt:variant>
      <vt:variant>
        <vt:i4>5</vt:i4>
      </vt:variant>
      <vt:variant>
        <vt:lpwstr>https://www.utupub.fi/bitstream/handle/10024/160647/FFRC-publication_1-2019-rev.pdf</vt:lpwstr>
      </vt:variant>
      <vt:variant>
        <vt:lpwstr/>
      </vt:variant>
      <vt:variant>
        <vt:i4>1769476</vt:i4>
      </vt:variant>
      <vt:variant>
        <vt:i4>519</vt:i4>
      </vt:variant>
      <vt:variant>
        <vt:i4>0</vt:i4>
      </vt:variant>
      <vt:variant>
        <vt:i4>5</vt:i4>
      </vt:variant>
      <vt:variant>
        <vt:lpwstr>https://energyconsumersaustralia.com.au/publications/submission-on-the-aer-draft-consumer-vulnerability-strategy</vt:lpwstr>
      </vt:variant>
      <vt:variant>
        <vt:lpwstr/>
      </vt:variant>
      <vt:variant>
        <vt:i4>3932215</vt:i4>
      </vt:variant>
      <vt:variant>
        <vt:i4>516</vt:i4>
      </vt:variant>
      <vt:variant>
        <vt:i4>0</vt:i4>
      </vt:variant>
      <vt:variant>
        <vt:i4>5</vt:i4>
      </vt:variant>
      <vt:variant>
        <vt:lpwstr>https://www.ceem.unsw.edu.au/sites/default/files/documents/H4-OA-final-report-17.11.21.pdf</vt:lpwstr>
      </vt:variant>
      <vt:variant>
        <vt:lpwstr/>
      </vt:variant>
      <vt:variant>
        <vt:i4>8126577</vt:i4>
      </vt:variant>
      <vt:variant>
        <vt:i4>513</vt:i4>
      </vt:variant>
      <vt:variant>
        <vt:i4>0</vt:i4>
      </vt:variant>
      <vt:variant>
        <vt:i4>5</vt:i4>
      </vt:variant>
      <vt:variant>
        <vt:lpwstr>https://www.energy.gov/eere/articles/does-national-roadmap-grid-interactive-efficient-buildings</vt:lpwstr>
      </vt:variant>
      <vt:variant>
        <vt:lpwstr/>
      </vt:variant>
      <vt:variant>
        <vt:i4>7602286</vt:i4>
      </vt:variant>
      <vt:variant>
        <vt:i4>510</vt:i4>
      </vt:variant>
      <vt:variant>
        <vt:i4>0</vt:i4>
      </vt:variant>
      <vt:variant>
        <vt:i4>5</vt:i4>
      </vt:variant>
      <vt:variant>
        <vt:lpwstr>https://energyconsumersaustralia.com.au/wp-content/uploads/Energy-Consumers-Australia-Strategic-Plan-2021-2024.pdf</vt:lpwstr>
      </vt:variant>
      <vt:variant>
        <vt:lpwstr/>
      </vt:variant>
      <vt:variant>
        <vt:i4>3735595</vt:i4>
      </vt:variant>
      <vt:variant>
        <vt:i4>507</vt:i4>
      </vt:variant>
      <vt:variant>
        <vt:i4>0</vt:i4>
      </vt:variant>
      <vt:variant>
        <vt:i4>5</vt:i4>
      </vt:variant>
      <vt:variant>
        <vt:lpwstr>https://www.eec.org.au/uploads/Projects/Demanding better - A reform agenda.pdf</vt:lpwstr>
      </vt:variant>
      <vt:variant>
        <vt:lpwstr/>
      </vt:variant>
      <vt:variant>
        <vt:i4>5439526</vt:i4>
      </vt:variant>
      <vt:variant>
        <vt:i4>504</vt:i4>
      </vt:variant>
      <vt:variant>
        <vt:i4>0</vt:i4>
      </vt:variant>
      <vt:variant>
        <vt:i4>5</vt:i4>
      </vt:variant>
      <vt:variant>
        <vt:lpwstr>https://www.racefor2030.com.au/content/uploads/21.E2.A.0189-Final-Report_Dec-2022.pdf</vt:lpwstr>
      </vt:variant>
      <vt:variant>
        <vt:lpwstr/>
      </vt:variant>
      <vt:variant>
        <vt:i4>4784212</vt:i4>
      </vt:variant>
      <vt:variant>
        <vt:i4>501</vt:i4>
      </vt:variant>
      <vt:variant>
        <vt:i4>0</vt:i4>
      </vt:variant>
      <vt:variant>
        <vt:i4>5</vt:i4>
      </vt:variant>
      <vt:variant>
        <vt:lpwstr>https://energyconsumersaustralia.com.au/our-work/research/social-licence-for-control-of-distributed-energy-resources</vt:lpwstr>
      </vt:variant>
      <vt:variant>
        <vt:lpwstr/>
      </vt:variant>
      <vt:variant>
        <vt:i4>5636169</vt:i4>
      </vt:variant>
      <vt:variant>
        <vt:i4>498</vt:i4>
      </vt:variant>
      <vt:variant>
        <vt:i4>0</vt:i4>
      </vt:variant>
      <vt:variant>
        <vt:i4>5</vt:i4>
      </vt:variant>
      <vt:variant>
        <vt:lpwstr>https://arena.gov.au/assets/2018/08/demand-response-consumer-insights-report.pdf</vt:lpwstr>
      </vt:variant>
      <vt:variant>
        <vt:lpwstr/>
      </vt:variant>
      <vt:variant>
        <vt:i4>7929964</vt:i4>
      </vt:variant>
      <vt:variant>
        <vt:i4>495</vt:i4>
      </vt:variant>
      <vt:variant>
        <vt:i4>0</vt:i4>
      </vt:variant>
      <vt:variant>
        <vt:i4>5</vt:i4>
      </vt:variant>
      <vt:variant>
        <vt:lpwstr>https://www.caltech.edu/about/news/ce10-energy-global-warming-solutions</vt:lpwstr>
      </vt:variant>
      <vt:variant>
        <vt:lpwstr/>
      </vt:variant>
      <vt:variant>
        <vt:i4>720981</vt:i4>
      </vt:variant>
      <vt:variant>
        <vt:i4>492</vt:i4>
      </vt:variant>
      <vt:variant>
        <vt:i4>0</vt:i4>
      </vt:variant>
      <vt:variant>
        <vt:i4>5</vt:i4>
      </vt:variant>
      <vt:variant>
        <vt:lpwstr>https://www.originenergy.com.au/about/investors-media/origin-ceo-frank-calabria-and-origin-cfo-lawrie-tremaine-present-origins-strategy-refresh/</vt:lpwstr>
      </vt:variant>
      <vt:variant>
        <vt:lpwstr/>
      </vt:variant>
      <vt:variant>
        <vt:i4>131100</vt:i4>
      </vt:variant>
      <vt:variant>
        <vt:i4>489</vt:i4>
      </vt:variant>
      <vt:variant>
        <vt:i4>0</vt:i4>
      </vt:variant>
      <vt:variant>
        <vt:i4>5</vt:i4>
      </vt:variant>
      <vt:variant>
        <vt:lpwstr>https://energyconsumersaustralia.com.au/our-work/research/consumer-values-expectations-needs</vt:lpwstr>
      </vt:variant>
      <vt:variant>
        <vt:lpwstr/>
      </vt:variant>
      <vt:variant>
        <vt:i4>5374029</vt:i4>
      </vt:variant>
      <vt:variant>
        <vt:i4>486</vt:i4>
      </vt:variant>
      <vt:variant>
        <vt:i4>0</vt:i4>
      </vt:variant>
      <vt:variant>
        <vt:i4>5</vt:i4>
      </vt:variant>
      <vt:variant>
        <vt:lpwstr>https://www.datocms-assets.com/32572/1673496508-1656654591-esb_customer-insights-collaboration_synthesis-from-workshop-3.pdf</vt:lpwstr>
      </vt:variant>
      <vt:variant>
        <vt:lpwstr/>
      </vt:variant>
      <vt:variant>
        <vt:i4>7405660</vt:i4>
      </vt:variant>
      <vt:variant>
        <vt:i4>483</vt:i4>
      </vt:variant>
      <vt:variant>
        <vt:i4>0</vt:i4>
      </vt:variant>
      <vt:variant>
        <vt:i4>5</vt:i4>
      </vt:variant>
      <vt:variant>
        <vt:lpwstr>https://www.energynetworks.com.au/assets/uploads/roadmap_interim_report_final.pdf</vt:lpwstr>
      </vt:variant>
      <vt:variant>
        <vt:lpwstr/>
      </vt:variant>
      <vt:variant>
        <vt:i4>4325377</vt:i4>
      </vt:variant>
      <vt:variant>
        <vt:i4>480</vt:i4>
      </vt:variant>
      <vt:variant>
        <vt:i4>0</vt:i4>
      </vt:variant>
      <vt:variant>
        <vt:i4>5</vt:i4>
      </vt:variant>
      <vt:variant>
        <vt:lpwstr>https://c4net.com.au/wp-content/uploads/2022/02/Survey-Insights-Electric-Vehicle-Charging-Preferences-of-Australian-Consumers.pdf</vt:lpwstr>
      </vt:variant>
      <vt:variant>
        <vt:lpwstr/>
      </vt:variant>
      <vt:variant>
        <vt:i4>8061042</vt:i4>
      </vt:variant>
      <vt:variant>
        <vt:i4>477</vt:i4>
      </vt:variant>
      <vt:variant>
        <vt:i4>0</vt:i4>
      </vt:variant>
      <vt:variant>
        <vt:i4>5</vt:i4>
      </vt:variant>
      <vt:variant>
        <vt:lpwstr>https://arena.gov.au/assets/2021/07/upowr-customer-segmentation-research-and-design-for-orchestration-programs.pdf</vt:lpwstr>
      </vt:variant>
      <vt:variant>
        <vt:lpwstr/>
      </vt:variant>
      <vt:variant>
        <vt:i4>7077939</vt:i4>
      </vt:variant>
      <vt:variant>
        <vt:i4>474</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471</vt:i4>
      </vt:variant>
      <vt:variant>
        <vt:i4>0</vt:i4>
      </vt:variant>
      <vt:variant>
        <vt:i4>5</vt:i4>
      </vt:variant>
      <vt:variant>
        <vt:lpwstr>https://www.utupub.fi/bitstream/handle/10024/160647/FFRC-publication_1-2019-rev.pdf</vt:lpwstr>
      </vt:variant>
      <vt:variant>
        <vt:lpwstr/>
      </vt:variant>
      <vt:variant>
        <vt:i4>7864436</vt:i4>
      </vt:variant>
      <vt:variant>
        <vt:i4>468</vt:i4>
      </vt:variant>
      <vt:variant>
        <vt:i4>0</vt:i4>
      </vt:variant>
      <vt:variant>
        <vt:i4>5</vt:i4>
      </vt:variant>
      <vt:variant>
        <vt:lpwstr>https://energyconsumersaustralia.com.au/sites/default/files/wp-documents/ECBS-W13a-Oct22-Household-Toplines.pdf</vt:lpwstr>
      </vt:variant>
      <vt:variant>
        <vt:lpwstr/>
      </vt:variant>
      <vt:variant>
        <vt:i4>1769476</vt:i4>
      </vt:variant>
      <vt:variant>
        <vt:i4>465</vt:i4>
      </vt:variant>
      <vt:variant>
        <vt:i4>0</vt:i4>
      </vt:variant>
      <vt:variant>
        <vt:i4>5</vt:i4>
      </vt:variant>
      <vt:variant>
        <vt:lpwstr>https://energyconsumersaustralia.com.au/publications/submission-on-the-aer-draft-consumer-vulnerability-strategy</vt:lpwstr>
      </vt:variant>
      <vt:variant>
        <vt:lpwstr/>
      </vt:variant>
      <vt:variant>
        <vt:i4>3735598</vt:i4>
      </vt:variant>
      <vt:variant>
        <vt:i4>462</vt:i4>
      </vt:variant>
      <vt:variant>
        <vt:i4>0</vt:i4>
      </vt:variant>
      <vt:variant>
        <vt:i4>5</vt:i4>
      </vt:variant>
      <vt:variant>
        <vt:lpwstr>https://www.aer.gov.au/documents/energy-consumers-australia-submission-aers-issues-paper-retailer-authorisation-and-exemptions-review-28-june-2022</vt:lpwstr>
      </vt:variant>
      <vt:variant>
        <vt:lpwstr/>
      </vt:variant>
      <vt:variant>
        <vt:i4>3932215</vt:i4>
      </vt:variant>
      <vt:variant>
        <vt:i4>459</vt:i4>
      </vt:variant>
      <vt:variant>
        <vt:i4>0</vt:i4>
      </vt:variant>
      <vt:variant>
        <vt:i4>5</vt:i4>
      </vt:variant>
      <vt:variant>
        <vt:lpwstr>https://www.ceem.unsw.edu.au/sites/default/files/documents/H4-OA-final-report-17.11.21.pdf</vt:lpwstr>
      </vt:variant>
      <vt:variant>
        <vt:lpwstr/>
      </vt:variant>
      <vt:variant>
        <vt:i4>8126577</vt:i4>
      </vt:variant>
      <vt:variant>
        <vt:i4>456</vt:i4>
      </vt:variant>
      <vt:variant>
        <vt:i4>0</vt:i4>
      </vt:variant>
      <vt:variant>
        <vt:i4>5</vt:i4>
      </vt:variant>
      <vt:variant>
        <vt:lpwstr>https://www.energy.gov/eere/articles/does-national-roadmap-grid-interactive-efficient-buildings</vt:lpwstr>
      </vt:variant>
      <vt:variant>
        <vt:lpwstr/>
      </vt:variant>
      <vt:variant>
        <vt:i4>917565</vt:i4>
      </vt:variant>
      <vt:variant>
        <vt:i4>453</vt:i4>
      </vt:variant>
      <vt:variant>
        <vt:i4>0</vt:i4>
      </vt:variant>
      <vt:variant>
        <vt:i4>5</vt:i4>
      </vt:variant>
      <vt:variant>
        <vt:lpwstr>https://www.monash.edu/__data/assets/pdf_file/0006/2380785/Ron-Ben-David-Response-to-Consultation-on-Post-2025-19-October-2020.pdf</vt:lpwstr>
      </vt:variant>
      <vt:variant>
        <vt:lpwstr/>
      </vt:variant>
      <vt:variant>
        <vt:i4>7602286</vt:i4>
      </vt:variant>
      <vt:variant>
        <vt:i4>450</vt:i4>
      </vt:variant>
      <vt:variant>
        <vt:i4>0</vt:i4>
      </vt:variant>
      <vt:variant>
        <vt:i4>5</vt:i4>
      </vt:variant>
      <vt:variant>
        <vt:lpwstr>https://energyconsumersaustralia.com.au/wp-content/uploads/Energy-Consumers-Australia-Strategic-Plan-2021-2024.pdf</vt:lpwstr>
      </vt:variant>
      <vt:variant>
        <vt:lpwstr/>
      </vt:variant>
      <vt:variant>
        <vt:i4>3932284</vt:i4>
      </vt:variant>
      <vt:variant>
        <vt:i4>447</vt:i4>
      </vt:variant>
      <vt:variant>
        <vt:i4>0</vt:i4>
      </vt:variant>
      <vt:variant>
        <vt:i4>5</vt:i4>
      </vt:variant>
      <vt:variant>
        <vt:lpwstr>https://ourpower.org.au/wp-content/uploads/2022/02/ourPower-Booklet.pdf</vt:lpwstr>
      </vt:variant>
      <vt:variant>
        <vt:lpwstr/>
      </vt:variant>
      <vt:variant>
        <vt:i4>1704005</vt:i4>
      </vt:variant>
      <vt:variant>
        <vt:i4>444</vt:i4>
      </vt:variant>
      <vt:variant>
        <vt:i4>0</vt:i4>
      </vt:variant>
      <vt:variant>
        <vt:i4>5</vt:i4>
      </vt:variant>
      <vt:variant>
        <vt:lpwstr>https://pacificenergyinstitute.org/wp-content/uploads/2021/12/PEI-Customer-Load-Management-Evolution-Revolution-12.29.21.pdf</vt:lpwstr>
      </vt:variant>
      <vt:variant>
        <vt:lpwstr/>
      </vt:variant>
      <vt:variant>
        <vt:i4>1376305</vt:i4>
      </vt:variant>
      <vt:variant>
        <vt:i4>441</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5439526</vt:i4>
      </vt:variant>
      <vt:variant>
        <vt:i4>438</vt:i4>
      </vt:variant>
      <vt:variant>
        <vt:i4>0</vt:i4>
      </vt:variant>
      <vt:variant>
        <vt:i4>5</vt:i4>
      </vt:variant>
      <vt:variant>
        <vt:lpwstr>https://www.racefor2030.com.au/content/uploads/21.E2.A.0189-Final-Report_Dec-2022.pdf</vt:lpwstr>
      </vt:variant>
      <vt:variant>
        <vt:lpwstr/>
      </vt:variant>
      <vt:variant>
        <vt:i4>3735595</vt:i4>
      </vt:variant>
      <vt:variant>
        <vt:i4>435</vt:i4>
      </vt:variant>
      <vt:variant>
        <vt:i4>0</vt:i4>
      </vt:variant>
      <vt:variant>
        <vt:i4>5</vt:i4>
      </vt:variant>
      <vt:variant>
        <vt:lpwstr>https://www.eec.org.au/uploads/Projects/Demanding better - A reform agenda.pdf</vt:lpwstr>
      </vt:variant>
      <vt:variant>
        <vt:lpwstr/>
      </vt:variant>
      <vt:variant>
        <vt:i4>5570591</vt:i4>
      </vt:variant>
      <vt:variant>
        <vt:i4>432</vt:i4>
      </vt:variant>
      <vt:variant>
        <vt:i4>0</vt:i4>
      </vt:variant>
      <vt:variant>
        <vt:i4>5</vt:i4>
      </vt:variant>
      <vt:variant>
        <vt:lpwstr>https://www.datocms-assets.com/32572/1657176767-esb-ssg-release-2.pdf</vt:lpwstr>
      </vt:variant>
      <vt:variant>
        <vt:lpwstr/>
      </vt:variant>
      <vt:variant>
        <vt:i4>4784212</vt:i4>
      </vt:variant>
      <vt:variant>
        <vt:i4>429</vt:i4>
      </vt:variant>
      <vt:variant>
        <vt:i4>0</vt:i4>
      </vt:variant>
      <vt:variant>
        <vt:i4>5</vt:i4>
      </vt:variant>
      <vt:variant>
        <vt:lpwstr>https://energyconsumersaustralia.com.au/our-work/research/social-licence-for-control-of-distributed-energy-resources</vt:lpwstr>
      </vt:variant>
      <vt:variant>
        <vt:lpwstr/>
      </vt:variant>
      <vt:variant>
        <vt:i4>4194426</vt:i4>
      </vt:variant>
      <vt:variant>
        <vt:i4>426</vt:i4>
      </vt:variant>
      <vt:variant>
        <vt:i4>0</vt:i4>
      </vt:variant>
      <vt:variant>
        <vt:i4>5</vt:i4>
      </vt:variant>
      <vt:variant>
        <vt:lpwstr>https://www.acoss.org.au/wp-content/uploads/2021/02/NEC_Consultation-Draft-V.5-04122020.pdf</vt:lpwstr>
      </vt:variant>
      <vt:variant>
        <vt:lpwstr/>
      </vt:variant>
      <vt:variant>
        <vt:i4>8061042</vt:i4>
      </vt:variant>
      <vt:variant>
        <vt:i4>423</vt:i4>
      </vt:variant>
      <vt:variant>
        <vt:i4>0</vt:i4>
      </vt:variant>
      <vt:variant>
        <vt:i4>5</vt:i4>
      </vt:variant>
      <vt:variant>
        <vt:lpwstr>https://arena.gov.au/assets/2021/07/upowr-customer-segmentation-research-and-design-for-orchestration-programs.pdf</vt:lpwstr>
      </vt:variant>
      <vt:variant>
        <vt:lpwstr/>
      </vt:variant>
      <vt:variant>
        <vt:i4>7077939</vt:i4>
      </vt:variant>
      <vt:variant>
        <vt:i4>420</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417</vt:i4>
      </vt:variant>
      <vt:variant>
        <vt:i4>0</vt:i4>
      </vt:variant>
      <vt:variant>
        <vt:i4>5</vt:i4>
      </vt:variant>
      <vt:variant>
        <vt:lpwstr>https://www.utupub.fi/bitstream/handle/10024/160647/FFRC-publication_1-2019-rev.pdf</vt:lpwstr>
      </vt:variant>
      <vt:variant>
        <vt:lpwstr/>
      </vt:variant>
      <vt:variant>
        <vt:i4>1769476</vt:i4>
      </vt:variant>
      <vt:variant>
        <vt:i4>414</vt:i4>
      </vt:variant>
      <vt:variant>
        <vt:i4>0</vt:i4>
      </vt:variant>
      <vt:variant>
        <vt:i4>5</vt:i4>
      </vt:variant>
      <vt:variant>
        <vt:lpwstr>https://energyconsumersaustralia.com.au/publications/submission-on-the-aer-draft-consumer-vulnerability-strategy</vt:lpwstr>
      </vt:variant>
      <vt:variant>
        <vt:lpwstr/>
      </vt:variant>
      <vt:variant>
        <vt:i4>3735598</vt:i4>
      </vt:variant>
      <vt:variant>
        <vt:i4>411</vt:i4>
      </vt:variant>
      <vt:variant>
        <vt:i4>0</vt:i4>
      </vt:variant>
      <vt:variant>
        <vt:i4>5</vt:i4>
      </vt:variant>
      <vt:variant>
        <vt:lpwstr>https://www.aer.gov.au/documents/energy-consumers-australia-submission-aers-issues-paper-retailer-authorisation-and-exemptions-review-28-june-2022</vt:lpwstr>
      </vt:variant>
      <vt:variant>
        <vt:lpwstr/>
      </vt:variant>
      <vt:variant>
        <vt:i4>3932215</vt:i4>
      </vt:variant>
      <vt:variant>
        <vt:i4>408</vt:i4>
      </vt:variant>
      <vt:variant>
        <vt:i4>0</vt:i4>
      </vt:variant>
      <vt:variant>
        <vt:i4>5</vt:i4>
      </vt:variant>
      <vt:variant>
        <vt:lpwstr>https://www.ceem.unsw.edu.au/sites/default/files/documents/H4-OA-final-report-17.11.21.pdf</vt:lpwstr>
      </vt:variant>
      <vt:variant>
        <vt:lpwstr/>
      </vt:variant>
      <vt:variant>
        <vt:i4>917565</vt:i4>
      </vt:variant>
      <vt:variant>
        <vt:i4>405</vt:i4>
      </vt:variant>
      <vt:variant>
        <vt:i4>0</vt:i4>
      </vt:variant>
      <vt:variant>
        <vt:i4>5</vt:i4>
      </vt:variant>
      <vt:variant>
        <vt:lpwstr>https://www.monash.edu/__data/assets/pdf_file/0006/2380785/Ron-Ben-David-Response-to-Consultation-on-Post-2025-19-October-2020.pdf</vt:lpwstr>
      </vt:variant>
      <vt:variant>
        <vt:lpwstr/>
      </vt:variant>
      <vt:variant>
        <vt:i4>7602286</vt:i4>
      </vt:variant>
      <vt:variant>
        <vt:i4>402</vt:i4>
      </vt:variant>
      <vt:variant>
        <vt:i4>0</vt:i4>
      </vt:variant>
      <vt:variant>
        <vt:i4>5</vt:i4>
      </vt:variant>
      <vt:variant>
        <vt:lpwstr>https://energyconsumersaustralia.com.au/wp-content/uploads/Energy-Consumers-Australia-Strategic-Plan-2021-2024.pdf</vt:lpwstr>
      </vt:variant>
      <vt:variant>
        <vt:lpwstr/>
      </vt:variant>
      <vt:variant>
        <vt:i4>3932284</vt:i4>
      </vt:variant>
      <vt:variant>
        <vt:i4>399</vt:i4>
      </vt:variant>
      <vt:variant>
        <vt:i4>0</vt:i4>
      </vt:variant>
      <vt:variant>
        <vt:i4>5</vt:i4>
      </vt:variant>
      <vt:variant>
        <vt:lpwstr>https://ourpower.org.au/wp-content/uploads/2022/02/ourPower-Booklet.pdf</vt:lpwstr>
      </vt:variant>
      <vt:variant>
        <vt:lpwstr/>
      </vt:variant>
      <vt:variant>
        <vt:i4>1835053</vt:i4>
      </vt:variant>
      <vt:variant>
        <vt:i4>396</vt:i4>
      </vt:variant>
      <vt:variant>
        <vt:i4>0</vt:i4>
      </vt:variant>
      <vt:variant>
        <vt:i4>5</vt:i4>
      </vt:variant>
      <vt:variant>
        <vt:lpwstr>https://www.monash.edu/__data/assets/pdf_file/0007/3733441/Ron-Ben-David-What-if-the-consumer-energy-market-were-based-on-reality-rather-than-assumptions-July-2024.pdf</vt:lpwstr>
      </vt:variant>
      <vt:variant>
        <vt:lpwstr/>
      </vt:variant>
      <vt:variant>
        <vt:i4>3801206</vt:i4>
      </vt:variant>
      <vt:variant>
        <vt:i4>393</vt:i4>
      </vt:variant>
      <vt:variant>
        <vt:i4>0</vt:i4>
      </vt:variant>
      <vt:variant>
        <vt:i4>5</vt:i4>
      </vt:variant>
      <vt:variant>
        <vt:lpwstr>https://energyconsumersaustralia.com.au/publications/powerup-consumer-voices-energy-transition</vt:lpwstr>
      </vt:variant>
      <vt:variant>
        <vt:lpwstr/>
      </vt:variant>
      <vt:variant>
        <vt:i4>1376305</vt:i4>
      </vt:variant>
      <vt:variant>
        <vt:i4>390</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131074</vt:i4>
      </vt:variant>
      <vt:variant>
        <vt:i4>387</vt:i4>
      </vt:variant>
      <vt:variant>
        <vt:i4>0</vt:i4>
      </vt:variant>
      <vt:variant>
        <vt:i4>5</vt:i4>
      </vt:variant>
      <vt:variant>
        <vt:lpwstr>https://www.iea.org/reports/net-zero-by-2050</vt:lpwstr>
      </vt:variant>
      <vt:variant>
        <vt:lpwstr/>
      </vt:variant>
      <vt:variant>
        <vt:i4>3473535</vt:i4>
      </vt:variant>
      <vt:variant>
        <vt:i4>384</vt:i4>
      </vt:variant>
      <vt:variant>
        <vt:i4>0</vt:i4>
      </vt:variant>
      <vt:variant>
        <vt:i4>5</vt:i4>
      </vt:variant>
      <vt:variant>
        <vt:lpwstr>https://www3.weforum.org/docs/WEF_The_Net_Zero_Challenge.pdf</vt:lpwstr>
      </vt:variant>
      <vt:variant>
        <vt:lpwstr/>
      </vt:variant>
      <vt:variant>
        <vt:i4>4194426</vt:i4>
      </vt:variant>
      <vt:variant>
        <vt:i4>381</vt:i4>
      </vt:variant>
      <vt:variant>
        <vt:i4>0</vt:i4>
      </vt:variant>
      <vt:variant>
        <vt:i4>5</vt:i4>
      </vt:variant>
      <vt:variant>
        <vt:lpwstr>https://www.acoss.org.au/wp-content/uploads/2021/02/NEC_Consultation-Draft-V.5-04122020.pdf</vt:lpwstr>
      </vt:variant>
      <vt:variant>
        <vt:lpwstr/>
      </vt:variant>
      <vt:variant>
        <vt:i4>7405660</vt:i4>
      </vt:variant>
      <vt:variant>
        <vt:i4>378</vt:i4>
      </vt:variant>
      <vt:variant>
        <vt:i4>0</vt:i4>
      </vt:variant>
      <vt:variant>
        <vt:i4>5</vt:i4>
      </vt:variant>
      <vt:variant>
        <vt:lpwstr>https://www.energynetworks.com.au/assets/uploads/roadmap_interim_report_final.pdf</vt:lpwstr>
      </vt:variant>
      <vt:variant>
        <vt:lpwstr/>
      </vt:variant>
      <vt:variant>
        <vt:i4>6815863</vt:i4>
      </vt:variant>
      <vt:variant>
        <vt:i4>375</vt:i4>
      </vt:variant>
      <vt:variant>
        <vt:i4>0</vt:i4>
      </vt:variant>
      <vt:variant>
        <vt:i4>5</vt:i4>
      </vt:variant>
      <vt:variant>
        <vt:lpwstr>https://www.sciencedirect.com/science/article/pii/S1364032114007990</vt:lpwstr>
      </vt:variant>
      <vt:variant>
        <vt:lpwstr/>
      </vt:variant>
      <vt:variant>
        <vt:i4>4325377</vt:i4>
      </vt:variant>
      <vt:variant>
        <vt:i4>372</vt:i4>
      </vt:variant>
      <vt:variant>
        <vt:i4>0</vt:i4>
      </vt:variant>
      <vt:variant>
        <vt:i4>5</vt:i4>
      </vt:variant>
      <vt:variant>
        <vt:lpwstr>https://c4net.com.au/wp-content/uploads/2022/02/Survey-Insights-Electric-Vehicle-Charging-Preferences-of-Australian-Consumers.pdf</vt:lpwstr>
      </vt:variant>
      <vt:variant>
        <vt:lpwstr/>
      </vt:variant>
      <vt:variant>
        <vt:i4>8061042</vt:i4>
      </vt:variant>
      <vt:variant>
        <vt:i4>369</vt:i4>
      </vt:variant>
      <vt:variant>
        <vt:i4>0</vt:i4>
      </vt:variant>
      <vt:variant>
        <vt:i4>5</vt:i4>
      </vt:variant>
      <vt:variant>
        <vt:lpwstr>https://arena.gov.au/assets/2021/07/upowr-customer-segmentation-research-and-design-for-orchestration-programs.pdf</vt:lpwstr>
      </vt:variant>
      <vt:variant>
        <vt:lpwstr/>
      </vt:variant>
      <vt:variant>
        <vt:i4>2490384</vt:i4>
      </vt:variant>
      <vt:variant>
        <vt:i4>366</vt:i4>
      </vt:variant>
      <vt:variant>
        <vt:i4>0</vt:i4>
      </vt:variant>
      <vt:variant>
        <vt:i4>5</vt:i4>
      </vt:variant>
      <vt:variant>
        <vt:lpwstr>https://www.utupub.fi/bitstream/handle/10024/160647/FFRC-publication_1-2019-rev.pdf</vt:lpwstr>
      </vt:variant>
      <vt:variant>
        <vt:lpwstr/>
      </vt:variant>
      <vt:variant>
        <vt:i4>3932215</vt:i4>
      </vt:variant>
      <vt:variant>
        <vt:i4>363</vt:i4>
      </vt:variant>
      <vt:variant>
        <vt:i4>0</vt:i4>
      </vt:variant>
      <vt:variant>
        <vt:i4>5</vt:i4>
      </vt:variant>
      <vt:variant>
        <vt:lpwstr>https://www.ceem.unsw.edu.au/sites/default/files/documents/H4-OA-final-report-17.11.21.pdf</vt:lpwstr>
      </vt:variant>
      <vt:variant>
        <vt:lpwstr/>
      </vt:variant>
      <vt:variant>
        <vt:i4>3932284</vt:i4>
      </vt:variant>
      <vt:variant>
        <vt:i4>360</vt:i4>
      </vt:variant>
      <vt:variant>
        <vt:i4>0</vt:i4>
      </vt:variant>
      <vt:variant>
        <vt:i4>5</vt:i4>
      </vt:variant>
      <vt:variant>
        <vt:lpwstr>https://ourpower.org.au/wp-content/uploads/2022/02/ourPower-Booklet.pdf</vt:lpwstr>
      </vt:variant>
      <vt:variant>
        <vt:lpwstr/>
      </vt:variant>
      <vt:variant>
        <vt:i4>3735595</vt:i4>
      </vt:variant>
      <vt:variant>
        <vt:i4>357</vt:i4>
      </vt:variant>
      <vt:variant>
        <vt:i4>0</vt:i4>
      </vt:variant>
      <vt:variant>
        <vt:i4>5</vt:i4>
      </vt:variant>
      <vt:variant>
        <vt:lpwstr>https://www.eec.org.au/uploads/Projects/Demanding better - A reform agenda.pdf</vt:lpwstr>
      </vt:variant>
      <vt:variant>
        <vt:lpwstr/>
      </vt:variant>
      <vt:variant>
        <vt:i4>6291574</vt:i4>
      </vt:variant>
      <vt:variant>
        <vt:i4>354</vt:i4>
      </vt:variant>
      <vt:variant>
        <vt:i4>0</vt:i4>
      </vt:variant>
      <vt:variant>
        <vt:i4>5</vt:i4>
      </vt:variant>
      <vt:variant>
        <vt:lpwstr>https://energyconsumersaustralia.com.au/about-us/three-year-plan-25-28</vt:lpwstr>
      </vt:variant>
      <vt:variant>
        <vt:lpwstr/>
      </vt:variant>
      <vt:variant>
        <vt:i4>8061042</vt:i4>
      </vt:variant>
      <vt:variant>
        <vt:i4>351</vt:i4>
      </vt:variant>
      <vt:variant>
        <vt:i4>0</vt:i4>
      </vt:variant>
      <vt:variant>
        <vt:i4>5</vt:i4>
      </vt:variant>
      <vt:variant>
        <vt:lpwstr>https://arena.gov.au/assets/2021/07/upowr-customer-segmentation-research-and-design-for-orchestration-programs.pdf</vt:lpwstr>
      </vt:variant>
      <vt:variant>
        <vt:lpwstr/>
      </vt:variant>
      <vt:variant>
        <vt:i4>1704005</vt:i4>
      </vt:variant>
      <vt:variant>
        <vt:i4>348</vt:i4>
      </vt:variant>
      <vt:variant>
        <vt:i4>0</vt:i4>
      </vt:variant>
      <vt:variant>
        <vt:i4>5</vt:i4>
      </vt:variant>
      <vt:variant>
        <vt:lpwstr>https://pacificenergyinstitute.org/wp-content/uploads/2021/12/PEI-Customer-Load-Management-Evolution-Revolution-12.29.21.pdf</vt:lpwstr>
      </vt:variant>
      <vt:variant>
        <vt:lpwstr/>
      </vt:variant>
      <vt:variant>
        <vt:i4>7077939</vt:i4>
      </vt:variant>
      <vt:variant>
        <vt:i4>345</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342</vt:i4>
      </vt:variant>
      <vt:variant>
        <vt:i4>0</vt:i4>
      </vt:variant>
      <vt:variant>
        <vt:i4>5</vt:i4>
      </vt:variant>
      <vt:variant>
        <vt:lpwstr>https://www.utupub.fi/bitstream/handle/10024/160647/FFRC-publication_1-2019-rev.pdf</vt:lpwstr>
      </vt:variant>
      <vt:variant>
        <vt:lpwstr/>
      </vt:variant>
      <vt:variant>
        <vt:i4>7864436</vt:i4>
      </vt:variant>
      <vt:variant>
        <vt:i4>339</vt:i4>
      </vt:variant>
      <vt:variant>
        <vt:i4>0</vt:i4>
      </vt:variant>
      <vt:variant>
        <vt:i4>5</vt:i4>
      </vt:variant>
      <vt:variant>
        <vt:lpwstr>https://energyconsumersaustralia.com.au/sites/default/files/wp-documents/ECBS-W13a-Oct22-Household-Toplines.pdf</vt:lpwstr>
      </vt:variant>
      <vt:variant>
        <vt:lpwstr/>
      </vt:variant>
      <vt:variant>
        <vt:i4>1769476</vt:i4>
      </vt:variant>
      <vt:variant>
        <vt:i4>336</vt:i4>
      </vt:variant>
      <vt:variant>
        <vt:i4>0</vt:i4>
      </vt:variant>
      <vt:variant>
        <vt:i4>5</vt:i4>
      </vt:variant>
      <vt:variant>
        <vt:lpwstr>https://energyconsumersaustralia.com.au/publications/submission-on-the-aer-draft-consumer-vulnerability-strategy</vt:lpwstr>
      </vt:variant>
      <vt:variant>
        <vt:lpwstr/>
      </vt:variant>
      <vt:variant>
        <vt:i4>3735598</vt:i4>
      </vt:variant>
      <vt:variant>
        <vt:i4>333</vt:i4>
      </vt:variant>
      <vt:variant>
        <vt:i4>0</vt:i4>
      </vt:variant>
      <vt:variant>
        <vt:i4>5</vt:i4>
      </vt:variant>
      <vt:variant>
        <vt:lpwstr>https://www.aer.gov.au/documents/energy-consumers-australia-submission-aers-issues-paper-retailer-authorisation-and-exemptions-review-28-june-2022</vt:lpwstr>
      </vt:variant>
      <vt:variant>
        <vt:lpwstr/>
      </vt:variant>
      <vt:variant>
        <vt:i4>3932215</vt:i4>
      </vt:variant>
      <vt:variant>
        <vt:i4>330</vt:i4>
      </vt:variant>
      <vt:variant>
        <vt:i4>0</vt:i4>
      </vt:variant>
      <vt:variant>
        <vt:i4>5</vt:i4>
      </vt:variant>
      <vt:variant>
        <vt:lpwstr>https://www.ceem.unsw.edu.au/sites/default/files/documents/H4-OA-final-report-17.11.21.pdf</vt:lpwstr>
      </vt:variant>
      <vt:variant>
        <vt:lpwstr/>
      </vt:variant>
      <vt:variant>
        <vt:i4>8126577</vt:i4>
      </vt:variant>
      <vt:variant>
        <vt:i4>327</vt:i4>
      </vt:variant>
      <vt:variant>
        <vt:i4>0</vt:i4>
      </vt:variant>
      <vt:variant>
        <vt:i4>5</vt:i4>
      </vt:variant>
      <vt:variant>
        <vt:lpwstr>https://www.energy.gov/eere/articles/does-national-roadmap-grid-interactive-efficient-buildings</vt:lpwstr>
      </vt:variant>
      <vt:variant>
        <vt:lpwstr/>
      </vt:variant>
      <vt:variant>
        <vt:i4>7143468</vt:i4>
      </vt:variant>
      <vt:variant>
        <vt:i4>324</vt:i4>
      </vt:variant>
      <vt:variant>
        <vt:i4>0</vt:i4>
      </vt:variant>
      <vt:variant>
        <vt:i4>5</vt:i4>
      </vt:variant>
      <vt:variant>
        <vt:lpwstr>https://www.energynetworks.com.au/resources/reports/electricity-network-transformation-roadmap-interim-program-report-summary/</vt:lpwstr>
      </vt:variant>
      <vt:variant>
        <vt:lpwstr/>
      </vt:variant>
      <vt:variant>
        <vt:i4>1376305</vt:i4>
      </vt:variant>
      <vt:variant>
        <vt:i4>321</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3735595</vt:i4>
      </vt:variant>
      <vt:variant>
        <vt:i4>318</vt:i4>
      </vt:variant>
      <vt:variant>
        <vt:i4>0</vt:i4>
      </vt:variant>
      <vt:variant>
        <vt:i4>5</vt:i4>
      </vt:variant>
      <vt:variant>
        <vt:lpwstr>https://www.eec.org.au/uploads/Projects/Demanding better - A reform agenda.pdf</vt:lpwstr>
      </vt:variant>
      <vt:variant>
        <vt:lpwstr/>
      </vt:variant>
      <vt:variant>
        <vt:i4>3735601</vt:i4>
      </vt:variant>
      <vt:variant>
        <vt:i4>315</vt:i4>
      </vt:variant>
      <vt:variant>
        <vt:i4>0</vt:i4>
      </vt:variant>
      <vt:variant>
        <vt:i4>5</vt:i4>
      </vt:variant>
      <vt:variant>
        <vt:lpwstr>https://www.theenergycharter.com.au/wp-content/uploads/2020/06/Energy-Charter-Maturity-Model-March-2020.pdf</vt:lpwstr>
      </vt:variant>
      <vt:variant>
        <vt:lpwstr/>
      </vt:variant>
      <vt:variant>
        <vt:i4>3801206</vt:i4>
      </vt:variant>
      <vt:variant>
        <vt:i4>312</vt:i4>
      </vt:variant>
      <vt:variant>
        <vt:i4>0</vt:i4>
      </vt:variant>
      <vt:variant>
        <vt:i4>5</vt:i4>
      </vt:variant>
      <vt:variant>
        <vt:lpwstr>https://energyconsumersaustralia.com.au/publications/powerup-consumer-voices-energy-transition</vt:lpwstr>
      </vt:variant>
      <vt:variant>
        <vt:lpwstr/>
      </vt:variant>
      <vt:variant>
        <vt:i4>3735595</vt:i4>
      </vt:variant>
      <vt:variant>
        <vt:i4>309</vt:i4>
      </vt:variant>
      <vt:variant>
        <vt:i4>0</vt:i4>
      </vt:variant>
      <vt:variant>
        <vt:i4>5</vt:i4>
      </vt:variant>
      <vt:variant>
        <vt:lpwstr>https://www.eec.org.au/uploads/Projects/Demanding better - A reform agenda.pdf</vt:lpwstr>
      </vt:variant>
      <vt:variant>
        <vt:lpwstr/>
      </vt:variant>
      <vt:variant>
        <vt:i4>8126577</vt:i4>
      </vt:variant>
      <vt:variant>
        <vt:i4>306</vt:i4>
      </vt:variant>
      <vt:variant>
        <vt:i4>0</vt:i4>
      </vt:variant>
      <vt:variant>
        <vt:i4>5</vt:i4>
      </vt:variant>
      <vt:variant>
        <vt:lpwstr>https://www.energy.gov/eere/articles/does-national-roadmap-grid-interactive-efficient-buildings</vt:lpwstr>
      </vt:variant>
      <vt:variant>
        <vt:lpwstr/>
      </vt:variant>
      <vt:variant>
        <vt:i4>917565</vt:i4>
      </vt:variant>
      <vt:variant>
        <vt:i4>303</vt:i4>
      </vt:variant>
      <vt:variant>
        <vt:i4>0</vt:i4>
      </vt:variant>
      <vt:variant>
        <vt:i4>5</vt:i4>
      </vt:variant>
      <vt:variant>
        <vt:lpwstr>https://www.monash.edu/__data/assets/pdf_file/0006/2380785/Ron-Ben-David-Response-to-Consultation-on-Post-2025-19-October-2020.pdf</vt:lpwstr>
      </vt:variant>
      <vt:variant>
        <vt:lpwstr/>
      </vt:variant>
      <vt:variant>
        <vt:i4>7602286</vt:i4>
      </vt:variant>
      <vt:variant>
        <vt:i4>300</vt:i4>
      </vt:variant>
      <vt:variant>
        <vt:i4>0</vt:i4>
      </vt:variant>
      <vt:variant>
        <vt:i4>5</vt:i4>
      </vt:variant>
      <vt:variant>
        <vt:lpwstr>https://energyconsumersaustralia.com.au/wp-content/uploads/Energy-Consumers-Australia-Strategic-Plan-2021-2024.pdf</vt:lpwstr>
      </vt:variant>
      <vt:variant>
        <vt:lpwstr/>
      </vt:variant>
      <vt:variant>
        <vt:i4>3932284</vt:i4>
      </vt:variant>
      <vt:variant>
        <vt:i4>297</vt:i4>
      </vt:variant>
      <vt:variant>
        <vt:i4>0</vt:i4>
      </vt:variant>
      <vt:variant>
        <vt:i4>5</vt:i4>
      </vt:variant>
      <vt:variant>
        <vt:lpwstr>https://ourpower.org.au/wp-content/uploads/2022/02/ourPower-Booklet.pdf</vt:lpwstr>
      </vt:variant>
      <vt:variant>
        <vt:lpwstr/>
      </vt:variant>
      <vt:variant>
        <vt:i4>1704005</vt:i4>
      </vt:variant>
      <vt:variant>
        <vt:i4>294</vt:i4>
      </vt:variant>
      <vt:variant>
        <vt:i4>0</vt:i4>
      </vt:variant>
      <vt:variant>
        <vt:i4>5</vt:i4>
      </vt:variant>
      <vt:variant>
        <vt:lpwstr>https://pacificenergyinstitute.org/wp-content/uploads/2021/12/PEI-Customer-Load-Management-Evolution-Revolution-12.29.21.pdf</vt:lpwstr>
      </vt:variant>
      <vt:variant>
        <vt:lpwstr/>
      </vt:variant>
      <vt:variant>
        <vt:i4>7143468</vt:i4>
      </vt:variant>
      <vt:variant>
        <vt:i4>291</vt:i4>
      </vt:variant>
      <vt:variant>
        <vt:i4>0</vt:i4>
      </vt:variant>
      <vt:variant>
        <vt:i4>5</vt:i4>
      </vt:variant>
      <vt:variant>
        <vt:lpwstr>https://www.energynetworks.com.au/resources/reports/electricity-network-transformation-roadmap-interim-program-report-summary/</vt:lpwstr>
      </vt:variant>
      <vt:variant>
        <vt:lpwstr/>
      </vt:variant>
      <vt:variant>
        <vt:i4>3932258</vt:i4>
      </vt:variant>
      <vt:variant>
        <vt:i4>288</vt:i4>
      </vt:variant>
      <vt:variant>
        <vt:i4>0</vt:i4>
      </vt:variant>
      <vt:variant>
        <vt:i4>5</vt:i4>
      </vt:variant>
      <vt:variant>
        <vt:lpwstr>https://commonslibrary.parliament.uk/research-briefings/cdp-2023-0074/</vt:lpwstr>
      </vt:variant>
      <vt:variant>
        <vt:lpwstr/>
      </vt:variant>
      <vt:variant>
        <vt:i4>3407991</vt:i4>
      </vt:variant>
      <vt:variant>
        <vt:i4>285</vt:i4>
      </vt:variant>
      <vt:variant>
        <vt:i4>0</vt:i4>
      </vt:variant>
      <vt:variant>
        <vt:i4>5</vt:i4>
      </vt:variant>
      <vt:variant>
        <vt:lpwstr>https://www.csiro.au/-/media/EF/Files/Energise-insights/Insight-40-Energy-Trilemma.pdf</vt:lpwstr>
      </vt:variant>
      <vt:variant>
        <vt:lpwstr/>
      </vt:variant>
      <vt:variant>
        <vt:i4>7733296</vt:i4>
      </vt:variant>
      <vt:variant>
        <vt:i4>282</vt:i4>
      </vt:variant>
      <vt:variant>
        <vt:i4>0</vt:i4>
      </vt:variant>
      <vt:variant>
        <vt:i4>5</vt:i4>
      </vt:variant>
      <vt:variant>
        <vt:lpwstr>https://www.worldenergy.org/transition-toolkit/world-energy-trilemma-framework</vt:lpwstr>
      </vt:variant>
      <vt:variant>
        <vt:lpwstr/>
      </vt:variant>
      <vt:variant>
        <vt:i4>5046316</vt:i4>
      </vt:variant>
      <vt:variant>
        <vt:i4>255</vt:i4>
      </vt:variant>
      <vt:variant>
        <vt:i4>0</vt:i4>
      </vt:variant>
      <vt:variant>
        <vt:i4>5</vt:i4>
      </vt:variant>
      <vt:variant>
        <vt:lpwstr/>
      </vt:variant>
      <vt:variant>
        <vt:lpwstr>Figure_4</vt:lpwstr>
      </vt:variant>
      <vt:variant>
        <vt:i4>4849708</vt:i4>
      </vt:variant>
      <vt:variant>
        <vt:i4>252</vt:i4>
      </vt:variant>
      <vt:variant>
        <vt:i4>0</vt:i4>
      </vt:variant>
      <vt:variant>
        <vt:i4>5</vt:i4>
      </vt:variant>
      <vt:variant>
        <vt:lpwstr/>
      </vt:variant>
      <vt:variant>
        <vt:lpwstr>Figure_3</vt:lpwstr>
      </vt:variant>
      <vt:variant>
        <vt:i4>4325433</vt:i4>
      </vt:variant>
      <vt:variant>
        <vt:i4>249</vt:i4>
      </vt:variant>
      <vt:variant>
        <vt:i4>0</vt:i4>
      </vt:variant>
      <vt:variant>
        <vt:i4>5</vt:i4>
      </vt:variant>
      <vt:variant>
        <vt:lpwstr/>
      </vt:variant>
      <vt:variant>
        <vt:lpwstr>Ref_ECA_Sentiment_Survey_Household_2022</vt:lpwstr>
      </vt:variant>
      <vt:variant>
        <vt:i4>393301</vt:i4>
      </vt:variant>
      <vt:variant>
        <vt:i4>246</vt:i4>
      </vt:variant>
      <vt:variant>
        <vt:i4>0</vt:i4>
      </vt:variant>
      <vt:variant>
        <vt:i4>5</vt:i4>
      </vt:variant>
      <vt:variant>
        <vt:lpwstr/>
      </vt:variant>
      <vt:variant>
        <vt:lpwstr>Reference_8_1</vt:lpwstr>
      </vt:variant>
      <vt:variant>
        <vt:i4>6815817</vt:i4>
      </vt:variant>
      <vt:variant>
        <vt:i4>243</vt:i4>
      </vt:variant>
      <vt:variant>
        <vt:i4>0</vt:i4>
      </vt:variant>
      <vt:variant>
        <vt:i4>5</vt:i4>
      </vt:variant>
      <vt:variant>
        <vt:lpwstr/>
      </vt:variant>
      <vt:variant>
        <vt:lpwstr>Appendix_A</vt:lpwstr>
      </vt:variant>
      <vt:variant>
        <vt:i4>7405665</vt:i4>
      </vt:variant>
      <vt:variant>
        <vt:i4>240</vt:i4>
      </vt:variant>
      <vt:variant>
        <vt:i4>0</vt:i4>
      </vt:variant>
      <vt:variant>
        <vt:i4>5</vt:i4>
      </vt:variant>
      <vt:variant>
        <vt:lpwstr>http://www.energycatalyst.au/futuregrid</vt:lpwstr>
      </vt:variant>
      <vt:variant>
        <vt:lpwstr/>
      </vt:variant>
      <vt:variant>
        <vt:i4>6815817</vt:i4>
      </vt:variant>
      <vt:variant>
        <vt:i4>234</vt:i4>
      </vt:variant>
      <vt:variant>
        <vt:i4>0</vt:i4>
      </vt:variant>
      <vt:variant>
        <vt:i4>5</vt:i4>
      </vt:variant>
      <vt:variant>
        <vt:lpwstr/>
      </vt:variant>
      <vt:variant>
        <vt:lpwstr>Appendix_A</vt:lpwstr>
      </vt:variant>
      <vt:variant>
        <vt:i4>6226034</vt:i4>
      </vt:variant>
      <vt:variant>
        <vt:i4>222</vt:i4>
      </vt:variant>
      <vt:variant>
        <vt:i4>0</vt:i4>
      </vt:variant>
      <vt:variant>
        <vt:i4>5</vt:i4>
      </vt:variant>
      <vt:variant>
        <vt:lpwstr/>
      </vt:variant>
      <vt:variant>
        <vt:lpwstr>R_1</vt:lpwstr>
      </vt:variant>
      <vt:variant>
        <vt:i4>1507377</vt:i4>
      </vt:variant>
      <vt:variant>
        <vt:i4>212</vt:i4>
      </vt:variant>
      <vt:variant>
        <vt:i4>0</vt:i4>
      </vt:variant>
      <vt:variant>
        <vt:i4>5</vt:i4>
      </vt:variant>
      <vt:variant>
        <vt:lpwstr/>
      </vt:variant>
      <vt:variant>
        <vt:lpwstr>_Toc204156270</vt:lpwstr>
      </vt:variant>
      <vt:variant>
        <vt:i4>1441841</vt:i4>
      </vt:variant>
      <vt:variant>
        <vt:i4>206</vt:i4>
      </vt:variant>
      <vt:variant>
        <vt:i4>0</vt:i4>
      </vt:variant>
      <vt:variant>
        <vt:i4>5</vt:i4>
      </vt:variant>
      <vt:variant>
        <vt:lpwstr/>
      </vt:variant>
      <vt:variant>
        <vt:lpwstr>_Toc204156269</vt:lpwstr>
      </vt:variant>
      <vt:variant>
        <vt:i4>1441841</vt:i4>
      </vt:variant>
      <vt:variant>
        <vt:i4>200</vt:i4>
      </vt:variant>
      <vt:variant>
        <vt:i4>0</vt:i4>
      </vt:variant>
      <vt:variant>
        <vt:i4>5</vt:i4>
      </vt:variant>
      <vt:variant>
        <vt:lpwstr/>
      </vt:variant>
      <vt:variant>
        <vt:lpwstr>_Toc204156268</vt:lpwstr>
      </vt:variant>
      <vt:variant>
        <vt:i4>1441841</vt:i4>
      </vt:variant>
      <vt:variant>
        <vt:i4>194</vt:i4>
      </vt:variant>
      <vt:variant>
        <vt:i4>0</vt:i4>
      </vt:variant>
      <vt:variant>
        <vt:i4>5</vt:i4>
      </vt:variant>
      <vt:variant>
        <vt:lpwstr/>
      </vt:variant>
      <vt:variant>
        <vt:lpwstr>_Toc204156267</vt:lpwstr>
      </vt:variant>
      <vt:variant>
        <vt:i4>1441841</vt:i4>
      </vt:variant>
      <vt:variant>
        <vt:i4>188</vt:i4>
      </vt:variant>
      <vt:variant>
        <vt:i4>0</vt:i4>
      </vt:variant>
      <vt:variant>
        <vt:i4>5</vt:i4>
      </vt:variant>
      <vt:variant>
        <vt:lpwstr/>
      </vt:variant>
      <vt:variant>
        <vt:lpwstr>_Toc204156266</vt:lpwstr>
      </vt:variant>
      <vt:variant>
        <vt:i4>1441841</vt:i4>
      </vt:variant>
      <vt:variant>
        <vt:i4>182</vt:i4>
      </vt:variant>
      <vt:variant>
        <vt:i4>0</vt:i4>
      </vt:variant>
      <vt:variant>
        <vt:i4>5</vt:i4>
      </vt:variant>
      <vt:variant>
        <vt:lpwstr/>
      </vt:variant>
      <vt:variant>
        <vt:lpwstr>_Toc204156265</vt:lpwstr>
      </vt:variant>
      <vt:variant>
        <vt:i4>1441841</vt:i4>
      </vt:variant>
      <vt:variant>
        <vt:i4>176</vt:i4>
      </vt:variant>
      <vt:variant>
        <vt:i4>0</vt:i4>
      </vt:variant>
      <vt:variant>
        <vt:i4>5</vt:i4>
      </vt:variant>
      <vt:variant>
        <vt:lpwstr/>
      </vt:variant>
      <vt:variant>
        <vt:lpwstr>_Toc204156264</vt:lpwstr>
      </vt:variant>
      <vt:variant>
        <vt:i4>1507382</vt:i4>
      </vt:variant>
      <vt:variant>
        <vt:i4>167</vt:i4>
      </vt:variant>
      <vt:variant>
        <vt:i4>0</vt:i4>
      </vt:variant>
      <vt:variant>
        <vt:i4>5</vt:i4>
      </vt:variant>
      <vt:variant>
        <vt:lpwstr/>
      </vt:variant>
      <vt:variant>
        <vt:lpwstr>_Toc205362710</vt:lpwstr>
      </vt:variant>
      <vt:variant>
        <vt:i4>1441846</vt:i4>
      </vt:variant>
      <vt:variant>
        <vt:i4>161</vt:i4>
      </vt:variant>
      <vt:variant>
        <vt:i4>0</vt:i4>
      </vt:variant>
      <vt:variant>
        <vt:i4>5</vt:i4>
      </vt:variant>
      <vt:variant>
        <vt:lpwstr/>
      </vt:variant>
      <vt:variant>
        <vt:lpwstr>_Toc205362700</vt:lpwstr>
      </vt:variant>
      <vt:variant>
        <vt:i4>2031671</vt:i4>
      </vt:variant>
      <vt:variant>
        <vt:i4>155</vt:i4>
      </vt:variant>
      <vt:variant>
        <vt:i4>0</vt:i4>
      </vt:variant>
      <vt:variant>
        <vt:i4>5</vt:i4>
      </vt:variant>
      <vt:variant>
        <vt:lpwstr/>
      </vt:variant>
      <vt:variant>
        <vt:lpwstr>_Toc205362699</vt:lpwstr>
      </vt:variant>
      <vt:variant>
        <vt:i4>2031671</vt:i4>
      </vt:variant>
      <vt:variant>
        <vt:i4>149</vt:i4>
      </vt:variant>
      <vt:variant>
        <vt:i4>0</vt:i4>
      </vt:variant>
      <vt:variant>
        <vt:i4>5</vt:i4>
      </vt:variant>
      <vt:variant>
        <vt:lpwstr/>
      </vt:variant>
      <vt:variant>
        <vt:lpwstr>_Toc205362698</vt:lpwstr>
      </vt:variant>
      <vt:variant>
        <vt:i4>2031671</vt:i4>
      </vt:variant>
      <vt:variant>
        <vt:i4>143</vt:i4>
      </vt:variant>
      <vt:variant>
        <vt:i4>0</vt:i4>
      </vt:variant>
      <vt:variant>
        <vt:i4>5</vt:i4>
      </vt:variant>
      <vt:variant>
        <vt:lpwstr/>
      </vt:variant>
      <vt:variant>
        <vt:lpwstr>_Toc205362697</vt:lpwstr>
      </vt:variant>
      <vt:variant>
        <vt:i4>2031671</vt:i4>
      </vt:variant>
      <vt:variant>
        <vt:i4>137</vt:i4>
      </vt:variant>
      <vt:variant>
        <vt:i4>0</vt:i4>
      </vt:variant>
      <vt:variant>
        <vt:i4>5</vt:i4>
      </vt:variant>
      <vt:variant>
        <vt:lpwstr/>
      </vt:variant>
      <vt:variant>
        <vt:lpwstr>_Toc205362696</vt:lpwstr>
      </vt:variant>
      <vt:variant>
        <vt:i4>2031671</vt:i4>
      </vt:variant>
      <vt:variant>
        <vt:i4>131</vt:i4>
      </vt:variant>
      <vt:variant>
        <vt:i4>0</vt:i4>
      </vt:variant>
      <vt:variant>
        <vt:i4>5</vt:i4>
      </vt:variant>
      <vt:variant>
        <vt:lpwstr/>
      </vt:variant>
      <vt:variant>
        <vt:lpwstr>_Toc205362695</vt:lpwstr>
      </vt:variant>
      <vt:variant>
        <vt:i4>2031671</vt:i4>
      </vt:variant>
      <vt:variant>
        <vt:i4>125</vt:i4>
      </vt:variant>
      <vt:variant>
        <vt:i4>0</vt:i4>
      </vt:variant>
      <vt:variant>
        <vt:i4>5</vt:i4>
      </vt:variant>
      <vt:variant>
        <vt:lpwstr/>
      </vt:variant>
      <vt:variant>
        <vt:lpwstr>_Toc205362694</vt:lpwstr>
      </vt:variant>
      <vt:variant>
        <vt:i4>2031671</vt:i4>
      </vt:variant>
      <vt:variant>
        <vt:i4>119</vt:i4>
      </vt:variant>
      <vt:variant>
        <vt:i4>0</vt:i4>
      </vt:variant>
      <vt:variant>
        <vt:i4>5</vt:i4>
      </vt:variant>
      <vt:variant>
        <vt:lpwstr/>
      </vt:variant>
      <vt:variant>
        <vt:lpwstr>_Toc205362693</vt:lpwstr>
      </vt:variant>
      <vt:variant>
        <vt:i4>2031671</vt:i4>
      </vt:variant>
      <vt:variant>
        <vt:i4>113</vt:i4>
      </vt:variant>
      <vt:variant>
        <vt:i4>0</vt:i4>
      </vt:variant>
      <vt:variant>
        <vt:i4>5</vt:i4>
      </vt:variant>
      <vt:variant>
        <vt:lpwstr/>
      </vt:variant>
      <vt:variant>
        <vt:lpwstr>_Toc205362692</vt:lpwstr>
      </vt:variant>
      <vt:variant>
        <vt:i4>2031671</vt:i4>
      </vt:variant>
      <vt:variant>
        <vt:i4>107</vt:i4>
      </vt:variant>
      <vt:variant>
        <vt:i4>0</vt:i4>
      </vt:variant>
      <vt:variant>
        <vt:i4>5</vt:i4>
      </vt:variant>
      <vt:variant>
        <vt:lpwstr/>
      </vt:variant>
      <vt:variant>
        <vt:lpwstr>_Toc205362691</vt:lpwstr>
      </vt:variant>
      <vt:variant>
        <vt:i4>2031671</vt:i4>
      </vt:variant>
      <vt:variant>
        <vt:i4>101</vt:i4>
      </vt:variant>
      <vt:variant>
        <vt:i4>0</vt:i4>
      </vt:variant>
      <vt:variant>
        <vt:i4>5</vt:i4>
      </vt:variant>
      <vt:variant>
        <vt:lpwstr/>
      </vt:variant>
      <vt:variant>
        <vt:lpwstr>_Toc205362690</vt:lpwstr>
      </vt:variant>
      <vt:variant>
        <vt:i4>1966135</vt:i4>
      </vt:variant>
      <vt:variant>
        <vt:i4>95</vt:i4>
      </vt:variant>
      <vt:variant>
        <vt:i4>0</vt:i4>
      </vt:variant>
      <vt:variant>
        <vt:i4>5</vt:i4>
      </vt:variant>
      <vt:variant>
        <vt:lpwstr/>
      </vt:variant>
      <vt:variant>
        <vt:lpwstr>_Toc205362689</vt:lpwstr>
      </vt:variant>
      <vt:variant>
        <vt:i4>1966135</vt:i4>
      </vt:variant>
      <vt:variant>
        <vt:i4>89</vt:i4>
      </vt:variant>
      <vt:variant>
        <vt:i4>0</vt:i4>
      </vt:variant>
      <vt:variant>
        <vt:i4>5</vt:i4>
      </vt:variant>
      <vt:variant>
        <vt:lpwstr/>
      </vt:variant>
      <vt:variant>
        <vt:lpwstr>_Toc205362688</vt:lpwstr>
      </vt:variant>
      <vt:variant>
        <vt:i4>1966135</vt:i4>
      </vt:variant>
      <vt:variant>
        <vt:i4>83</vt:i4>
      </vt:variant>
      <vt:variant>
        <vt:i4>0</vt:i4>
      </vt:variant>
      <vt:variant>
        <vt:i4>5</vt:i4>
      </vt:variant>
      <vt:variant>
        <vt:lpwstr/>
      </vt:variant>
      <vt:variant>
        <vt:lpwstr>_Toc205362687</vt:lpwstr>
      </vt:variant>
      <vt:variant>
        <vt:i4>1966135</vt:i4>
      </vt:variant>
      <vt:variant>
        <vt:i4>77</vt:i4>
      </vt:variant>
      <vt:variant>
        <vt:i4>0</vt:i4>
      </vt:variant>
      <vt:variant>
        <vt:i4>5</vt:i4>
      </vt:variant>
      <vt:variant>
        <vt:lpwstr/>
      </vt:variant>
      <vt:variant>
        <vt:lpwstr>_Toc205362686</vt:lpwstr>
      </vt:variant>
      <vt:variant>
        <vt:i4>1966135</vt:i4>
      </vt:variant>
      <vt:variant>
        <vt:i4>71</vt:i4>
      </vt:variant>
      <vt:variant>
        <vt:i4>0</vt:i4>
      </vt:variant>
      <vt:variant>
        <vt:i4>5</vt:i4>
      </vt:variant>
      <vt:variant>
        <vt:lpwstr/>
      </vt:variant>
      <vt:variant>
        <vt:lpwstr>_Toc205362685</vt:lpwstr>
      </vt:variant>
      <vt:variant>
        <vt:i4>1966135</vt:i4>
      </vt:variant>
      <vt:variant>
        <vt:i4>65</vt:i4>
      </vt:variant>
      <vt:variant>
        <vt:i4>0</vt:i4>
      </vt:variant>
      <vt:variant>
        <vt:i4>5</vt:i4>
      </vt:variant>
      <vt:variant>
        <vt:lpwstr/>
      </vt:variant>
      <vt:variant>
        <vt:lpwstr>_Toc205362684</vt:lpwstr>
      </vt:variant>
      <vt:variant>
        <vt:i4>1966135</vt:i4>
      </vt:variant>
      <vt:variant>
        <vt:i4>59</vt:i4>
      </vt:variant>
      <vt:variant>
        <vt:i4>0</vt:i4>
      </vt:variant>
      <vt:variant>
        <vt:i4>5</vt:i4>
      </vt:variant>
      <vt:variant>
        <vt:lpwstr/>
      </vt:variant>
      <vt:variant>
        <vt:lpwstr>_Toc205362683</vt:lpwstr>
      </vt:variant>
      <vt:variant>
        <vt:i4>1966135</vt:i4>
      </vt:variant>
      <vt:variant>
        <vt:i4>53</vt:i4>
      </vt:variant>
      <vt:variant>
        <vt:i4>0</vt:i4>
      </vt:variant>
      <vt:variant>
        <vt:i4>5</vt:i4>
      </vt:variant>
      <vt:variant>
        <vt:lpwstr/>
      </vt:variant>
      <vt:variant>
        <vt:lpwstr>_Toc205362682</vt:lpwstr>
      </vt:variant>
      <vt:variant>
        <vt:i4>1966135</vt:i4>
      </vt:variant>
      <vt:variant>
        <vt:i4>47</vt:i4>
      </vt:variant>
      <vt:variant>
        <vt:i4>0</vt:i4>
      </vt:variant>
      <vt:variant>
        <vt:i4>5</vt:i4>
      </vt:variant>
      <vt:variant>
        <vt:lpwstr/>
      </vt:variant>
      <vt:variant>
        <vt:lpwstr>_Toc205362681</vt:lpwstr>
      </vt:variant>
      <vt:variant>
        <vt:i4>1966135</vt:i4>
      </vt:variant>
      <vt:variant>
        <vt:i4>41</vt:i4>
      </vt:variant>
      <vt:variant>
        <vt:i4>0</vt:i4>
      </vt:variant>
      <vt:variant>
        <vt:i4>5</vt:i4>
      </vt:variant>
      <vt:variant>
        <vt:lpwstr/>
      </vt:variant>
      <vt:variant>
        <vt:lpwstr>_Toc205362680</vt:lpwstr>
      </vt:variant>
      <vt:variant>
        <vt:i4>1114167</vt:i4>
      </vt:variant>
      <vt:variant>
        <vt:i4>35</vt:i4>
      </vt:variant>
      <vt:variant>
        <vt:i4>0</vt:i4>
      </vt:variant>
      <vt:variant>
        <vt:i4>5</vt:i4>
      </vt:variant>
      <vt:variant>
        <vt:lpwstr/>
      </vt:variant>
      <vt:variant>
        <vt:lpwstr>_Toc205362679</vt:lpwstr>
      </vt:variant>
      <vt:variant>
        <vt:i4>1114167</vt:i4>
      </vt:variant>
      <vt:variant>
        <vt:i4>29</vt:i4>
      </vt:variant>
      <vt:variant>
        <vt:i4>0</vt:i4>
      </vt:variant>
      <vt:variant>
        <vt:i4>5</vt:i4>
      </vt:variant>
      <vt:variant>
        <vt:lpwstr/>
      </vt:variant>
      <vt:variant>
        <vt:lpwstr>_Toc205362678</vt:lpwstr>
      </vt:variant>
      <vt:variant>
        <vt:i4>1114167</vt:i4>
      </vt:variant>
      <vt:variant>
        <vt:i4>23</vt:i4>
      </vt:variant>
      <vt:variant>
        <vt:i4>0</vt:i4>
      </vt:variant>
      <vt:variant>
        <vt:i4>5</vt:i4>
      </vt:variant>
      <vt:variant>
        <vt:lpwstr/>
      </vt:variant>
      <vt:variant>
        <vt:lpwstr>_Toc205362677</vt:lpwstr>
      </vt:variant>
      <vt:variant>
        <vt:i4>1114167</vt:i4>
      </vt:variant>
      <vt:variant>
        <vt:i4>17</vt:i4>
      </vt:variant>
      <vt:variant>
        <vt:i4>0</vt:i4>
      </vt:variant>
      <vt:variant>
        <vt:i4>5</vt:i4>
      </vt:variant>
      <vt:variant>
        <vt:lpwstr/>
      </vt:variant>
      <vt:variant>
        <vt:lpwstr>_Toc205362676</vt:lpwstr>
      </vt:variant>
      <vt:variant>
        <vt:i4>6094908</vt:i4>
      </vt:variant>
      <vt:variant>
        <vt:i4>12</vt:i4>
      </vt:variant>
      <vt:variant>
        <vt:i4>0</vt:i4>
      </vt:variant>
      <vt:variant>
        <vt:i4>5</vt:i4>
      </vt:variant>
      <vt:variant>
        <vt:lpwstr/>
      </vt:variant>
      <vt:variant>
        <vt:lpwstr>Ch_5</vt:lpwstr>
      </vt:variant>
      <vt:variant>
        <vt:i4>6029372</vt:i4>
      </vt:variant>
      <vt:variant>
        <vt:i4>9</vt:i4>
      </vt:variant>
      <vt:variant>
        <vt:i4>0</vt:i4>
      </vt:variant>
      <vt:variant>
        <vt:i4>5</vt:i4>
      </vt:variant>
      <vt:variant>
        <vt:lpwstr/>
      </vt:variant>
      <vt:variant>
        <vt:lpwstr>Ch_4</vt:lpwstr>
      </vt:variant>
      <vt:variant>
        <vt:i4>5963836</vt:i4>
      </vt:variant>
      <vt:variant>
        <vt:i4>6</vt:i4>
      </vt:variant>
      <vt:variant>
        <vt:i4>0</vt:i4>
      </vt:variant>
      <vt:variant>
        <vt:i4>5</vt:i4>
      </vt:variant>
      <vt:variant>
        <vt:lpwstr/>
      </vt:variant>
      <vt:variant>
        <vt:lpwstr>Ch_3</vt:lpwstr>
      </vt:variant>
      <vt:variant>
        <vt:i4>7209021</vt:i4>
      </vt:variant>
      <vt:variant>
        <vt:i4>3</vt:i4>
      </vt:variant>
      <vt:variant>
        <vt:i4>0</vt:i4>
      </vt:variant>
      <vt:variant>
        <vt:i4>5</vt:i4>
      </vt:variant>
      <vt:variant>
        <vt:lpwstr/>
      </vt:variant>
      <vt:variant>
        <vt:lpwstr>S_2_RepDevelopAppLimit</vt:lpwstr>
      </vt:variant>
      <vt:variant>
        <vt:i4>5832764</vt:i4>
      </vt:variant>
      <vt:variant>
        <vt:i4>0</vt:i4>
      </vt:variant>
      <vt:variant>
        <vt:i4>0</vt:i4>
      </vt:variant>
      <vt:variant>
        <vt:i4>5</vt:i4>
      </vt:variant>
      <vt:variant>
        <vt:lpwstr/>
      </vt:variant>
      <vt:variant>
        <vt:lpwstr>Ch_1</vt:lpwstr>
      </vt:variant>
      <vt:variant>
        <vt:i4>3080214</vt:i4>
      </vt:variant>
      <vt:variant>
        <vt:i4>18</vt:i4>
      </vt:variant>
      <vt:variant>
        <vt:i4>0</vt:i4>
      </vt:variant>
      <vt:variant>
        <vt:i4>5</vt:i4>
      </vt:variant>
      <vt:variant>
        <vt:lpwstr>mailto:eariztia@energycatalyst.au</vt:lpwstr>
      </vt:variant>
      <vt:variant>
        <vt:lpwstr/>
      </vt:variant>
      <vt:variant>
        <vt:i4>3080214</vt:i4>
      </vt:variant>
      <vt:variant>
        <vt:i4>15</vt:i4>
      </vt:variant>
      <vt:variant>
        <vt:i4>0</vt:i4>
      </vt:variant>
      <vt:variant>
        <vt:i4>5</vt:i4>
      </vt:variant>
      <vt:variant>
        <vt:lpwstr>mailto:eariztia@energycatalyst.au</vt:lpwstr>
      </vt:variant>
      <vt:variant>
        <vt:lpwstr/>
      </vt:variant>
      <vt:variant>
        <vt:i4>3932258</vt:i4>
      </vt:variant>
      <vt:variant>
        <vt:i4>12</vt:i4>
      </vt:variant>
      <vt:variant>
        <vt:i4>0</vt:i4>
      </vt:variant>
      <vt:variant>
        <vt:i4>5</vt:i4>
      </vt:variant>
      <vt:variant>
        <vt:lpwstr>https://commonslibrary.parliament.uk/research-briefings/cdp-2023-0074/</vt:lpwstr>
      </vt:variant>
      <vt:variant>
        <vt:lpwstr/>
      </vt:variant>
      <vt:variant>
        <vt:i4>3407991</vt:i4>
      </vt:variant>
      <vt:variant>
        <vt:i4>9</vt:i4>
      </vt:variant>
      <vt:variant>
        <vt:i4>0</vt:i4>
      </vt:variant>
      <vt:variant>
        <vt:i4>5</vt:i4>
      </vt:variant>
      <vt:variant>
        <vt:lpwstr>https://www.csiro.au/-/media/EF/Files/Energise-insights/Insight-40-Energy-Trilemma.pdf</vt:lpwstr>
      </vt:variant>
      <vt:variant>
        <vt:lpwstr/>
      </vt:variant>
      <vt:variant>
        <vt:i4>7733296</vt:i4>
      </vt:variant>
      <vt:variant>
        <vt:i4>6</vt:i4>
      </vt:variant>
      <vt:variant>
        <vt:i4>0</vt:i4>
      </vt:variant>
      <vt:variant>
        <vt:i4>5</vt:i4>
      </vt:variant>
      <vt:variant>
        <vt:lpwstr>https://www.worldenergy.org/transition-toolkit/world-energy-trilemma-framework</vt:lpwstr>
      </vt:variant>
      <vt:variant>
        <vt:lpwstr/>
      </vt:variant>
      <vt:variant>
        <vt:i4>6160505</vt:i4>
      </vt:variant>
      <vt:variant>
        <vt:i4>3</vt:i4>
      </vt:variant>
      <vt:variant>
        <vt:i4>0</vt:i4>
      </vt:variant>
      <vt:variant>
        <vt:i4>5</vt:i4>
      </vt:variant>
      <vt:variant>
        <vt:lpwstr>mailto:tprisk@energycatalyst.au</vt:lpwstr>
      </vt:variant>
      <vt:variant>
        <vt:lpwstr/>
      </vt:variant>
      <vt:variant>
        <vt:i4>3080214</vt:i4>
      </vt:variant>
      <vt:variant>
        <vt:i4>0</vt:i4>
      </vt:variant>
      <vt:variant>
        <vt:i4>0</vt:i4>
      </vt:variant>
      <vt:variant>
        <vt:i4>5</vt:i4>
      </vt:variant>
      <vt:variant>
        <vt:lpwstr>mailto:eariztia@energycatalyst.au</vt:lpwstr>
      </vt:variant>
      <vt:variant>
        <vt:lpwstr/>
      </vt:variant>
      <vt:variant>
        <vt:i4>1900583</vt:i4>
      </vt:variant>
      <vt:variant>
        <vt:i4>51</vt:i4>
      </vt:variant>
      <vt:variant>
        <vt:i4>0</vt:i4>
      </vt:variant>
      <vt:variant>
        <vt:i4>5</vt:i4>
      </vt:variant>
      <vt:variant>
        <vt:lpwstr/>
      </vt:variant>
      <vt:variant>
        <vt:lpwstr>Ref_8_8_Consumers_are_investors_too_24</vt:lpwstr>
      </vt:variant>
      <vt:variant>
        <vt:i4>2162814</vt:i4>
      </vt:variant>
      <vt:variant>
        <vt:i4>48</vt:i4>
      </vt:variant>
      <vt:variant>
        <vt:i4>0</vt:i4>
      </vt:variant>
      <vt:variant>
        <vt:i4>5</vt:i4>
      </vt:variant>
      <vt:variant>
        <vt:lpwstr/>
      </vt:variant>
      <vt:variant>
        <vt:lpwstr>Ref_8_8_Minimising_Consumer_Harm_22</vt:lpwstr>
      </vt:variant>
      <vt:variant>
        <vt:i4>7143445</vt:i4>
      </vt:variant>
      <vt:variant>
        <vt:i4>45</vt:i4>
      </vt:variant>
      <vt:variant>
        <vt:i4>0</vt:i4>
      </vt:variant>
      <vt:variant>
        <vt:i4>5</vt:i4>
      </vt:variant>
      <vt:variant>
        <vt:lpwstr/>
      </vt:variant>
      <vt:variant>
        <vt:lpwstr>Ref_8_7_Addressing_Waste_and_Ineff_24</vt:lpwstr>
      </vt:variant>
      <vt:variant>
        <vt:i4>524305</vt:i4>
      </vt:variant>
      <vt:variant>
        <vt:i4>42</vt:i4>
      </vt:variant>
      <vt:variant>
        <vt:i4>0</vt:i4>
      </vt:variant>
      <vt:variant>
        <vt:i4>5</vt:i4>
      </vt:variant>
      <vt:variant>
        <vt:lpwstr/>
      </vt:variant>
      <vt:variant>
        <vt:lpwstr>Ref_8_7_PowerUp_Consumer_Voices_24</vt:lpwstr>
      </vt:variant>
      <vt:variant>
        <vt:i4>6553685</vt:i4>
      </vt:variant>
      <vt:variant>
        <vt:i4>39</vt:i4>
      </vt:variant>
      <vt:variant>
        <vt:i4>0</vt:i4>
      </vt:variant>
      <vt:variant>
        <vt:i4>5</vt:i4>
      </vt:variant>
      <vt:variant>
        <vt:lpwstr/>
      </vt:variant>
      <vt:variant>
        <vt:lpwstr>Ref_8_6_Demanding_Better_A_Reform_24</vt:lpwstr>
      </vt:variant>
      <vt:variant>
        <vt:i4>5570670</vt:i4>
      </vt:variant>
      <vt:variant>
        <vt:i4>36</vt:i4>
      </vt:variant>
      <vt:variant>
        <vt:i4>0</vt:i4>
      </vt:variant>
      <vt:variant>
        <vt:i4>5</vt:i4>
      </vt:variant>
      <vt:variant>
        <vt:lpwstr/>
      </vt:variant>
      <vt:variant>
        <vt:lpwstr>Ref_8_6_Developing_Policy_for_Aus_24</vt:lpwstr>
      </vt:variant>
      <vt:variant>
        <vt:i4>6553630</vt:i4>
      </vt:variant>
      <vt:variant>
        <vt:i4>33</vt:i4>
      </vt:variant>
      <vt:variant>
        <vt:i4>0</vt:i4>
      </vt:variant>
      <vt:variant>
        <vt:i4>5</vt:i4>
      </vt:variant>
      <vt:variant>
        <vt:lpwstr/>
      </vt:variant>
      <vt:variant>
        <vt:lpwstr>Ref_8_6_Social_License_for_DER_20</vt:lpwstr>
      </vt:variant>
      <vt:variant>
        <vt:i4>2162803</vt:i4>
      </vt:variant>
      <vt:variant>
        <vt:i4>30</vt:i4>
      </vt:variant>
      <vt:variant>
        <vt:i4>0</vt:i4>
      </vt:variant>
      <vt:variant>
        <vt:i4>5</vt:i4>
      </vt:variant>
      <vt:variant>
        <vt:lpwstr/>
      </vt:variant>
      <vt:variant>
        <vt:lpwstr>Ref_8_5_Minimising_Consumer_Harm_22</vt:lpwstr>
      </vt:variant>
      <vt:variant>
        <vt:i4>393276</vt:i4>
      </vt:variant>
      <vt:variant>
        <vt:i4>27</vt:i4>
      </vt:variant>
      <vt:variant>
        <vt:i4>0</vt:i4>
      </vt:variant>
      <vt:variant>
        <vt:i4>5</vt:i4>
      </vt:variant>
      <vt:variant>
        <vt:lpwstr/>
      </vt:variant>
      <vt:variant>
        <vt:lpwstr>Ref_8_5_Develop_Policy_for_Australi_24</vt:lpwstr>
      </vt:variant>
      <vt:variant>
        <vt:i4>65585</vt:i4>
      </vt:variant>
      <vt:variant>
        <vt:i4>24</vt:i4>
      </vt:variant>
      <vt:variant>
        <vt:i4>0</vt:i4>
      </vt:variant>
      <vt:variant>
        <vt:i4>5</vt:i4>
      </vt:variant>
      <vt:variant>
        <vt:lpwstr/>
      </vt:variant>
      <vt:variant>
        <vt:lpwstr>Ref_8_4_What_if_the_Cons_En_Mkt_24</vt:lpwstr>
      </vt:variant>
      <vt:variant>
        <vt:i4>5963825</vt:i4>
      </vt:variant>
      <vt:variant>
        <vt:i4>21</vt:i4>
      </vt:variant>
      <vt:variant>
        <vt:i4>0</vt:i4>
      </vt:variant>
      <vt:variant>
        <vt:i4>5</vt:i4>
      </vt:variant>
      <vt:variant>
        <vt:lpwstr/>
      </vt:variant>
      <vt:variant>
        <vt:lpwstr>Ref_8_4_ECA_POWERUP_CON_Voices_24</vt:lpwstr>
      </vt:variant>
      <vt:variant>
        <vt:i4>6684739</vt:i4>
      </vt:variant>
      <vt:variant>
        <vt:i4>18</vt:i4>
      </vt:variant>
      <vt:variant>
        <vt:i4>0</vt:i4>
      </vt:variant>
      <vt:variant>
        <vt:i4>5</vt:i4>
      </vt:variant>
      <vt:variant>
        <vt:lpwstr/>
      </vt:variant>
      <vt:variant>
        <vt:lpwstr>Ref_8_3_ACOSS_et_al_Demanding_Better__24</vt:lpwstr>
      </vt:variant>
      <vt:variant>
        <vt:i4>655451</vt:i4>
      </vt:variant>
      <vt:variant>
        <vt:i4>15</vt:i4>
      </vt:variant>
      <vt:variant>
        <vt:i4>0</vt:i4>
      </vt:variant>
      <vt:variant>
        <vt:i4>5</vt:i4>
      </vt:variant>
      <vt:variant>
        <vt:lpwstr/>
      </vt:variant>
      <vt:variant>
        <vt:lpwstr>Ref_ECA_Three_Year_Plan_25_28</vt:lpwstr>
      </vt:variant>
      <vt:variant>
        <vt:i4>1245262</vt:i4>
      </vt:variant>
      <vt:variant>
        <vt:i4>12</vt:i4>
      </vt:variant>
      <vt:variant>
        <vt:i4>0</vt:i4>
      </vt:variant>
      <vt:variant>
        <vt:i4>5</vt:i4>
      </vt:variant>
      <vt:variant>
        <vt:lpwstr/>
      </vt:variant>
      <vt:variant>
        <vt:lpwstr>Ref_Minimising_Consumer_Harm_2022</vt:lpwstr>
      </vt:variant>
      <vt:variant>
        <vt:i4>852042</vt:i4>
      </vt:variant>
      <vt:variant>
        <vt:i4>9</vt:i4>
      </vt:variant>
      <vt:variant>
        <vt:i4>0</vt:i4>
      </vt:variant>
      <vt:variant>
        <vt:i4>5</vt:i4>
      </vt:variant>
      <vt:variant>
        <vt:lpwstr/>
      </vt:variant>
      <vt:variant>
        <vt:lpwstr>Ref_ACOSS_et_al_Demanding_Better_2024</vt:lpwstr>
      </vt:variant>
      <vt:variant>
        <vt:i4>1507339</vt:i4>
      </vt:variant>
      <vt:variant>
        <vt:i4>6</vt:i4>
      </vt:variant>
      <vt:variant>
        <vt:i4>0</vt:i4>
      </vt:variant>
      <vt:variant>
        <vt:i4>5</vt:i4>
      </vt:variant>
      <vt:variant>
        <vt:lpwstr/>
      </vt:variant>
      <vt:variant>
        <vt:lpwstr>Ref_8_2_ECA_Understanding_the_E_Div_2023</vt:lpwstr>
      </vt:variant>
      <vt:variant>
        <vt:i4>1966169</vt:i4>
      </vt:variant>
      <vt:variant>
        <vt:i4>3</vt:i4>
      </vt:variant>
      <vt:variant>
        <vt:i4>0</vt:i4>
      </vt:variant>
      <vt:variant>
        <vt:i4>5</vt:i4>
      </vt:variant>
      <vt:variant>
        <vt:lpwstr/>
      </vt:variant>
      <vt:variant>
        <vt:lpwstr>Ref_ECA_Power_Up_Consumer_Voices_2024</vt:lpwstr>
      </vt:variant>
      <vt:variant>
        <vt:i4>7274601</vt:i4>
      </vt:variant>
      <vt:variant>
        <vt:i4>0</vt:i4>
      </vt:variant>
      <vt:variant>
        <vt:i4>0</vt:i4>
      </vt:variant>
      <vt:variant>
        <vt:i4>5</vt:i4>
      </vt:variant>
      <vt:variant>
        <vt:lpwstr/>
      </vt:variant>
      <vt:variant>
        <vt:lpwstr>Ref_ACOSS_AiGroup_EEC_PropCouncAus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Bird</dc:creator>
  <cp:keywords/>
  <dc:description/>
  <cp:lastModifiedBy>Thomas Prisk</cp:lastModifiedBy>
  <cp:revision>54</cp:revision>
  <cp:lastPrinted>2025-08-27T05:15:00Z</cp:lastPrinted>
  <dcterms:created xsi:type="dcterms:W3CDTF">2025-08-05T23:44:00Z</dcterms:created>
  <dcterms:modified xsi:type="dcterms:W3CDTF">2025-08-27T05:15:00Z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0x01010008BAC9EC549B984F8E2AA5A6E13A8D38</vt:lpwstr>
  </property>
  <property fmtid="{D5CDD505-2E9C-101B-9397-08002B2CF9AE}" pid="3" name="MediaServiceImageTags">
    <vt:lpwstr/>
  </property>
  <property fmtid="{D5CDD505-2E9C-101B-9397-08002B2CF9AE}" pid="4" name="GrammarlyDocumentId">
    <vt:lpwstr>8431e8e2-6bb1-4fbd-9998-5e48aba68b17</vt:lpwstr>
  </property>
</Properties>
</file>